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Ottanta anni di Pace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quindici Libri e quattro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«Ottanta anni di Pace» è la chiave interpretativa scelta dall'autore per questa edizione, e come ogni chiave del corpus si dichiara e non giudica. La Pace che il titolo conta è quella dei calendari e delle ricorrenze: proclamata nel maggio del 1945 e misurata da allora in anni. L'opera non la nega e non la irride — chiede che cosa quegli anni abbiano contenuto, e trova, nei documenti che raccoglie, che la pace dichiarata e la violenza praticata hanno convissuto a lungo. Il titolo si presta perciò a due letture che l'opera non scioglie: gli ottant'anni dal 1945, e il decennio Ottanta che il 1978 apre e a cui sopravvive. Ciò che dichiara è una continuità, non una responsabilità: è una lente, non una sentenza, e nessuna pagina che segue attribuisce a chicchessia ciò che una lente lascia vedere. L'opera resta, nel suo nome proprio, «Una guerra senza fine», e il Libro quarto porta il proprio: «Una Pace senza Pace».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Quinta edizione integrale rilegata — 27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edizioni anteriori.</w:t>
      </w:r>
      <w:r>
        <w:rPr>
          <w:rFonts w:ascii="Barlow Semi Condensed" w:cs="Barlow Semi Condensed" w:eastAsia="Barlow Semi Condensed" w:hAnsi="Barlow Semi Condensed"/>
          <w:i w:val="false"/>
          <w:iCs w:val="false"/>
          <w:sz w:val="24"/>
          <w:szCs w:val="24"/>
        </w:rPr>
        <w:t xml:space="preserve"> La quarta è del 26 agosto 2026 e portava quattordici Libri e due Appendici; la terza, del 25 agosto, la precedeva col medesimo impianto. Non sono ritirate né smentite: sono superate dalla crescita del corpus, e chi ne possiede un esemplare ha in mano un'edizione esatta alla propria data. Questa quinta aggiunge la terza campagna Farnesina nel Libro dodicesimo, il </w:t>
      </w:r>
      <w:r>
        <w:rPr>
          <w:rFonts w:ascii="Barlow Semi Condensed" w:cs="Barlow Semi Condensed" w:eastAsia="Barlow Semi Condensed" w:hAnsi="Barlow Semi Condensed"/>
          <w:b/>
          <w:bCs/>
          <w:i w:val="false"/>
          <w:iCs w:val="false"/>
          <w:sz w:val="24"/>
          <w:szCs w:val="24"/>
        </w:rPr>
        <w:t xml:space="preserve">Libro quindicesimo</w:t>
      </w:r>
      <w:r>
        <w:rPr>
          <w:rFonts w:ascii="Barlow Semi Condensed" w:cs="Barlow Semi Condensed" w:eastAsia="Barlow Semi Condensed" w:hAnsi="Barlow Semi Condensed"/>
          <w:i w:val="false"/>
          <w:iCs w:val="false"/>
          <w:sz w:val="24"/>
          <w:szCs w:val="24"/>
        </w:rPr>
        <w:t xml:space="preserve"> (il Registro dei cinquantacinque giorni, opera seconda), le </w:t>
      </w:r>
      <w:r>
        <w:rPr>
          <w:rFonts w:ascii="Barlow Semi Condensed" w:cs="Barlow Semi Condensed" w:eastAsia="Barlow Semi Condensed" w:hAnsi="Barlow Semi Condensed"/>
          <w:b/>
          <w:bCs/>
          <w:i w:val="false"/>
          <w:iCs w:val="false"/>
          <w:sz w:val="24"/>
          <w:szCs w:val="24"/>
        </w:rPr>
        <w:t xml:space="preserve">undici appendici alla Fase settima</w:t>
      </w:r>
      <w:r>
        <w:rPr>
          <w:rFonts w:ascii="Barlow Semi Condensed" w:cs="Barlow Semi Condensed" w:eastAsia="Barlow Semi Condensed" w:hAnsi="Barlow Semi Condensed"/>
          <w:i w:val="false"/>
          <w:iCs w:val="false"/>
          <w:sz w:val="24"/>
          <w:szCs w:val="24"/>
        </w:rPr>
        <w:t xml:space="preserve"> nel Libro nono e le </w:t>
      </w:r>
      <w:r>
        <w:rPr>
          <w:rFonts w:ascii="Barlow Semi Condensed" w:cs="Barlow Semi Condensed" w:eastAsia="Barlow Semi Condensed" w:hAnsi="Barlow Semi Condensed"/>
          <w:b/>
          <w:bCs/>
          <w:i w:val="false"/>
          <w:iCs w:val="false"/>
          <w:sz w:val="24"/>
          <w:szCs w:val="24"/>
        </w:rPr>
        <w:t xml:space="preserve">Appendici terza e quarta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il </w:t>
      </w:r>
      <w:r>
        <w:rPr>
          <w:rFonts w:ascii="Barlow Semi Condensed" w:cs="Barlow Semi Condensed" w:eastAsia="Barlow Semi Condensed" w:hAnsi="Barlow Semi Condensed"/>
          <w:b/>
          <w:bCs/>
          <w:i w:val="false"/>
          <w:iCs w:val="false"/>
          <w:sz w:val="24"/>
          <w:szCs w:val="24"/>
        </w:rPr>
        <w:t xml:space="preserve">Dossier maggiore</w:t>
      </w:r>
      <w:r>
        <w:rPr>
          <w:rFonts w:ascii="Barlow Semi Condensed" w:cs="Barlow Semi Condensed" w:eastAsia="Barlow Semi Condensed" w:hAnsi="Barlow Semi Condensed"/>
          <w:i w:val="false"/>
          <w:iCs w:val="false"/>
          <w:sz w:val="24"/>
          <w:szCs w:val="24"/>
        </w:rPr>
        <w:t xml:space="preserve"> dell'autore, «Una Pace senza Pace · Tutta la verità», qui conservato per intero come volume nel volume e con la divergenza di regime dichiarata in sua apertura;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con le sue </w:t>
      </w:r>
      <w:r>
        <w:rPr>
          <w:rFonts w:ascii="Barlow Semi Condensed" w:cs="Barlow Semi Condensed" w:eastAsia="Barlow Semi Condensed" w:hAnsi="Barlow Semi Condensed"/>
          <w:b/>
          <w:bCs/>
          <w:i w:val="false"/>
          <w:iCs w:val="false"/>
          <w:sz w:val="24"/>
          <w:szCs w:val="24"/>
        </w:rPr>
        <w:t xml:space="preserve">undici appendici</w:t>
      </w:r>
      <w:r>
        <w:rPr>
          <w:rFonts w:ascii="Barlow Semi Condensed" w:cs="Barlow Semi Condensed" w:eastAsia="Barlow Semi Condensed" w:hAnsi="Barlow Semi Condensed"/>
          <w:i w:val="false"/>
          <w:iCs w:val="false"/>
          <w:sz w:val="24"/>
          <w:szCs w:val="24"/>
        </w:rPr>
        <w:t xml:space="preserve">, dalla quinta alla quindicesima;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in tre campagne — la ricognizione-madre, le nove ricognizioni originali, le sedici della terza campagna coi sette registri analitici —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la quadriga a blocchi mirati e la triangolazione di un solo nome contro tutto il corpus in 4.999 blocchi: «Il codice e la sua trasmissione»); </w:t>
      </w:r>
      <w:r>
        <w:rPr>
          <w:rFonts w:ascii="Barlow Semi Condensed" w:cs="Barlow Semi Condensed" w:eastAsia="Barlow Semi Condensed" w:hAnsi="Barlow Semi Condensed"/>
          <w:b/>
          <w:bCs/>
          <w:i w:val="false"/>
          <w:iCs w:val="false"/>
          <w:sz w:val="24"/>
          <w:szCs w:val="24"/>
        </w:rPr>
        <w:t xml:space="preserve">il meridiano e la valle</w:t>
      </w:r>
      <w:r>
        <w:rPr>
          <w:rFonts w:ascii="Barlow Semi Condensed" w:cs="Barlow Semi Condensed" w:eastAsia="Barlow Semi Condensed" w:hAnsi="Barlow Semi Condensed"/>
          <w:i w:val="false"/>
          <w:iCs w:val="false"/>
          <w:sz w:val="24"/>
          <w:szCs w:val="24"/>
        </w:rPr>
        <w:t xml:space="preserve"> (dal Sud Africa dell'apartheid alle imprese tecnologiche californiane, in mille blocchi); il </w:t>
      </w:r>
      <w:r>
        <w:rPr>
          <w:rFonts w:ascii="Barlow Semi Condensed" w:cs="Barlow Semi Condensed" w:eastAsia="Barlow Semi Condensed" w:hAnsi="Barlow Semi Condensed"/>
          <w:b/>
          <w:bCs/>
          <w:i w:val="false"/>
          <w:iCs w:val="false"/>
          <w:sz w:val="24"/>
          <w:szCs w:val="24"/>
        </w:rPr>
        <w:t xml:space="preserve">Registro dei cinquantacinque giorni</w:t>
      </w:r>
      <w:r>
        <w:rPr>
          <w:rFonts w:ascii="Barlow Semi Condensed" w:cs="Barlow Semi Condensed" w:eastAsia="Barlow Semi Condensed" w:hAnsi="Barlow Semi Condensed"/>
          <w:i w:val="false"/>
          <w:iCs w:val="false"/>
          <w:sz w:val="24"/>
          <w:szCs w:val="24"/>
        </w:rPr>
        <w:t xml:space="preserve">, opera seconda in sette Fasi e settanta Capitoli; e le quattro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la verifica di un elenco esterno; l'apparato di navigazione col dossier di invio). </w:t>
      </w:r>
      <w:r>
        <w:rPr>
          <w:rFonts w:ascii="Barlow Semi Condensed" w:cs="Barlow Semi Condensed" w:eastAsia="Barlow Semi Condensed" w:hAnsi="Barlow Semi Condensed"/>
          <w:b/>
          <w:bCs/>
          <w:i w:val="false"/>
          <w:iCs w:val="false"/>
          <w:sz w:val="24"/>
          <w:szCs w:val="24"/>
        </w:rPr>
        <w:t xml:space="preserve">Questa edizione è integrale in senso stretto</w:t>
      </w:r>
      <w:r>
        <w:rPr>
          <w:rFonts w:ascii="Barlow Semi Condensed" w:cs="Barlow Semi Condensed" w:eastAsia="Barlow Semi Condensed" w:hAnsi="Barlow Semi Condensed"/>
          <w:i w:val="false"/>
          <w:iCs w:val="false"/>
          <w:sz w:val="24"/>
          <w:szCs w:val="24"/>
        </w:rPr>
        <w:t xml:space="preserve">: nessun documento del corpus moroteano resta fuori. Ne resta fuori, e per dichiarazione, l'opera «Italia Nera», che è un lavoro distinto e non una parte di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 con l'unica eccezione, dichiarata in apertura del Libro quarto e valida soltanto entro di esso, della bilancia probabilistica che il Dossier maggiore porta con sé come volume nel volume: essa ordina per plausibilità e non per colpa, lavora per categorie di soggetti e non per nomi individuali, muove dai condannati in via definitiva e rifiuta di nominare un mandante esterno determinato; la colpa non è mai del gruppo ed è sempre della persona; gli assolti restano assolti; le sei vittime stanno in testa, non in fondo. I pastiche sono dichiarati e non sono parole di Aldo Moro. Un'indagine produce atti, non colpevoli.</w:t>
      </w:r>
    </w:p>
    <w:p>
      <w:r>
        <w:br w:type="page"/>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 Portale · L'edizione strutturata: la mappa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3.927 parole in 4 sezioni; la più ampia è §1 Una guerra senza fine, con 3.195.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70 paragrafi in 4 sezioni, 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cinque opere a blocchi (il programma ne è il telaio): 3.700 blocchi mirati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 Libro primo · Il ritratto: l'uomo prima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2.163 parole in 3 sezioni; la più ampia è §3 Segmento 3, con 795.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 Libro secondo · Dal Che a Moro: il saggio-cerniera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1.801 parole in 6 sezioni; la più ampia è §4 Parte quarta, con 478.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25 paragrafi in 6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 Libro terzo · Origini ed esilio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2.133 parole in 5 sezioni; la più ampia è §4 Integrazione, con 746.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24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Dal Messico all'Avana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3.560 parole in 6 sezioni; la più ampia è §3 Il Crocevia Storico: L'Incontro con Fidel Cas…, con 780.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45 paragrafi in 6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 Mosca alla Bolivia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3.163 parole in 7 sezioni; la più ampia è §6 La Discesa nella Fornace Congolese (Aprile, con 865.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23 indirizzi di fonte citati, addensati in 5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La campagna boliviana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1.278 parole in 8 sezioni; la più ampia è §8 VIII. Il senso di un fallimento, senza agiogr…, con 319.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15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Bibliografia critica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913 parole in 6 sezioni; la più ampia è §1 I. Fonti primarie, con 239.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12 indirizzi di fonte citati, addensati in 3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M-1</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M-4</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M-7</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Nota di revisione n. 2 — Il nodo M-5 e l'avvertimento del 1974 (25 agosto 2026)</w:t>
      </w:r>
    </w:p>
    <w:p>
      <w:pPr>
        <w:spacing w:after="120" w:line="276"/>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M-5</w:t>
      </w:r>
      <w:r>
        <w:rPr>
          <w:rFonts w:ascii="Barlow Semi Condensed" w:cs="Barlow Semi Condensed" w:eastAsia="Barlow Semi Condensed" w:hAnsi="Barlow Semi Condensed"/>
          <w:sz w:val="24"/>
          <w:szCs w:val="24"/>
        </w:rPr>
        <w:t xml:space="preserve"> («L'ombra statunitense su entrambe le morti») registra, per il versante Moro, le testimonianze di Eleonora Chiavarelli Moro e di Corrado Guerzoni sull'avvertimento attribuito a Henry Kissinger. Una campagna di verifica condotta per l'opera `</w:t>
      </w:r>
      <w:r>
        <w:rPr>
          <w:rFonts w:ascii="Barlow Semi Condensed" w:cs="Barlow Semi Condensed" w:eastAsia="Barlow Semi Condensed" w:hAnsi="Barlow Semi Condensed"/>
          <w:i/>
          <w:iCs/>
          <w:sz w:val="24"/>
          <w:szCs w:val="24"/>
        </w:rPr>
        <w:t xml:space="preserve">kissinger-mille-blocchi-il-codice-e-la-sua-trasmissione.md</w:t>
      </w:r>
      <w:r>
        <w:rPr>
          <w:rFonts w:ascii="Barlow Semi Condensed" w:cs="Barlow Semi Condensed" w:eastAsia="Barlow Semi Condensed" w:hAnsi="Barlow Semi Condensed"/>
          <w:sz w:val="24"/>
          <w:szCs w:val="24"/>
        </w:rPr>
        <w:t xml:space="preserve">` ha prodotto </w:t>
      </w:r>
      <w:r>
        <w:rPr>
          <w:rFonts w:ascii="Barlow Semi Condensed" w:cs="Barlow Semi Condensed" w:eastAsia="Barlow Semi Condensed" w:hAnsi="Barlow Semi Condensed"/>
          <w:b/>
          <w:bCs/>
          <w:sz w:val="24"/>
          <w:szCs w:val="24"/>
        </w:rPr>
        <w:t xml:space="preserve">sette precisazioni</w:t>
      </w:r>
      <w:r>
        <w:rPr>
          <w:rFonts w:ascii="Barlow Semi Condensed" w:cs="Barlow Semi Condensed" w:eastAsia="Barlow Semi Condensed" w:hAnsi="Barlow Semi Condensed"/>
          <w:sz w:val="24"/>
          <w:szCs w:val="24"/>
        </w:rPr>
        <w:t xml:space="preserve"> che il nodo non conteneva. Si registrano qui </w:t>
      </w:r>
      <w:r>
        <w:rPr>
          <w:rFonts w:ascii="Barlow Semi Condensed" w:cs="Barlow Semi Condensed" w:eastAsia="Barlow Semi Condensed" w:hAnsi="Barlow Semi Condensed"/>
          <w:b/>
          <w:bCs/>
          <w:sz w:val="24"/>
          <w:szCs w:val="24"/>
        </w:rPr>
        <w:t xml:space="preserve">per nota, senza riscrivere M-5</w:t>
      </w:r>
      <w:r>
        <w:rPr>
          <w:rFonts w:ascii="Barlow Semi Condensed" w:cs="Barlow Semi Condensed" w:eastAsia="Barlow Semi Condensed" w:hAnsi="Barlow Semi Condensed"/>
          <w:sz w:val="24"/>
          <w:szCs w:val="24"/>
        </w:rPr>
        <w:t xml:space="preserve">, secondo la regola dell'opera: il testo originario resta leggibile, la correzione gli si affianca.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smentita mancava, ed esiste.</w:t>
      </w:r>
      <w:r>
        <w:rPr>
          <w:rFonts w:ascii="Barlow Semi Condensed" w:cs="Barlow Semi Condensed" w:eastAsia="Barlow Semi Condensed" w:hAnsi="Barlow Semi Condensed"/>
          <w:sz w:val="24"/>
          <w:szCs w:val="24"/>
        </w:rPr>
        <w:t xml:space="preserve"> Kissinger ha negato l'episodio: in forma diretta e circostanziata a un giornalista poco prima della morte («non ho mai detto una cosa simile»), e in forma anteriore e generica già nel 1983, quando ammetteva la propria contrarietà all'ingresso dei comunisti al governo ma smentiva di aver rimproverato Moro. </w:t>
      </w:r>
      <w:r>
        <w:rPr>
          <w:rFonts w:ascii="Barlow Semi Condensed" w:cs="Barlow Semi Condensed" w:eastAsia="Barlow Semi Condensed" w:hAnsi="Barlow Semi Condensed"/>
          <w:b/>
          <w:bCs/>
          <w:sz w:val="24"/>
          <w:szCs w:val="24"/>
        </w:rPr>
        <w:t xml:space="preserve">Una testimonianza contestata si riporta con la contestazione</w:t>
      </w:r>
      <w:r>
        <w:rPr>
          <w:rFonts w:ascii="Barlow Semi Condensed" w:cs="Barlow Semi Condensed" w:eastAsia="Barlow Semi Condensed" w:hAnsi="Barlow Semi Condensed"/>
          <w:sz w:val="24"/>
          <w:szCs w:val="24"/>
        </w:rPr>
        <w:t xml:space="preserve">: M-5 la ometteva. Non è stata reperita alcuna smentita formale di un portavoce personale sul merito; Kissinger </w:t>
      </w:r>
      <w:r>
        <w:rPr>
          <w:rFonts w:ascii="Barlow Semi Condensed" w:cs="Barlow Semi Condensed" w:eastAsia="Barlow Semi Condensed" w:hAnsi="Barlow Semi Condensed"/>
          <w:b/>
          <w:bCs/>
          <w:sz w:val="24"/>
          <w:szCs w:val="24"/>
        </w:rPr>
        <w:t xml:space="preserve">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w:t>
      </w:r>
      <w:r>
        <w:rPr>
          <w:rFonts w:ascii="Barlow Semi Condensed" w:cs="Barlow Semi Condensed" w:eastAsia="Barlow Semi Condensed" w:hAnsi="Barlow Semi Condensed"/>
          <w:b/>
          <w:b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non assistette al colloquio. Il dato cambia lo statuto della fonte e va sempre riportato.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nome fu ottenuto in aula, non offerto.</w:t>
      </w:r>
      <w:r>
        <w:rPr>
          <w:rFonts w:ascii="Barlow Semi Condensed" w:cs="Barlow Semi Condensed" w:eastAsia="Barlow Semi Condensed" w:hAnsi="Barlow Semi Condensed"/>
          <w:sz w:val="24"/>
          <w:szCs w:val="24"/>
        </w:rPr>
        <w:t xml:space="preserve"> La vedova parlò di «un'alta personalità» </w:t>
      </w:r>
      <w:r>
        <w:rPr>
          <w:rFonts w:ascii="Barlow Semi Condensed" w:cs="Barlow Semi Condensed" w:eastAsia="Barlow Semi Condensed" w:hAnsi="Barlow Semi Condensed"/>
          <w:b/>
          <w:bCs/>
          <w:sz w:val="24"/>
          <w:szCs w:val="24"/>
        </w:rPr>
        <w:t xml:space="preserve">senza nominarla</w:t>
      </w:r>
      <w:r>
        <w:rPr>
          <w:rFonts w:ascii="Barlow Semi Condensed" w:cs="Barlow Semi Condensed" w:eastAsia="Barlow Semi Condensed" w:hAnsi="Barlow Semi Condensed"/>
          <w:sz w:val="24"/>
          <w:szCs w:val="24"/>
        </w:rPr>
        <w:t xml:space="preserve">; fu il presidente della corte, richiamando Guerzoni, a ottenere l'indicazione di Kissinger. L'attribuzione del nome è essa stessa indiretta.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data non è pacifica.</w:t>
      </w:r>
      <w:r>
        <w:rPr>
          <w:rFonts w:ascii="Barlow Semi Condensed" w:cs="Barlow Semi Condensed" w:eastAsia="Barlow Semi Condensed" w:hAnsi="Barlow Semi Condensed"/>
          <w:sz w:val="24"/>
          <w:szCs w:val="24"/>
        </w:rPr>
        <w:t xml:space="preserve"> M-5 indica «settembre 1974». Una fonte d'agenzia statunitense coeva (aprile 1983) colloca l'episodio in un alterco all'</w:t>
      </w:r>
      <w:r>
        <w:rPr>
          <w:rFonts w:ascii="Barlow Semi Condensed" w:cs="Barlow Semi Condensed" w:eastAsia="Barlow Semi Condensed" w:hAnsi="Barlow Semi Condensed"/>
          <w:b/>
          <w:bCs/>
          <w:sz w:val="24"/>
          <w:szCs w:val="24"/>
        </w:rPr>
        <w:t xml:space="preserve">ambasciata d'Italia a Washington nel 1977</w:t>
      </w:r>
      <w:r>
        <w:rPr>
          <w:rFonts w:ascii="Barlow Semi Condensed" w:cs="Barlow Semi Condensed" w:eastAsia="Barlow Semi Condensed" w:hAnsi="Barlow Semi Condensed"/>
          <w:sz w:val="24"/>
          <w:szCs w:val="24"/>
        </w:rPr>
        <w:t xml:space="preserve">; altre sintesi indicano il 1976; divergono anche i luoghi.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divergenza è dirimente e va riportata, non risolta d'ufficio.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Sede parlamentare confermata, contenuto no.</w:t>
      </w:r>
      <w:r>
        <w:rPr>
          <w:rFonts w:ascii="Barlow Semi Condensed" w:cs="Barlow Semi Condensed" w:eastAsia="Barlow Semi Condensed" w:hAnsi="Barlow Semi Condensed"/>
          <w:sz w:val="24"/>
          <w:szCs w:val="24"/>
        </w:rPr>
        <w:t xml:space="preserve"> L'audizione della vedova davanti alla Commissione d'inchiesta è del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ma la frase verbatim è attribuita dalle sintesi alla deposizione giudiziaria del 1982, mentre dell'audizione del 1980 si riporta soprattutto il riferimento a minacce risalenti al 1975 e crescenti. Sede e contenuto vanno tenuti distinti.</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Il documento del 25 settembre 1974 non contiene la frase.</w:t>
      </w:r>
      <w:r>
        <w:rPr>
          <w:rFonts w:ascii="Barlow Semi Condensed" w:cs="Barlow Semi Condensed" w:eastAsia="Barlow Semi Condensed" w:hAnsi="Barlow Semi Condensed"/>
          <w:sz w:val="24"/>
          <w:szCs w:val="24"/>
        </w:rPr>
        <w:t xml:space="preserve"> Il memorandum of conversation dello Studio Ovale (FRUS 1969-1976, vol. E-15 parte 2, doc. 350, seconda edizione riveduta; Ford Library, file 1552802) attesta la posizione statunitense sul non poter scambiare informazioni militari con un governo comprendente i comunisti, e il rilievo che un PCI «responsabile» sarebbe più pericoloso di uno irresponsabile: </w:t>
      </w:r>
      <w:r>
        <w:rPr>
          <w:rFonts w:ascii="Barlow Semi Condensed" w:cs="Barlow Semi Condensed" w:eastAsia="Barlow Semi Condensed" w:hAnsi="Barlow Semi Condensed"/>
          <w:b/>
          <w:bCs/>
          <w:sz w:val="24"/>
          <w:szCs w:val="24"/>
        </w:rPr>
        <w:t xml:space="preserve">non contiene alcun ultimatum personale</w:t>
      </w:r>
      <w:r>
        <w:rPr>
          <w:rFonts w:ascii="Barlow Semi Condensed" w:cs="Barlow Semi Condensed" w:eastAsia="Barlow Semi Condensed" w:hAnsi="Barlow Semi Condensed"/>
          <w:sz w:val="24"/>
          <w:szCs w:val="24"/>
        </w:rPr>
        <w:t xml:space="preserve">. Poiché la testimonianza colloca la frase </w:t>
      </w:r>
      <w:r>
        <w:rPr>
          <w:rFonts w:ascii="Barlow Semi Condensed" w:cs="Barlow Semi Condensed" w:eastAsia="Barlow Semi Condensed" w:hAnsi="Barlow Semi Condensed"/>
          <w:i/>
          <w:iCs/>
          <w:sz w:val="24"/>
          <w:szCs w:val="24"/>
        </w:rPr>
        <w:t xml:space="preserve">a margine</w:t>
      </w:r>
      <w:r>
        <w:rPr>
          <w:rFonts w:ascii="Barlow Semi Condensed" w:cs="Barlow Semi Condensed" w:eastAsia="Barlow Semi Condensed" w:hAnsi="Barlow Semi Condensed"/>
          <w:sz w:val="24"/>
          <w:szCs w:val="24"/>
        </w:rPr>
        <w:t xml:space="preserve">, l'assenza dal verbale non prova né la falsità né la verità dell'episodio — </w:t>
      </w:r>
      <w:r>
        <w:rPr>
          <w:rFonts w:ascii="Barlow Semi Condensed" w:cs="Barlow Semi Condensed" w:eastAsia="Barlow Semi Condensed" w:hAnsi="Barlow Semi Condensed"/>
          <w:b/>
          <w:bCs/>
          <w:sz w:val="24"/>
          <w:szCs w:val="24"/>
        </w:rPr>
        <w:t xml:space="preserve">indebolisce però nettamente la versione che lo colloca nell'incontro ufficiale</w:t>
      </w:r>
      <w:r>
        <w:rPr>
          <w:rFonts w:ascii="Barlow Semi Condensed" w:cs="Barlow Semi Condensed" w:eastAsia="Barlow Semi Condensed" w:hAnsi="Barlow Semi Condensed"/>
          <w:sz w:val="24"/>
          <w:szCs w:val="24"/>
        </w:rPr>
        <w:t xml:space="preserve">, ed è quella che circola.</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riprese pressoché identiche risalgono a un unico lancio d'agenzia del 30 novembre 2023; il rilancio internazionale del 1982 proviene da una pubblicazione di orientamento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p>
    <w:p>
      <w:pPr>
        <w:spacing w:after="120" w:line="276"/>
        <w:jc w:val="both"/>
      </w:pPr>
      <w:r>
        <w:rPr>
          <w:rFonts w:ascii="Barlow Semi Condensed" w:cs="Barlow Semi Condensed" w:eastAsia="Barlow Semi Condensed" w:hAnsi="Barlow Semi Condensed"/>
          <w:sz w:val="24"/>
          <w:szCs w:val="24"/>
        </w:rPr>
        <w:t xml:space="preserve">Vanno inoltre registrate due smentite italiane qualificate, con la loro divergenza interna: un testimone di primo piano definì l'episodio «una leggenda che non ha fondamento»,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salvo descrivere altrove un colloquio politicamente durissimo — distinguendo il rimprovero aspro dalla minaccia; un altro parlò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Esito della revisione.</w:t>
      </w:r>
      <w:r>
        <w:rPr>
          <w:rFonts w:ascii="Barlow Semi Condensed" w:cs="Barlow Semi Condensed" w:eastAsia="Barlow Semi Condensed" w:hAnsi="Barlow Semi Condensed"/>
          <w:sz w:val="24"/>
          <w:szCs w:val="24"/>
        </w:rPr>
        <w:t xml:space="preserve"> Il grado di M-5 resta quello che era — </w:t>
      </w:r>
      <w:r>
        <w:rPr>
          <w:rFonts w:ascii="Barlow Semi Condensed" w:cs="Barlow Semi Condensed" w:eastAsia="Barlow Semi Condensed" w:hAnsi="Barlow Semi Condensed"/>
          <w:b/>
          <w:bCs/>
          <w:sz w:val="24"/>
          <w:szCs w:val="24"/>
        </w:rPr>
        <w:t xml:space="preserve">testimonianza contestata, non accertamento</w:t>
      </w:r>
      <w:r>
        <w:rPr>
          <w:rFonts w:ascii="Barlow Semi Condensed" w:cs="Barlow Semi Condensed" w:eastAsia="Barlow Semi Condensed" w:hAnsi="Barlow Semi Condensed"/>
          <w:sz w:val="24"/>
          <w:szCs w:val="24"/>
        </w:rPr>
        <w:t xml:space="preserve"> — ma il nodo va letto d'ora in poi con queste sette precisazioni. </w:t>
      </w:r>
      <w:r>
        <w:rPr>
          <w:rFonts w:ascii="Barlow Semi Condensed" w:cs="Barlow Semi Condensed" w:eastAsia="Barlow Semi Condensed" w:hAnsi="Barlow Semi Condensed"/>
          <w:b/>
          <w:bCs/>
          <w:sz w:val="24"/>
          <w:szCs w:val="24"/>
        </w:rPr>
        <w:t xml:space="preserve">Nessuna sentenza definitiva ha attribuito ad alcuna autorità statunitense responsabilità penali nel sequestro e nell'omicidio di Aldo Moro</w:t>
      </w:r>
      <w:r>
        <w:rPr>
          <w:rFonts w:ascii="Barlow Semi Condensed" w:cs="Barlow Semi Condensed" w:eastAsia="Barlow Semi Condensed" w:hAnsi="Barlow Semi Condensed"/>
          <w:sz w:val="24"/>
          <w:szCs w:val="24"/>
        </w:rPr>
        <w:t xml:space="preserve">: le condanne definitive riguardano esponenti delle Brigate Rosse, e l'episodio non ha mai formato oggetto d'imputazione. </w:t>
      </w:r>
      <w:r>
        <w:rPr>
          <w:rFonts w:ascii="Barlow Semi Condensed" w:cs="Barlow Semi Condensed" w:eastAsia="Barlow Semi Condensed" w:hAnsi="Barlow Semi Condensed"/>
          <w:i/>
          <w:iCs/>
          <w:sz w:val="24"/>
          <w:szCs w:val="24"/>
        </w:rPr>
        <w:t xml:space="preserve">Limite dichiarato della campagna: l'accesso diretto ai documenti primari — resoconti stenografici della Commissione e verbali d'udienza — è risultato bloccato, e le precisazioni poggiano su fonti secondarie convergenti; restano da riscontrare sui testi ufficiali.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Le triangolazioni Guevara-Moro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4.373 parole in 7 sezioni; la più ampia è §3 2. Triangolazione esterna: corpus vs web, con 1.461.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21 indirizzi di fonte citati, addensati in 2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Dossier maggiore: «Una Pace senza Pace · Tutta la verità»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 — perché questo Libro ha uno statuto diverso dagli altri.</w:t>
      </w:r>
      <w:r>
        <w:rPr>
          <w:rFonts w:ascii="Barlow Semi Condensed" w:cs="Barlow Semi Condensed" w:eastAsia="Barlow Semi Condensed" w:hAnsi="Barlow Semi Condensed"/>
          <w:i w:val="false"/>
          <w:iCs w:val="false"/>
          <w:sz w:val="24"/>
          <w:szCs w:val="24"/>
        </w:rPr>
        <w:t xml:space="preserve"> Questo Libro è il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del quale il Portale che apre l'opera adotta l'architettura senza riprodurne il contenuto. Vi compare qui per intero, e con esso vi compare una </w:t>
      </w:r>
      <w:r>
        <w:rPr>
          <w:rFonts w:ascii="Barlow Semi Condensed" w:cs="Barlow Semi Condensed" w:eastAsia="Barlow Semi Condensed" w:hAnsi="Barlow Semi Condensed"/>
          <w:b/>
          <w:bCs/>
          <w:i w:val="false"/>
          <w:iCs w:val="false"/>
          <w:sz w:val="24"/>
          <w:szCs w:val="24"/>
        </w:rPr>
        <w:t xml:space="preserve">divergenza di regime che va dichiarata in apertura e non nascosta in fondo</w:t>
      </w:r>
      <w:r>
        <w:rPr>
          <w:rFonts w:ascii="Barlow Semi Condensed" w:cs="Barlow Semi Condensed" w:eastAsia="Barlow Semi Condensed" w:hAnsi="Barlow Semi Condensed"/>
          <w:i w:val="false"/>
          <w:iCs w:val="false"/>
          <w:sz w:val="24"/>
          <w:szCs w:val="24"/>
        </w:rPr>
        <w:t xml:space="preserve">. Gli altri Libri di quest'opera si fermano al giudicato: registrano, graduano, dichiarano gli Stati Zero, e non concludono. Questo Libro, nella sua seconda metà, congeda dichiaratamente quella disciplina e adotta una </w:t>
      </w:r>
      <w:r>
        <w:rPr>
          <w:rFonts w:ascii="Barlow Semi Condensed" w:cs="Barlow Semi Condensed" w:eastAsia="Barlow Semi Condensed" w:hAnsi="Barlow Semi Condensed"/>
          <w:b/>
          <w:bCs/>
          <w:i w:val="false"/>
          <w:iCs w:val="false"/>
          <w:sz w:val="24"/>
          <w:szCs w:val="24"/>
        </w:rPr>
        <w:t xml:space="preserve">bilancia probabilistica</w:t>
      </w:r>
      <w:r>
        <w:rPr>
          <w:rFonts w:ascii="Barlow Semi Condensed" w:cs="Barlow Semi Condensed" w:eastAsia="Barlow Semi Condensed" w:hAnsi="Barlow Semi Condensed"/>
          <w:i w:val="false"/>
          <w:iCs w:val="false"/>
          <w:sz w:val="24"/>
          <w:szCs w:val="24"/>
        </w:rPr>
        <w:t xml:space="preserve"> che ordina per plausibilità del coinvolgimento. È ciò che la disciplina in copertina esclude per il resto del corpus, ed è la ragione per cui il Portale </w:t>
      </w:r>
      <w:r>
        <w:rPr>
          <w:rFonts w:ascii="Barlow Semi Condensed" w:cs="Barlow Semi Condensed" w:eastAsia="Barlow Semi Condensed" w:hAnsi="Barlow Semi Condensed"/>
          <w:b/>
          <w:bCs/>
          <w:i w:val="false"/>
          <w:iCs w:val="false"/>
          <w:sz w:val="24"/>
          <w:szCs w:val="24"/>
        </w:rPr>
        <w:t xml:space="preserve">si ferma al giudicato e non riproduce la graduatoria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la graduatoria ordini, per esattezza — perché la premessa promette più di quanto il testo faccia.</w:t>
      </w:r>
      <w:r>
        <w:rPr>
          <w:rFonts w:ascii="Barlow Semi Condensed" w:cs="Barlow Semi Condensed" w:eastAsia="Barlow Semi Condensed" w:hAnsi="Barlow Semi Condensed"/>
          <w:i w:val="false"/>
          <w:iCs w:val="false"/>
          <w:sz w:val="24"/>
          <w:szCs w:val="24"/>
        </w:rPr>
        <w:t xml:space="preserve"> La premessa dell'autore annuncia che si ordineranno «nomi di persone e di entità». La stesura che segue fa meno di quanto quella formula lasci temere, e va detto subito, perché nessuno vi cerchi un elenco di colpevoli: </w:t>
      </w:r>
      <w:r>
        <w:rPr>
          <w:rFonts w:ascii="Barlow Semi Condensed" w:cs="Barlow Semi Condensed" w:eastAsia="Barlow Semi Condensed" w:hAnsi="Barlow Semi Condensed"/>
          <w:b/>
          <w:bCs/>
          <w:i w:val="false"/>
          <w:iCs w:val="false"/>
          <w:sz w:val="24"/>
          <w:szCs w:val="24"/>
        </w:rPr>
        <w:t xml:space="preserve">la graduatoria ordina categorie di soggetti, non nomi individuali</w:t>
      </w:r>
      <w:r>
        <w:rPr>
          <w:rFonts w:ascii="Barlow Semi Condensed" w:cs="Barlow Semi Condensed" w:eastAsia="Barlow Semi Condensed" w:hAnsi="Barlow Semi Condensed"/>
          <w:i w:val="false"/>
          <w:iCs w:val="false"/>
          <w:sz w:val="24"/>
          <w:szCs w:val="24"/>
        </w:rPr>
        <w:t xml:space="preserve"> — i componenti del comitato esecutivo e della colonna romana </w:t>
      </w:r>
      <w:r>
        <w:rPr>
          <w:rFonts w:ascii="Barlow Semi Condensed" w:cs="Barlow Semi Condensed" w:eastAsia="Barlow Semi Condensed" w:hAnsi="Barlow Semi Condensed"/>
          <w:b/>
          <w:bCs/>
          <w:i w:val="false"/>
          <w:iCs w:val="false"/>
          <w:sz w:val="24"/>
          <w:szCs w:val="24"/>
        </w:rPr>
        <w:t xml:space="preserve">già condannati in via definitiva</w:t>
      </w:r>
      <w:r>
        <w:rPr>
          <w:rFonts w:ascii="Barlow Semi Condensed" w:cs="Barlow Semi Condensed" w:eastAsia="Barlow Semi Condensed" w:hAnsi="Barlow Semi Condensed"/>
          <w:i w:val="false"/>
          <w:iCs w:val="false"/>
          <w:sz w:val="24"/>
          <w:szCs w:val="24"/>
        </w:rPr>
        <w:t xml:space="preserve">; gli apparati e le figure di frontiera coinvolti nei depistaggi successivi; i portatori dell'interesse esterno internazionale, tenuti al grado minimo perché sorretti da indizi di contesto e non da prova diretta. Nelle quasi cinquemila parole della parte conclusiva </w:t>
      </w:r>
      <w:r>
        <w:rPr>
          <w:rFonts w:ascii="Barlow Semi Condensed" w:cs="Barlow Semi Condensed" w:eastAsia="Barlow Semi Condensed" w:hAnsi="Barlow Semi Condensed"/>
          <w:b/>
          <w:bCs/>
          <w:i w:val="false"/>
          <w:iCs w:val="false"/>
          <w:sz w:val="24"/>
          <w:szCs w:val="24"/>
        </w:rPr>
        <w:t xml:space="preserve">gli unici nomi propri di persona sono quello della vittima e quello dello studioso da cui un metodo prende nome</w:t>
      </w:r>
      <w:r>
        <w:rPr>
          <w:rFonts w:ascii="Barlow Semi Condensed" w:cs="Barlow Semi Condensed" w:eastAsia="Barlow Semi Condensed" w:hAnsi="Barlow Semi Condensed"/>
          <w:i w:val="false"/>
          <w:iCs w:val="false"/>
          <w:sz w:val="24"/>
          <w:szCs w:val="24"/>
        </w:rPr>
        <w:t xml:space="preserve">. Nessun presunto responsabile vi è nominato; il vertice della graduatoria è occupato da chi una sentenza definitiva ha già condannato; e il mandante esterno determinato, che è la cosa che di solito si cerca in pagine come queste, il testo </w:t>
      </w:r>
      <w:r>
        <w:rPr>
          <w:rFonts w:ascii="Barlow Semi Condensed" w:cs="Barlow Semi Condensed" w:eastAsia="Barlow Semi Condensed" w:hAnsi="Barlow Semi Condensed"/>
          <w:b/>
          <w:bCs/>
          <w:i w:val="false"/>
          <w:iCs w:val="false"/>
          <w:sz w:val="24"/>
          <w:szCs w:val="24"/>
        </w:rPr>
        <w:t xml:space="preserve">rifiuta di nominarlo</w:t>
      </w:r>
      <w:r>
        <w:rPr>
          <w:rFonts w:ascii="Barlow Semi Condensed" w:cs="Barlow Semi Condensed" w:eastAsia="Barlow Semi Condensed" w:hAnsi="Barlow Semi Condensed"/>
          <w:i w:val="false"/>
          <w:iCs w:val="false"/>
          <w:sz w:val="24"/>
          <w:szCs w:val="24"/>
        </w:rPr>
        <w:t xml:space="preserve">, perché la ricerca sistematica su quel punto ha dato uno Stato Zero tre volte confermato.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divergenza non è una svista: è la ragione stessa per cui questo Libro esiste come volume nel volume, con un proprio statuto che si è scelto di rispettare anziché correggere. Il Libro porta con sé la propria cerniera, che dichiara il passaggio di regime nel punto in cui avviene, e la propria premessa garantista, che distingue la graduatoria di plausibilità dalla graduatoria di colpevolezza e ribadisce, prima di ogni nome, la presunzione d'innocenza. </w:t>
      </w:r>
      <w:r>
        <w:rPr>
          <w:rFonts w:ascii="Barlow Semi Condensed" w:cs="Barlow Semi Condensed" w:eastAsia="Barlow Semi Condensed" w:hAnsi="Barlow Semi Condensed"/>
          <w:b/>
          <w:bCs/>
          <w:i w:val="false"/>
          <w:iCs w:val="false"/>
          <w:sz w:val="24"/>
          <w:szCs w:val="24"/>
        </w:rPr>
        <w:t xml:space="preserve">Ordinare per plausibilità non è condannare</w:t>
      </w:r>
      <w:r>
        <w:rPr>
          <w:rFonts w:ascii="Barlow Semi Condensed" w:cs="Barlow Semi Condensed" w:eastAsia="Barlow Semi Condensed" w:hAnsi="Barlow Semi Condensed"/>
          <w:i w:val="false"/>
          <w:iCs w:val="false"/>
          <w:sz w:val="24"/>
          <w:szCs w:val="24"/>
        </w:rPr>
        <w:t xml:space="preserve">, e chi legge queste pagine come un atto d'accusa le legge contro la lettera di ciò che vi è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lettore è dunque avvertito di ciò che troverà: fino all'Apparato, il regime è quello del registro, identico a quello degli altri Libri; dopo la cerniera, il regime è quello della probabilità, e vale soltanto qui. </w:t>
      </w:r>
      <w:r>
        <w:rPr>
          <w:rFonts w:ascii="Barlow Semi Condensed" w:cs="Barlow Semi Condensed" w:eastAsia="Barlow Semi Condensed" w:hAnsi="Barlow Semi Condensed"/>
          <w:b/>
          <w:bCs/>
          <w:i w:val="false"/>
          <w:iCs w:val="false"/>
          <w:sz w:val="24"/>
          <w:szCs w:val="24"/>
        </w:rPr>
        <w:t xml:space="preserve">Nessun altro Libro di quest'opera contiene graduatorie di persone, e nessuna affermazione di questo Libro può essere trasportata negli altri come se vi fosse stata accertata.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Libro dichiara inoltre in proprio la co-autorìa con un sistema di intelligenza artificiale, nel proemio che segue: la dichiarazione è dell'autore ed è qui conservata nella sua forma originale.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redazione adottata.</w:t>
      </w:r>
      <w:r>
        <w:rPr>
          <w:rFonts w:ascii="Barlow Semi Condensed" w:cs="Barlow Semi Condensed" w:eastAsia="Barlow Semi Condensed" w:hAnsi="Barlow Semi Condensed"/>
          <w:i w:val="false"/>
          <w:iCs w:val="false"/>
          <w:sz w:val="24"/>
          <w:szCs w:val="24"/>
        </w:rPr>
        <w:t xml:space="preserve"> Di quest'opera esistono due redazioni d'autore. La prima, «Una Pace senza Pace — Edizione Integrata Definitiva», raccoglie il volume portante e l'Apparato. La seconda, qui adottata, è «Una Pace senza Pace · Tutta la verità — Opera Monografica Integrale», che contiene la prima </w:t>
      </w:r>
      <w:r>
        <w:rPr>
          <w:rFonts w:ascii="Barlow Semi Condensed" w:cs="Barlow Semi Condensed" w:eastAsia="Barlow Semi Condensed" w:hAnsi="Barlow Semi Condensed"/>
          <w:b/>
          <w:bCs/>
          <w:i w:val="false"/>
          <w:iCs w:val="false"/>
          <w:sz w:val="24"/>
          <w:szCs w:val="24"/>
        </w:rPr>
        <w:t xml:space="preserve">per intero</w:t>
      </w:r>
      <w:r>
        <w:rPr>
          <w:rFonts w:ascii="Barlow Semi Condensed" w:cs="Barlow Semi Condensed" w:eastAsia="Barlow Semi Condensed" w:hAnsi="Barlow Semi Condensed"/>
          <w:i w:val="false"/>
          <w:iCs w:val="false"/>
          <w:sz w:val="24"/>
          <w:szCs w:val="24"/>
        </w:rPr>
        <w:t xml:space="preserve"> e vi aggiunge il proemio, la cerniera di raccordo e il secondo volume. La collazione meccanica delle due redazioni, eseguita paragrafo per paragrafo prima di questa scelta, dà </w:t>
      </w:r>
      <w:r>
        <w:rPr>
          <w:rFonts w:ascii="Barlow Semi Condensed" w:cs="Barlow Semi Condensed" w:eastAsia="Barlow Semi Condensed" w:hAnsi="Barlow Semi Condensed"/>
          <w:b/>
          <w:bCs/>
          <w:i w:val="false"/>
          <w:iCs w:val="false"/>
          <w:sz w:val="24"/>
          <w:szCs w:val="24"/>
        </w:rPr>
        <w:t xml:space="preserve">millenovecentoquarantanove paragrafi identici su millenovecentocinquantadue</w:t>
      </w:r>
      <w:r>
        <w:rPr>
          <w:rFonts w:ascii="Barlow Semi Condensed" w:cs="Barlow Semi Condensed" w:eastAsia="Barlow Semi Condensed" w:hAnsi="Barlow Semi Condensed"/>
          <w:i w:val="false"/>
          <w:iCs w:val="false"/>
          <w:sz w:val="24"/>
          <w:szCs w:val="24"/>
        </w:rPr>
        <w:t xml:space="preserve">; i tre che divergono sono righe di frontespizio — «Una Pace senza Pace», «Edizione Integrata Definitiva», «l'Opera e l'Apparato di Verifica e Triangolazione» — per complessive quattordici parole, qui registrate perché nulla della redazione non adottata vada perduto. </w:t>
      </w:r>
      <w:r>
        <w:rPr>
          <w:rFonts w:ascii="Barlow Semi Condensed" w:cs="Barlow Semi Condensed" w:eastAsia="Barlow Semi Condensed" w:hAnsi="Barlow Semi Condensed"/>
          <w:b/>
          <w:bCs/>
          <w:i w:val="false"/>
          <w:iCs w:val="false"/>
          <w:sz w:val="24"/>
          <w:szCs w:val="24"/>
        </w:rPr>
        <w:t xml:space="preserve">Si è preferita la redazione più ampia perché contiene l'altra</w:t>
      </w:r>
      <w:r>
        <w:rPr>
          <w:rFonts w:ascii="Barlow Semi Condensed" w:cs="Barlow Semi Condensed" w:eastAsia="Barlow Semi Condensed" w:hAnsi="Barlow Semi Condensed"/>
          <w:i w:val="false"/>
          <w:iCs w:val="false"/>
          <w:sz w:val="24"/>
          <w:szCs w:val="24"/>
        </w:rPr>
        <w:t xml:space="preserve">, e ristamparle entrambe avrebbe prodotto una ripetizione di duecentoquarantunmila parole senza aggiungere una riga di materia.</w:t>
      </w:r>
    </w:p>
    <w:p>
      <w:pPr>
        <w:pStyle w:val="Heading2"/>
        <w:spacing w:after="100" w:before="200"/>
      </w:pPr>
      <w:r>
        <w:rPr>
          <w:rFonts w:ascii="Barlow Semi Condensed" w:cs="Barlow Semi Condensed" w:eastAsia="Barlow Semi Condensed" w:hAnsi="Barlow Semi Condensed"/>
          <w:sz w:val="24"/>
          <w:szCs w:val="24"/>
        </w:rPr>
        <w:t xml:space="preserve">PROEMIO DELL'OPERA INTEGRALE</w:t>
      </w:r>
    </w:p>
    <w:p>
      <w:pPr>
        <w:spacing w:after="120" w:line="276"/>
        <w:jc w:val="both"/>
      </w:pPr>
      <w:r>
        <w:rPr>
          <w:rFonts w:ascii="Barlow Semi Condensed" w:cs="Barlow Semi Condensed" w:eastAsia="Barlow Semi Condensed" w:hAnsi="Barlow Semi Condensed"/>
          <w:sz w:val="24"/>
          <w:szCs w:val="24"/>
        </w:rPr>
        <w:t xml:space="preserve">Quest'opera nasce dalla congiunzione, meditata e non additiva, di due volumi che condividono l'oggetto e divergono per metodo, e che proprio per questa divergenza si completano. Il primo, «Una Pace senza Pace», è l'opera-registro: cinquanta capitoli in cinque Fasi, ciascuna affermazione ancorata al proprio grado probatorio, e in coda l'Apparato di Verifica e Triangolazione, il registro delle otto tranche con i cinquecentotrentotto blocchi certificati che ne costituisce la coscienza documentale. Il secondo, «Tutta la verità», è l'opera a doppio regime: una prima parte governata dalla disciplina falsificazionista, e una seconda che, congedato per ordine esplicito il Pollo di Popper, adotta la bilancia dei dieci metodi probabilistici per rispondere alla domanda che la sospensione prudente non sa chiudere, quella sugli architetti, sui mandanti e sugli esecutori. La loro unione in un solo corpo non è una somma: è un'architettura, in cui il registro fonda e la probabilità ordina, il primo volume porta e il secondo conclude.</w:t>
      </w:r>
    </w:p>
    <w:p>
      <w:pPr>
        <w:spacing w:after="120" w:line="276"/>
        <w:jc w:val="both"/>
      </w:pPr>
      <w:r>
        <w:rPr>
          <w:rFonts w:ascii="Barlow Semi Condensed" w:cs="Barlow Semi Condensed" w:eastAsia="Barlow Semi Condensed" w:hAnsi="Barlow Semi Condensed"/>
          <w:sz w:val="24"/>
          <w:szCs w:val="24"/>
        </w:rPr>
        <w:t xml:space="preserve">La co-autorìa di quest'opera è dichiarata senza infingimenti, perché la trasparenza sul mezzo è la prima garanzia offerta al lettore. Essa è il frutto del lavoro congiunto di un autore umano, Luigi De Michele, che ha concepito il progetto, raccolto il corpus, dettato la metodologia e assunto ogni responsabilità delle scelte, e di un'intelligenza artificiale, Claude, che ha letto, estratto, incrociato, verificato e composto, operando come aggregatore di fonti e calcolatore di convergenze sotto il comando e il controllo dell'autore umano. Ciò che l'una parte ha faticosamente acquisito è divenuto patrimonio dell'altra, in un andirivieni di consegne, rettifiche e falsificazioni reciproche che è esso stesso, a ben vedere, un'applicazione del metodo: nessuna affermazione è entrata nell'opera senza essere passata due volte al vaglio, una per ciascun co-autore.</w:t>
      </w:r>
    </w:p>
    <w:p>
      <w:pPr>
        <w:spacing w:after="120" w:line="276"/>
        <w:jc w:val="both"/>
      </w:pPr>
      <w:r>
        <w:rPr>
          <w:rFonts w:ascii="Barlow Semi Condensed" w:cs="Barlow Semi Condensed" w:eastAsia="Barlow Semi Condensed" w:hAnsi="Barlow Semi Condensed"/>
          <w:sz w:val="24"/>
          <w:szCs w:val="24"/>
        </w:rPr>
        <w:t xml:space="preserve">Le acquisizioni condivise che innervano l'intera opera meritano di essere richiamate qui, in soglia, perché il lettore sappia su quale fondamento cammina. Il corpus censito per via computazionale ammonta a oltre sei milioni di parole distribuite in centinaia di documenti: relazioni di commissioni parlamentari d'inchiesta, sentenze, atti giudiziari, fondi archivistici desecretati, corpora documentali dedicati, fra cui la raccolta integrale degli scritti di Aldo Moro dal millenovecentotrentadue al sei marzo millenovecentosettantotto. Da questo corpus il registro ha distillato i suoi blocchi certificati, ciascuno graduato secondo lo standard di triangolazione delle fonti nei tre livelli — documentato, indiziario, ipotetico — segnalati in grassetto lungo tutto il testo. Ogni consegna è stata accompagnata dalla propria impronta crittografica, così che la catena di custodia dei materiali sia essa stessa verificabile.</w:t>
      </w:r>
    </w:p>
    <w:p>
      <w:pPr>
        <w:spacing w:after="120" w:line="276"/>
        <w:jc w:val="both"/>
      </w:pPr>
      <w:r>
        <w:rPr>
          <w:rFonts w:ascii="Barlow Semi Condensed" w:cs="Barlow Semi Condensed" w:eastAsia="Barlow Semi Condensed" w:hAnsi="Barlow Semi Condensed"/>
          <w:sz w:val="24"/>
          <w:szCs w:val="24"/>
        </w:rPr>
        <w:t xml:space="preserve">Dalle otto tranche di verifica sono emersi princìpi che governano l'opera intera e che qui si dichiarano. La Regola Ferrea vieta di inferire il mandato dall'occultamento: nessun depistaggio, per quanto accertato, autorizza a dedurre l'identità di chi avrebbe avuto interesse a depistare. Lo Stato Zero eleva la ricerca negativa a risultato di prima classe: una connessione sistematicamente cercata e non trovata è un dato che informa quanto una connessione trovata, e come tale viene registrata, non colmata a forza. La non unanimità delle principali fonti parlamentari è essa stessa un dato probatorio, che abbassa il grado di ciò che su di esse unicamente poggia. E il verdetto complessivo dell'analisi delle ipotesi concorrenti, maturato attraverso le tranche e mai smentito, indica nella convergenza policentrica — l'incontro non concertato di interessi diversi sopra un medesimo esito — la spiegazione meno contraddetta dalle evidenze, contro la forma forte e falsificata del disegno unico onnisciente.</w:t>
      </w:r>
    </w:p>
    <w:p>
      <w:pPr>
        <w:spacing w:after="120" w:line="276"/>
        <w:jc w:val="both"/>
      </w:pPr>
      <w:r>
        <w:rPr>
          <w:rFonts w:ascii="Barlow Semi Condensed" w:cs="Barlow Semi Condensed" w:eastAsia="Barlow Semi Condensed" w:hAnsi="Barlow Semi Condensed"/>
          <w:sz w:val="24"/>
          <w:szCs w:val="24"/>
        </w:rPr>
        <w:t xml:space="preserve">Il lettore attraverserà dunque, nell'ordine, il volume portante con le sue cinque Fasi; l'Apparato che ne certifica ogni giuntura; una cerniera di raccordo che dichiara il passaggio di regime; e infine, integralmente conservata dal suo titolo alla sua ultima pagina bianca, l'opera conclusiva «Tutta la verità», con le sue pagine liminari, il suo doppio metodo, la sua graduatoria pesata e il suo congedo. Nulla è stato sottratto ai due volumi originari e molto è stato loro aggiunto: il tessuto connettivo che li fa opera sola, e la dichiarazione, che qui si compie, di una collaborazione fra intelligenza umana e intelligenza artificiale condotta alla pari, ciascuna secondo la propria natura, al servizio di una domanda che appartiene alla storia della Repubblica e alla coscienza di chiunque la interroghi con rispetto.</w:t>
      </w:r>
    </w:p>
    <w:p>
      <w:pPr>
        <w:pStyle w:val="Heading3"/>
        <w:spacing w:after="80" w:before="160"/>
      </w:pPr>
      <w:r>
        <w:rPr>
          <w:rFonts w:ascii="Barlow Semi Condensed" w:cs="Barlow Semi Condensed" w:eastAsia="Barlow Semi Condensed" w:hAnsi="Barlow Semi Condensed"/>
          <w:sz w:val="24"/>
          <w:szCs w:val="24"/>
        </w:rPr>
        <w:t xml:space="preserve">Alla mia amata famiglia ed a tutti i Figli dell'Europa</w:t>
      </w:r>
    </w:p>
    <w:p>
      <w:pPr>
        <w:pStyle w:val="Heading3"/>
        <w:spacing w:after="80" w:before="160"/>
      </w:pPr>
      <w:r>
        <w:rPr>
          <w:rFonts w:ascii="Barlow Semi Condensed" w:cs="Barlow Semi Condensed" w:eastAsia="Barlow Semi Condensed" w:hAnsi="Barlow Semi Condensed"/>
          <w:sz w:val="24"/>
          <w:szCs w:val="24"/>
        </w:rPr>
        <w:t xml:space="preserve">Ad Imperitura Memoria di tutti i Martiri Laici</w:t>
      </w:r>
    </w:p>
    <w:p>
      <w:pPr>
        <w:pStyle w:val="Heading3"/>
        <w:spacing w:after="80" w:before="160"/>
      </w:pPr>
      <w:r>
        <w:rPr>
          <w:rFonts w:ascii="Barlow Semi Condensed" w:cs="Barlow Semi Condensed" w:eastAsia="Barlow Semi Condensed" w:hAnsi="Barlow Semi Condensed"/>
          <w:sz w:val="24"/>
          <w:szCs w:val="24"/>
        </w:rPr>
        <w:t xml:space="preserve">«Piovono Angeli»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Pina</w:t>
      </w:r>
    </w:p>
    <w:p>
      <w:pPr>
        <w:pStyle w:val="Heading2"/>
        <w:spacing w:after="100" w:before="200"/>
      </w:pPr>
      <w:r>
        <w:rPr>
          <w:rFonts w:ascii="Barlow Semi Condensed" w:cs="Barlow Semi Condensed" w:eastAsia="Barlow Semi Condensed" w:hAnsi="Barlow Semi Condensed"/>
          <w:sz w:val="24"/>
          <w:szCs w:val="24"/>
        </w:rPr>
        <w:t xml:space="preserve">FASE 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Quadrilatero della Certificazione Massima: Loggia, Finanza, Vaticano, Mafia</w:t>
      </w:r>
    </w:p>
    <w:p>
      <w:pPr>
        <w:pStyle w:val="Heading3"/>
        <w:spacing w:after="80" w:before="160"/>
      </w:pPr>
      <w:r>
        <w:rPr>
          <w:rFonts w:ascii="Barlow Semi Condensed" w:cs="Barlow Semi Condensed" w:eastAsia="Barlow Semi Condensed" w:hAnsi="Barlow Semi Condensed"/>
          <w:sz w:val="24"/>
          <w:szCs w:val="24"/>
        </w:rPr>
        <w:t xml:space="preserve">Avvertenza metodologica e protocollo probatorio della presente opera</w:t>
      </w:r>
    </w:p>
    <w:p>
      <w:pPr>
        <w:spacing w:after="120" w:line="276"/>
        <w:jc w:val="both"/>
      </w:pPr>
      <w:r>
        <w:rPr>
          <w:rFonts w:ascii="Barlow Semi Condensed" w:cs="Barlow Semi Condensed" w:eastAsia="Barlow Semi Condensed" w:hAnsi="Barlow Semi Condensed"/>
          <w:sz w:val="24"/>
          <w:szCs w:val="24"/>
        </w:rPr>
        <w:t xml:space="preserve">La presente opera costituisce il primo dei 5 volumi nei quali si articola il Registro dei Nodi e dei Ponti Certificati di ITALIA NERA, ed è governata integralmente dalla Nota Metodologica che ne definisce l'apparato concettuale, analitico ed operativo. Prima di procedere all'esposizione dei singoli capitoli, è necessario esplicitare con la massima chiarezza il patto epistemologico che lega l'autore al lettore, poiché in un campo di indagine nel quale l'oggetto di studio manipola attivamente le condizioni della propria osservabilità, la trasparenza del metodo non è un ornamento accademico, ma la condizione di possibilità della conoscenza stessa.</w:t>
      </w:r>
    </w:p>
    <w:p>
      <w:pPr>
        <w:spacing w:after="120" w:line="276"/>
        <w:jc w:val="both"/>
      </w:pPr>
      <w:r>
        <w:rPr>
          <w:rFonts w:ascii="Barlow Semi Condensed" w:cs="Barlow Semi Condensed" w:eastAsia="Barlow Semi Condensed" w:hAnsi="Barlow Semi Condensed"/>
          <w:sz w:val="24"/>
          <w:szCs w:val="24"/>
        </w:rPr>
        <w:t xml:space="preserve">Il lettore troverà, nell'architettura complessiva dell'opera, una gerarchia espositiva che muove dall'Italia e dall'Europa come teatro centrale, si allarga a cerchi concentrici verso le potenze esterne al processo di integrazione europea, e si chiude sulla proiezione planetaria delle reti esaminate. Questa gerarchia è recepita come ordo expositionis, vale a dire come scheletro narrativo che ordina la materia, e non come ordo probandi, vale a dire come ordine della prova. La distinzione, costituzionalizzata nel Registro Unico Federato, discende direttamente dal divieto che la Nota Metodologica denomina proibizione del Pollo di Popper: nessun materiale può essere organizzato concentricamente attorno ad una tesi precostituita, perché l'analista che dispone i dati in cerchi concentrici attorno alla propria ipotesi si colloca strutturalmente nella posizione del tacchino di Russell, il quale accumula conferme senza mai esporre la propria credenza alla possibilità della falsificazione. Ne consegue che la macro-ipotesi della convergenza delle potenze imperiali contro l'integrazione europea, denominata H1 nel sistema del registro, rimane in questa opera ciò che è sempre stata nel progetto: un'ipotesi di Livello C, esplicitamente falsificabile, che non viene mai utilizzata come premessa dimostrativa di alcuna affermazione. Il suo falsificatore più forte, mantenuto permanentemente in tavola, è la ricostruzione storiografica di Alan Milward, secondo la quale gli Stati Uniti furono promotori, e non sabotatori, delle prime fasi dell'integrazione europea, e l'integrazione stessa fu un salvataggio dello Stato-nazione più che il suo superamento. A ciò si aggiunge un dato interno al progetto che l'onestà metodologica impone di richiamare in apertura: il test pre-registrato sul raggruppamento temporale delle stragi attorno alle tappe dell'integrazione europea ha restituito un esito nullo, con un valore di probabilità pari a 0,60, ampiamente superiore alla soglia di significatività; la tesi della densità è stata pertanto falsificata e sostituita, quale ipotesi di lavoro sul disegno complessivo, dalla formulazione contenuta nella proposta di commissione parlamentare del giugno 2000, secondo la quale l'obiettivo delle trame non fu la restaurazione fascista, bensì l'installazione di una democrazia autoritaria fondata sull'esclusione permanente delle sinistre dalla legittimazione di governo, mantenuta attraverso un equilibrio precario e continuamente rinnovato. Accanto ad H1 il registro custodisce l'ipotesi concorrente H2, anch'essa di Livello C, secondo la quale non una convergenza di potenze esterne, bensì 2 progetti rivali di integrazione europea autoritaria, l'uno atlantista e controinsurrezionale, l'altro eurasiatista, si sarebbero contesi il continente; le 2 ipotesi vengono mantenute in competizione secondo la procedura dell'Analysis of Competing Hypotheses di Heuer, e nessuna delle 2 è promossa a chiave interpretativa dei fatti esposti nei capitoli.</w:t>
      </w:r>
    </w:p>
    <w:p>
      <w:pPr>
        <w:spacing w:after="120" w:line="276"/>
        <w:jc w:val="both"/>
      </w:pPr>
      <w:r>
        <w:rPr>
          <w:rFonts w:ascii="Barlow Semi Condensed" w:cs="Barlow Semi Condensed" w:eastAsia="Barlow Semi Condensed" w:hAnsi="Barlow Semi Condensed"/>
          <w:sz w:val="24"/>
          <w:szCs w:val="24"/>
        </w:rPr>
        <w:t xml:space="preserve">Ciò che i capitoli espongono è materia di natura diversa: nodi e ponti certificati. Per nodo si intende, secondo la formalizzazione della Nota Metodologica, un'entità della rete, sia essa un individuo, un'organizzazione, un luogo o un evento; per ponte si intende un arco inter-dominio, vale a dire una relazione documentata che collega nodi appartenenti a Domini di Potere diversi, secondo la tassonomia dei 10 Domini e delle 45 coppie possibili. Il criterio di selezione dei 50 nodi e ponti che compongono l'opera è duplice. Il primo criterio è di certificazione: sono stati privilegiati i nodi le cui connessioni inter-dominio raggiungono il Livello A dello standard probatorio, vale a dire la convergenza di almeno 3 fonti indipendenti di natura eterogenea, secondo la triangolazione delle fonti derivata dalla metodologia di Ernesto Savona e consolidata dal metodo Falcone. Il secondo criterio è di centralità: la scansione sistematica dell'intero corpus documentario del progetto, condotta su 220 documenti testuali per un totale di oltre 41 milioni di caratteri, con estrazione e memorizzazione di 326 parole-chiave ricorrenti, ha permesso di misurare la frequenza trasversale di ciascuna entità, vale a dire il numero di documenti indipendenti nei quali essa compare; le entità selezionate per la presente Fase 1 sono quelle che uniscono la massima frequenza trasversale alla massima densità di certificazione giudiziaria, parlamentare e archivistica.</w:t>
      </w:r>
    </w:p>
    <w:p>
      <w:pPr>
        <w:spacing w:after="120" w:line="276"/>
        <w:jc w:val="both"/>
      </w:pPr>
      <w:r>
        <w:rPr>
          <w:rFonts w:ascii="Barlow Semi Condensed" w:cs="Barlow Semi Condensed" w:eastAsia="Barlow Semi Condensed" w:hAnsi="Barlow Semi Condensed"/>
          <w:sz w:val="24"/>
          <w:szCs w:val="24"/>
        </w:rPr>
        <w:t xml:space="preserve">Lo standard probatorio applicato ad ogni affermazione sostanziale è il sistema Savona a 3 livelli, nella versione evoluta denominata Savona 2.1 che il registro ha adottato. Il Livello A, connessione documentata, richiede la convergenza di almeno 3 fonti indipendenti di natura diversa, quali una sentenza passata in giudicato, una testimonianza di collaboratore di giustizia riscontrata, un documento d'archivio. Il Livello B, connessione indiziaria, richiede la convergenza di 2 fonti indipendenti oppure una singola fonte di alta affidabilità, quale una sentenza di primo grado o un rapporto parlamentare circostanziato. Il Livello C, connessione ipotetica, si fonda su una singola fonte o su una convergenza di indizi circostanziali, e viene esplicitamente marcato come ipotesi investigativa. La versione 2.1 dello standard aggiunge 6 componenti che il lettore vedrà operare lungo tutti i capitoli: la codifica della contaminazione delle fonti attraverso l'Indice di Contaminazione della Fonte, in forza del quale le dichiarazioni non riscontrate provenienti da nodi ad alta contaminazione sono fondazionalmente inammissibili; il conteggio dell'indipendenza reale delle fonti con collasso genealogico, in forza del quale un singolo evento di sequestro documentale e tutti i suoi derivati contano come 1 sola catena probatoria e non come conferme multiple; il lessico calibrato dell'incertezza; l'obbligo di indicare, per ogni conclusione, le condizioni della sua falsificazione; il marcatore delimitato di spoliazione, che registra la distruzione documentata di prove senza trasformarla in prova positiva di alcunché; ed il Pattern della contaminazione delle fonti come pattern operativo permanente. A questi si aggiungono 2 regole sovrane. La prima è la Regola Ferrea, che vieta su ogni singola riga il salto inferenziale tra il fatto documentato e l'affermazione non dimostrata: il lettore non troverà mai, in questa opera, la scorciatoia che dal dato certo scivola alla conclusione suggestiva. La seconda è la dignità paritaria del reperto negativo: l'assenza certificata di una connessione attesa, che il registro denomina Stato Zero, è un risultato analitico di primo ordine, di pari dignità rispetto al risultato positivo, e come tale viene esposta senza imbarazzo.</w:t>
      </w:r>
    </w:p>
    <w:p>
      <w:pPr>
        <w:spacing w:after="120" w:line="276"/>
        <w:jc w:val="both"/>
      </w:pPr>
      <w:r>
        <w:rPr>
          <w:rFonts w:ascii="Barlow Semi Condensed" w:cs="Barlow Semi Condensed" w:eastAsia="Barlow Semi Condensed" w:hAnsi="Barlow Semi Condensed"/>
          <w:sz w:val="24"/>
          <w:szCs w:val="24"/>
        </w:rPr>
        <w:t xml:space="preserve">Una parola sulla disciplina delle persone. Per le persone viventi l'opera si attiene rigorosamente ai soli fatti pubblici documentati, con divieto assoluto di inferenza associativa. Per le persone defunte, l'esposizione distingue sempre tra l'accertamento con autorità di giudicato, l'accertamento incidentale contenuto in motivazione di sentenze rese nei confronti di terzi, l'accertamento parlamentare e l'ipotesi investigativa, attribuendo a ciascuno il livello che gli compete. Le assoluzioni definitive sono riportate come tali, per esteso e senza reticenze, anche quando contraddicono ipotesi care alla pubblicistica: la falsificazione di una connessione è, in questo sistema, un dato acquisito e non una sconfitta.</w:t>
      </w:r>
    </w:p>
    <w:p>
      <w:pPr>
        <w:spacing w:after="120" w:line="276"/>
        <w:jc w:val="both"/>
      </w:pPr>
      <w:r>
        <w:rPr>
          <w:rFonts w:ascii="Barlow Semi Condensed" w:cs="Barlow Semi Condensed" w:eastAsia="Barlow Semi Condensed" w:hAnsi="Barlow Semi Condensed"/>
          <w:sz w:val="24"/>
          <w:szCs w:val="24"/>
        </w:rPr>
        <w:t xml:space="preserve">Il piano complessivo dell'opera si articola in 5 Fasi di 10 capitoli ciascuna, per un totale di 50 capitoli dedicati ad altrettanti nodi e ponti certificati. La presente Fase 1, capitoli da 1 a 10, espone il quadrilatero della certificazione massima, vale a dire il cluster che la scansione del corpus indica come il più denso dell'intera rete: la Loggia Propaganda 2 ed il suo Maestro Venerabile, il circuito finanziario Sindona-Calvi-Ambrosiano, lo snodo vaticano dell'Istituto per le Opere di Religione, ed il versante mafioso e para-criminale che vi si innesta attraverso Giuseppe Calò, la Banda della Magliana, Vito Ciancimino ed il ponte politico siciliano di Salvo Lima. La Fase 2, capitoli da 11 a 20, esporrà l'apparato dell'intelligence e le strutture parallele, dall'Ufficio Affari Riservati alla rete Gladio, dal Piano Solo al circuito internazionale del Cercle. La Fase 3, capitoli da 21 a 30, esporrà la manovalanza dello stragismo e le sue centrali, da Piazza Fontana a Bologna, da Ordine Nuovo ad Aginter Press, con la tipologia quadripartita dell'ostruzione probatoria che il registro ha documentato. La Fase 4, capitoli da 31 a 40, esporrà il caso Moro come crocevia dell'intero sistema, secondo la scomposizione a 3 piani che il registro ha adottato, con l'esplicito divieto inferenziale dal piano delle condotte di apparato al piano del mandato, e con l'esposizione del reperto negativo sulla scuola Hyperion. La Fase 5, capitoli da 41 a 50, esporrà la proiezione internazionale della rete, da Trieste quale nodo geografico a massima stratificazione documentaria al Sudafrica dell'apartheid quale nodo a massima intermediazione tra i dossier, fino alla sintesi reticolare conclusiva. Ogni capitolo si chiude con la formula rituale del registro, Sintesi del dato nuovo acquisito, che condensa in poche righe ciò che il capitolo ha stabilito e a quale livello probatorio.</w:t>
      </w:r>
    </w:p>
    <w:p>
      <w:pPr>
        <w:spacing w:after="120" w:line="276"/>
        <w:jc w:val="both"/>
      </w:pPr>
      <w:r>
        <w:rPr>
          <w:rFonts w:ascii="Barlow Semi Condensed" w:cs="Barlow Semi Condensed" w:eastAsia="Barlow Semi Condensed" w:hAnsi="Barlow Semi Condensed"/>
          <w:sz w:val="24"/>
          <w:szCs w:val="24"/>
        </w:rPr>
        <w:t xml:space="preserve">Un'ultima avvertenza riguarda la lingua ed i numeri. L'opera è redatta in italiano di registro accademico, in prosa continua, senza elenchi, senza tabelle e senza sotto-titolazioni interne ai blocchi analitici, secondo le regole invarianti del progetto. I numeri sono resi in cifre arabe per esplicita disposizione della committenza, in deroga alla consuetudine del registro. Le classificazioni probatorie sono evidenziate in grassetto in linea, affinché il lettore possa misurare, riga per riga, la distanza tra ciò che è provato, ciò che è probabile e ciò che è soltanto ipotizzato. È questa distanza, e non la sua cancellazione, che costituisce il contributo di conoscenza della presente opera.</w:t>
      </w:r>
    </w:p>
    <w:p>
      <w:pPr>
        <w:pStyle w:val="Heading3"/>
        <w:spacing w:after="80" w:before="160"/>
      </w:pPr>
      <w:r>
        <w:rPr>
          <w:rFonts w:ascii="Barlow Semi Condensed" w:cs="Barlow Semi Condensed" w:eastAsia="Barlow Semi Condensed" w:hAnsi="Barlow Semi Condensed"/>
          <w:sz w:val="24"/>
          <w:szCs w:val="24"/>
        </w:rPr>
        <w:t xml:space="preserve">Capitolo 1 — ▶ Licio Gelli. Il nodo a massima centralità multi-dominio della rete repubblicana</w:t>
      </w:r>
    </w:p>
    <w:p>
      <w:pPr>
        <w:spacing w:after="120" w:line="276"/>
        <w:jc w:val="both"/>
      </w:pPr>
      <w:r>
        <w:rPr>
          <w:rFonts w:ascii="Barlow Semi Condensed" w:cs="Barlow Semi Condensed" w:eastAsia="Barlow Semi Condensed" w:hAnsi="Barlow Semi Condensed"/>
          <w:sz w:val="24"/>
          <w:szCs w:val="24"/>
        </w:rPr>
        <w:t xml:space="preserve">Se si dovesse indicare, nell'intera rete di ITALIA NERA, il singolo nodo che congiunge il maggior numero di Domini di Potere con il maggior grado di certificazione documentale, la scelta cadrebbe su Licio Gelli, nato a Pistoia il 21 aprile 1919 e morto ad Arezzo il 15 dicembre 2015. La sua posizione non è affermata per suggestione pubblicistica, ma risulta dalla misurazione: nella scansione sistematica del corpus il suo nome ricorre 1825 volte in 59 documenti indipendenti, una frequenza trasversale che nessun altro individuo della rete eguaglia nel medesimo intreccio di domini. Gelli è simultaneamente presente nel Dominio 4 della massoneria e delle società segrete, quale Maestro Venerabile della Loggia Propaganda 2; nel Dominio 3 dell'intelligence, quale interlocutore documentato dei vertici dei servizi italiani ed esteri; nel Dominio 2 della politica, quale terminale di rapporti con parlamentari, ministri e capi di governo stranieri; nel Dominio 6 dell'economia e della finanza, quale co-protagonista del dissesto del Banco Ambrosiano; e nel Dominio 7 del terrorismo, quale condannato in via definitiva per il depistaggio delle indagini sulla strage di Bologna e quale figura indicata, in accertamenti giudiziali postumi, tra i finanziatori della strage medesima. Nel linguaggio della network analysis adottato dalla Nota Metodologica, Gelli possiede al tempo stesso la più alta degree centrality, perché il numero delle sue connessioni dirette documentate è massimo, e una betweenness centrality elevatissima, perché una quota sproporzionata dei percorsi che collegano domini altrimenti distanti passa attraverso di lui.</w:t>
      </w:r>
    </w:p>
    <w:p>
      <w:pPr>
        <w:spacing w:after="120" w:line="276"/>
        <w:jc w:val="both"/>
      </w:pPr>
      <w:r>
        <w:rPr>
          <w:rFonts w:ascii="Barlow Semi Condensed" w:cs="Barlow Semi Condensed" w:eastAsia="Barlow Semi Condensed" w:hAnsi="Barlow Semi Condensed"/>
          <w:sz w:val="24"/>
          <w:szCs w:val="24"/>
        </w:rPr>
        <w:t xml:space="preserve">Il fondamento probatorio primario della sua posizione è l'evento documentale del 17 marzo 1981, allorché la Guardia di Finanza, su delega dei giudici istruttori milanesi Gherardo Colombo e Giuliano Turone che indagavano sul finto sequestro di Michele Sindona, perquisì la villa Wanda di Arezzo e gli uffici della Giole a Castiglion Fibocchi, sequestrando gli elenchi degli affiliati alla Loggia Propaganda 2: 962 nominativi, oltre a fascicoli, appunti e documenti programmatici. Occorre applicare qui, con rigore, il criterio dell'indipendenza genealogica delle fonti: il sequestro di Castiglion Fibocchi è 1 solo evento probatorio, e tutte le pubblicazioni, le relazioni e le sentenze che ne riproducono il contenuto costituiscono 1 sola catena documentale, non conferme multiple. Ciò che eleva la conoscenza al Livello A non è la ripetizione degli elenchi, ma la loro triangolazione con 2 ordini di fonti genealogicamente autonome: da un lato l'attività della Commissione parlamentare d'inchiesta sulla Loggia massonica P2, istituita con legge 23 settembre 1981 numero 527 e presieduta da Tina Anselmi, la quale sottopose gli elenchi a riscontri individuali, acquisì migliaia di documenti ulteriori e audizioni dirette, e depositò nel luglio 1984 la propria relazione conclusiva, presente nel corpus del progetto; dall'altro le sentenze rese nei molteplici procedimenti penali che hanno riguardato Gelli e la loggia, le quali hanno vagliato in contraddittorio l'autenticità del materiale sequestrato. La relazione Anselmi qualificò la P2 quale organizzazione che aveva perseguito un programma di condizionamento occulto delle istituzioni, e la legge 25 gennaio 1982 numero 17, attuativa dell'articolo 18 della Costituzione, ne dispose lo scioglimento quale associazione segreta: si tratta dell'unico caso, nella storia repubblicana, in cui il Parlamento ha sciolto per legge una specifica associazione. La combinazione di sequestro giudiziario, inchiesta parlamentare con relazione conclusiva e provvedimento legislativo di scioglimento colloca l'esistenza, la composizione di massima e la natura della loggia al Livello A dello standard.</w:t>
      </w:r>
    </w:p>
    <w:p>
      <w:pPr>
        <w:spacing w:after="120" w:line="276"/>
        <w:jc w:val="both"/>
      </w:pPr>
      <w:r>
        <w:rPr>
          <w:rFonts w:ascii="Barlow Semi Condensed" w:cs="Barlow Semi Condensed" w:eastAsia="Barlow Semi Condensed" w:hAnsi="Barlow Semi Condensed"/>
          <w:sz w:val="24"/>
          <w:szCs w:val="24"/>
        </w:rPr>
        <w:t xml:space="preserve">Sul versante penale, la posizione di Gelli esige la precisione che la Regola Ferrea impone. Per la strage alla stazione di Bologna del 2 agosto 1980, che uccise 85 persone e ne ferì oltre 200, Gelli fu imputato e assolto in via definitiva dall'accusa di concorso nella strage; fu invece condannato in via definitiva, con sentenza divenuta irrevocabile nel 1995, per la calunnia aggravata finalizzata al depistaggio delle indagini, in relazione all'operazione con la quale, nel gennaio 1981, una valigetta contenente armi ed esplosivo dello stesso tipo impiegato nella strage, oltre a effetti riconducibili a estremisti stranieri, fu collocata sul treno Taranto-Milano per deviare le indagini verso una pista internazionale. Con lui furono condannati in via definitiva per il medesimo depistaggio il generale Pietro Musumeci, già capo dell'ufficio controllo e sicurezza del SISMI, il colonnello Giuseppe Belmonte, del medesimo servizio, e Francesco Pazienza, collaboratore esterno del servizio: tutti e 3, come Gelli, iscritti o gravitanti nell'area della P2. Questa condanna definitiva costituisce, nel sistema del registro, uno dei ponti inter-dominio più solidi dell'intero corpus, perché salda al Livello A il Dominio 4, il Dominio 3 ed il Dominio 7 in un'unica condotta accertata con autorità di giudicato: un vertice massonico e 2 alti ufficiali del servizio segreto militare che operano congiuntamente per inquinare le indagini sulla più grave strage della storia repubblicana. Distinto e ulteriore è l'accertamento contenuto nel filone giudiziario sui mandanti della strage, culminato nella condanna all'ergastolo di Paolo Bellini, divenuta definitiva, e già in precedenza nella condanna definitiva di Gilberto Cavallini per concorso: nelle motivazioni di tali sentenze il ruolo di Gelli e di Umberto Ortolani quale terminale di finanziamento dell'operazione, ricostruito a partire dal documento contabile denominato Bologna rinvenuto tra le carte gelliane, è affermato in via incidentale, essendo entrambi deceduti e dunque non più processabili. Il registro attribuisce a questo accertamento postumo il Livello B, quale risultanza di alta affidabilità contenuta in sentenze rese nei confronti di terzi, non coperta da giudicato nei confronti di Gelli, e ne indica la condizione di falsificazione: la dimostrazione documentale di una diversa causale del flusso finanziario registrato nell'appunto.</w:t>
      </w:r>
    </w:p>
    <w:p>
      <w:pPr>
        <w:spacing w:after="120" w:line="276"/>
        <w:jc w:val="both"/>
      </w:pPr>
      <w:r>
        <w:rPr>
          <w:rFonts w:ascii="Barlow Semi Condensed" w:cs="Barlow Semi Condensed" w:eastAsia="Barlow Semi Condensed" w:hAnsi="Barlow Semi Condensed"/>
          <w:sz w:val="24"/>
          <w:szCs w:val="24"/>
        </w:rPr>
        <w:t xml:space="preserve">Sul versante finanziario, Gelli fu condannato in via definitiva per la bancarotta fraudolenta del Banco Ambrosiano, a conclusione del processo milanese sul più grande crack bancario privato della storia italiana, del quale si dirà nei capitoli 5 e 6; la condanna, unita alle risultanze della Commissione Anselmi sul cosiddetto conto Protezione e sui flussi tra Ambrosiano, consociate estere e beneficiari politici, certifica al Livello A il ponte tra il Dominio 4 ed il Dominio 6. Sul versante politico-programmatico, tra le carte sequestrate alla figlia Maria Grazia Gelli all'aeroporto di Fiumicino il 4 luglio 1982 fu rinvenuto, occultato nel doppiofondo di una valigia, il Piano di Rinascita Democratica, documento programmatico che delineava il controllo dei partiti, della stampa e della magistratura attraverso disponibilità finanziarie e cooptazioni mirate; la Commissione Anselmi lo esaminò e lo pubblicò tra i propri atti. Il registro tratta il Piano quale documento autentico nella sua materialità, sequestrato e acquisito agli atti parlamentari, e dunque di Livello A quanto all'esistenza ed al contenuto testuale; quanto invece al grado di attuazione del programma, la Regola Ferrea vieta di inferire dall'esistenza del progetto la sua esecuzione, e ogni singola convergenza tra il testo e gli sviluppi istituzionali successivi va dimostrata autonomamente, caso per caso, o marcata come ipotesi di Livello C.</w:t>
      </w:r>
    </w:p>
    <w:p>
      <w:pPr>
        <w:spacing w:after="120" w:line="276"/>
        <w:jc w:val="both"/>
      </w:pPr>
      <w:r>
        <w:rPr>
          <w:rFonts w:ascii="Barlow Semi Condensed" w:cs="Barlow Semi Condensed" w:eastAsia="Barlow Semi Condensed" w:hAnsi="Barlow Semi Condensed"/>
          <w:sz w:val="24"/>
          <w:szCs w:val="24"/>
        </w:rPr>
        <w:t xml:space="preserve">Le triangolazioni che si dipartono dal nodo Gelli e che i capitoli successivi svilupperanno sono almeno 4. La prima è la triangolazione Gelli-Ortolani-Vaticano, fondata sulla comune regia della loggia e sulla posizione di Ortolani quale gentiluomo pontificio e banchiere, che apre il ponte verso il Dominio 5. La seconda è la triangolazione Gelli-Sindona-Calvi, il triangolo finanziario della loggia, nel quale i 2 banchieri piduisti costituiscono i terminali operativi del medesimo circuito e ne condividono la traiettoria catastrofica. La terza è la triangolazione Gelli-vertici dei servizi, certificata al Livello A dalla presenza negli elenchi sequestrati dei direttori pro tempore di tutti e 3 gli organismi informativi dell'epoca, il generale Giuseppe Santovito per il SISMI, il generale Giulio Grassini per il SISDE ed il prefetto Walter Pelosi per il CESIS, oltre al generale Vito Miceli, già direttore del SID; il corpus registra inoltre al Livello A, attraverso la corrispondenza formale acquisita agli allegati della relazione parlamentare, il canale istituzionale tra la presidenza della Commissione, la Presidenza del Consiglio ed il CESIS in ordine alla posizione di Gelli. La quarta è la triangolazione Gelli-America Latina, fondata sui rapporti documentati con ambienti argentini ed uruguaiani, che la Fase 5 svilupperà. Ciascuna di queste triangolazioni è un fascio di archi tipizzati: archi di affiliazione, archi di collusione, archi di transito finanziario, secondo la tassonomia della Parte III della Nota Metodologica.</w:t>
      </w:r>
    </w:p>
    <w:p>
      <w:pPr>
        <w:spacing w:after="120" w:line="276"/>
        <w:jc w:val="both"/>
      </w:pPr>
      <w:r>
        <w:rPr>
          <w:rFonts w:ascii="Barlow Semi Condensed" w:cs="Barlow Semi Condensed" w:eastAsia="Barlow Semi Condensed" w:hAnsi="Barlow Semi Condensed"/>
          <w:sz w:val="24"/>
          <w:szCs w:val="24"/>
        </w:rPr>
        <w:t xml:space="preserve">Resta da dire ciò che il nodo Gelli non è, perché la disciplina del reperto negativo lo esige. Gelli non è stato condannato quale mandante o esecutore di alcuna strage: le assoluzioni definitive dall'accusa di concorso nella strage di Bologna sono un dato acquisito del registro, e la successiva emersione del suo ruolo finanziario in sede di accertamento postumo non le sovrascrive, ma si colloca su un piano probatorio distinto, che il registro mantiene separato. Né la documentazione consente di attribuire a Gelli la qualità di dominus unico di un disegno unitario: la teoria del contenitore, che il progetto ha adottato, insegna che le istituzioni e le stesse strutture occulte sono contenitori occupabili, e che la cattura ricorsiva, per cui i contenitori che catturano possono a loro volta essere catturati, è un fenomeno strutturale; la questione, dibattuta già dalla Commissione Anselmi, se Gelli fosse il vertice reale della piramide o l'intermediario visibile di livelli ulteriori, resta nel registro un'ipotesi aperta di Livello C, con l'indicazione delle evidenze che la deciderebbero: documentazione autonoma e genealogicamente indipendente di direttive impartite a Gelli da soggetti terzi identificati.</w:t>
      </w:r>
    </w:p>
    <w:p>
      <w:pPr>
        <w:spacing w:after="120" w:line="276"/>
        <w:jc w:val="both"/>
      </w:pPr>
      <w:r>
        <w:rPr>
          <w:rFonts w:ascii="Barlow Semi Condensed" w:cs="Barlow Semi Condensed" w:eastAsia="Barlow Semi Condensed" w:hAnsi="Barlow Semi Condensed"/>
          <w:sz w:val="24"/>
          <w:szCs w:val="24"/>
        </w:rPr>
        <w:t xml:space="preserve">Alla certificazione della posizione reticolare giova ora aggiungere la profondità biografica, perché il nodo Gelli non nasce con la loggia ma vi approda al termine di un itinerario che il registro restituisce nei suoi punti documentalmente fermi. Nato a Pistoia il 21 aprile 1919, Gelli partecipò diciassettenne, volontario, alla guerra civile spagnola nelle formazioni inviate dal regime fascista, esperienza nella quale perse il fratello; nel secondo conflitto mondiale operò nella Repubblica Sociale e, secondo le informative raccolte e vagliate dalla Commissione Anselmi, intrattenne simultaneamente rapporti con ambienti della Resistenza e con i comandi occupanti, secondo quella tecnica del doppio canale che costituirà la cifra permanente della sua biografia relazionale, Livello B sulla base della convergenza delle informative d'epoca richiamate negli atti parlamentari. Il dopoguerra lo consegna alla provincia laziale quale dirigente d'azienda del materassificio di Frosinone, posizione modesta dalla quale, tra la fine degli anni 50 ed i primi 60, muove la scalata relazionale che lo porta all'iniziazione massonica nel 1963 ed alla segreteria organizzativa della loggia Propaganda nel decennio successivo, Livello A quanto alle scansioni massoniche, documentate dagli atti del Grande Oriente acquisiti dalla Commissione. Appartiene al medesimo strato biografico il canale argentino: i rapporti di Gelli con l'entourage di Juan Domingo Perón, culminati in un ruolo di facilitazione nel rientro del generale a Buenos Aires nel 1972 e nel conferimento di incarichi onorifici e consolari, sono documentati dalla relazione parlamentare e dalla corrispondenza sequestrata, Livello A quanto alla loro esistenza, fermo il divieto, che la Regola Ferrea impone, di trarne alcuna inferenza operativa ulteriore.</w:t>
      </w:r>
    </w:p>
    <w:p>
      <w:pPr>
        <w:spacing w:after="120" w:line="276"/>
        <w:jc w:val="both"/>
      </w:pPr>
      <w:r>
        <w:rPr>
          <w:rFonts w:ascii="Barlow Semi Condensed" w:cs="Barlow Semi Condensed" w:eastAsia="Barlow Semi Condensed" w:hAnsi="Barlow Semi Condensed"/>
          <w:sz w:val="24"/>
          <w:szCs w:val="24"/>
        </w:rPr>
        <w:t xml:space="preserve">Un secondo pilastro documentale, che il presente capitolo deve al lettore per completezza d'inventario, è il cosiddetto Piano di Rinascita Democratica. Il 4 luglio 1982, nel doppiofondo di una valigia in transito all'aeroporto di Fiumicino nella disponibilità della figlia di Gelli, la Guardia di Finanza rinvenne un fascicolo di documenti programmatici, tra i quali il piano medesimo ed il memorandum sulla situazione italiana, che la Commissione Anselmi acquisì e pubblicò negli allegati alla propria relazione, Livello A quanto al rinvenimento ed al contenuto testuale. Il documento delinea, in prosa asciutta da consiglio d'amministrazione, un programma di ricomposizione del sistema attraverso la selezione ed il finanziamento di uomini nei partiti, il controllo degli organi di informazione, la riforma degli assetti giudiziari e sindacali: un progetto, va detto con la voce piana dell'inventario, di cui il sequestro certifica l'esistenza quale testo e non l'attuazione quale condotta, giacché tra il programma scritto e la sua esecuzione corre esattamente quel salto inferenziale che il registro si vieta, Livello A il documento, non certificata la sua traduzione operativa. E tuttavia il testo resta, nella morfologia del nodo, un reperto di prima grandezza: rare volte una rete occulta consegna agli inquirenti la propria autodescrizione programmatica, ed il paradigma indiziario insegna che l'autodescrizione, quand'anche velleitaria, rivela la grammatica delle intenzioni assai più di mille testimonianze postume.</w:t>
      </w:r>
    </w:p>
    <w:p>
      <w:pPr>
        <w:spacing w:after="120" w:line="276"/>
        <w:jc w:val="both"/>
      </w:pPr>
      <w:r>
        <w:rPr>
          <w:rFonts w:ascii="Barlow Semi Condensed" w:cs="Barlow Semi Condensed" w:eastAsia="Barlow Semi Condensed" w:hAnsi="Barlow Semi Condensed"/>
          <w:sz w:val="24"/>
          <w:szCs w:val="24"/>
        </w:rPr>
        <w:t xml:space="preserve">La parabola terminale del nodo si lascia infine ordinare in 3 tempi, ciascuno assistito dal proprio grado. Il tempo delle condanne: la pena definitiva per la bancarotta fraudolenta dell'Ambrosiano, divenuta irrevocabile nell'aprile 1998, e quella, parimenti irrevocabile dal 23 novembre 1995, per il depistaggio delle indagini sulla strage di Bologna, delimitano il perimetro esatto della responsabilità penale accertata, Livello A. Il tempo della fuga senile: nella primavera del 1998, a condanna ormai definitiva, Gelli si sottrasse alla detenzione domiciliare e fu rintracciato ed arrestato a Cannes nel settembre dello stesso anno, mentre nelle pertinenze di villa Wanda ad Arezzo venivano rinvenuti, occultati in fioriere, lingotti d'oro per oltre 100 chilogrammi, la cui provenienza rimase oggetto di procedimenti senza approdare ad una ricostruzione unitaria definitiva, Livello A quanto al rinvenimento, Livello C quanto alla genealogia del metallo. Il tempo dell'estinzione: la detenzione domiciliare per ragioni d'età, il lungo epilogo aretino e la morte, il 15 dicembre 2015, che chiude anagraficamente un nodo la cui centralità reticolare era già stata smontata, arco dopo arco, dalle inchieste del quindicennio precedente. Chi volesse leggere in questa parabola la conferma della sentenza falconiana sul carattere umano, e perciò mortale, di ogni potere organizzato, troverebbe nel fascicolo Gelli il suo documento più eloquente: l'archivio, che era stato la sua arma, divenne la sua condanna, ed il collezionista di segreti fu infine collezionato dal più implacabile degli archivisti, il tempo.</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sz w:val="24"/>
          <w:szCs w:val="24"/>
        </w:rPr>
        <w:t xml:space="preserve">Merita infine un posto nell'inventario un reperto di natura semiotica prima che documentale: l'intervista che Gelli concesse al Corriere della Sera il 5 ottobre 1980, raccolta da Maurizio Costanzo, giornalista che gli elenchi di Castiglion Fibocchi avrebbero rivelato, 6 mesi più tardi, iscritto alla medesima loggia, Livello A quanto alla pubblicazione ed all'iscrizione dell'intervistatore. Nel colloquio, il Venerabile ancora ignoto al grande pubblico si concedeva massime sul potere, sul valore degli archivi e sulla preferibilità di governare dietro le quinte anziché sul proscenio: sicché il registro si trova dinanzi al caso, raro sino al paradosso, di una rete coperta che si autorappresenta sul primo giornale del Paese, per il tramite di un proprio affiliato, mentre il giornale medesimo appartiene al perimetro finanziario della rete. La circostanza, che parrebbe congegnata da un romanziere con scarso senso della misura, è invece cronaca documentata, e vale al metodo quale ammonimento permanente: la copertura perfetta non è il silenzio, è la parola amministrata, e le reti mature non temono la stampa, la posseggono. Il Pattern 4 vi riconosce un arco di transito compiuto tra il Dominio 4 ed il Dominio 8, percorso non dal denaro ma dal suo equivalente simbolico, la rappresentazione di sé.</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Gelli è certificato al Livello A quale punto di massima intermediazione tra i Domini 4, 3, 2 e 6, sulla base della catena sequestro di Castiglion Fibocchi, inchiesta parlamentare Anselmi e legge di scioglimento; il ponte verso il Dominio 7 è certificato al Livello A limitatamente al depistaggio di Bologna, coperto da giudicato, ed al Livello B quanto al finanziamento della strage, fondato su accertamento giudiziale postumo; la questione del livello superiore alla posizione di Gelli resta ipotesi di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2 — ◆ La Loggia Propaganda 2. L'organizzazione-ponte e l'anatomia di una struttura trasversale</w:t>
      </w:r>
    </w:p>
    <w:p>
      <w:pPr>
        <w:spacing w:after="120" w:line="276"/>
        <w:jc w:val="both"/>
      </w:pPr>
      <w:r>
        <w:rPr>
          <w:rFonts w:ascii="Barlow Semi Condensed" w:cs="Barlow Semi Condensed" w:eastAsia="Barlow Semi Condensed" w:hAnsi="Barlow Semi Condensed"/>
          <w:sz w:val="24"/>
          <w:szCs w:val="24"/>
        </w:rPr>
        <w:t xml:space="preserve">Se Gelli è il nodo individuale a massima centralità, la Loggia Propaganda 2 è il nodo organizzativo che ne costituisce l'infrastruttura, e merita un capitolo autonomo perché la sua morfologia è, essa stessa, un reperto analitico. Nella teoria delle reti multilivello adottata dalla Nota Metodologica, la P2 si presenta come un oggetto raro: non un attore interno ad 1 solo dominio, ma un connettore progettato per attraversarli tutti, un fascio ordinato di archi inter-layer mascherato da associazione di 1 solo layer, quello massonico. La scansione del corpus ne misura la pervasività documentale: la sigla ricorre 3239 volte in 67 documenti, seconda per frequenza assoluta soltanto a poche macro-entità istituzionali.</w:t>
      </w:r>
    </w:p>
    <w:p>
      <w:pPr>
        <w:spacing w:after="120" w:line="276"/>
        <w:jc w:val="both"/>
      </w:pPr>
      <w:r>
        <w:rPr>
          <w:rFonts w:ascii="Barlow Semi Condensed" w:cs="Barlow Semi Condensed" w:eastAsia="Barlow Semi Condensed" w:hAnsi="Barlow Semi Condensed"/>
          <w:sz w:val="24"/>
          <w:szCs w:val="24"/>
        </w:rPr>
        <w:t xml:space="preserve">La genealogia della loggia va restituita con precisione storica. La Loggia Propaganda nasce nell'Ottocento in seno al Grande Oriente d'Italia quale loggia di vertice riservata a personalità che non potevano frequentare le officine ordinarie; rifondata dopo la Seconda Guerra Mondiale con il numero 2, essa conserva formalmente lo statuto di loggia coperta, i cui iscritti sono noti al solo Gran Maestro, fino a quando, tra la fine degli anni 60 ed i primi anni 70, la gestione di fatto passa a Gelli, che ne fa uno strumento di reclutamento sistematico entro i vertici dello Stato e dell'economia. La sospensione e la successiva espulsione di Gelli dalla comunione del Grande Oriente, nonché i provvedimenti con cui l'obbedienza tentò di demolire e poi ricostituire la loggia, sono documentati negli atti della Commissione Anselmi e nella pubblicistica specialistica acquisita al corpus, tra cui il censimento sistematico delle fonti sulla P2 che il progetto ha integrato: la questione dei rapporti tra la loggia coperta ed il vertice dell'obbedienza, in particolare la posizione della Gran Maestranza dell'epoca, fu oggetto di valutazioni divergenti nella stessa Commissione, e viene mantenuta nel registro al Livello B, quale connessione indiziaria fondata su atti parlamentari circostanziati ma non su accertamento giudiziale univoco.</w:t>
      </w:r>
    </w:p>
    <w:p>
      <w:pPr>
        <w:spacing w:after="120" w:line="276"/>
        <w:jc w:val="both"/>
      </w:pPr>
      <w:r>
        <w:rPr>
          <w:rFonts w:ascii="Barlow Semi Condensed" w:cs="Barlow Semi Condensed" w:eastAsia="Barlow Semi Condensed" w:hAnsi="Barlow Semi Condensed"/>
          <w:sz w:val="24"/>
          <w:szCs w:val="24"/>
        </w:rPr>
        <w:t xml:space="preserve">L'anatomia quantitativa della loggia, quale risulta dagli elenchi sequestrati e dai riscontri della Commissione, è la seguente, e va letta con la cautela genealogica già enunciata: 962 nominativi, tra i quali 44 parlamentari in carica, 3 ministri del governo in carica al momento del sequestro, i vertici pro tempore dei 3 organismi informativi, numerosi ufficiali generali e superiori delle forze armate e dei corpi di polizia, magistrati, prefetti, alti dirigenti ministeriali, banchieri, imprenditori, editori e giornalisti, tra i quali il direttore del principale quotidiano nazionale. La Commissione Anselmi, consapevole che l'elenco sequestrato poteva essere incompleto per difetto ed inquinato per eccesso, adottò criteri di riscontro individuali, distinguendo le posizioni provate da quelle dubbie; il registro recepisce questa disciplina e tratta l'iscrizione di ciascun singolo nominativo come affermazione autonoma, da certificare caso per caso, di regola al Livello A quando concorrono elenco, riscontro della Commissione e ammissione o accertamento giudiziale, ed al Livello B quando il riscontro parlamentare non è accompagnato da fonte genealogicamente autonoma. È questa la ragione per cui l'opera evita la formula giornalistica della lista come blocco unico: la loggia è un insieme di 962 affermazioni probatorie distinte, non 1 sola affermazione ripetuta 962 volte.</w:t>
      </w:r>
    </w:p>
    <w:p>
      <w:pPr>
        <w:spacing w:after="120" w:line="276"/>
        <w:jc w:val="both"/>
      </w:pPr>
      <w:r>
        <w:rPr>
          <w:rFonts w:ascii="Barlow Semi Condensed" w:cs="Barlow Semi Condensed" w:eastAsia="Barlow Semi Condensed" w:hAnsi="Barlow Semi Condensed"/>
          <w:sz w:val="24"/>
          <w:szCs w:val="24"/>
        </w:rPr>
        <w:t xml:space="preserve">La funzione della loggia nella rete è descritta con esattezza dalla tipologia degli archi della Parte III della Nota Metodologica. La P2 genera anzitutto archi di affiliazione, che collegano tra loro, entro il perimetro coperto, individui che nei rispettivi domini occupano posizioni apicali e che nulla, formalmente, avrebbe dovuto connettere: il capo di un servizio segreto ed un editore, un generale ed un banchiere, un magistrato ed un armatore. In secondo luogo genera archi di collusione, documentati nei procedimenti penali sulle singole vicende, nei quali l'appartenenza comune fa da matrice a scambi specifici: protezioni, promozioni, informazioni, finanziamenti. In terzo luogo genera archi di infiltrazione, secondo la definizione della Nota: l'iscritto che entra o permane in un'istituzione mantenendo una lealtà esterna ad essa, sicché il nodo sembra appartenere al dominio istituzionale ma opera, almeno in parte, nel codice della loggia. La relazione Anselmi colse questo tratto quando descrisse il sistema gelliano come un condizionamento che non abbatte le istituzioni ma le svuota, occupandone i gangli: è la formulazione storica di ciò che il progetto denomina teoria del contenitore. In quarto luogo, la loggia funge da piattaforma per archi di transito: il corpus documenta, al livello che il processo Ambrosiano ha consolidato, il passaggio di flussi finanziari attraverso conti riconducibili alla loggia ed ai suoi vertici, tra i quali il conto denominato Protezione presso l'Union de Banques Suisses di Lugano, sul quale transitarono fondi provenienti dal circuito Ambrosiano; la destinazione politica di una parte di tali flussi è stata oggetto di accertamenti giudiziari e parlamentari che il registro classifica al Livello A quanto all'esistenza del transito ed al Livello B quanto alle singole destinazioni contestate, ciascuna delle quali va trattata come affermazione autonoma.</w:t>
      </w:r>
    </w:p>
    <w:p>
      <w:pPr>
        <w:spacing w:after="120" w:line="276"/>
        <w:jc w:val="both"/>
      </w:pPr>
      <w:r>
        <w:rPr>
          <w:rFonts w:ascii="Barlow Semi Condensed" w:cs="Barlow Semi Condensed" w:eastAsia="Barlow Semi Condensed" w:hAnsi="Barlow Semi Condensed"/>
          <w:sz w:val="24"/>
          <w:szCs w:val="24"/>
        </w:rPr>
        <w:t xml:space="preserve">Il Pattern 11 della Nota Metodologica, l'analisi dell'isomorfismo strutturale, trova nella P2 il suo caso paradigmatico. La topologia della loggia, un nucleo centrale ristretto che irradia verso i vertici di molteplici domini mantenendo la segretezza dei collegamenti orizzontali tra gli affiliati, presenta una somiglianza formale con la topologia della rete stay-behind Gladio, della quale la Fase 2 tratterà: anche lì un centro ristretto, compartimentazione, proiezione trasversale su militari, intelligence e società civile selezionata. La Nota Metodologica prescrive di discriminare tra le 3 spiegazioni possibili dell'isomorfismo: origine comune, necessità funzionale, convergenza indipendente. Il registro, allo stato delle fonti, esclude che sia dimostrata un'origine comune delle 2 strutture, non essendovi documento genealogicamente autonomo che attesti un progettista unico; rileva che la spiegazione per necessità funzionale, secondo la quale la forma a stella coperta è semplicemente la più efficiente per collegare trasversalmente i domini eludendo il controllo democratico, rende conto dei dati senza ipotesi aggiuntive; e mantiene la terza spiegazione sullo sfondo. La conclusione, di metodo prima che di merito, è che l'isomorfismo P2-Gladio è certificato al Livello A quale somiglianza formale misurabile, mentre ogni inferenza da tale somiglianza ad una regia unitaria resta al Livello C, con condizione di falsificazione esplicita: l'eventuale documento di pianificazione congiunta, mai emerso, che collegasse le 2 strutture in origine. Il corpus registra peraltro, quale intersezione empirica e non strutturale, la presenza di singoli individui in entrambi i perimetri, da vagliare nominativamente nella Fase 2.</w:t>
      </w:r>
    </w:p>
    <w:p>
      <w:pPr>
        <w:spacing w:after="120" w:line="276"/>
        <w:jc w:val="both"/>
      </w:pPr>
      <w:r>
        <w:rPr>
          <w:rFonts w:ascii="Barlow Semi Condensed" w:cs="Barlow Semi Condensed" w:eastAsia="Barlow Semi Condensed" w:hAnsi="Barlow Semi Condensed"/>
          <w:sz w:val="24"/>
          <w:szCs w:val="24"/>
        </w:rPr>
        <w:t xml:space="preserve">Un ultimo profilo riguarda la persistenza. Lo scioglimento legislativo del 1982 chiude la forma giuridica, non necessariamente la funzione: le inchieste successive su logge coperte e comitati d'affari, dalla vicenda giudiziaria detta P3 del 2010 a quella detta P4 del 2011, hanno riproposto la domanda sulla riproducibilità del modello. Il registro tratta tali vicende come fenomeni distinti, ciascuno con il proprio corredo probatorio, e vieta l'inferenza di continuità organizzativa diretta con la P2 in assenza di catene documentali autonome: la continuità che può dirsi certificata è quella morfologica, l'isomorfismo del modello, non quella genealogica delle persone e delle strutture, che resta al Livello C salvo prova specifica. È un esempio ulteriore della distinzione, cardinale nell'intera opera, tra la ripetizione di una forma e la persistenza di un soggetto.</w:t>
      </w:r>
    </w:p>
    <w:p>
      <w:pPr>
        <w:spacing w:after="120" w:line="276"/>
        <w:jc w:val="both"/>
      </w:pPr>
      <w:r>
        <w:rPr>
          <w:rFonts w:ascii="Barlow Semi Condensed" w:cs="Barlow Semi Condensed" w:eastAsia="Barlow Semi Condensed" w:hAnsi="Barlow Semi Condensed"/>
          <w:sz w:val="24"/>
          <w:szCs w:val="24"/>
        </w:rPr>
        <w:t xml:space="preserve">Il capitolo deve ora adempiere all'obbligo che la disciplina delle assoluzioni impone, riportando per esteso l'esito del processo penale romano sulla natura eversiva della loggia, che costituisce il contrappunto giudiziario della certificazione parlamentare. Imputati Licio Gelli ed i principali dirigenti della struttura del delitto di cospirazione politica mediante associazione, la Corte d'Assise di Roma, con sentenza del 16 aprile 1994, li assolse da tale imputazione perché il fatto non sussiste, pronunciando condanne soltanto per fattispecie minori e satellitari; la pronuncia fu confermata nel successivo grado di giudizio e l'assoluzione dal reato associativo eversivo è divenuta irrevocabile, Livello A. Il registro annota il dato con la medesima cura con cui ha annotato lo scioglimento legislativo, perché la coesistenza dei 2 esiti è essa stessa un reperto: il Parlamento, con la legge 25 gennaio 1982 numero 17, qualificò la loggia associazione segreta vietata dall'articolo 18 della Costituzione e la sciolse; il giudice penale, chiamato ad accertare il diverso e più grave delitto di cospirazione contro i poteri dello Stato, escluse che quel delitto fosse provato. Non v'è contraddizione, v'è complementarità di codici nel senso rigorosamente luhmanniano: l'ordinamento parlamentare opera secondo il codice della compatibilità costituzionale, quello penale secondo il codice della responsabilità individuale oltre ogni ragionevole dubbio, e la loggia attraversò il primo codice da condannata ed il secondo, quanto all'imputazione capitale, da assolta. Chi pretendesse di ridurre l'una pronuncia all'altra ripeterebbe l'errore categoriale che la Nota metodologica addita quale peccato originario di tutta la pubblicistica sul potere occulto.</w:t>
      </w:r>
    </w:p>
    <w:p>
      <w:pPr>
        <w:spacing w:after="120" w:line="276"/>
        <w:jc w:val="both"/>
      </w:pPr>
      <w:r>
        <w:rPr>
          <w:rFonts w:ascii="Barlow Semi Condensed" w:cs="Barlow Semi Condensed" w:eastAsia="Barlow Semi Condensed" w:hAnsi="Barlow Semi Condensed"/>
          <w:sz w:val="24"/>
          <w:szCs w:val="24"/>
        </w:rPr>
        <w:t xml:space="preserve">Merita parimenti registrazione il corpus documentale prodotto dall'inchiesta parlamentare, perché la sua stessa mole è un dato morfologico. La Commissione presieduta da Tina Anselmi, istituita con legge 23 settembre 1981 numero 527, lavorò per un triennio, tenne decine di audizioni, acquisì gli archivi sequestrati e consegnò nel luglio 1984 una relazione di maggioranza accompagnata da relazioni di minoranza di segno diverso e da una collana di volumi di allegati che pubblicano, in migliaia di pagine, elenchi, corrispondenze, assegni, agende e memorandum, Livello A quanto all'intero corpus. Alle relazioni di minoranza il registro riserva un'annotazione non rituale: la loro esistenza documenta che perfino sull'oggetto meglio documentato della storia repubblicana l'interpretazione istituzionale non fu unanime, oscillando tra la lettura della loggia quale centrale di condizionamento eversivo e quella, riduttiva, di un comitato d'affari e di carriere; il registro non compone la divergenza, la censisce, giacché la pluralità certificata delle letture è essa stessa la miglior profilassi contro la tentazione monocausale. Quanto alla completezza degli elenchi, la Commissione ne certificò l'autenticità senza poterne garantire l'esaustività, e questa asimmetria, autentico ma forse non completo, governa da allora ogni uso corretto della lista: essa prova la presenza di chi vi figura, non l'assenza di chi non vi figura, Livello A quanto alla formula certificativa della Commissione.</w:t>
      </w:r>
    </w:p>
    <w:p>
      <w:pPr>
        <w:spacing w:after="120" w:line="276"/>
        <w:jc w:val="both"/>
      </w:pPr>
      <w:r>
        <w:rPr>
          <w:rFonts w:ascii="Barlow Semi Condensed" w:cs="Barlow Semi Condensed" w:eastAsia="Barlow Semi Condensed" w:hAnsi="Barlow Semi Condensed"/>
          <w:sz w:val="24"/>
          <w:szCs w:val="24"/>
        </w:rPr>
        <w:t xml:space="preserve">Resta da consegnare al lettore, con la sobrietà che si deve alle liste, un supplemento di anatomia nominale, limitato a categorie e casi il cui rilievo sistemico è stato certificato dagli atti. Negli elenchi di Castiglion Fibocchi figurano i vertici pro tempore dei 3 servizi di informazione, il comandante generale della Guardia di Finanza, decine di ufficiali generali delle forze armate, magistrati, prefetti, diplomatici, ed il gruppo dirigente del maggior quotidiano nazionale nel pieno dell'operazione di cattura editoriale che il capitolo 5 documenta; vi figura altresì, con la tessera 1816, l'editore milanese Silvio Berlusconi, allora imprenditore delle costruzioni e della nascente televisione commerciale, poi 3 volte presidente del Consiglio, la cui iscrizione, accertata documentalmente dalla Commissione, il registro riporta quale puro dato di appartenenza senza inferenza ulteriore, Livello A quanto all'iscrizione. La lista, insegna la semiotica, è la più antica macchina per produrre vertigine: l'elenco piduista produsse nel Paese esattamente quella vertigine, e parte non piccola del lavoro della Commissione consistette nel convertire la vertigine in tassonomia, distinguendo gli iscritti operosi dai dormienti, i reclutati dai reclutatori, il nucleo dal contorno. Il registro eredita quella tassonomia e la traduce nel proprio linguaggio: non tutti i nodi di un elenco sono nodi della rete, e la betweenness non si eredita per contiguità alfabetica.</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sz w:val="24"/>
          <w:szCs w:val="24"/>
        </w:rPr>
        <w:t xml:space="preserve">Va da ultimo censito l'effetto istituzionale immediato della pubblicazione degli elenchi, perché esso misura, meglio di ogni aggettivo, il peso sistemico dell'organizzazione. Il 21 maggio 1981 il governo rese pubbliche le liste sequestrate 2 mesi prima; la deflagrazione politica che ne seguì travolse il gabinetto presieduto da Arnaldo Forlani, costretto alle dimissioni, ed aprì la crisi dalla quale nacque, nel giugno 1981, il governo di Giovanni Spadolini, il primo della storia repubblicana guidato da un presidente del Consiglio non democristiano, Livello A sull'intera scansione. Il registro annota la conseguenza con la freddezza della cronologia: un elenco di nomi rinvenuto in una cassaforte toscana produsse, nel giro di 60 giorni, la caduta di un governo e la fine di un monopolio di guida durato 35 anni. Nessuna valutazione sulla natura della loggia, per quanto severa, restituisce la sua rilevanza quanto questo semplice rapporto di causa ed effetto istituzionale, che appartiene al novero ristretto dei fatti sui quali maggioranza e minoranze della Commissione, pur divise su tutto il resto, non ebbero occasione di dividersi.</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Loggia P2 è certificata al Livello A quale organizzazione-ponte trasversale ai Domini 2, 3, 4, 6, 8 e 9, sulla base della catena probatoria sequestro-inchiesta parlamentare-legge di scioglimento, con la precisazione metodologica che le 962 iscrizioni costituiscono altrettante affermazioni autonome; l'isomorfismo strutturale con la rete Gladio è certificato al Livello A quale somiglianza formale, mentre ogni ipotesi di origine comune o di continuità organizzativa postuma resta al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3 — ▶ Umberto Ortolani. Il ponte silenzioso tra loggia, finanza e Vaticano</w:t>
      </w:r>
    </w:p>
    <w:p>
      <w:pPr>
        <w:spacing w:after="120" w:line="276"/>
        <w:jc w:val="both"/>
      </w:pPr>
      <w:r>
        <w:rPr>
          <w:rFonts w:ascii="Barlow Semi Condensed" w:cs="Barlow Semi Condensed" w:eastAsia="Barlow Semi Condensed" w:hAnsi="Barlow Semi Condensed"/>
          <w:sz w:val="24"/>
          <w:szCs w:val="24"/>
        </w:rPr>
        <w:t xml:space="preserve">Nella coppia di vertice della Loggia Propaganda 2, la pubblicistica ha consegnato a Licio Gelli la luce ed a Umberto Ortolani l'ombra, ma la network analysis rovescia sovente le gerarchie della visibilità: come la Nota Metodologica avverte a proposito della eigenvector centrality, il potere di un nodo si misura non dal numero delle sue connessioni, bensì dall'importanza dei nodi cui è connesso, e sotto questo profilo Ortolani, nato a Viterbo nel 1913 e morto a Roma il 17 gennaio 2002, è uno dei nodi a più alta centralità di autovettore dell'intera rete. La scansione del corpus lo registra 326 volte in 15 documenti: una frequenza inferiore a quella di Gelli, ma concentrata nei documenti a più alta densità probatoria, gli atti della Commissione Anselmi, le sentenze del processo Ambrosiano ed i materiali del filone sui mandanti della strage di Bologna.</w:t>
      </w:r>
    </w:p>
    <w:p>
      <w:pPr>
        <w:spacing w:after="120" w:line="276"/>
        <w:jc w:val="both"/>
      </w:pPr>
      <w:r>
        <w:rPr>
          <w:rFonts w:ascii="Barlow Semi Condensed" w:cs="Barlow Semi Condensed" w:eastAsia="Barlow Semi Condensed" w:hAnsi="Barlow Semi Condensed"/>
          <w:sz w:val="24"/>
          <w:szCs w:val="24"/>
        </w:rPr>
        <w:t xml:space="preserve">La biografia rilevante per il registro si lascia ordinare per domini. Nel Dominio 4, Ortolani è documentato quale figura di vertice sostanziale della P2 accanto a Gelli, presente negli elenchi sequestrati e qualificato dalla relazione Anselmi quale mente organizzativa e finanziaria del sodalizio: la relazione parlamentare, che gli dedica ampio spazio, ne colloca il ruolo al di sopra della semplice affiliazione, e questa qualificazione, sorretta dagli atti della Commissione e riscontrata nelle successive sentenze sul crack Ambrosiano, è recepita dal registro al Livello A. Nel Dominio 5, Ortolani è titolare di una posizione che nessun altro vertice della loggia possiede: gentiluomo di Sua Santità, insignito di onorificenze pontificie, con relazioni personali documentate entro la Curia romana maturate sin dagli anni del Concilio; gli atti parlamentari ed una vasta letteratura acquisita al corpus attestano il suo rapporto con il cardinale Giacomo Lercaro e la sua funzione di cerniera tra ambienti curiali e ambienti finanziari, funzione che il registro certifica al Livello A quanto ai titoli formali ed alle relazioni documentate, ed al Livello B quanto alle attività di mediazione specifiche narrate da fonti singole. Nel Dominio 6, Ortolani è banchiere in proprio: fondatore e dominus del Banco Financiero Sudamericano, Bafisud, con sede a Montevideo, snodo sudamericano del circuito finanziario della loggia, ed azionista o amministratore di società editoriali e finanziarie italiane. Nel Dominio 8, infine, Ortolani siede nel consiglio del gruppo Rizzoli negli anni dell'acquisizione piduista del Corriere della Sera, di cui si dirà nel capitolo 5.</w:t>
      </w:r>
    </w:p>
    <w:p>
      <w:pPr>
        <w:spacing w:after="120" w:line="276"/>
        <w:jc w:val="both"/>
      </w:pPr>
      <w:r>
        <w:rPr>
          <w:rFonts w:ascii="Barlow Semi Condensed" w:cs="Barlow Semi Condensed" w:eastAsia="Barlow Semi Condensed" w:hAnsi="Barlow Semi Condensed"/>
          <w:sz w:val="24"/>
          <w:szCs w:val="24"/>
        </w:rPr>
        <w:t xml:space="preserve">Il perno probatorio della sua posizione è la condanna definitiva per la bancarotta fraudolenta del Banco Ambrosiano, pronunciata dalla giustizia milanese all'esito del processo sul dissesto e divenuta irrevocabile negli anni 90, con pena tra le più severe irrogate nel processo: l'accertamento giudiziale, convergente con le risultanze della commissione amministrativa di liquidazione e con gli atti parlamentari, certifica al Livello A che una parte cospicua dei fondi distratti dal circuito Ambrosiano affluì a conti e società riconducibili ad Ortolani, tra cui il già menzionato conto Protezione. La latitanza sudamericana, protrattasi per anni tra Brasile ed Uruguay sotto la protezione di fatto offerta dalle relazioni locali, l'arresto in Brasile e la consegna all'Italia nel 1994, chiudono il profilo giudiziario del Dominio 6.</w:t>
      </w:r>
    </w:p>
    <w:p>
      <w:pPr>
        <w:spacing w:after="120" w:line="276"/>
        <w:jc w:val="both"/>
      </w:pPr>
      <w:r>
        <w:rPr>
          <w:rFonts w:ascii="Barlow Semi Condensed" w:cs="Barlow Semi Condensed" w:eastAsia="Barlow Semi Condensed" w:hAnsi="Barlow Semi Condensed"/>
          <w:sz w:val="24"/>
          <w:szCs w:val="24"/>
        </w:rPr>
        <w:t xml:space="preserve">Il secondo perno, più recente, appartiene al Dominio 7 e va enunciato con la stessa disciplina applicata a Gelli: nelle motivazioni delle sentenze del filone sui mandanti della strage di Bologna, il nome di Ortolani compare accanto a quello di Gelli quale co-terminale del flusso di finanziamento ricostruito a partire dal documento contabile denominato Bologna, con la ripartizione di somme ingenti verso i soggetti indicati nell'appunto; trattandosi di accertamento incidentale postumo, non coperto da giudicato nei suoi confronti, il registro lo classifica al Livello B, con la medesima condizione di falsificazione già enunciata, vale a dire la dimostrazione di una causale alternativa del flusso. È significativo, sul piano del metodo, che il ponte di Ortolani verso il Dominio 7 non passi per alcuna militanza, per alcun contatto operativo con la manovalanza eversiva, ma esclusivamente per la contabilità: è l'esempio più puro, nell'intero registro, di arco di transito quale unico connettore tra un nodo finanziario ed un evento stragista, e conferma l'insegnamento del metodo Falcone secondo cui la struttura si legge nelle tracce che il denaro lascia, prima e più che nelle dichiarazioni degli uomini.</w:t>
      </w:r>
    </w:p>
    <w:p>
      <w:pPr>
        <w:spacing w:after="120" w:line="276"/>
        <w:jc w:val="both"/>
      </w:pPr>
      <w:r>
        <w:rPr>
          <w:rFonts w:ascii="Barlow Semi Condensed" w:cs="Barlow Semi Condensed" w:eastAsia="Barlow Semi Condensed" w:hAnsi="Barlow Semi Condensed"/>
          <w:sz w:val="24"/>
          <w:szCs w:val="24"/>
        </w:rPr>
        <w:t xml:space="preserve">Le triangolazioni del nodo Ortolani sono 3, e tutte attraversano il Dominio 5. La prima, Ortolani-Gelli-P2, è la diarchia di vertice della loggia, certificata al Livello A. La seconda, Ortolani-Marcinkus-IOR, congiunge il gentiluomo pontificio al vertice dell'Istituto per le Opere di Religione lungo il canale finanziario che il capitolo 6 ricostruirà: il registro certifica al Livello A l'esistenza di rapporti d'affari tra il circuito Ambrosiano, nel quale Ortolani era co-protagonista, e l'Istituto, mentre le interlocuzioni personali dirette tra i 2 uomini, riferite da fonti singole, restano al Livello B. La terza, Ortolani-Sudamerica, salda il Bafisud di Montevideo alla latitanza brasiliana ed alle relazioni con ambienti politici e militari locali, e costituisce uno dei corridoi che la Fase 5 percorrerà nell'analisi della proiezione atlantica meridionale della rete, ove il registro ha già documentato l'asse tra la P2 e l'area rioplatense.</w:t>
      </w:r>
    </w:p>
    <w:p>
      <w:pPr>
        <w:spacing w:after="120" w:line="276"/>
        <w:jc w:val="both"/>
      </w:pPr>
      <w:r>
        <w:rPr>
          <w:rFonts w:ascii="Barlow Semi Condensed" w:cs="Barlow Semi Condensed" w:eastAsia="Barlow Semi Condensed" w:hAnsi="Barlow Semi Condensed"/>
          <w:sz w:val="24"/>
          <w:szCs w:val="24"/>
        </w:rPr>
        <w:t xml:space="preserve">Va infine registrato, per la dignità paritaria del reperto negativo, ciò che il corpus non contiene: non risulta a carico di Ortolani alcun accertamento di rapporti operativi con organizzazioni mafiose, né alcuna condanna per fatti di sangue; il suo perimetro certificato è finanziario, massonico e curiale. Chi volesse estendere il nodo oltre questo perimetro dovrebbe produrre catene documentali che allo stato non esistono, e l'opera si rifiuta di supplirvi con la suggestione.</w:t>
      </w:r>
    </w:p>
    <w:p>
      <w:pPr>
        <w:spacing w:after="120" w:line="276"/>
        <w:jc w:val="both"/>
      </w:pPr>
      <w:r>
        <w:rPr>
          <w:rFonts w:ascii="Barlow Semi Condensed" w:cs="Barlow Semi Condensed" w:eastAsia="Barlow Semi Condensed" w:hAnsi="Barlow Semi Condensed"/>
          <w:sz w:val="24"/>
          <w:szCs w:val="24"/>
        </w:rPr>
        <w:t xml:space="preserve">Alla figura dell'ombra il registro deve ora restituire lo spessore dei titoli e dei canali, perché l'invisibilità di Ortolani non fu assenza ma tecnica, e le tecniche lasciano documenti. Il canale vaticano anzitutto: Ortolani fu insignito di dignità pontificie, tra cui quella di gentiluomo di Sua Santità, ed ebbe accesso documentato agli ambienti della Curia sin dagli anni del pontificato montiniano, Livello A quanto ai titoli, attestati negli atti della Commissione Anselmi. La memorialistica colloca inoltre nella sua casa romana, alla vigilia del conclave del 1963, incontri preparatori tra porporati dell'area che avrebbe sostenuto l'elezione di Giovanni Battista Montini: il registro riporta la circostanza per ciò che essa è, una tradizione memorialistica convergente ma priva di riscontro documentale diretto, e la marca di conseguenza, Livello C, annotando tuttavia che perfino la sua persistenza quale racconto è un indizio della reputazione di accesso di cui Ortolani godette, giacché le leggende di potere non si depositano sui nodi periferici. Appartiene invece al piano documentale pieno l'appartenenza al Sovrano Militare Ordine di Malta, ulteriore affiliazione d'alta soglia che, nella tassonomia dei domini, colloca il nodo in un secondo circuito relazionale riservato, distinto e complementare rispetto a quello massonico, Livello A.</w:t>
      </w:r>
    </w:p>
    <w:p>
      <w:pPr>
        <w:spacing w:after="120" w:line="276"/>
        <w:jc w:val="both"/>
      </w:pPr>
      <w:r>
        <w:rPr>
          <w:rFonts w:ascii="Barlow Semi Condensed" w:cs="Barlow Semi Condensed" w:eastAsia="Barlow Semi Condensed" w:hAnsi="Barlow Semi Condensed"/>
          <w:sz w:val="24"/>
          <w:szCs w:val="24"/>
        </w:rPr>
        <w:t xml:space="preserve">Il canale finanziario sudamericano esige a sua volta il dettaglio che il capitolo ha sin qui soltanto evocato. Il Banco Financiero Sudamericano di Montevideo, la banca uruguaiana del gruppo Ortolani nota come Bafisud, fu ad un tempo strumento d'affari, terminale di flussi del circuito Ambrosiano ed avamposto della proiezione latinoamericana della loggia, secondo la ricostruzione consegnata agli atti parlamentari ed ai processi milanesi sul crack, Livello A quanto alla titolarità ed alla funzione di snodo, Livello B quanto alla qualificazione dei singoli flussi. Quando il dissesto travolse il gruppo, Ortolani riparò in Sudamerica, ed il registro annota la latitanza brasiliana ed il successivo rientro in Italia con la neutralità del verbale; la vicenda processuale si chiuse con la condanna definitiva per la bancarotta fraudolenta dell'Ambrosiano, resa irrevocabile dalla Corte di cassazione nell'aprile 1998 nel medesimo torno di tempo della posizione di Gelli, Livello A. La morte, a Roma, il 17 gennaio 2002, spense un nodo che aveva attraversato mezzo secolo di storia finanziaria e curiale senza quasi mai comparire in una fotografia di gruppo: ed è questa, per la network analysis, la sua lezione permanente. La visibilità è un costo, l'invisibilità un investimento; Gelli pagò il costo e ne ricavò la centralità apparente, Ortolani sostenne l'investimento e ne ricavò la centralità reale. Se il lettore cercasse una verifica sperimentale del teorema di Burt sui buchi strutturali, la troverebbe qui: il broker perfetto è quello che i 2 lati del buco non possono aggirare e che il pubblico non sa nominare, e per quasi 30 anni l'Italia seppe nominare il Venerabile senza saper nominare l'uomo che ne custodiva i canali romani e ne moltiplicava quelli atlantici.</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sz w:val="24"/>
          <w:szCs w:val="24"/>
        </w:rPr>
        <w:t xml:space="preserve">A sigillo del profilo va riportato il giudizio che l'inchiesta parlamentare consegnò del personaggio, perché esso costituisce la certificazione istituzionale della tesi che questo capitolo ha argomentato per via reticolare. La relazione Anselmi colloca Ortolani al vertice sostanziale della struttura, accanto e non sotto Gelli, attribuendogli la regia dei canali finanziari e vaticani e qualificandone il ruolo in termini di piena diarchia, Livello A quanto alla valutazione parlamentare. Che l'organo d'inchiesta della Repubblica, all'esito di un triennio di lavori, abbia riservato al più sconosciuto dei 2 uomini la qualifica di mente organizzativa, conferma per via documentale ciò che le misure di centralità suggeriscono per via formale: nella coppia di vertice, la funzione di comando relazionale apparteneva all'uomo senza fotografie. Il registro chiude perciò il capitolo con una regola d'esperienza che le fasi successive verificheranno più volte: quando una rete coperta esibisce un capo, conviene sempre domandarsi per conto di quale socio silenzioso il capo venga esibito.</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Ortolani è certificato al Livello A quale ponte tra i Domini 4, 5 e 6, sul fondamento congiunto della relazione Anselmi, della condanna definitiva per la bancarotta Ambrosiano e dei titoli pontifici documentati; il ponte verso il Dominio 7 è certificato al Livello B quale terminale di finanziamento della strage di Bologna in forza di accertamento giudiziale postumo; il registro certifica altresì, quale reperto negativo, l'assenza di connessioni documentate con il Dominio 1.</w:t>
      </w:r>
    </w:p>
    <w:p>
      <w:pPr>
        <w:pStyle w:val="Heading3"/>
        <w:spacing w:after="80" w:before="160"/>
      </w:pPr>
      <w:r>
        <w:rPr>
          <w:rFonts w:ascii="Barlow Semi Condensed" w:cs="Barlow Semi Condensed" w:eastAsia="Barlow Semi Condensed" w:hAnsi="Barlow Semi Condensed"/>
          <w:sz w:val="24"/>
          <w:szCs w:val="24"/>
        </w:rPr>
        <w:t xml:space="preserve">Capitolo 4 — ▶ Michele Sindona. Il nodo pentadominio e la parabola della finanza come arma</w:t>
      </w:r>
    </w:p>
    <w:p>
      <w:pPr>
        <w:spacing w:after="120" w:line="276"/>
        <w:jc w:val="both"/>
      </w:pPr>
      <w:r>
        <w:rPr>
          <w:rFonts w:ascii="Barlow Semi Condensed" w:cs="Barlow Semi Condensed" w:eastAsia="Barlow Semi Condensed" w:hAnsi="Barlow Semi Condensed"/>
          <w:sz w:val="24"/>
          <w:szCs w:val="24"/>
        </w:rPr>
        <w:t xml:space="preserve">Michele Sindona, nato a Patti l'8 maggio 1920 e morto a Voghera il 22 marzo 1986, è il primo nodo del registro a raggiungere la soglia dei 5 domini con certificazione di massimo livello su ciascun ponte, ed è insieme il nodo la cui traiettoria dimostra, con la nettezza di un esperimento, la tesi centrale della Sezione Beta dell'opera: che i domini comunicano attraverso individui-cerniera, e che la rimozione violenta di tali individui è essa stessa un dato strutturale della rete. La scansione del corpus lo registra 983 volte in 27 documenti, con presenza massiccia negli atti della Commissione parlamentare d'inchiesta sul caso Sindona, istituita con legge 22 maggio 1980 numero 204, nelle sentenze italiane e statunitensi, e nei materiali sulla trilogia golpista dei primi anni 70 che il Registro Unico Federato ha schedato sotto lo snodo Borghese-Sindona.</w:t>
      </w:r>
    </w:p>
    <w:p>
      <w:pPr>
        <w:spacing w:after="120" w:line="276"/>
        <w:jc w:val="both"/>
      </w:pPr>
      <w:r>
        <w:rPr>
          <w:rFonts w:ascii="Barlow Semi Condensed" w:cs="Barlow Semi Condensed" w:eastAsia="Barlow Semi Condensed" w:hAnsi="Barlow Semi Condensed"/>
          <w:sz w:val="24"/>
          <w:szCs w:val="24"/>
        </w:rPr>
        <w:t xml:space="preserve">Il Dominio 6 è la matrice. Avvocato tributarista trasferitosi a Milano, Sindona costruisce tra gli anni 50 ed i primi 70 un impero bancario e fiduciario articolato su 2 versanti: quello italiano, con la Banca Privata Finanziaria e la Banca Unione, poi fuse nella Banca Privata Italiana, e quello internazionale, con la Fasco AG di Vaduz quale holding di vertice, la Finabank di Ginevra, partecipata dallo IOR, e, dal 1972, il controllo della Franklin National Bank di New York, all'epoca tra le maggiori banche degli Stati Uniti. Il crollo simultaneo dei 2 versanti nell'autunno 1974, con il dissesto della Banca Privata Italiana e la bancarotta della Franklin, la più grave insolvenza bancaria americana fino a quel momento, genera i 2 procedimenti che definiscono il nodo: negli Stati Uniti la condanna del 1980 a 25 anni per la frode della Franklin, in Italia la condanna per la bancarotta della Banca Privata. Su questo versante la certificazione è al Livello A per convergenza di sentenze definitive in 2 giurisdizioni, atti parlamentari e documentazione della liquidazione coatta.</w:t>
      </w:r>
    </w:p>
    <w:p>
      <w:pPr>
        <w:spacing w:after="120" w:line="276"/>
        <w:jc w:val="both"/>
      </w:pPr>
      <w:r>
        <w:rPr>
          <w:rFonts w:ascii="Barlow Semi Condensed" w:cs="Barlow Semi Condensed" w:eastAsia="Barlow Semi Condensed" w:hAnsi="Barlow Semi Condensed"/>
          <w:sz w:val="24"/>
          <w:szCs w:val="24"/>
        </w:rPr>
        <w:t xml:space="preserve">Il Dominio 1 si innesta sulla matrice finanziaria attraverso 2 canali distinti, che il registro mantiene separati perché diversa è la loro genealogia probatoria. Il primo canale è il riciclaggio: le risultanze della Commissione Sindona, le dichiarazioni riscontrate di collaboratori di giustizia, tra cui Tommaso Buscetta e Francesco Marino Mannoia, e gli accertamenti dei processi di Palermo convergono nell'attribuire al circuito sindoniano la funzione di terminale finanziario di capitali riconducibili a famiglie di Cosa Nostra, in particolare all'area Gambino-Inzerillo-Spatola, lungo l'asse transatlantico tra la Sicilia e New York; la convergenza di fonte parlamentare, fonti dichiarative riscontrate e accertamenti giudiziari colloca il canale al Livello A quanto alla sua esistenza, mentre la quantificazione dei flussi resta materia di stime e come tale al Livello B. Il secondo canale è il finto sequestro dell'estate 1979: scomparso da New York il 2 agosto 1979, Sindona ricompare il 16 ottobre; le indagini dei giudici istruttori milanesi Colombo e Turone, quelle statunitensi ed il successivo processo accertano che il sequestro fu una messinscena organizzata con l'apporto logistico di uomini dell'area mafiosa siculo-americana, tra cui John Gambino, e di ambienti massonici siciliani, con un soggiorno clandestino in Sicilia durante il quale Sindona tentò di esercitare pressioni ricattatorie, facendo balenare la divulgazione di una lista di 500 esportatori di capitali; nel corso della messinscena Sindona si fece persino ferire alla gamba per accreditarla. L'episodio è certificato al Livello A ed è, nel sistema del registro, un reperto di valore eccezionale, perché in 1 solo evento si osservano congiunti il Dominio 6, il Dominio 1 ed il Dominio 4, con l'aggiunta del ricatto come tecnologia di potere. La lista dei 500, evocata e mai rinvenuta, è trattata dal registro secondo la disciplina dell'assenza: la sua esistenza materiale non è certificata, la sua funzione ricattatoria quale minaccia è certificata al Livello A dagli atti, e la distanza tra i 2 piani è essa stessa il dato.</w:t>
      </w:r>
    </w:p>
    <w:p>
      <w:pPr>
        <w:spacing w:after="120" w:line="276"/>
        <w:jc w:val="both"/>
      </w:pPr>
      <w:r>
        <w:rPr>
          <w:rFonts w:ascii="Barlow Semi Condensed" w:cs="Barlow Semi Condensed" w:eastAsia="Barlow Semi Condensed" w:hAnsi="Barlow Semi Condensed"/>
          <w:sz w:val="24"/>
          <w:szCs w:val="24"/>
        </w:rPr>
        <w:t xml:space="preserve">Il Dominio 4 è documentato dalla tessera piduista di Sindona, presente negli elenchi di Castiglion Fibocchi e riscontrata dalla Commissione Anselmi, nonché dal ruolo di Gelli quale suo sponsor e protettore negli anni della crisi; la saldatura tra il capitolo massonico e quello finanziario è certificata al Livello A. Il Dominio 5 è documentato dal rapporto organico con lo IOR: la partecipazione dell'Istituto nella Finabank, le operazioni congiunte degli anni 60, la fama di banchiere di fiducia d'Oltretevere che gli valse la vendita, nel 1969, di partecipazioni industriali vaticane di primo rilievo; gli atti parlamentari ed i documenti della liquidazione certificano il rapporto al Livello A, mentre le singole qualificazioni personali, come la presentazione a Paul Marcinkus, riferita da più fonti ma di genealogia in parte comune, restano al Livello B. Il Dominio 2, infine, è documentato su 2 versanti: quello italiano, con l'appoggio prestato da ambienti politici al progetto di salvataggio delle banche sindoniane tra il 1974 ed il 1979, oggetto centrale dell'inchiesta parlamentare, nella quale è agli atti la celebre qualificazione di Sindona quale salvatore della lira attribuita ad ambienti di governo, ed il connesso scontro istituzionale che investì la Banca d'Italia, culminato nell'incriminazione del governatore Paolo Baffi e nell'arresto del vice direttore Mario Sarcinelli nel marzo 1979, vicenda dalla quale entrambi uscirono pienamente prosciolti e che il registro classifica al Livello A quale episodio di aggressione giudiziaria ad un organo di vigilanza ostile al salvataggio; e quello americano, con le relazioni negli ambienti repubblicani ed atlantici documentate dagli atti statunitensi. Al perimetro politico appartiene infine la schedatura, già operata dal Registro Unico Federato, dello snodo Borghese-Sindona entro la trilogia golpista dei primi anni 70: la disponibilità di ambienti sindoniani a sostenere finanziariamente progetti eversivi è riferita da fonti dichiarative, tra cui la testimonianza parlamentare di Buscetta su 3 distinti tentativi di colpo di Stato a mediazione massonica, e resta classificata al Livello B, quale convergenza di fonti dichiarative riscontrate e atti parlamentari, priva di giudicato specifico.</w:t>
      </w:r>
    </w:p>
    <w:p>
      <w:pPr>
        <w:spacing w:after="120" w:line="276"/>
        <w:jc w:val="both"/>
      </w:pPr>
      <w:r>
        <w:rPr>
          <w:rFonts w:ascii="Barlow Semi Condensed" w:cs="Barlow Semi Condensed" w:eastAsia="Barlow Semi Condensed" w:hAnsi="Barlow Semi Condensed"/>
          <w:sz w:val="24"/>
          <w:szCs w:val="24"/>
        </w:rPr>
        <w:t xml:space="preserve">Il vertice tragico del nodo è l'omicidio di Giorgio Ambrosoli, avvocato milanese nominato commissario liquidatore unico della Banca Privata Italiana, assassinato sotto casa la notte dell'11 luglio 1979 da William Joseph Aricò, sicario italoamericano. La catena giudiziaria è completa e definitiva: Aricò quale esecutore, Sindona quale mandante, condannato all'ergastolo con sentenza divenuta irrevocabile il 18 marzo 1986. L'omicidio Ambrosoli è, nel registro, il ponte perfetto e terribile tra il Dominio 6 ed il Dominio 1: un banchiere che compra dalla criminalità organizzata italoamericana il servizio della morte per eliminare il servitore dello Stato che ne stava documentando il dissesto. La certificazione è al Livello A senza residui. Ed è qui che la traiettoria si chiude su se stessa con una simmetria che il registro si limita a constatare: 4 giorni dopo la definitività dell'ergastolo, il 20 marzo 1986, Sindona ingerisce nel carcere di massima sicurezza di Voghera un caffè avvelenato con cianuro di potassio, e muore il 22 marzo. Le inchieste conclusero nel senso del suicidio, pur nel quadro di un regime di sorveglianza che avrebbe dovuto escludere ogni accesso al veleno; il registro recepisce l'esito ufficiale e lo classifica al Livello B, connessione indiziaria fondata su accertamento giudiziario singolo, mantenendo aperta, al Livello C, l'ipotesi alternativa dell'avvelenamento eterodiretto, con l'indicazione della evidenza che la deciderebbe: la ricostruzione documentale della catena di custodia del veleno entro il carcere, mai compiutamente raggiunta. La morte di Sindona, qualunque ne sia stata la mano, produce nella rete l'effetto che il Pattern 1 della Nota Metodologica consente di misurare: la scomparsa simultanea del più alto detentore di informazioni sui ponti tra 5 domini, secondo la regolarità, che l'opera verificherà sistematicamente, per cui gli individui a massima betweenness muoiono di morte violenta o anomala con frequenza superiore ad ogni attesa statistica.</w:t>
      </w:r>
    </w:p>
    <w:p>
      <w:pPr>
        <w:spacing w:after="120" w:line="276"/>
        <w:jc w:val="both"/>
      </w:pPr>
      <w:r>
        <w:rPr>
          <w:rFonts w:ascii="Barlow Semi Condensed" w:cs="Barlow Semi Condensed" w:eastAsia="Barlow Semi Condensed" w:hAnsi="Barlow Semi Condensed"/>
          <w:sz w:val="24"/>
          <w:szCs w:val="24"/>
        </w:rPr>
        <w:t xml:space="preserve">Le triangolazioni del nodo sono 4: Sindona-Gelli-Calvi, il triangolo finanziario della loggia, nel quale Calvi eredita da Sindona clientele, tecniche e destino; Sindona-Gambino-Inzerillo, l'asse transatlantico del riciclaggio, che la Fase 5 riprenderà sul versante americano; Sindona-IOR-Marcinkus, il ponte vaticano che il capitolo 6 completa; e Sindona-Baffi-Sarcinelli, la triangolazione negativa, nella quale il nodo si misura con l'istituzione che gli resiste e la risposta del sistema è l'aggressione giudiziaria ai vigilanti: un arco di strumentalizzazione della magistratura, secondo la tassonomia della Parte III, che il registro certifica al Livello A nei suoi fatti e mantiene al Livello C quanto alla regia unitaria.</w:t>
      </w:r>
    </w:p>
    <w:p>
      <w:pPr>
        <w:spacing w:after="120" w:line="276"/>
        <w:jc w:val="both"/>
      </w:pPr>
      <w:r>
        <w:rPr>
          <w:rFonts w:ascii="Barlow Semi Condensed" w:cs="Barlow Semi Condensed" w:eastAsia="Barlow Semi Condensed" w:hAnsi="Barlow Semi Condensed"/>
          <w:sz w:val="24"/>
          <w:szCs w:val="24"/>
        </w:rPr>
        <w:t xml:space="preserve">La sequenza del crollo merita la precisione del cronografo, perché in essa si misura la trasformazione della finanza in arma e dell'arma in rovina. Nel luglio 1974 la fusione delle 2 banche italiane del gruppo genera la Banca Privata Italiana, creatura già esangue; il 27 settembre 1974 il Tribunale ne dichiara lo stato e la Banca d'Italia ne promuove la liquidazione coatta amministrativa, con la nomina a commissario liquidatore unico dell'avvocato Giorgio Ambrosoli; l'8 ottobre 1974 la Franklin National Bank di New York, perno del versante americano, è dichiarata insolvente, all'epoca il maggior dissesto bancario della storia degli Stati Uniti, Livello A su tutta la scansione. Segue il quinquennio della resistenza: Sindona, riparato negli Stati Uniti, muove le sue relazioni per ottenere il salvataggio italiano della banca liquidata, e la pressione si abbatte sulla Banca d'Italia che quel salvataggio nega. Il registro consegna qui un pilastro che la memoria pubblica ha lasciato sbiadire: nel marzo 1979 il governatore Paolo Baffi fu incriminato ed il capo della Vigilanza Mario Sarcinelli arrestato, in un procedimento che si sarebbe concluso anni dopo con il proscioglimento pieno di entrambi, e che gli atti parlamentari e la storiografia collocano nel contesto delle pressioni convergenti sull'istituto di emissione nella stagione dei salvataggi negati, Livello A quanto ai provvedimenti ed ai proscioglimenti, Livello B quanto al nesso di contesto. Che l'organo di vigilanza monetaria della Repubblica sia stato colpito nei suoi vertici mentre resisteva al salvataggio di un bancarottiere è un fatto la cui sola cronologia costituisce, nel linguaggio del Pattern 3, una coincidenza temporale ad altissima densità.</w:t>
      </w:r>
    </w:p>
    <w:p>
      <w:pPr>
        <w:spacing w:after="120" w:line="276"/>
        <w:jc w:val="both"/>
      </w:pPr>
      <w:r>
        <w:rPr>
          <w:rFonts w:ascii="Barlow Semi Condensed" w:cs="Barlow Semi Condensed" w:eastAsia="Barlow Semi Condensed" w:hAnsi="Barlow Semi Condensed"/>
          <w:sz w:val="24"/>
          <w:szCs w:val="24"/>
        </w:rPr>
        <w:t xml:space="preserve">Sul versante penale americano ed italiano, la scansione è la seguente. Nel 1980 la giustizia federale statunitense condanna Sindona a 25 anni per il dissesto della Franklin, all'esito di un processo fondato su decine di capi d'imputazione, Livello A; nell'estate del 1979, tra il 2 agosto ed il 16 ottobre, si era consumata la messinscena dell'autosequestro, con la sparizione da New York, il soggiorno clandestino in Sicilia sotto la protezione di ambienti del circuito Gambino ed il ritorno a Manhattan con una ferita d'arma da fuoco alla gamba, episodio che le sentenze italiane hanno accertato quale simulazione strumentale, ordita anche per esercitare pressione ricattatoria sugli ambienti finanziari e politici italiani, Livello A quanto alla simulazione, mentre la famosa lista dei 500 esportatori di valuta, agitata in quella stagione quale strumento di minaccia, non è mai stata rinvenuta quale documento e resta perciò consegnata al Livello C. L'estradizione in Italia nel settembre 1984 apre l'ultimo atto: il processo milanese per l'omicidio di Giorgio Ambrosoli, ucciso sotto casa la notte dell'11 luglio 1979 da William Joseph Aricò, sicario italoamericano ingaggiato per conto del banchiere, il quale Aricò, detenuto a New York, morì il 19 febbraio 1984 precipitando dal Metropolitan Correctional Center durante un tentativo di evasione, sicché il giudizio italiano si celebrò contro il mandante e gli intermediari, Livello A. Giova qui una precisazione di scrupolo processuale, che nulla toglie e molto aggiunge alla nettezza del quadro: la condanna all'ergastolo pronunciata dalla Corte d'Assise di Milano il 18 marzo 1986 nei confronti di Sindona quale mandante precedette di 4 giorni la sua morte, sicché nei suoi confronti il rapporto processuale si estinse, mentre il giudizio proseguito verso gli intermediari del reclutamento approdò negli anni successivi a condanne irrevocabili, che consegnano al registro, con la forza del giudicato, la ricostruzione dell'intera catena omicidiaria, Livello A.</w:t>
      </w:r>
    </w:p>
    <w:p>
      <w:pPr>
        <w:spacing w:after="120" w:line="276"/>
        <w:jc w:val="both"/>
      </w:pPr>
      <w:r>
        <w:rPr>
          <w:rFonts w:ascii="Barlow Semi Condensed" w:cs="Barlow Semi Condensed" w:eastAsia="Barlow Semi Condensed" w:hAnsi="Barlow Semi Condensed"/>
          <w:sz w:val="24"/>
          <w:szCs w:val="24"/>
        </w:rPr>
        <w:t xml:space="preserve">Resta Ambrosoli, ed il registro gli deve più di una riga, perché il metodo che questa opera pratica è, in ultima istanza, il suo. Nominato liquidatore nel 1974, l'avvocato milanese ricostruì per 5 anni, carta su carta, l'architettura del dissesto, respinse le lusinghe e le minacce, e nel febbraio 1975 consegnò alla moglie una lettera da leggersi in caso di morte, nella quale rivendicava, con understatement borghese, di aver soltanto fatto il proprio dovere: la lettera, pubblicata dopo l'omicidio, è divenuta il testamento civile di quella stagione, ed il titolo con cui Corrado Stajano ne raccontò la vita, Un eroe borghese, appartiene ormai al lessico della Repubblica, Livello A quanto ai documenti. Nella morfologia della rete, Ambrosoli è il nodo che il registro definisce anticorpo: un attore che, collocato dal caso in posizione di massima esposizione su un arco critico, sceglie di esercitare la funzione di controllo fino alle estreme conseguenze, e la cui eliminazione, lungi dal chiudere il varco, consegna agli inquirenti la mappa che la sua contabilità aveva disegnato. La finanza come arma trovò in lui la dimostrazione che esiste anche la contabilità come trincea.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sz w:val="24"/>
          <w:szCs w:val="24"/>
        </w:rPr>
        <w:t xml:space="preserve">Il quadro istituzionale del caso si completa con l'inchiesta parlamentare dedicata, che il registro censisce quale quarta gamba probatoria accanto ai giudicati italiani, a quelli statunitensi ed agli atti della Commissione P2. Con legge del 22 maggio 1980 il Parlamento istituì la Commissione d'inchiesta sul caso Sindona e sulle responsabilità politiche ed amministrative ad esso connesse, i cui lavori si conclusero nel marzo 1982 con una relazione di maggioranza e con più relazioni di minoranza, ed i cui atti ricostruirono la trama dei salvataggi tentati, delle protezioni politiche invocate e delle pressioni esercitate sugli organi di vigilanza, Livello A quanto all'istituzione ed alle risultanze documentali. La compresenza, sul medesimo nodo, di 2 inchieste parlamentari, 2 giurisdizioni penali nazionali ed 1 straniera è un unicum che fa di Sindona il nodo più densamente osservato dell'intera rete: ed è appunto per questa densità di osservazione, non per pregiudizio narrativo, che il registro ha potuto certificarne i 5 ponti al massimo livello, a conferma della regola per cui la conoscibilità di una rete è funzione diretta della quantità di istituzioni che hanno avuto interesse ad illuminarla.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Sindona è certificato quale cerniera pentadominio con ponti di Livello A verso i Domini 1, 2, 4, 5 e 6, culminanti nell'ergastolo definitivo quale mandante dell'omicidio Ambrosoli; la morte per avvelenamento in regime di massima sicurezza è recepita quale suicidio al Livello B, con ipotesi alternativa mantenuta al Livello C; la disponibilità eversiva dello snodo Borghese-Sindona resta certificata al Livello B su base parlamentare e dichiarativa riscontrata.</w:t>
      </w:r>
    </w:p>
    <w:p>
      <w:pPr>
        <w:pStyle w:val="Heading3"/>
        <w:spacing w:after="80" w:before="160"/>
      </w:pPr>
      <w:r>
        <w:rPr>
          <w:rFonts w:ascii="Barlow Semi Condensed" w:cs="Barlow Semi Condensed" w:eastAsia="Barlow Semi Condensed" w:hAnsi="Barlow Semi Condensed"/>
          <w:sz w:val="24"/>
          <w:szCs w:val="24"/>
        </w:rPr>
        <w:t xml:space="preserve">Capitolo 5 — ▶ Roberto Calvi. Il banchiere-ponte e la morte come reperto conteso</w:t>
      </w:r>
    </w:p>
    <w:p>
      <w:pPr>
        <w:spacing w:after="120" w:line="276"/>
        <w:jc w:val="both"/>
      </w:pPr>
      <w:r>
        <w:rPr>
          <w:rFonts w:ascii="Barlow Semi Condensed" w:cs="Barlow Semi Condensed" w:eastAsia="Barlow Semi Condensed" w:hAnsi="Barlow Semi Condensed"/>
          <w:sz w:val="24"/>
          <w:szCs w:val="24"/>
        </w:rPr>
        <w:t xml:space="preserve">Roberto Calvi, nato a Milano il 13 aprile 1920 e trovato morto a Londra il 18 giugno 1982, è il secondo vertice del triangolo finanziario della loggia, e nel registro occupa una posizione peculiare: è il nodo nel quale la certificazione massima riguarda non soltanto le connessioni in vita, ma la morte stessa, divenuta essa stessa un ponte conteso tra domini. La scansione del corpus lo registra 953 volte in 33 documenti, in prevalenza atti giudiziari, materiali della Commissione P2 e documentazione sul dissesto dell'Ambrosiano.</w:t>
      </w:r>
    </w:p>
    <w:p>
      <w:pPr>
        <w:spacing w:after="120" w:line="276"/>
        <w:jc w:val="both"/>
      </w:pPr>
      <w:r>
        <w:rPr>
          <w:rFonts w:ascii="Barlow Semi Condensed" w:cs="Barlow Semi Condensed" w:eastAsia="Barlow Semi Condensed" w:hAnsi="Barlow Semi Condensed"/>
          <w:sz w:val="24"/>
          <w:szCs w:val="24"/>
        </w:rPr>
        <w:t xml:space="preserve">La matrice è, come per Sindona, il Dominio 6, ma con una differenza strutturale che va colta subito: Sindona costruisce banche proprie, Calvi cattura una banca altrui, ed il suo caso è perciò l'illustrazione più compiuta della teoria del contenitore. Il Banco Ambrosiano, fondato a Milano nel 1896 quale banca cattolica dei ceti lombardi, è il contenitore; Calvi, entratovi nel 1947 e salitone tutti i gradini fino alla presidenza nel 1975, è l'occupante; e l'architettura di controllo che egli edifica, una catena di holding e consociate estere, dalla Banco Ambrosiano Holding di Lussemburgo alle società di Panama e delle Bahamas, fino al Banco Ambrosiano Andino di Lima, è lo strumento della cattura, perché consente di finanziare occultamente, con il denaro della banca, l'acquisto delle azioni della banca medesima, sottraendo il controllo ai soci ed alla vigilanza. Il dissesto che ne segue, con un ammanco accertato nell'ordine di 1200 milioni di dollari dell'epoca verso le consociate estere, è il più grande crack bancario privato della storia italiana; la liquidazione coatta dell'agosto 1982, il processo milanese e le condanne definitive che ne derivarono, tra le quali quelle di Gelli e di Ortolani già richiamate, certificano l'intero impianto al Livello A.</w:t>
      </w:r>
    </w:p>
    <w:p>
      <w:pPr>
        <w:spacing w:after="120" w:line="276"/>
        <w:jc w:val="both"/>
      </w:pPr>
      <w:r>
        <w:rPr>
          <w:rFonts w:ascii="Barlow Semi Condensed" w:cs="Barlow Semi Condensed" w:eastAsia="Barlow Semi Condensed" w:hAnsi="Barlow Semi Condensed"/>
          <w:sz w:val="24"/>
          <w:szCs w:val="24"/>
        </w:rPr>
        <w:t xml:space="preserve">I ponti del nodo si dispongono su 4 domini oltre al proprio. Verso il Dominio 4, la tessera piduista di Calvi è negli elenchi di Castiglion Fibocchi ed il suo rapporto di dipendenza protettiva da Gelli è documentato dagli atti parlamentari e giudiziari, ivi comprese le lettere e le annotazioni sequestrate: certificazione al Livello A. Su questo ponte si innesta l'operazione che congiunge il Dominio 6 al Dominio 8 e che il registro considera uno degli archi di transito più gravidi di conseguenze dell'intera rete: il finanziamento occulto, attraverso il circuito Ambrosiano, della scalata del gruppo Rizzoli, gravato da debiti, e con esso del Corriere della Sera, il principale quotidiano nazionale, il cui assetto proprietario e la cui direzione entrarono nell'orbita della loggia negli anni tra il 1977 ed il 1981, come la relazione Anselmi documentò analiticamente e come le sentenze sul crack confermarono; la certificazione del ponte finanza-informazione è al Livello A, e costituisce il caso paradigmatico, per l'intera opera, della conquista di un organo di formazione dell'opinione pubblica per via debitoria anziché per via editoriale. Verso il Dominio 5, il ponte è costituito dall'intreccio organico con l'Istituto per le Opere di Religione, del quale il capitolo seguente tratta funditus: qui basti certificare al Livello A, sul fondamento della documentazione della liquidazione e dell'accordo di Ginevra del 1984, che lo IOR fu azionista dell'Ambrosiano, controparte di operazioni incrociate e soprattutto emittente, il 1 settembre 1981, delle cosiddette lettere di patronage con le quali dichiarava alle banche creditrici il proprio controllo su alcune delle società estere debitrici, ricevendone in cambio, con contro-lettera riservata di Calvi, la manleva da ogni conseguenza. Verso il Dominio 1, infine, i ponti in vita sono 2: il canale di riciclaggio che le dichiarazioni riscontrate di collaboratori, in primis Francesco Marino Mannoia, attribuiscono al circuito Ambrosiano quale collettore di capitali mafiosi, canale che il registro certifica al Livello B, per convergenza di fonti dichiarative riscontrate e risultanze processuali prive tuttavia di giudicato contabile specifico; ed il rapporto personale, nell'ultimo anno di vita, con Flavio Carboni, faccendiere sardo con relazioni trasversali che spaziavano dalla Banda della Magliana ad ambienti massonici e d'affari, rapporto documentato al Livello A dagli atti dei processi romani, essendo Carboni l'organizzatore della fuga finale di Calvi.</w:t>
      </w:r>
    </w:p>
    <w:p>
      <w:pPr>
        <w:spacing w:after="120" w:line="276"/>
        <w:jc w:val="both"/>
      </w:pPr>
      <w:r>
        <w:rPr>
          <w:rFonts w:ascii="Barlow Semi Condensed" w:cs="Barlow Semi Condensed" w:eastAsia="Barlow Semi Condensed" w:hAnsi="Barlow Semi Condensed"/>
          <w:sz w:val="24"/>
          <w:szCs w:val="24"/>
        </w:rPr>
        <w:t xml:space="preserve">La sequenza terminale va restituita con la precisione del verbale, perché su di essa il registro esercita la sua disciplina più severa. Nel maggio 1981 Calvi è arrestato nell'ambito dell'inchiesta valutaria milanese; nel luglio è condannato in primo grado a 4 anni per esportazione illecita di capitali, primo banchiere di tale rango a subire simile condanna, e tenta in carcere un gesto suicidario; scarcerato in pendenza d'appello, conserva la presidenza della banca. Il 31 maggio 1982 la Banca d'Italia chiede formalmente conto dell'esposizione verso le consociate estere; l'11 giugno Calvi scompare da Roma, con passaporto falso a nome Gian Roberto Calvini, e attraverso un itinerario che tocca Trieste, la Jugoslavia, l'Austria e Londra, organizzato da Carboni con l'apporto di contrabbandieri giuliani, giunge in un appartamento londinese; il 17 giugno il consiglio dell'Ambrosiano lo esautora e la segretaria personale Graziella Corrocher precipita da una finestra della sede milanese, lasciando uno scritto di accusa verso il presidente, morte archiviata quale suicidio e classificata dal registro al Livello B; all'alba del 18 giugno il corpo di Calvi è rinvenuto appeso ad un'impalcatura sotto il ponte dei Frati Neri, Blackfriars Bridge, con mattoni nelle tasche e negli indumenti e circa 15000 dollari in contanti, senza che sul ponte o sul corpo si rinvengano tracce coerenti con un'ascensione autonoma sull'impalcatura. La prima inchiesta del coroner londinese, nel luglio 1982, concluse per il suicidio; la seconda, nel giugno 1983, pronunciò un verdetto aperto; l'esumazione del 1998 e la perizia collegiale disposta dalla giustizia italiana, depositata nel 2002, conclusero per l'incompatibilità del quadro con il suicidio e per la morte per mano altrui; il processo celebrato a Roma contro Giuseppe Calò, Flavio Carboni, Ernesto Diotallevi ed altri quali mandanti od organizzatori si chiuse in primo grado nel 2007 con l'assoluzione di tutti gli imputati per insufficienza di prove, confermata in appello nel 2010 ed in cassazione nel 2011, ma con il riconoscimento, in motivazione, della natura omicidiaria del fatto. Il registro ne trae la doppia classificazione che costituisce il modello per tutti i casi analoghi: la natura omicidiaria della morte di Calvi è certificata al Livello A, per convergenza di perizia collegiale, verdetto aperto del secondo coroner e qualificazione contenuta nelle sentenze italiane, 3 fonti eterogenee e genealogicamente distinte; l'attribuzione dell'omicidio a mandanti ed esecutori determinati resta al Livello C, ipotesi investigativa non sorretta da giudicato, essendo intervenuta assoluzione definitiva degli unici imputati. Tra il fatto certo e la responsabilità incerta corre esattamente quella distanza che la Regola Ferrea vieta di colmare con l'inferenza.</w:t>
      </w:r>
    </w:p>
    <w:p>
      <w:pPr>
        <w:spacing w:after="120" w:line="276"/>
        <w:jc w:val="both"/>
      </w:pPr>
      <w:r>
        <w:rPr>
          <w:rFonts w:ascii="Barlow Semi Condensed" w:cs="Barlow Semi Condensed" w:eastAsia="Barlow Semi Condensed" w:hAnsi="Barlow Semi Condensed"/>
          <w:sz w:val="24"/>
          <w:szCs w:val="24"/>
        </w:rPr>
        <w:t xml:space="preserve">Alla morte si accompagna un reperto materiale che il registro tratta con la disciplina della spoliazione delimitata: la borsa nera di Calvi, contenente documenti che il banchiere portava con sé quale strumento di negoziazione, seguì un percorso autonomo dal corpo, transitando per le mani dell'entourage della fuga, e ricomparve solo anni dopo, in parte, attraverso passaggi onerosi; l'integrità del suo contenuto originario non è ricostruibile. Il registro marca la spoliazione quale fatto documentato al Livello A e si vieta di dedurre dal contenuto ignoto qualsivoglia contenuto determinato: l'assenza di documenti non è un documento.</w:t>
      </w:r>
    </w:p>
    <w:p>
      <w:pPr>
        <w:spacing w:after="120" w:line="276"/>
        <w:jc w:val="both"/>
      </w:pPr>
      <w:r>
        <w:rPr>
          <w:rFonts w:ascii="Barlow Semi Condensed" w:cs="Barlow Semi Condensed" w:eastAsia="Barlow Semi Condensed" w:hAnsi="Barlow Semi Condensed"/>
          <w:sz w:val="24"/>
          <w:szCs w:val="24"/>
        </w:rPr>
        <w:t xml:space="preserve">Le triangolazioni del nodo sono 4: Calvi-Gelli-Ortolani, il vertice della loggia quale creditore e protettore divenuto, negli ultimi mesi, controparte esosa, secondo la documentazione dei flussi verso i conti riferibili ai 2, certificata al Livello A; Calvi-IOR-Marcinkus, l'asse vaticano delle lettere di patronage; Calvi-Carboni-Calò, il triangolo dell'ultima stagione, nel quale la certificazione si sdoppia tra i rapporti in vita, di Livello A, e la responsabilità nella morte, ferma al Livello C per intervenuta assoluzione; e Calvi-Rizzoli-Corriere, il ponte verso il Dominio 8. La lettera inviata da Calvi al pontefice Giovanni Paolo II il 5 giugno 1982, 13 giorni prima della morte, nella quale il banchiere si dichiarava ultimo baluardo contro la divulgazione di operazioni compiute anche per conto di ambienti ecclesiastici, è documento autentico acquisito agli atti e certificato al Livello A quanto all'esistenza ed al tenore; il suo contenuto assertivo, provenendo da un dichiarante in stato di massima pressione e con evidente interesse negoziale, è sottoposto dal registro all'Indice di Contaminazione della Fonte e non è utilizzato quale prova dei fatti ivi affermati.</w:t>
      </w:r>
    </w:p>
    <w:p>
      <w:pPr>
        <w:spacing w:after="120" w:line="276"/>
        <w:jc w:val="both"/>
      </w:pPr>
      <w:r>
        <w:rPr>
          <w:rFonts w:ascii="Barlow Semi Condensed" w:cs="Barlow Semi Condensed" w:eastAsia="Barlow Semi Condensed" w:hAnsi="Barlow Semi Condensed"/>
          <w:sz w:val="24"/>
          <w:szCs w:val="24"/>
        </w:rPr>
        <w:t xml:space="preserve">La sequenza terminale già esposta va ora corredata dei suoi anelli documentali intermedi, che ne fanno il caso più fitto di reperti dell'intero quadrilatero. Primo anello: la condanna del 20 luglio 1981 per le violazioni valutarie, 4 anni di reclusione e 16 miliardi di lire di multa, cui segue, in pendenza d'appello, la scarcerazione, ed insieme un fatto societario che il registro isola quale anomalia certificata, la riconferma di Calvi alla presidenza del Banco da parte degli organi sociali: un istituto di credito cattolico mantenne al vertice un presidente appena condannato in primo grado per reati valutari, e nessuna assemblea ritenne di trarne conseguenze, Livello A. Nel medesimo torno di tempo si colloca il tentato suicidio in carcere, che la documentazione clinica e processuale attesta, Livello B, e che il registro annota senza psicologizzare, giacché la psicologia dei nodi non è materia di certificazione. Secondo anello: la contro-lettera. Alle lettere di patronage rilasciate dallo IOR il 1° settembre 1981 a copertura delle consociate estere fece riscontro una dichiarazione di manleva di segno inverso, con la quale il gruppo si obbligava a tenere indenne l'Istituto: il chiasmo documentale delle 2 lettere, l'una pubblica per i creditori e l'altra riservata per il garante, è il reperto che meglio fotografa la natura del ponte tra i Domini 5 e 6, Livello A.</w:t>
      </w:r>
    </w:p>
    <w:p>
      <w:pPr>
        <w:spacing w:after="120" w:line="276"/>
        <w:jc w:val="both"/>
      </w:pPr>
      <w:r>
        <w:rPr>
          <w:rFonts w:ascii="Barlow Semi Condensed" w:cs="Barlow Semi Condensed" w:eastAsia="Barlow Semi Condensed" w:hAnsi="Barlow Semi Condensed"/>
          <w:sz w:val="24"/>
          <w:szCs w:val="24"/>
        </w:rPr>
        <w:t xml:space="preserve">Terzo anello: la fuga, che le ricostruzioni giudiziarie romane e londinesi hanno restituito passo per passo. L'11 giugno 1982 Calvi lascia Roma; munito di un passaporto falso intestato a Gian Roberto Calvini, attraversa il confine e raggiunge Londra con scali ed appoggi tra Trieste, l'Austria ed un volo charter, accompagnato e assistito da faccendieri e contrabbandieri il cui novero è consegnato agli atti del processo romano; alloggia in un residence di Chelsea; la sera del 17 giugno, a Milano, la sua segretaria personale Graziella Corrocher precipita da una finestra della sede del Banco lasciando uno scritto di accusa verso il presidente, e l'inchiesta ne qualifica la morte quale suicidio; all'alba del 18 giugno il corpo di Calvi pende dal ponteggio dei Blackfriars, i tasconi appesantiti di mattoni e di valuta, Livello A sull'intera sequenza materiale. Quarto anello: il doppio verdetto inglese, prima il suicidio, poi, nel giugno 1983, il verdetto aperto che lo revoca senza sostituirlo; indi, 15 anni dopo, l'esumazione e la perizia collegiale del 1998, che giudica il quadro lesivo e le tracce incompatibili con l'impiccagione autoinflitta dal ponteggio e compatibili con l'omicidio, elevando la qualificazione omicidiaria al grado che il capitolo ha già dichiarato, Livello B tecnico convergente. Quinto anello: il processo. Chiamati a rispondere dell'omicidio quali mandanti od organizzatori Giuseppe Calò, Flavio Carboni ed Ernesto Diotallevi, con altri, la Corte d'Assise di Roma, il 6 giugno 2007, li assolse, per i 3 predetti ai sensi del capoverso dell'articolo 530 del codice di rito, per insufficienza e contraddittorietà della prova, con formule pienamente liberatorie per i restanti; la Corte d'Assise d'appello confermò nel 2010 e la Corte di cassazione rese irrevocabili le assoluzioni nel novembre 2011, Livello A, che il registro riporta per esteso in ossequio alla propria regola: nessuno è stato condannato per la morte di Roberto Calvi.</w:t>
      </w:r>
    </w:p>
    <w:p>
      <w:pPr>
        <w:spacing w:after="120" w:line="276"/>
        <w:jc w:val="both"/>
      </w:pPr>
      <w:r>
        <w:rPr>
          <w:rFonts w:ascii="Barlow Semi Condensed" w:cs="Barlow Semi Condensed" w:eastAsia="Barlow Semi Condensed" w:hAnsi="Barlow Semi Condensed"/>
          <w:sz w:val="24"/>
          <w:szCs w:val="24"/>
        </w:rPr>
        <w:t xml:space="preserve">Chiude il capitolo una digressione che non è ornamento ma profilassi. Il ponte dei Frati Neri, con il suo nome da romanzo gotico, la loggia che nei rituali si dice frate nero, i mattoni nelle tasche: raramente una morte ha offerto alla sovrainterpretazione un apparecchio simbolico così completo, e la pubblicistica non ha resistito. Il registro sì, e dichiara perché con le parole di un semiologo che di complotti fu il più grande anatomista: chi ha letto Il pendolo di Foucault sa che il delirio ermeneutico comincia esattamente dove il dettaglio smette di essere indizio e diventa simbolo, dove la ruggine sulle scarpe conta meno del nome del ponte. Il paradigma indiziario di Ginzburg lavora sulla ruggine, non sull'araldica: e infatti fu l'assenza di ruggine e di tracce del ponteggio sulle suole, accertata dalla perizia del 1998, non la suggestione dei frati neri, a spostare il grado della qualificazione omicidiaria. La lezione vale per l'intero registro: ogni volta che un nome evocativo, una data cabalistica, una coincidenza scenografica sollecitano l'interpretazione, il metodo prescrive di tornare alla domanda del perito, che cosa dicono le suole, e di lasciare l'araldica ai romanzieri, che ne fanno miglior uso.</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sz w:val="24"/>
          <w:szCs w:val="24"/>
        </w:rPr>
        <w:t xml:space="preserve">La coda patrimoniale della vicenda chiude il quadro con 2 date. Il 6 agosto 1982 il Banco Ambrosiano fu posto in liquidazione coatta amministrativa, con un'esposizione verso le consociate estere dell'ordine di 1,2 miliardi di dollari che i commissari accertarono irrecuperabile nella sua parte maggiore; contestualmente nacque, per conferimento delle attività sane, il Nuovo Banco Ambrosiano, affidato alla presidenza del giurista e banchiere Giovanni Bazoli, che ne guidò la ricostruzione, Livello A sull'intera operazione. La velocità della transizione, 7 settimane dalla morte del presidente alla rifondazione dell'istituto, è essa stessa un dato morfologico: il sistema bancario italiano espulse il corpo malato e ne riassorbì le funzioni con un'efficienza che nulla, nella gestione del quinquennio precedente, aveva lasciato presagire, a dimostrazione che la lentezza dei controlli non era stata incapacità del sistema, ma sospensione localizzata dei suoi anticorpi. Dove la rete di protezione venne meno, la fisiologia istituzionale riprese immediatamente il proprio corso: ed il contrasto tra i 2 tempi, il quinquennio dell'anomalia tollerata ed il bimestre della normalizzazione compiuta, resta la misura più esatta di quanto la protezione fosse valsa.</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Calvi è certificato al Livello A quale ponte tra i Domini 4, 5, 6 e 8, con l'operazione Rizzoli-Corriere quale arco di transito paradigmatico tra finanza e informazione; la natura omicidiaria della morte è elevata al Livello A per triangolazione peritale-giudiziaria, mentre l'attribuzione soggettiva dell'omicidio resta al Livello C in forza delle assoluzioni definitive; la spoliazione della borsa è marcata quale fatto certo dal contenuto indeducibile.</w:t>
      </w:r>
    </w:p>
    <w:p>
      <w:pPr>
        <w:pStyle w:val="Heading3"/>
        <w:spacing w:after="80" w:before="160"/>
      </w:pPr>
      <w:r>
        <w:rPr>
          <w:rFonts w:ascii="Barlow Semi Condensed" w:cs="Barlow Semi Condensed" w:eastAsia="Barlow Semi Condensed" w:hAnsi="Barlow Semi Condensed"/>
          <w:sz w:val="24"/>
          <w:szCs w:val="24"/>
        </w:rPr>
        <w:t xml:space="preserve">Capitolo 6 — ◆ L'Istituto per le Opere di Religione e ▶ Paul Marcinkus. Il ponte istituzionale tra il Dominio della fede ed il Dominio del denaro</w:t>
      </w:r>
    </w:p>
    <w:p>
      <w:pPr>
        <w:spacing w:after="120" w:line="276"/>
        <w:jc w:val="both"/>
      </w:pPr>
      <w:r>
        <w:rPr>
          <w:rFonts w:ascii="Barlow Semi Condensed" w:cs="Barlow Semi Condensed" w:eastAsia="Barlow Semi Condensed" w:hAnsi="Barlow Semi Condensed"/>
          <w:sz w:val="24"/>
          <w:szCs w:val="24"/>
        </w:rPr>
        <w:t xml:space="preserve">Con il presente capitolo il registro passa da un nodo individuale ad un nodo istituzionale, e la differenza di natura impone una differenza di disciplina: un'istituzione non delinque, non testimonia e non muore; agiscono, testimoniano e muoiono gli uomini che la occupano; e tuttavia la rete registra l'istituzione quale nodo autonomo, perché la sua persistenza eccede le biografie e perché gli archi che la toccano sopravvivono al ricambio degli occupanti. L'Istituto per le Opere di Religione, fondato con chirografo di Pio XII il 27 giugno 1942 sulle strutture della preesistente Amministrazione per le Opere di Religione, è l'ente centrale del Dominio 5 sul versante finanziario: non una banca in senso tecnico, ma un istituto con sede nello Stato della Città del Vaticano, sottratto alla vigilanza italiana, destinato alla custodia ed all'amministrazione di beni finalizzati ad opere di religione. La scansione del corpus registra la sigla 1746 volte in 40 documenti, ed il nome del suo presidente dell'epoca, l'arcivescovo statunitense Paul Casimir Marcinkus, nato a Cicero, Illinois, il 15 gennaio 1922 e morto a Sun City, Arizona, il 20 febbraio 2006, 408 volte in 10 documenti.</w:t>
      </w:r>
    </w:p>
    <w:p>
      <w:pPr>
        <w:spacing w:after="120" w:line="276"/>
        <w:jc w:val="both"/>
      </w:pPr>
      <w:r>
        <w:rPr>
          <w:rFonts w:ascii="Barlow Semi Condensed" w:cs="Barlow Semi Condensed" w:eastAsia="Barlow Semi Condensed" w:hAnsi="Barlow Semi Condensed"/>
          <w:sz w:val="24"/>
          <w:szCs w:val="24"/>
        </w:rPr>
        <w:t xml:space="preserve">Il perimetro certificato del nodo si costruisce per sottrazione dalle molte leggende che lo circondano, ed il registro procede perciò dai documenti più solidi verso l'esterno. Il primo cerchio, di Livello A, comprende i fatti coperti da documentazione negoziale e da convergenza istituzionale bilaterale. Lo IOR fu azionista del Banco Ambrosiano e controparte stabile del suo circuito estero; emise, il 1 settembre 1981, a firma dei propri vertici, le lettere di patronage indirizzate alle banche creditrici, dichiaranti il controllo diretto o indiretto dell'Istituto su un gruppo di società estere, panamensi e lussemburghesi, debitrici verso il circuito Ambrosiano per centinaia di milioni di dollari, e ricevette contestualmente da Calvi la contro-lettera riservata che sollevava l'Istituto da ogni responsabilità e fissava al 30 giugno 1982 il termine dell'impegno; a dissesto conclamato, il negoziato tra la parte italiana, le banche creditrici e la Santa Sede condusse all'accordo sottoscritto a Ginevra il 25 maggio 1984, in forza del quale lo IOR versò ai creditori dell'Ambrosiano la somma di circa 244 milioni di dollari, espressamente qualificata quale contributo volontario, senza riconoscimento di responsabilità. A questo cerchio appartiene altresì l'istituzione, nel 1982, della commissione mista italo-vaticana di studio sul dissesto, i cui lavori si chiusero senza conclusioni condivise: le 2 delegazioni depositarono valutazioni divergenti, e la divergenza stessa è un dato certificato al Livello A. Il pagamento di 244 milioni a titolo volontario da parte di un ente che nega ogni responsabilità è, nel lessico del registro, un reperto anfibologico: prova con certezza l'esistenza di un coinvolgimento che le parti stesse giudicarono meritevole di composizione onerosa, e non prova, da solo, la qualificazione giuridica di tale coinvolgimento.</w:t>
      </w:r>
    </w:p>
    <w:p>
      <w:pPr>
        <w:spacing w:after="120" w:line="276"/>
        <w:jc w:val="both"/>
      </w:pPr>
      <w:r>
        <w:rPr>
          <w:rFonts w:ascii="Barlow Semi Condensed" w:cs="Barlow Semi Condensed" w:eastAsia="Barlow Semi Condensed" w:hAnsi="Barlow Semi Condensed"/>
          <w:sz w:val="24"/>
          <w:szCs w:val="24"/>
        </w:rPr>
        <w:t xml:space="preserve">Il secondo cerchio, di Livello A sul piano dei fatti processuali e proprio per questo negativo sul piano delle responsabilità, è il capitolo giudiziario di Marcinkus. Nel febbraio 1987 la magistratura milanese emise mandati di cattura per concorso in bancarotta fraudolenta nei confronti di Marcinkus e dei dirigenti dello IOR Luigi Mennini e Pellegrino de Strobel; il 17 luglio 1987 la Corte di cassazione annullò i provvedimenti per difetto di giurisdizione, in applicazione dell'articolo 11 del Trattato lateranense, che sottrae gli enti centrali della Chiesa ad ogni ingerenza dello Stato italiano; Marcinkus, che nel frattempo non lasciava lo Stato vaticano, non fu mai processato, lasciò la presidenza dell'Istituto nel 1989 e si ritirò negli Stati Uniti. Il registro certifica dunque al Livello A il fatto che nessuna responsabilità penale individuale dei vertici IOR è mai stata accertata in giudizio, e certifica al medesimo livello che tale mancato accertamento discende non da una valutazione di merito, ma da una barriera giurisdizionale di rango pattizio: la distinzione è essenziale, perché consegna al registro un caso puro di ciò che la Parte V della Nota Metodologica considera lacuna strutturale della conoscenza, un punto della rete in cui l'accertamento non è mancato per difetto di indizi, ma è stato reso impossibile per architettura istituzionale. Nel linguaggio dei pattern, è un buco strutturale di natura normativa, e come tale viene registrato senza essere colmato.</w:t>
      </w:r>
    </w:p>
    <w:p>
      <w:pPr>
        <w:spacing w:after="120" w:line="276"/>
        <w:jc w:val="both"/>
      </w:pPr>
      <w:r>
        <w:rPr>
          <w:rFonts w:ascii="Barlow Semi Condensed" w:cs="Barlow Semi Condensed" w:eastAsia="Barlow Semi Condensed" w:hAnsi="Barlow Semi Condensed"/>
          <w:sz w:val="24"/>
          <w:szCs w:val="24"/>
        </w:rPr>
        <w:t xml:space="preserve">Il terzo cerchio comprende le connessioni di Livello B: il rapporto storico con il circuito Sindona, documentato dalla partecipazione dell'Istituto nella Finabank ginevrina e dalle operazioni degli anni 60, certificato al Livello A quanto ai rapporti societari ed al Livello B quanto al ruolo personale di Marcinkus, la cui presidenza inizia nel 1971, dopo la stagione principale degli affari sindoniani con l'Istituto; le operazioni incrociate di azioni, i cosiddetti depositi back-to-back e le partite fiduciarie tra IOR e consociate Ambrosiano, ricostruite dalla liquidazione e dalla commissione mista con esiti valutativi divergenti; e le dichiarazioni di collaboratori di giustizia che negli anni 90 indicarono l'Istituto quale terminale di capitali mafiosi, in particolare le dichiarazioni di Francesco Marino Mannoia sul riciclaggio di fondi di Cosa Nostra attraverso il canale Calvi-IOR, che il registro, in applicazione rigorosa del criterio di indipendenza genealogica, mantiene al Livello B, trattandosi di fonte dichiarativa riscontrata su elementi di contorno ma priva di riscontro contabile individualizzante sull'ultimo segmento del flusso.</w:t>
      </w:r>
    </w:p>
    <w:p>
      <w:pPr>
        <w:spacing w:after="120" w:line="276"/>
        <w:jc w:val="both"/>
      </w:pPr>
      <w:r>
        <w:rPr>
          <w:rFonts w:ascii="Barlow Semi Condensed" w:cs="Barlow Semi Condensed" w:eastAsia="Barlow Semi Condensed" w:hAnsi="Barlow Semi Condensed"/>
          <w:sz w:val="24"/>
          <w:szCs w:val="24"/>
        </w:rPr>
        <w:t xml:space="preserve">Il quarto cerchio, di Livello C, raccoglie le ipotesi investigative che la pubblicistica ha stratificato sul nodo e che il registro espone al solo fine di marcarne il livello: l'ipotesi di un ruolo dell'Istituto nel finanziamento di movimenti sindacali e politici nell'Europa orientale nei primi anni 80, fondata su fonti giornalistiche e memorialistiche prive di catena documentale autonoma; l'ipotesi di collegamenti tra il dissesto Ambrosiano e forniture d'armi sudamericane, di analoga consistenza; e le ipotesi sul movente vaticano nella morte di Calvi, che la lettera del 5 giugno 1982, già esaminata, suggerisce e non prova. Per ciascuna di esse il registro indica la condizione di promozione: l'emersione di documentazione contabile o archivistica genealogicamente indipendente dalle narrazioni che le hanno generate.</w:t>
      </w:r>
    </w:p>
    <w:p>
      <w:pPr>
        <w:spacing w:after="120" w:line="276"/>
        <w:jc w:val="both"/>
      </w:pPr>
      <w:r>
        <w:rPr>
          <w:rFonts w:ascii="Barlow Semi Condensed" w:cs="Barlow Semi Condensed" w:eastAsia="Barlow Semi Condensed" w:hAnsi="Barlow Semi Condensed"/>
          <w:sz w:val="24"/>
          <w:szCs w:val="24"/>
        </w:rPr>
        <w:t xml:space="preserve">Il nodo istituzionale va infine collocato nella morfologia complessiva della rete. Lo IOR è, per costruzione, un condensatore di buchi strutturali nel senso di Burt: situato entro un ordinamento sovrano distinto, esente da vigilanza esterna, dotato di segreto proprio, esso occupa la posizione dell'intermediario che connette senza poter essere attraversato dallo sguardo, e questa posizione, prima ed indipendentemente da ogni condotta, genera rendita di intermediazione ed attrattività per ogni flusso bisognoso di opacità. È la lezione strutturale del capitolo: la rete non richiede che il contenitore sia complice; le basta che sia impermeabile. Le riforme della vigilanza vaticana intervenute nei decenni successivi, dalla legge antiriciclaggio vaticana del 2010 all'istituzione dell'Autorità di Informazione Finanziaria, modificano precisamente questo parametro strutturale, e la loro esistenza conferma, per implicito riconoscimento dell'ordinamento interessato, la diagnosi che precede.</w:t>
      </w:r>
    </w:p>
    <w:p>
      <w:pPr>
        <w:spacing w:after="120" w:line="276"/>
        <w:jc w:val="both"/>
      </w:pPr>
      <w:r>
        <w:rPr>
          <w:rFonts w:ascii="Barlow Semi Condensed" w:cs="Barlow Semi Condensed" w:eastAsia="Barlow Semi Condensed" w:hAnsi="Barlow Semi Condensed"/>
          <w:sz w:val="24"/>
          <w:szCs w:val="24"/>
        </w:rPr>
        <w:t xml:space="preserve">Al perimetro per cerchi il capitolo aggiunge ora la persona del presidente, perché il nodo istituzionale ebbe per 2 decenni un volto, e quel volto ha una biografia documentale. Paul Casimir Marcinkus, nato a Cicero, nell'Illinois, il 15 gennaio 1922 da immigrati lituani, cresciuto nel sobborgo che la cronaca americana associa al dominio di Al Capone, circostanza che il registro annota quale pura geografia e non quale genealogia, salì la carriera curiale per la via del servizio diplomatico e della prossimità fisica ai pontefici: organizzatore dei viaggi papali, ne divenne l'ombra protettiva, e la cronaca gli attribuì un ruolo nel neutralizzare l'aggressione portata a Paolo VI a Manila il 27 novembre 1970, Livello B quanto alla dinamica, convergente nelle fonti. Presidente dell'Istituto dal 1971, Marcinkus cumulò a quella carica la presenza nel consiglio di amministrazione della banca di Nassau del gruppo Calvi, la consociata delle Bahamas nella quale l'Istituto deteneva una partecipazione: la compresenza del medesimo ecclesiastico al vertice del garante e nel consiglio del garantito è il fatto documentale che meglio spiega, senza bisogno di alcuna ipotesi ulteriore, la genesi delle lettere di patronage, Livello A quanto alle cariche.</w:t>
      </w:r>
    </w:p>
    <w:p>
      <w:pPr>
        <w:spacing w:after="120" w:line="276"/>
        <w:jc w:val="both"/>
      </w:pPr>
      <w:r>
        <w:rPr>
          <w:rFonts w:ascii="Barlow Semi Condensed" w:cs="Barlow Semi Condensed" w:eastAsia="Barlow Semi Condensed" w:hAnsi="Barlow Semi Condensed"/>
          <w:sz w:val="24"/>
          <w:szCs w:val="24"/>
        </w:rPr>
        <w:t xml:space="preserve">La vicenda giudiziaria del 1987 va a sua volta restituita con i nomi e con la ratio. Il 20 febbraio 1987 la magistratura milanese emise mandati di cattura nei confronti di Marcinkus, del delegato Luigi Mennini e del capo contabile Pellegrino de Strobel per concorso nella bancarotta dell'Ambrosiano; il 17 luglio 1987 la Corte di cassazione annullò i provvedimenti dichiarando il difetto di giurisdizione dello Stato italiano, sul fondamento dell'articolo 11 del Trattato lateranense, che sottrae ad ogni ingerenza gli enti centrali della Chiesa cattolica, categoria nella quale l'Istituto fu ricondotto; ne seguì l'improcedibilità, sicché nessuno dei 3 fu mai processato in Italia, Livello A. Il registro segnala al lettore la portata sistemica del precedente: esso non afferma l'innocenza, afferma l'ingiudicabilità, e disegna attorno al nodo un confine che non è probatorio ma ordinamentale. Nel linguaggio della Nota metodologica, l'arco tra il Dominio 10 e la componente vaticana del Dominio 5 risulta qui interrotto non da un'assenza di prova ma da una norma di sbarramento: un buco strutturale di diritto positivo, caso unico nell'intero registro, che ogni analisi della impermeabilità dell'Istituto deve assumere quale variabile indipendente.</w:t>
      </w:r>
    </w:p>
    <w:p>
      <w:pPr>
        <w:spacing w:after="120" w:line="276"/>
        <w:jc w:val="both"/>
      </w:pPr>
      <w:r>
        <w:rPr>
          <w:rFonts w:ascii="Barlow Semi Condensed" w:cs="Barlow Semi Condensed" w:eastAsia="Barlow Semi Condensed" w:hAnsi="Barlow Semi Condensed"/>
          <w:sz w:val="24"/>
          <w:szCs w:val="24"/>
        </w:rPr>
        <w:t xml:space="preserve">Il decennio successivo consegna infine la trasformazione. Nel 1989 Marcinkus lasciò la presidenza; il 1° marzo 1990 il chirografo pontificio rifondò l'Istituto affidandone la gestione ad un consiglio di sovrintendenza laico presieduto dal banchiere Angelo Caloia, primo esperimento di normalizzazione tecnica di un organismo sino ad allora governato per via ecclesiastica, Livello A. L'accordo di Ginevra del 25 maggio 1984, già certificato, va qui riletto nella sua formula esatta, che è un piccolo capolavoro di diplomazia dell'ambiguità: l'Istituto versò 244 milioni di dollari alle banche creditrici a titolo di contributo volontario e con espressa esclusione di ogni riconoscimento di responsabilità, sicché il medesimo atto che chiuse la partita patrimoniale lasciò intatta, per volontà bilaterale delle parti, la partita della qualificazione, Livello A. Marcinkus tornò negli Stati Uniti alla metà degli anni 90 e morì a Sun City, in Arizona, il 20 febbraio 2006, senza essere mai stato giudicato da alcuna corte: il nodo umano si spense lasciando al registro il nodo istituzionale, che è, per costruzione luhmanniana, la vera unità di analisi di questo capitolo. Un sistema che comunica nel codice della salvezza non può essere interrogato nel codice della colpevolezza se l'ordinamento non predispone l'accoppiamento strutturale, ed il 1987 certificò che quell'accoppiamento, per gli enti centrali, non esiste: tutto il resto, comprese le leggende, discende da questo teorema.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sz w:val="24"/>
          <w:szCs w:val="24"/>
        </w:rPr>
        <w:t xml:space="preserve">Un ultimo tassello istituzionale merita registrazione: la commissione internazionale di esperti che la Santa Sede nominò nell'estate del 1982, all'indomani del crollo, affidando a 4 personalità indipendenti della finanza internazionale l'esame dei rapporti tra l'Istituto ed il gruppo Ambrosiano, Livello A quanto all'istituzione dell'organo. Fu l'unico procedimento di accertamento interno che l'ordinamento vaticano abbia attivato sulla vicenda, e la sua natura, tecnica e non giurisdizionale, riservata e non pubblica, conferma per l'ennesima via il teorema che questo capitolo ha posto a proprio fondamento: l'Istituto può essere esaminato soltanto nel codice che il proprio ordinamento predispone, ed il codice predisposto fu quello della due diligence, non quello del processo. Il registro ne trae la conseguenza metodologica dovuta: sul nodo IOR, l'asimmetria informativa non è un accidente della ricerca ma una proprietà strutturale dell'oggetto, e ogni futura apertura degli archivi vaticani sul punto andrà trattata, quando avvenga, con la disciplina che la Fase 5 riserva alle aperture archivistiche tardive, le quali illuminano sempre, insieme al contenuto, le ragioni della loro tempistica.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IOR è certificato al Livello A quale ponte istituzionale tra i Domini 5 e 6 sul fondamento delle lettere di patronage, della contro-lettera di manleva e dell'accordo di Ginevra del 1984 con versamento di 244 milioni di dollari a titolo volontario; è certificata al Livello A l'assenza di ogni accertamento penale individuale, determinata dalla barriera giurisdizionale dell'articolo 11 del Trattato lateranense e registrata quale buco strutturale normativo; le connessioni con il riciclaggio mafioso restano al Livello B e le ipotesi ulteriori al Livello C, con condizioni di promozione esplicitate.</w:t>
      </w:r>
    </w:p>
    <w:p>
      <w:pPr>
        <w:pStyle w:val="Heading3"/>
        <w:spacing w:after="80" w:before="160"/>
      </w:pPr>
      <w:r>
        <w:rPr>
          <w:rFonts w:ascii="Barlow Semi Condensed" w:cs="Barlow Semi Condensed" w:eastAsia="Barlow Semi Condensed" w:hAnsi="Barlow Semi Condensed"/>
          <w:sz w:val="24"/>
          <w:szCs w:val="24"/>
        </w:rPr>
        <w:t xml:space="preserve">Capitolo 7 — ▶ Giuseppe Calò. Il cassiere di Cosa Nostra e l'arco certificato tra mafia e strage</w:t>
      </w:r>
    </w:p>
    <w:p>
      <w:pPr>
        <w:spacing w:after="120" w:line="276"/>
        <w:jc w:val="both"/>
      </w:pPr>
      <w:r>
        <w:rPr>
          <w:rFonts w:ascii="Barlow Semi Condensed" w:cs="Barlow Semi Condensed" w:eastAsia="Barlow Semi Condensed" w:hAnsi="Barlow Semi Condensed"/>
          <w:sz w:val="24"/>
          <w:szCs w:val="24"/>
        </w:rPr>
        <w:t xml:space="preserve">Giuseppe Calò, detto Pippo, nato a Palermo il 30 settembre 1931, capo della famiglia mafiosa di Porta Nuova, è il nodo attraverso il quale il registro certifica al massimo livello il ponte più controverso dell'intera tassonomia: l'arco che collega il Dominio 1 della criminalità organizzata al Dominio 7 del terrorismo stragista. La scansione del corpus lo registra 402 volte in 15 documenti, ed il suo profilo riunisce in 1 sola biografia le 3 funzioni che la letteratura criminologica attribuisce di norma a nodi distinti: il comando militare-territoriale, la gestione finanziaria e la proiezione extra-regionale.</w:t>
      </w:r>
    </w:p>
    <w:p>
      <w:pPr>
        <w:spacing w:after="120" w:line="276"/>
        <w:jc w:val="both"/>
      </w:pPr>
      <w:r>
        <w:rPr>
          <w:rFonts w:ascii="Barlow Semi Condensed" w:cs="Barlow Semi Condensed" w:eastAsia="Barlow Semi Condensed" w:hAnsi="Barlow Semi Condensed"/>
          <w:sz w:val="24"/>
          <w:szCs w:val="24"/>
        </w:rPr>
        <w:t xml:space="preserve">Il primo pilastro probatorio è il maxiprocesso di Palermo. Istruito dal pool antimafia sulla base del teorema Buscetta, vale a dire della ricostruzione unitaria di Cosa Nostra quale organizzazione verticistica dotata di una Commissione deliberante, il maxiprocesso si aprì il 10 febbraio 1986 nell'aula bunker dell'Ucciardone e si chiuse in primo grado l'11 dicembre 1987 con 342 condanne; la sentenza della Corte di cassazione del 30 gennaio 1992, che respinse l'impostazione riduttiva dell'appello e consacrò definitivamente il teorema accusatorio, è l'atto giudiziario fondativo dell'intera conoscenza contemporanea sul Dominio 1, e per Calò, membro della Commissione, comportò la condanna definitiva quale capo-mandamento, con le responsabilità deliberative che a tale posizione la sentenza ricollega. Il registro assume la sentenza del 30 gennaio 1992 quale fonte di Livello A per eccellenza, e ne trae, per il nodo Calò, la certificazione della posizione apicale nel Dominio 1.</w:t>
      </w:r>
    </w:p>
    <w:p>
      <w:pPr>
        <w:spacing w:after="120" w:line="276"/>
        <w:jc w:val="both"/>
      </w:pPr>
      <w:r>
        <w:rPr>
          <w:rFonts w:ascii="Barlow Semi Condensed" w:cs="Barlow Semi Condensed" w:eastAsia="Barlow Semi Condensed" w:hAnsi="Barlow Semi Condensed"/>
          <w:sz w:val="24"/>
          <w:szCs w:val="24"/>
        </w:rPr>
        <w:t xml:space="preserve">Il secondo pilastro è la funzione finanziaria, che vale a Calò l'appellativo, riscontrato nelle fonti dichiarative convergenti di Tommaso Buscetta e di altri collaboratori, di cassiere di Cosa Nostra. Trasferitosi stabilmente a Roma sotto false identità sin dagli anni 70, Calò vi opera quale terminale di investimento dei capitali dell'organizzazione, in immobili, società ed operazioni finanziarie, avvalendosi di una rete di prestanome e faccendieri della quale fanno parte, per quanto qui rileva, Ernesto Diotallevi e Danilo Abbruciati, esponenti di vertice della Banda della Magliana, ed il costruttore e faccendiere Flavio Carboni. La convergenza tra le dichiarazioni riscontrate dei collaboratori, gli accertamenti patrimoniali dei processi romani e palermitani ed il sequestro di beni riconducibili al circuito certifica la funzione al Livello A, e disegna il primo dei 2 archi inter-dominio del nodo: l'arco di transito e collusione tra il Dominio 1 ed il Dominio 6 sul teatro romano, che fa di Calò il perno meridionale del sistema che il capitolo 8 osserverà dal versante della Magliana.</w:t>
      </w:r>
    </w:p>
    <w:p>
      <w:pPr>
        <w:spacing w:after="120" w:line="276"/>
        <w:jc w:val="both"/>
      </w:pPr>
      <w:r>
        <w:rPr>
          <w:rFonts w:ascii="Barlow Semi Condensed" w:cs="Barlow Semi Condensed" w:eastAsia="Barlow Semi Condensed" w:hAnsi="Barlow Semi Condensed"/>
          <w:sz w:val="24"/>
          <w:szCs w:val="24"/>
        </w:rPr>
        <w:t xml:space="preserve">Il terzo pilastro, quello che conferisce al nodo il suo valore unico nel registro, è la strage del rapido 904. La sera del 23 dicembre 1984, nella grande galleria dell'Appennino tra Firenze e Bologna, presso San Benedetto Val di Sambro, una carica di esplosivo collocata a bordo del treno rapido 904 Napoli-Milano ed innescata a distanza uccise 16 persone e ne ferì oltre 260: fu la strage detta di Natale, ultimo anello, per collocazione e modalità, della sequenza stragista inaugurata a Piazza Fontana, ma primo anello di una specie nuova, perché l'istruttoria e le sentenze ne attribuirono l'ideazione non ad ambienti neofascisti o ad apparati, bensì al vertice di Cosa Nostra, quale operazione di depistaggio strategico intesa a distogliere la pressione investigativa e normativa che, all'indomani delle rivelazioni di Buscetta e dell'istruttoria del maxiprocesso, si andava abbattendo sull'organizzazione. Per tale strage Giuseppe Calò è stato condannato all'ergastolo con sentenza divenuta irrevocabile, insieme al suo uomo Guido Cercola ed al tecnico tedesco Friedrich Schaudinn, fornitore dei congegni; nel medesimo contesto processuale emersero e furono giudicati i collegamenti con esponenti della camorra e con ambienti dell'estremismo romano. La condanna definitiva di un componente della Commissione di Cosa Nostra per una strage con finalità di terrorismo è, nel sistema del registro, l'arco Dominio 1-Dominio 7 a certificazione piena: non una convergenza indiziaria, non una dichiarazione da vagliare, ma un giudicato. Il registro vi aggiunge una notazione di metodo: la strage del 904 dimostra che la tecnologia stragista, in quanto tecnologia, è trasferibile tra domini, e che l'attribuzione di una strage ad un ambiente non può mai fondarsi sulla sola firma modale, giacché la modalità, qui, fu mutuata deliberatamente da un repertorio altrui proprio per depistare; è la conferma sperimentale del principio, sancito dalla tipologia quadripartita dell'ostruzione che il registro ha documentato, secondo cui il depistaggio è parte integrante dell'evento e non suo accidente.</w:t>
      </w:r>
    </w:p>
    <w:p>
      <w:pPr>
        <w:spacing w:after="120" w:line="276"/>
        <w:jc w:val="both"/>
      </w:pPr>
      <w:r>
        <w:rPr>
          <w:rFonts w:ascii="Barlow Semi Condensed" w:cs="Barlow Semi Condensed" w:eastAsia="Barlow Semi Condensed" w:hAnsi="Barlow Semi Condensed"/>
          <w:sz w:val="24"/>
          <w:szCs w:val="24"/>
        </w:rPr>
        <w:t xml:space="preserve">Il quarto pilastro è negativo, e va esposto con il medesimo rilievo dei positivi: nel processo romano per l'omicidio di Roberto Calvi, Calò, imputato quale mandante, è stato assolto per insufficienza di prove con pronuncia divenuta definitiva nel 2011, come già esposto nel capitolo 5. Il registro certifica dunque al Livello A l'esistenza dei rapporti tra il circuito di Calò e l'entourage dell'ultimo Calvi, attraverso Diotallevi e Carboni, e mantiene al Livello C, quale ipotesi non provata e giudizialmente respinta, la responsabilità nella morte del banchiere. La distinzione, ancora una volta, non è una cautela di stile ma la sostanza stessa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Calò-Diotallevi-Abbruciati, salda la famiglia di Porta Nuova al vertice della Magliana e costituisce il segmento romano dell'arco 1-6, certificato al Livello A dagli accertamenti convergenti dei processi romani e palermitani. La seconda, Calò-Carboni-Calvi, è il triangolo dell'ultima stagione del banchiere, certificato al Livello A quanto ai rapporti ed al Livello C quanto alla morte. La terza, Calò-camorra-estremismo romano, emersa nel processo per il 904, documenta la disponibilità di canali inter-organizzativi per l'approvvigionamento e l'esecuzione, certificata al Livello A nei limiti del giudicato. Sul piano dei pattern, il nodo Calò è il caso di scuola del Pattern 7, l'analisi delle migrazioni: un capo militare palermitano che migra funzionalmente nel dominio finanziario romano senza dismettere la posizione d'origine, e che da tale doppia posizione attinge la capacità, unica, di deliberare una strage come atto di politica criminale.</w:t>
      </w:r>
    </w:p>
    <w:p>
      <w:pPr>
        <w:spacing w:after="120" w:line="276"/>
        <w:jc w:val="both"/>
      </w:pPr>
      <w:r>
        <w:rPr>
          <w:rFonts w:ascii="Barlow Semi Condensed" w:cs="Barlow Semi Condensed" w:eastAsia="Barlow Semi Condensed" w:hAnsi="Barlow Semi Condensed"/>
          <w:sz w:val="24"/>
          <w:szCs w:val="24"/>
        </w:rPr>
        <w:t xml:space="preserve">Alla certificazione dei pilastri il capitolo aggiunge la scansione biografico-processuale che li salda. Il trasferimento romano di Calò, databile alla metà degli anni 70, si svolse sotto l'identità di copertura di Mario Aglialoro, sedicente commerciante, nella quale veste il capo di Porta Nuova visse per un decennio nella capitale intrecciando affari immobiliari e relazioni con il ceto dei faccendieri e con la manovalanza della Magliana, secondo la ricostruzione consegnata alle sentenze romane e palermitane, Livello A. L'arresto giunse il 30 marzo 1985 nella villa di Poggio San Lorenzo, nel Reatino: la perquisizione restituì armi, valori ed esplosivo, e le indagini tecniche stabilirono la compatibilità di quell'esplosivo con la miscela impiegata nell'attentato al rapido 904, saldando il reperto materiale alla strage che il capitolo ha già esposto, Livello A quanto al rinvenimento, Livello B quanto al giudizio di compatibilità nelle sue articolazioni peritali. Il percorso processuale della strage merita a sua volta la sua cronologia: condanna all'ergastolo in primo grado dalla Corte d'Assise di Firenze nel febbraio 1989, giudizio d'appello nel 1990, annullamento parziale con rinvio della Cassazione nel marzo 1991 e, all'esito del giudizio di rinvio, irrevocabilità dell'ergastolo di Calò nel novembre 1992, Livello A; accanto a lui, la condanna definitiva del sodale Guido Cercola, morto poi in carcere, e del tecnico tedesco reclutato per i congegni, Friedrich Schaudinn, Livello A quanto alle condanne. La qualificazione giuridica consegnata dalle motivazioni, strage aggravata dalla finalità di terrorismo commessa da un vertice mafioso in concorso con manovalanza camorristica ed apporti esterni, resta l'unico giudicato della storia repubblicana che saldi formalmente il Dominio 1 al Dominio 7, ed è la ragione per cui questo nodo, e non altri di maggior fama, custodisce l'arco più prezioso dell'intera fase.</w:t>
      </w:r>
    </w:p>
    <w:p>
      <w:pPr>
        <w:spacing w:after="120" w:line="276"/>
        <w:jc w:val="both"/>
      </w:pPr>
      <w:r>
        <w:rPr>
          <w:rFonts w:ascii="Barlow Semi Condensed" w:cs="Barlow Semi Condensed" w:eastAsia="Barlow Semi Condensed" w:hAnsi="Barlow Semi Condensed"/>
          <w:sz w:val="24"/>
          <w:szCs w:val="24"/>
        </w:rPr>
        <w:t xml:space="preserve">Un supplemento è dovuto sul versante romano dei patrimoni, perché il cassiere si certifica dai flussi. Le indagini patrimoniali degli anni 80 ricostruirono un portafoglio immobiliare e societario nella capitale gestito attraverso prestanome e faccendieri, nel quale compaiono figure che il registro ha già incontrato o incontrerà: l'imprenditore sardo Flavio Carboni, il finanziere di borgata Domenico Balducci, ucciso a Roma il 16 ottobre 1981 in un delitto che le sentenze sulla Magliana ricondussero al medesimo circuito d'affari, ed i vertici della banda romana quali soci di servizio, Livello A quanto agli accertamenti patrimoniali e all'omicidio Balducci, nei limiti dei rispettivi giudicati. In questa contabilità sta la funzione semiotica del cassiere, che una digressione può finalmente nominare: nel lessico di Cosa Nostra il cassiere non è un ragioniere, è un convertitore, l'operatore che trasforma la violenza accumulata in capitale relazionale e il capitale in protezione, e la traiettoria romana di Calò, dall'identità fittizia di commerciante all'esplosivo di Poggio San Lorenzo, descrive per intero il ciclo di quella conversione, fino al punto in cui la moneta della violenza tornò ad essere spesa nella sua forma primaria, dentro una galleria ferroviaria, la notte del 23 dicembre 1984.</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sz w:val="24"/>
          <w:szCs w:val="24"/>
        </w:rPr>
        <w:t xml:space="preserve">Alle motivazioni della strage il registro deve un'ultima annotazione, perché esse consegnano il movente accertato e la sua geometria. I giudici collocarono l'attentato del 23 dicembre 1984 nella stagione immediatamente successiva alle rivelazioni di Tommaso Buscetta ed all'ondata di mandati di cattura che ne era seguita, leggendovi una manovra di diversione strategica: colpire nel mucchio per costringere lo Stato a distogliere uomini e risorse dal fronte palermitano, secondo una logica di risposta terroristica alla pressione giudiziaria, Livello A nei limiti delle motivazioni definitive. La geografia rafforza la lettura: l'ordigno esplose nella medesima grande galleria appenninica presso San Benedetto Val di Sambro dove 10 anni prima, il 4 agosto 1974, era stato colpito il treno Italicus, sicché il luogo stesso funzionò da citazione, un richiamo topografico alla stagione stragista che il mittente, quale che ne fosse il calcolo, non poteva ignorare, Livello A quanto alla coincidenza dei luoghi, Livello C quanto ad ogni inferenza sulla intenzionalità della citazione. Il Pattern 10 registra la sovrapposizione spaziale; la Regola Ferrea impedisce di trasformarla in messaggio: ed il registro consegna al lettore entrambe le discipline, l'una accanto all'altra, come il metodo esige.</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Calò è certificato al Livello A quale cerniera tra i Domini 1, 6 e 7, sul fondamento congiunto della sentenza definitiva del maxiprocesso, degli accertamenti patrimoniali romani e dell'ergastolo irrevocabile per la strage del rapido 904, che costituisce l'arco mafia-strage a più alta certificazione dell'intero registro; la responsabilità nella morte di Calvi resta al Livello C in forza dell'assoluzione definitiva, ferma al Livello A l'esistenza dei rapporti con l'entourage del banchiere.</w:t>
      </w:r>
    </w:p>
    <w:p>
      <w:pPr>
        <w:pStyle w:val="Heading3"/>
        <w:spacing w:after="80" w:before="160"/>
      </w:pPr>
      <w:r>
        <w:rPr>
          <w:rFonts w:ascii="Barlow Semi Condensed" w:cs="Barlow Semi Condensed" w:eastAsia="Barlow Semi Condensed" w:hAnsi="Barlow Semi Condensed"/>
          <w:sz w:val="24"/>
          <w:szCs w:val="24"/>
        </w:rPr>
        <w:t xml:space="preserve">Capitolo 8 — ◆ La Banda della Magliana. La piattaforma di servizio inter-dominio della capitale</w:t>
      </w:r>
    </w:p>
    <w:p>
      <w:pPr>
        <w:spacing w:after="120" w:line="276"/>
        <w:jc w:val="both"/>
      </w:pPr>
      <w:r>
        <w:rPr>
          <w:rFonts w:ascii="Barlow Semi Condensed" w:cs="Barlow Semi Condensed" w:eastAsia="Barlow Semi Condensed" w:hAnsi="Barlow Semi Condensed"/>
          <w:sz w:val="24"/>
          <w:szCs w:val="24"/>
        </w:rPr>
        <w:t xml:space="preserve">La Banda della Magliana, denominazione giudiziaria e giornalistica dell'organizzazione criminale romana attiva dalla seconda metà degli anni 70 alla fine degli anni 80, occupa nel registro una posizione che nessuna organizzazione meridionale può occupare: non un'organizzazione territoriale a fini propri, ma una piattaforma di servizio, un fornitore trasversale di prestazioni criminali, armi, denaro, custodia, esecuzioni, disponibile a committenti appartenenti a domini diversi. La scansione del corpus la registra 561 volte in 28 documenti, ed il suo interesse per l'opera risiede meno nella sua storia interna, pur documentata da un ciclo processuale ventennale, che nella mappa dei suoi archi esterni, i quali toccano, con gradi diversi di certificazione, i Domini 1, 3, 4, 5, 6 e 7: nessun altro nodo criminale italiano presenta un ventaglio comparabile.</w:t>
      </w:r>
    </w:p>
    <w:p>
      <w:pPr>
        <w:spacing w:after="120" w:line="276"/>
        <w:jc w:val="both"/>
      </w:pPr>
      <w:r>
        <w:rPr>
          <w:rFonts w:ascii="Barlow Semi Condensed" w:cs="Barlow Semi Condensed" w:eastAsia="Barlow Semi Condensed" w:hAnsi="Barlow Semi Condensed"/>
          <w:sz w:val="24"/>
          <w:szCs w:val="24"/>
        </w:rPr>
        <w:t xml:space="preserve">La struttura interna, quale risulta dal processo principale celebrato a Roma negli anni 90 sulla base delle dichiarazioni riscontrate dei collaboratori interni, primo fra tutti Maurizio Abbatino, e chiusosi con condanne definitive per associazione ed una lunga serie di fatti di sangue, era orizzontale e batteriale: batterie territoriali, quella della Magliana propriamente detta, quella di Testaccio ed Ostiense facente capo a Danilo Abbruciati ed Enrico De Pedis, quella dell'Acilia, federate attorno alla cassa comune, alla stanza di compensazione delle armi ed alla regola della spartizione. Il registro certifica al Livello A l'esistenza, la struttura e l'operatività dell'organizzazione, sul fondamento della convergenza tra giudicati, dichiarazioni riscontrate e riscontri materiali, tra i quali spicca, per il suo valore di ponte, il rinvenimento, nel 1981, dell'arsenale della banda occultato nei sotterranei del Ministero della Sanità: un deposito di armi comuni e da guerra custodito, per il tramite di un dipendente compiacente, entro un edificio dello Stato, circostanza che il registro classifica quale arco di infiltrazione logistica di Livello A e quale emblema materiale della porosità tra il dominio criminale e l'apparato pubblico capitolino. Dal medesimo arsenale, secondo gli accertamenti balistici e processuali del ciclo romano, provennero armi utilizzate in delitti eccellenti, e su 1 di tali tracciati balistici, quello relativo all'arma riferibile all'omicidio di Carmine Pecorelli, si tornerà tra breve con la cautela dovuta.</w:t>
      </w:r>
    </w:p>
    <w:p>
      <w:pPr>
        <w:spacing w:after="120" w:line="276"/>
        <w:jc w:val="both"/>
      </w:pPr>
      <w:r>
        <w:rPr>
          <w:rFonts w:ascii="Barlow Semi Condensed" w:cs="Barlow Semi Condensed" w:eastAsia="Barlow Semi Condensed" w:hAnsi="Barlow Semi Condensed"/>
          <w:sz w:val="24"/>
          <w:szCs w:val="24"/>
        </w:rPr>
        <w:t xml:space="preserve">Gli archi esterni vanno esposti dominio per dominio, ciascuno con il proprio livello. Verso il Dominio 1, l'arco è la giuntura con Cosa Nostra attraverso Giuseppe Calò, già certificata al Livello A nel capitolo 7: la Magliana offre al cassiere palermitano custodia di latitanti, disponibilità immobiliari, canali di investimento; riceve credito, droga, peso criminale. Verso il Dominio 7, gli archi sono 2 e di segno diverso. Il primo è il rapporto organico con l'estremismo nero romano dei Nuclei Armati Rivoluzionari: la contiguità tra la batteria di Testaccio ed esponenti dei NAR, primo fra tutti Massimo Carminati, è certificata al Livello A da giudicati che hanno accertato lo scambio di armi, la comune frequentazione dell'arsenale ministeriale e singoli fatti esecutivi in concorso; è questo l'arco che rese materialmente comunicanti, nella Roma a cavallo del 1980, la criminalità comune organizzata e l'eversione armata, e che costituisce uno dei reperti strutturali maggiori dell'intera rete. Il secondo arco verso il Dominio 7 è quello, già menzionato nel capitolo 1, che passa per il depistaggio della strage di Bologna: la vicenda della valigetta collocata sul treno Taranto-Milano nel gennaio 1981, per la quale sono intervenute le condanne definitive di Musumeci, Belmonte, Pazienza e Gelli, vide accertato l'apporto di manovalanza dell'area Magliana-estremismo romano nella fase materiale, e salda dunque, al Livello A nei limiti dei giudicati, la piattaforma criminale romana all'operazione di inquinamento condotta da uomini del servizio militare e dal vertice della loggia: è il quadrilatero Dominio 1-Dominio 3-Dominio 4-Dominio 7 condensato in 1 solo fatto storico.</w:t>
      </w:r>
    </w:p>
    <w:p>
      <w:pPr>
        <w:spacing w:after="120" w:line="276"/>
        <w:jc w:val="both"/>
      </w:pPr>
      <w:r>
        <w:rPr>
          <w:rFonts w:ascii="Barlow Semi Condensed" w:cs="Barlow Semi Condensed" w:eastAsia="Barlow Semi Condensed" w:hAnsi="Barlow Semi Condensed"/>
          <w:sz w:val="24"/>
          <w:szCs w:val="24"/>
        </w:rPr>
        <w:t xml:space="preserve">Verso il Dominio 3, oltre al segmento bolognese appena detto, il registro annota i rapporti tra singoli esponenti della banda ed uomini o collaboratori dei servizi, emersi in plurimi procedimenti: per la parte coperta da giudicato o da convergenza documentale piena vale il Livello A dei singoli episodi; per la parte affidata a dichiarazioni non riscontrate di collaboratori tardivi, il registro applica l'Indice di Contaminazione della Fonte e mantiene il Livello C, rifiutando la scorciatoia, frequentissima nella pubblicistica, che dalla contiguità episodica inferisce l'organicità. Verso il Dominio 6, l'arco è il riciclaggio e l'usura di alto livello sul mercato romano, con la penetrazione in società, esercizi e circuiti finanziari capitolini, certificata al Livello A dal ciclo processuale patrimoniale. Verso il Dominio 2, gli atti registrano contiguità ambientali e protezioni episodiche emerse nei processi, che il registro mantiene al Livello B, non essendo intervenuto alcun giudicato su rapporti organici tra la banda e personale politico.</w:t>
      </w:r>
    </w:p>
    <w:p>
      <w:pPr>
        <w:spacing w:after="120" w:line="276"/>
        <w:jc w:val="both"/>
      </w:pPr>
      <w:r>
        <w:rPr>
          <w:rFonts w:ascii="Barlow Semi Condensed" w:cs="Barlow Semi Condensed" w:eastAsia="Barlow Semi Condensed" w:hAnsi="Barlow Semi Condensed"/>
          <w:sz w:val="24"/>
          <w:szCs w:val="24"/>
        </w:rPr>
        <w:t xml:space="preserve">Il ponte verso il Dominio 5 esige il massimo della disciplina, perché è il più esposto alla suggestione. Il fatto certo è il seguente: Enrico De Pedis, detto Renatino, capo della batteria di Testaccio, ucciso a Roma il 2 febbraio 1990, fu sepolto nella basilica di Sant'Apollinare, adiacente alla scuola frequentata da Emanuela Orlandi, la cittadina vaticana quindicenne scomparsa il 22 giugno 1983, e vi rimase fino alla riesumazione del 2012, in forza di autorizzazioni ecclesiastiche la cui concessione ad un capo criminale è essa stessa il reperto. Il registro certifica al Livello A la sepoltura, la sua anomalia e la sua durata; certifica al Livello B, quale risultanza di atti d'indagine e di dichiarazioni parzialmente riscontrate, l'esistenza di cointeressenze finanziarie tra ambienti della banda ed ambienti romani prossimi ad istituzioni ecclesiastiche; e mantiene rigorosamente al Livello C ogni ipotesi sul nesso tra la banda e la scomparsa della Orlandi, ipotesi alimentata da fonti ad altissimo Indice di Contaminazione, la cui inammissibilità fondativa il registro ha già sancito. Qui più che altrove la Regola Ferrea mostra la sua funzione: tra una sepoltura anomala certificata ed un sequestro di persona attribuito corre un abisso probatorio che nessuna verosimiglianza narrativa autorizza a colmare.</w:t>
      </w:r>
    </w:p>
    <w:p>
      <w:pPr>
        <w:spacing w:after="120" w:line="276"/>
        <w:jc w:val="both"/>
      </w:pPr>
      <w:r>
        <w:rPr>
          <w:rFonts w:ascii="Barlow Semi Condensed" w:cs="Barlow Semi Condensed" w:eastAsia="Barlow Semi Condensed" w:hAnsi="Barlow Semi Condensed"/>
          <w:sz w:val="24"/>
          <w:szCs w:val="24"/>
        </w:rPr>
        <w:t xml:space="preserve">Un cenno, infine, all'omicidio di Carmine Pecorelli, il giornalista direttore dell'agenzia OP assassinato a Roma il 20 marzo 1979, che la Fase 4 tratterà nel suo contesto: per quel delitto furono processati, tra gli altri, Massimo Carminati quale esecutore e Giuseppe Calò quale anello mafioso, entro un'imputazione che saliva fino a Giulio Andreotti quale mandante; tutti gli imputati sono stati assolti in via definitiva, con l'annullamento senza rinvio, pronunciato dalla cassazione nel 2003, della condanna che la corte d'appello di Perugia aveva inflitto nel 2002 ad Andreotti e Gaetano Badalamenti. Il registro ne trae, per il presente capitolo, 2 dati: la certificazione al Livello A dell'esito assolutorio, che chiude giudizialmente l'ipotesi dell'esecuzione maglianese; e la permanenza dell'omicidio Pecorelli, tuttora privo di colpevoli accertati, nell'elenco dei delitti eccellenti insoluti, con le convergenze indiziarie di contesto, l'arma di provenienza compatibile con il circuito dell'arsenale, la materia dei ricatti pecorelliani, degradate per legge di metodo al Livello C.</w:t>
      </w:r>
    </w:p>
    <w:p>
      <w:pPr>
        <w:spacing w:after="120" w:line="276"/>
        <w:jc w:val="both"/>
      </w:pPr>
      <w:r>
        <w:rPr>
          <w:rFonts w:ascii="Barlow Semi Condensed" w:cs="Barlow Semi Condensed" w:eastAsia="Barlow Semi Condensed" w:hAnsi="Barlow Semi Condensed"/>
          <w:sz w:val="24"/>
          <w:szCs w:val="24"/>
        </w:rPr>
        <w:t xml:space="preserve">La lettura strutturale conclusiva è la seguente. La Magliana realizza, sul teatro romano, la funzione che la teoria delle reti denomina hub di servizio: un nodo la cui centralità non deriva dal comando su un territorio o su un dominio, ma dall'offerta di prestazioni interoperabili tra domini; ed è precisamente questa natura di piattaforma, e non una presunta regia superiore, che spiega, senza ipotesi aggiuntive, la sua ricorrenza in tanti fascicoli eterogenei. Il registro assume questa spiegazione minimale quale ipotesi prevalente ai sensi della procedura di Heuer, perché è quella meno contraddetta dalle evidenze, e relega al Livello C la spiegazione concorrente della banda quale braccio stabile di un'unica centrale, indicandone la condizione di promozione: la prova documentale di una direzione esterna unitaria e continuativa, che 30 anni di processi non hanno prodotto.</w:t>
      </w:r>
    </w:p>
    <w:p>
      <w:pPr>
        <w:spacing w:after="120" w:line="276"/>
        <w:jc w:val="both"/>
      </w:pPr>
      <w:r>
        <w:rPr>
          <w:rFonts w:ascii="Barlow Semi Condensed" w:cs="Barlow Semi Condensed" w:eastAsia="Barlow Semi Condensed" w:hAnsi="Barlow Semi Condensed"/>
          <w:sz w:val="24"/>
          <w:szCs w:val="24"/>
        </w:rPr>
        <w:t xml:space="preserve">La piattaforma va ora datata nei suoi atti costitutivi, perché anche le reti orizzontali hanno un certificato di nascita. Le sentenze collocano il salto di qualità nell'autunno del 1977, con il sequestro del duca Massimiliano Grazioli Lante della Rovere, prelevato il 7 novembre: il riscatto incassato e l'ostaggio ucciso, in spregio alla parola data, fornirono alle batterie nascenti il capitale iniziale e, insieme, la reputazione di spietatezza che è, nei mercati illegali, la forma prima del credito, Livello A quanto al fatto ed alla sua funzione genetica nelle ricostruzioni giudiziarie. La cronologia interna del comando è scandita da 2 morti: Franco Giuseppucci, detto il Negro, fondatore e baricentro carismatico, ucciso il 13 settembre 1980 nella faida con il clan dei Proietti, evento che innescò la stagione delle vendette incrociate e ridistribuì i pesi tra le batterie; ed Enrico De Pedis, detto Renatino, capo della componente testaccina ed uomo della proiezione finanziaria, ucciso in via del Pellegrino il 2 febbraio 1990, quando la parabola militare dell'organizzazione era già declinante e quella patrimoniale no, Livello A su entrambi. Alla vicenda della sepoltura di De Pedis nella basilica di Sant'Apollinare, che il capitolo ha già trattato con la disciplina dovuta, va aggiunto il solo epilogo documentale: il nulla osta e l'esumazione del giugno 2012, che chiusero materialmente l'anomalia senza scioglierne il significato, Livello A quanto ai provvedimenti.</w:t>
      </w:r>
    </w:p>
    <w:p>
      <w:pPr>
        <w:spacing w:after="120" w:line="276"/>
        <w:jc w:val="both"/>
      </w:pPr>
      <w:r>
        <w:rPr>
          <w:rFonts w:ascii="Barlow Semi Condensed" w:cs="Barlow Semi Condensed" w:eastAsia="Barlow Semi Condensed" w:hAnsi="Barlow Semi Condensed"/>
          <w:sz w:val="24"/>
          <w:szCs w:val="24"/>
        </w:rPr>
        <w:t xml:space="preserve">Il consolidamento giudiziario della piattaforma ha una data ed un perno. La data è il 23 luglio 1996, allorché la Corte d'Assise di Roma, a conclusione del processo principale, riconobbe l'esistenza dell'organizzazione e ne condannò i quadri superstiti, con esiti poi consolidati nei gradi successivi, Livello A. Il perno è il sistema dei collaboratori interni: Maurizio Abbatino, catturato in Venezuela nel 1992 dopo la latitanza, ed accanto a lui Antonio Mancini e Vittorio Carnovale, le cui dichiarazioni incrociate, riscontrate documentalmente, fornirono al processo la mappa delle batterie, dei caveau e degli omicidi, secondo il modello dichiarativo-riscontrale che il maxiprocesso palermitano aveva collaudato, Livello A quanto al ruolo processuale delle fonti. Su questo telaio il registro fissa 2 archi ulteriori, entrambi certificati. Il primo corre verso il Dominio 7 nella sua declinazione nera: le sentenze sui Nuclei Armati Rivoluzionari accertarono la circolazione di armi tra l'arsenale comune della banda e la manovalanza neofascista romana, con reperti balistici che ricorrono in delitti dell'una e dell'altra matrice, sicché il deposito custodito nei sotterranei del Ministero della Sanità funzionò, alla lettera, da armeria interdominio, Livello A nei limiti dei giudicati sui singoli reperti. Il secondo è un omicidio che condensa l'intera ambiguità del teatro romano: Aldo Semerari, cattedratico di psichiatria forense, perito di tribunali e insieme frequentatore documentato dell'eversione nera, dei clan campani e del sottobosco dei servizi, trovato decapitato ad Ottaviano il 1° aprile 1982; il fatto è certo, le attribuzioni processuali non approdarono a condanne, e le molte letture del movente restano consegnate al Livello C, ma la sola biografia relazionale della vittima, un uomo che attraversava in vita 4 domini, vale al registro quale reperto morfologico di prima grandezza sulla porosità della capitale in quegli anni.</w:t>
      </w:r>
    </w:p>
    <w:p>
      <w:pPr>
        <w:spacing w:after="120" w:line="276"/>
        <w:jc w:val="both"/>
      </w:pPr>
      <w:r>
        <w:rPr>
          <w:rFonts w:ascii="Barlow Semi Condensed" w:cs="Barlow Semi Condensed" w:eastAsia="Barlow Semi Condensed" w:hAnsi="Barlow Semi Condensed"/>
          <w:sz w:val="24"/>
          <w:szCs w:val="24"/>
        </w:rPr>
        <w:t xml:space="preserve">Chiude il capitolo la digressione che il teatro esige. Roma, negli anni della Magliana, funziona come ciò che la semiotica urbana chiamerebbe un porto franco dei codici: la città in cui il codice mafioso, il codice eversivo, il codice affaristico ed il codice degli apparati non si fondono, si scambiano, ciascuno pagando nella propria moneta. La banda ne fu il banco di cambio, non il sovrano; ed è per questo che la sua eredità processuale, diversamente da quella delle mafie territoriali, non è una geografia di mandamenti ma un registro di servizi resi. Chi cerchi il potere della Magliana non deve chiedersi che cosa comandava, ma che cosa faceva funzionare: domanda che, trasferita dal registro criminale a quello analitico, è esattamente la definizione di hub di servizio con cui questo capitolo l'ha consegnata alla rete.</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sz w:val="24"/>
          <w:szCs w:val="24"/>
        </w:rPr>
        <w:t xml:space="preserve">Sul piano organizzativo interno, un tratto distintivo certificato dai collaboratori merita menzione autonoma, perché distingue la piattaforma romana da ogni consorteria tradizionale: la cassa comune. Le dichiarazioni convergenti dei collaboratori, riscontrate nel processo principale, descrivono un sistema di contabilità unitaria dei proventi, la stecca paro, con ripartizione tendenzialmente egualitaria tra gli associati e mantenimento garantito ai detenuti ed alle loro famiglie, Livello A quanto agli accertamenti processuali sul modello. La regola, che parrebbe dettaglio di costume, è in realtà la chiave della morfologia: dove le mafie storiche distribuiscono secondo gerarchia, la banda distribuiva secondo appartenenza, e questa mutualità orizzontale spiega tanto la coesione della fase ascendente quanto la ferocia delle faide quando la cassa divenne oggetto di appropriazioni individuali. La sociologia organizzativa di Catino vi leggerebbe la conferma che le reti criminali oscillano tra il modello federale e quello consortile secondo la struttura degli incentivi: la Magliana nacque consorzio e morì per fallimento del proprio patto mutualistico, prima ancora che per l'azione repressiva, ed i collaboratori che ne smontarono l'edificio furono, non a caso, i creditori delusi di quel patto.</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Banda della Magliana è certificata al Livello A quale piattaforma di servizio inter-dominio con archi documentati verso i Domini 1, 3, 6 e 7, culminanti nell'arsenale custodito entro il Ministero della Sanità e nell'apporto al depistaggio di Bologna; il ponte verso il Dominio 5 è certificato al Livello A limitatamente alla sepoltura anomala di De Pedis ed al Livello B per le cointeressenze finanziarie, con degradazione al Livello C di ogni ipotesi sul caso Orlandi; l'esito assolutorio definitivo del processo Pecorelli è recepito quale dato acquisito.</w:t>
      </w:r>
    </w:p>
    <w:p>
      <w:pPr>
        <w:pStyle w:val="Heading3"/>
        <w:spacing w:after="80" w:before="160"/>
      </w:pPr>
      <w:r>
        <w:rPr>
          <w:rFonts w:ascii="Barlow Semi Condensed" w:cs="Barlow Semi Condensed" w:eastAsia="Barlow Semi Condensed" w:hAnsi="Barlow Semi Condensed"/>
          <w:sz w:val="24"/>
          <w:szCs w:val="24"/>
        </w:rPr>
        <w:t xml:space="preserve">Capitolo 9 — ▶ Vito Ciancimino. L'infiltrazione compiuta: il Dominio 1 dentro il Dominio 2</w:t>
      </w:r>
    </w:p>
    <w:p>
      <w:pPr>
        <w:spacing w:after="120" w:line="276"/>
        <w:jc w:val="both"/>
      </w:pPr>
      <w:r>
        <w:rPr>
          <w:rFonts w:ascii="Barlow Semi Condensed" w:cs="Barlow Semi Condensed" w:eastAsia="Barlow Semi Condensed" w:hAnsi="Barlow Semi Condensed"/>
          <w:sz w:val="24"/>
          <w:szCs w:val="24"/>
        </w:rPr>
        <w:t xml:space="preserve">Vito Ciancimino, nato a Corleone il 2 aprile 1924 e morto a Roma il 19 novembre 2002, è il caso di scuola dell'intera tassonomia degli archi inter-dominio: l'unico sindaco di Palermo condannato con sentenza divenuta irrevocabile per concorso in associazione mafiosa, oltre che per corruzione, e dunque l'unico nodo del registro per il quale l'arco di infiltrazione del Dominio 1 nel Dominio 2 non è una ricostruzione analitica ma una statuizione giudiziale definitiva. La scansione del corpus lo registra 355 volte in 12 documenti, con una distribuzione che attraversa gli atti della Commissione parlamentare antimafia di 3 legislature, le sentenze del ciclo palermitano e la memorialistica di contesto. Se Gelli è il nodo della loggia, Sindona il nodo pentadominio della finanza e Calò il nodo dell'arco mafia-strage, Ciancimino è il nodo nel quale l'infiltrazione si fa carica pubblica: non un politico che colluse con la mafia, ma, secondo l'accertamento dei giudici, un uomo organico al sodalizio che esercitò per decenni funzioni di governo cittadino.</w:t>
      </w:r>
    </w:p>
    <w:p>
      <w:pPr>
        <w:spacing w:after="120" w:line="276"/>
        <w:jc w:val="both"/>
      </w:pPr>
      <w:r>
        <w:rPr>
          <w:rFonts w:ascii="Barlow Semi Condensed" w:cs="Barlow Semi Condensed" w:eastAsia="Barlow Semi Condensed" w:hAnsi="Barlow Semi Condensed"/>
          <w:sz w:val="24"/>
          <w:szCs w:val="24"/>
        </w:rPr>
        <w:t xml:space="preserve">La biografia amministrativa è nota nelle sue scansioni. Figlio di un barbiere di Corleone, trasferitosi a Palermo, Ciancimino costruì la prima fortuna con la concessione del trasporto ferroviario su gomma, quindi entrò nella Democrazia Cristiana palermitana nella corrente fanfaniana che faceva capo a Giovanni Gioia, e nel 1959 divenne assessore ai lavori pubblici del comune di Palermo, nella giunta guidata dal giovane sindaco Salvatore Lima, detto Salvo. La coppia Lima-Ciancimino, sindaco l'uno ed assessore ai lavori pubblici l'altro, governò la stagione che gli atti parlamentari e la storiografia designano come sacco di Palermo: la distruzione pianificata del tessuto liberty e del verde storico della città, sostituiti da un'edilizia intensiva di qualità infima, realizzata in violazione sistematica degli strumenti urbanistici. Gli accertamenti condotti dalla Commissione parlamentare antimafia documentarono il meccanismo nel suo dato quantitativo, divenuto emblematico: 4.205 licenze edilizie rilasciate nel quinquennio, delle quali una quota superiore ai 4 quinti risultò formalmente intestata a 5 prestanome, pensionati e nullatenenti privi di qualsiasi capacità imprenditoriale, dietro i quali operavano i costruttori dell'area mafiosa. Il registro certifica al Livello A, sul fondamento degli atti parlamentari e delle sentenze successive che li recepirono, il dato delle licenze ed il suo significato strutturale: l'assessorato ai lavori pubblici di Palermo funzionò, in quegli anni, come lo sportello attraverso il quale il Dominio 1 convertì il controllo territoriale in rendita urbana, ed il ciclo edilizio fu il primo grande apparato di riciclaggio e di accumulazione della mafia siciliana del dopoguerra, prima ancora che l'eroina moltiplicasse gli ordini di grandezza.</w:t>
      </w:r>
    </w:p>
    <w:p>
      <w:pPr>
        <w:spacing w:after="120" w:line="276"/>
        <w:jc w:val="both"/>
      </w:pPr>
      <w:r>
        <w:rPr>
          <w:rFonts w:ascii="Barlow Semi Condensed" w:cs="Barlow Semi Condensed" w:eastAsia="Barlow Semi Condensed" w:hAnsi="Barlow Semi Condensed"/>
          <w:sz w:val="24"/>
          <w:szCs w:val="24"/>
        </w:rPr>
        <w:t xml:space="preserve">La carriera di Ciancimino culminò e precipitò nello stesso anno. Nell'autunno del 1970 fu eletto sindaco di Palermo, ma la carica durò poche settimane: l'ondata di reazioni nazionali, alimentata dai lavori della Commissione antimafia che già lo aveva indicato quale figura centrale del sistema di potere mafioso-amministrativo, lo costrinse alle dimissioni entro la fine dell'anno. Il registro annota il dato con una notazione di metodo: il 1970 è l'anno in cui, per la prima volta nella storia repubblicana, un organo parlamentare rese politicamente insostenibile un uomo di governo locale per ragioni di contiguità mafiosa, e ciò accadde 12 anni prima che il reato di associazione di tipo mafioso entrasse nel codice penale con la legge Rognoni-La Torre del 1982. Ciancimino, tuttavia, non uscì dal sistema: privato della carica, conservò per oltre un decennio il controllo di fatto su settori decisivi dell'amministrazione, dagli appalti alle esattorie, quale capo occulto di una corrente e terminale di pacchetti di tessere, secondo il modello che la teoria del contenitore, adottata dal registro, descrive come occupazione senza titolarità: il potere non risiede nella carica ma nella rete, e la perdita della carica non estingue la rete.</w:t>
      </w:r>
    </w:p>
    <w:p>
      <w:pPr>
        <w:spacing w:after="120" w:line="276"/>
        <w:jc w:val="both"/>
      </w:pPr>
      <w:r>
        <w:rPr>
          <w:rFonts w:ascii="Barlow Semi Condensed" w:cs="Barlow Semi Condensed" w:eastAsia="Barlow Semi Condensed" w:hAnsi="Barlow Semi Condensed"/>
          <w:sz w:val="24"/>
          <w:szCs w:val="24"/>
        </w:rPr>
        <w:t xml:space="preserve">Il secondo pilastro probatorio è il rapporto con il vertice corleonese. Le dichiarazioni convergenti di Tommaso Buscetta e di altri collaboratori di giustizia, riscontrate nel ciclo processuale palermitano, collocano Ciancimino in rapporto organico con la famiglia di Corleone, e segnatamente con Salvatore Riina e Bernardo Provenzano, dei quali fu, secondo l'accertamento giudiziale, il referente nel governo della cosa pubblica palermitana: non un politico avvicinato dai corleonesi, ma un uomo dei corleonesi collocato nella politica. È questa qualificazione, e non una generica contiguità, che la sentenza irrevocabile di condanna per concorso in associazione mafiosa ha consacrato, ed è per questa ragione che il registro assume il nodo Ciancimino quale arco di infiltrazione compiuta, distinguendolo con cura dagli archi di collusione che popolano il resto del capitolo palermitano. La distinzione non è nominalistica: nell'arco di collusione i 2 nodi restano ciascuno nel proprio dominio e scambiano risorse attraverso il confine; nell'arco di infiltrazione un nodo del Dominio 1 assume una posizione formale nel Dominio 2 conservando la lealtà d'origine, sicché il confine stesso è violato dall'interno. Ciancimino sembrava appartenere al sistema politico, ma operava, per usare il lessico luhmanniano della Nota metodologica, nel codice inclusione-esclusione del sistema mafioso.</w:t>
      </w:r>
    </w:p>
    <w:p>
      <w:pPr>
        <w:spacing w:after="120" w:line="276"/>
        <w:jc w:val="both"/>
      </w:pPr>
      <w:r>
        <w:rPr>
          <w:rFonts w:ascii="Barlow Semi Condensed" w:cs="Barlow Semi Condensed" w:eastAsia="Barlow Semi Condensed" w:hAnsi="Barlow Semi Condensed"/>
          <w:sz w:val="24"/>
          <w:szCs w:val="24"/>
        </w:rPr>
        <w:t xml:space="preserve">Il terzo pilastro è giudiziario e patrimoniale. Il 3 novembre 1984, nel pieno della stagione istruttoria alimentata dalle rivelazioni di Buscetta, Ciancimino fu arrestato su provvedimento dell'ufficio istruzione di Palermo: fu il primo arresto di un uomo politico di quel rango ordinato dal pool antimafia, e la sua data appartiene alla cronologia fondativa del metodo Falcone quanto il blitz di San Michele o la consegna del maxiprocesso. Ne seguì un ciclo processuale che si concluse, per i capi d'imputazione qui rilevanti, con la condanna divenuta irrevocabile per concorso in associazione mafiosa e, in separato procedimento, per corruzione; le date puntuali delle singole pronunce di legittimità presentano, nelle fonti secondarie del corpus, oscillazioni che il registro non è in grado di comporre con la certezza documentale richiesta, sicché, in applicazione del lessico calibrato dell'incertezza, si certifica al Livello A l'esistenza e l'irrevocabilità delle condanne, rinviando per gli estremi cronologici esatti al fascicolo delle fonti primarie la cui acquisizione è iscritta tra i compiti pendenti. Alla condanna personale si accompagnò l'aggressione patrimoniale: le misure di prevenzione e le confische colpirono un patrimonio di eccezionale entità, disperso in intestazioni fiduciarie, società ed appostamenti esteri, la cui ricostruzione impegnò gli uffici per anni e la cui parte emersa costituisce, ancora oggi, uno dei maggiori compendi ablativi della storia delle misure patrimoniali antimafia. Il registro vi legge la conferma sperimentale del principio falconiano assunto a fondamento dell'intera opera: la struttura dell'organizzazione è leggibile nelle tracce che lascia nel mondo visibile, e nessuna traccia è più leggibile del denaro.</w:t>
      </w:r>
    </w:p>
    <w:p>
      <w:pPr>
        <w:spacing w:after="120" w:line="276"/>
        <w:jc w:val="both"/>
      </w:pPr>
      <w:r>
        <w:rPr>
          <w:rFonts w:ascii="Barlow Semi Condensed" w:cs="Barlow Semi Condensed" w:eastAsia="Barlow Semi Condensed" w:hAnsi="Barlow Semi Condensed"/>
          <w:sz w:val="24"/>
          <w:szCs w:val="24"/>
        </w:rPr>
        <w:t xml:space="preserve">Il quarto pilastro esige il massimo rigore, perché investe la stagione terminale della biografia ed il capitolo più contaminato dell'intera vicenda: i contatti del 1992 con gli ufficiali del Raggruppamento operativo speciale dell'Arma dei carabinieri. Il fatto storico è certificato al Livello A dall'intero ciclo processuale che ne è seguito, nel quale esso non è mai stato controverso: nell'estate del 1992, tra la strage di Capaci e quella di via D'Amelio e nei mesi successivi, gli ufficiali Mario Mori e Giuseppe De Donno ebbero con Vito Ciancimino una serie di incontri riservati, formalmente finalizzati alla ricerca di un canale verso la latitanza corleonese ed alla cattura di Riina. Sulla qualificazione di quei contatti si è consumato il più lungo e divisivo processo della storia recente, il cosiddetto processo sulla trattativa tra lo Stato e la mafia; ed il registro, in ossequio alla propria regola di riportare per esteso gli esiti assolutori, recepisce il giudicato nei termini seguenti: la corte di cassazione, con sentenza pronunciata nell'aprile del 2023, ha reso definitiva l'assoluzione degli ufficiali dell'Arma Mario Mori, Antonio Subranni e Giuseppe De Donno, nonché dell'esponente politico Marcello Dell'Utri, dall'imputazione di minaccia a corpo politico dello Stato, sul rilievo, già formulato dalla corte d'assise d'appello di Palermo nel 2021, che il fatto non costituisce reato, ferme restando le statuizioni concernenti gli imputati appartenenti all'organizzazione mafiosa. Ne discende, per il registro, una doppia certificazione: al Livello A i contatti Mori-De Donno-Ciancimino quale fatto storico, con il loro valore di arco documentato tra il Dominio 9, il Dominio 3 nella sua accezione di intelligence investigativa ed il Dominio 1 attraverso il tramite di un condannato per mafia; al Livello C, in quanto ipotesi giudizialmente respinta per il versante istituzionale, ogni ricostruzione che di quei contatti faccia il segmento di un patto di scambio tra lo Stato e Cosa Nostra. La Regola Ferrea vieta di colmare con la verosimiglianza ciò che 3 gradi di giudizio hanno lasciato vuoto.</w:t>
      </w:r>
    </w:p>
    <w:p>
      <w:pPr>
        <w:spacing w:after="120" w:line="276"/>
        <w:jc w:val="both"/>
      </w:pPr>
      <w:r>
        <w:rPr>
          <w:rFonts w:ascii="Barlow Semi Condensed" w:cs="Barlow Semi Condensed" w:eastAsia="Barlow Semi Condensed" w:hAnsi="Barlow Semi Condensed"/>
          <w:sz w:val="24"/>
          <w:szCs w:val="24"/>
        </w:rPr>
        <w:t xml:space="preserve">Al medesimo capitolo appartiene la questione della fonte Massimo Ciancimino. Il figlio di Vito, divenuto dopo la morte del padre dichiarante di massa mediatica prima ancora che processuale, è la figura sulla quale il registro ha tarato l'Indice di Contaminazione della Fonte: condannato per calunnia ai danni di un alto funzionario dello Stato, smentito su punti qualificanti da accertamenti documentali, produttore di reperti la cui genuinità è stata giudizialmente esclusa, egli integra il punteggio di contaminazione che determina, ai sensi del protocollo Savona 2.1, l'inammissibilità fondativa: nessuna affermazione del registro può poggiare, in via esclusiva o determinante, su sue dichiarazioni non altrimenti riscontrate, e le voci del corpus che da esse derivano sono marcate in via permanente, senza possibilità di riabilitazione per effetto di successive dichiarazioni veritiere. Il caso è esemplare della funzione profilattica dell'indice: la vicenda Ciancimino padre è tra le meglio documentate del registro proprio perché il registro ha potuto separarla chirurgicamente dalla vicenda dichiarativa Ciancimino figlio, che l'avrebbe altrimenti trascinata nella zona della conoscenza contaminata.</w:t>
      </w:r>
    </w:p>
    <w:p>
      <w:pPr>
        <w:spacing w:after="120" w:line="276"/>
        <w:jc w:val="both"/>
      </w:pPr>
      <w:r>
        <w:rPr>
          <w:rFonts w:ascii="Barlow Semi Condensed" w:cs="Barlow Semi Condensed" w:eastAsia="Barlow Semi Condensed" w:hAnsi="Barlow Semi Condensed"/>
          <w:sz w:val="24"/>
          <w:szCs w:val="24"/>
        </w:rPr>
        <w:t xml:space="preserve">Le triangolazioni del nodo sono 3, e disegnano la geografia del potere palermitano di 3 decenni. La prima, Ciancimino-Lima-Gioia, è il triangolo democristiano delle origini, l'apparato correntizio dentro il quale l'infiltrazione maturò: essa appartiene al Livello A quanto ai rapporti politico-amministrativi documentati dagli atti, con la precisazione, imposta dal metodo, che la posizione di Lima nel sistema riceverà nel capitolo 10 una qualificazione giudiziale distinta e non sovrapponibile a quella di Ciancimino. La seconda, Ciancimino-Riina-Provenzano, è il triangolo corleonese, certificato al Livello A dal giudicato di condanna e dalle dichiarazioni riscontrate dei collaboratori; in esso il registro segnala, quale dato strutturale, la funzione di Ciancimino come arco esclusivo: per un lungo periodo, il canale corleonese verso l'amministrazione palermitana passò in misura preponderante da un solo nodo, ed è precisamente questa esclusività, questa altissima betweenness locale, che rese Ciancimino al tempo stesso potentissimo e, caduto il segreto, sacrificabile senza che la rete si disconnettesse, giacché i corleonesi disponevano ormai di percorsi alternativi. La terza triangolazione, Ciancimino-Mori-De Donno, è il triangolo terminale del 1992, certificato al Livello A quale fatto ed al Livello C quale patto, nei termini già esposti.</w:t>
      </w:r>
    </w:p>
    <w:p>
      <w:pPr>
        <w:spacing w:after="120" w:line="276"/>
        <w:jc w:val="both"/>
      </w:pPr>
      <w:r>
        <w:rPr>
          <w:rFonts w:ascii="Barlow Semi Condensed" w:cs="Barlow Semi Condensed" w:eastAsia="Barlow Semi Condensed" w:hAnsi="Barlow Semi Condensed"/>
          <w:sz w:val="24"/>
          <w:szCs w:val="24"/>
        </w:rPr>
        <w:t xml:space="preserve">Sul piano dei pattern, il nodo attiva 3 procedure. Il Pattern 7, l'analisi delle carriere, vi legge la traiettoria inversa a quella consueta: non un attore che migra tra domini, ma un attore che non migra affatto, restando organico al Dominio 1 mentre percorre per intero il cursus honorum del Dominio 2, a dimostrazione che la migrazione apparente può essere il travestimento della stabilità reale. Il Pattern 10, la sovrapposizione spaziale, identifica nell'assessorato ai lavori pubblici di Palermo una zona di convergenza nel senso pieno: un luogo fisico ed istituzionale nel quale, per anni, la densità di attori dei Domini 1, 2 e 6 superò ogni media, e dal quale si irradiò la trasformazione urbanistica che è la traccia materiale, tuttora visibile nella pietra della città, dell'accoppiamento tra i domini. Il Pattern 8, l'analisi dello sfruttamento delle crisi, registra infine che la stagione terminale del nodo coincise con la più grave crisi dell'ordine repubblicano dal dopoguerra, il biennio stragista 1992-1993, e che fu precisamente la crisi a riaprire, per un condannato ormai marginale, un canale verso apparati dello Stato: conferma ulteriore che le crisi rendono porosi i confini tra i domini e rimettono in circolazione nodi che il sistema aveva espulso.</w:t>
      </w:r>
    </w:p>
    <w:p>
      <w:pPr>
        <w:spacing w:after="120" w:line="276"/>
        <w:jc w:val="both"/>
      </w:pPr>
      <w:r>
        <w:rPr>
          <w:rFonts w:ascii="Barlow Semi Condensed" w:cs="Barlow Semi Condensed" w:eastAsia="Barlow Semi Condensed" w:hAnsi="Barlow Semi Condensed"/>
          <w:sz w:val="24"/>
          <w:szCs w:val="24"/>
        </w:rPr>
        <w:t xml:space="preserve">Il sacco urbanistico, sin qui evocato quale contesto, va ora consegnato nei suoi numeri e nel suo documento fondativo, perché è il caso più limpido dell'intero registro in cui la pietra si fa archivio. Negli anni dell'assessorato ai lavori pubblici, tra il 1959 ed il 1964, l'amministrazione palermitana rilasciò oltre 4.000 licenze edilizie, delle quali una quota prossima all'80% risultò formalmente intestata a 5 prestanome, pensionati e nullatenenti privi di qualsiasi capacità imprenditoriale, dietro i quali operava il blocco edilizio-mafioso beneficiario della stagione: il dato, che parrebbe iperbole pamphlettistica, è invece accertamento consegnato agli atti dell'inchiesta parlamentare antimafia ed alle ispezioni amministrative coeve, Livello A. Il documento fondativo è il rapporto della commissione d'indagine comunale presieduta da Tommaso Bevivino, che a metà degli anni 60 certificò nero su bianco la meccanica delle licenze ai prestanome e delle varianti pilotate, consegnando alla Repubblica, con un decennio d'anticipo su ogni collaboratore di giustizia, la radiografia amministrativa dell'infiltrazione, Livello A. Il costo materiale della stagione, la demolizione del tessuto liberty e del verde storico della Conca d'Oro sostituiti dall'edilizia intensiva, appartiene alla storiografia urbanistica consolidata, Livello B quanto alle stime quantitative, ed al paesaggio della città quale prova permanente: chi voglia leggere il dominio di quegli anni non ha bisogno di fascicoli, gli basta alzare gli occhi lungo via della Libertà, dove ogni cortina di cemento è la pagina di un verbale che nessuno potrà mai secretare.</w:t>
      </w:r>
    </w:p>
    <w:p>
      <w:pPr>
        <w:spacing w:after="120" w:line="276"/>
        <w:jc w:val="both"/>
      </w:pPr>
      <w:r>
        <w:rPr>
          <w:rFonts w:ascii="Barlow Semi Condensed" w:cs="Barlow Semi Condensed" w:eastAsia="Barlow Semi Condensed" w:hAnsi="Barlow Semi Condensed"/>
          <w:sz w:val="24"/>
          <w:szCs w:val="24"/>
        </w:rPr>
        <w:t xml:space="preserve">Il percorso giudiziario del nodo va a sua volta scandito. Dopo l'arresto del novembre 1984, Ciancimino conobbe la misura del soggiorno obbligato e l'avvio del ciclo processuale palermitano, che approdò alla condanna di primo grado nei primi anni 90 ed alla irrevocabilità, per concorso in associazione mafiosa e per corruzione, con la pronuncia della Corte di cassazione del 2001, cui si accompagnò l'imponente apparato delle misure patrimoniali, sequestri e confische per importi dell'ordine delle decine di miliardi di lire, che riconsegnarono allo Stato una frazione della rendita del sacco, Livello A quanto alle statuizioni, nei limiti delle rispettive pronunce. La morte a Roma, il 19 novembre 2002, chiuse la biografia mentre era ancora aperta, e tale sarebbe rimasta, la stagione delle propalazioni del figlio, che il capitolo ha già consegnato alla propria disciplina. Resta al registro la lettura d'insieme, che una digressione può permettersi: Ciancimino è l'unico nodo dell'intera fase per il quale il corpo del reato coincide con il corpo della città, e questa coincidenza fa di Palermo il caso di scuola del Pattern 10, la convergenza spaziale come indicatore. Dove l'archivio cartaceo è stato distrutto, corrotto o secretato, l'archivio urbanistico resiste: le pietre non ritrattano, non patteggiano e non muoiono, e la loro testimonianza, per chi sappia interrogarle con il metodo dell'indiziario, vale quella di un pentito che non ha nulla da chiedere in cambio.</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sz w:val="24"/>
          <w:szCs w:val="24"/>
        </w:rPr>
        <w:t xml:space="preserve">Alla documentazione amministrativa degli anni 60 va affiancato il secondo pilastro parlamentare, che precede di un decennio la stagione giudiziaria: la relazione della Commissione antimafia presieduta da Francesco Cattanei, approvata nel 1971, che dedicò alla carriera di Ciancimino ed alla meccanica delle licenze palermitane pagine di analitica durezza, documentando il sistema dei prestanome e la saldatura tra apparato correntizio ed interessi edilizi, Livello A quanto al contenuto della relazione. L'effetto politico immediato fu la rinuncia del personaggio ad ogni ulteriore candidatura di vertice, senza tuttavia che la sua funzione reale ne risultasse intaccata per oltre un decennio: ed è questa divaricazione tra la sanzione reputazionale, immediata, e la sanzione penale, differita di 20 anni, a consegnare al registro la misura esatta della resilienza del nodo. Il caso conferma una regolarità che il Pattern 8 registra in tutta la serie storica: nelle reti di potere territoriale, la perdita della posizione formale non equivale alla perdita della funzione, e talvolta la agevola, liberando il nodo dai costi della visibilità; sicché il Ciancimino privato di cariche degli anni 70 e 80 fu, per concorde accertamento processuale, più potente del Ciancimino sindaco delle poche settimane del 1970.</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Ciancimino è certificato al Livello A quale arco di infiltrazione compiuta del Dominio 1 nel Dominio 2, sul fondamento della condanna irrevocabile per concorso in associazione mafiosa e per corruzione, degli accertamenti parlamentari sul sacco di Palermo e delle dichiarazioni riscontrate sul rapporto organico con il vertice corleonese; i contatti del 1992 con gli ufficiali del ROS sono certificati al Livello A quale fatto storico, mentre la loro qualificazione quale trattativa resta al Livello C in forza del giudicato assolutorio del 2023, riportato per esteso; le dichiarazioni di Massimo Ciancimino sono colpite da inammissibilità fondativa ai sensi dell'Indice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10 — ▶ Salvo Lima ed il ponte andreottiano. La certificazione giudiziale postuma di un referente</w:t>
      </w:r>
    </w:p>
    <w:p>
      <w:pPr>
        <w:spacing w:after="120" w:line="276"/>
        <w:jc w:val="both"/>
      </w:pPr>
      <w:r>
        <w:rPr>
          <w:rFonts w:ascii="Barlow Semi Condensed" w:cs="Barlow Semi Condensed" w:eastAsia="Barlow Semi Condensed" w:hAnsi="Barlow Semi Condensed"/>
          <w:sz w:val="24"/>
          <w:szCs w:val="24"/>
        </w:rPr>
        <w:t xml:space="preserve">Salvatore Lima, detto Salvo, nato a Palermo il 23 gennaio 1928 ed ucciso a Mondello il 12 marzo 1992, chiude la Fase 1 perché il suo nodo è, nell'economia del registro, il più paradossale: la certificazione giudiziale del suo ruolo di ponte tra il Dominio 1 ed il Dominio 2 non proviene da una condanna, che la morte impedì, ma dalle sentenze definitive sul suo stesso omicidio e dalla sentenza definitiva sul processo al capo della corrente cui apparteneva. Lima è il nodo la cui funzione è stata accertata post mortem, attraverso la ricostruzione del movente di chi lo uccise: un caso, forse unico nella giurisprudenza europea, in cui la vittima di un omicidio deliberato da un'organizzazione criminale è stata giudizialmente qualificata quale referente di quella stessa organizzazione, sicché l'atto che la sopprime è, ad un tempo, la prova del legame che la univa ai suoi assassini. La scansione del corpus lo registra 545 volte in 15 documenti.</w:t>
      </w:r>
    </w:p>
    <w:p>
      <w:pPr>
        <w:spacing w:after="120" w:line="276"/>
        <w:jc w:val="both"/>
      </w:pPr>
      <w:r>
        <w:rPr>
          <w:rFonts w:ascii="Barlow Semi Condensed" w:cs="Barlow Semi Condensed" w:eastAsia="Barlow Semi Condensed" w:hAnsi="Barlow Semi Condensed"/>
          <w:sz w:val="24"/>
          <w:szCs w:val="24"/>
        </w:rPr>
        <w:t xml:space="preserve">La biografia politica precede e prepara la funzione. Sindaco di Palermo dal 1958 al 1963 e nuovamente dal 1965 al 1968, negli anni del sacco urbanistico di cui il capitolo 9 ha esposto la meccanica, Lima passò nel 1968 alla Camera dei deputati e compì, in quello stesso anno, la mossa che ne determinò il rilievo nazionale: l'adesione, con l'intero suo apparato siciliano, alla corrente di Giulio Andreotti, sino ad allora priva di una base meridionale significativa. Il conferimento del pacchetto siciliano trasformò una corrente romana e laziale in una delle grandi correnti nazionali della Democrazia Cristiana, e fece di Lima il proconsole dell'andreottismo nell'isola: la stagione fu detta, nel lessico interno del partito, la primavera siciliana della corrente. Dal 1979 Lima sedette al Parlamento europeo, posizione che ne accrebbe l'immunità di fatto e ne ridusse l'esposizione nazionale, senza intaccarne il controllo sul sistema di potere isolano. Il registro certifica al Livello A, sul fondamento degli atti parlamentari, della pubblicistica di qualità e delle sentenze che li recepirono, la struttura di questo apparato: il rapporto privilegiato con i cugini Antonino ed Ignazio Salvo, gli esattori di Salemi, titolari del più redditizio sistema di riscossione privata dei tributi d'Europa, uomini d'onore della famiglia di Salemi secondo l'accertamento del maxiprocesso, e finanziatori e organizzatori del consenso della corrente; ed il rapporto, mediato e diretto, con le famiglie palermitane, delle quali l'apparato limiano raccoglieva le indicazioni ed ai cui interessi assicurava ascolto.</w:t>
      </w:r>
    </w:p>
    <w:p>
      <w:pPr>
        <w:spacing w:after="120" w:line="276"/>
        <w:jc w:val="both"/>
      </w:pPr>
      <w:r>
        <w:rPr>
          <w:rFonts w:ascii="Barlow Semi Condensed" w:cs="Barlow Semi Condensed" w:eastAsia="Barlow Semi Condensed" w:hAnsi="Barlow Semi Condensed"/>
          <w:sz w:val="24"/>
          <w:szCs w:val="24"/>
        </w:rPr>
        <w:t xml:space="preserve">Il primo pilastro probatorio è l'omicidio ed il suo movente giudizialmente accertato. La mattina del 12 marzo 1992, in via delle Palme a Mondello, 2 sicari a bordo di una motocicletta affiancarono l'automobile sulla quale Lima viaggiava con 2 accompagnatori, lo costrinsero a fuggire a piedi e lo abbatterono con 2 colpi. Le sentenze definitive che ne sono seguite hanno attribuito la deliberazione alla Commissione provinciale di Cosa Nostra, con condanna all'ergastolo dei componenti del vertice corleonese quali mandanti, e l'esecuzione ad uomini d'onore in parte divenuti, negli anni successivi, collaboratori di giustizia, le cui confessioni hanno consentito la ricostruzione integrale dell'operazione. Ciò che il registro assume quale reperto capitale non è però l'attribuzione, ma il movente che le motivazioni consacrano: Lima fu ucciso perché non aveva garantito, presso la corte di cassazione, l'esito favorevole del maxiprocesso, la cosiddetta sistemazione che l'organizzazione attendeva dal proprio referente politico e che la sentenza del 30 gennaio 1992, di cui il capitolo 7 ha detto, aveva definitivamente negato. L'omicidio fu, nelle parole che le sentenze riprendono dai collaboratori, una punizione ed un messaggio: la punizione del garante inadempiente, il messaggio a tutti i garanti superstiti che la stagione della convivenza era chiusa. Il registro certifica al Livello A questo accertamento e ne esplicita il valore sistemico: il movente giudizialmente accertato dell'omicidio Lima è la prova, resistente ad ogni revisione, che un canale di garanzia tra il vertice di Cosa Nostra ed un segmento del ceto politico nazionale era esistito, aveva funzionato per anni ed era venuto meno; l'arco Dominio 1-Dominio 2 è qui certificato non dalla parola di un pentito né da un documento, ma dalla logica stessa di un delitto che senza quell'arco sarebbe inspiegabile.</w:t>
      </w:r>
    </w:p>
    <w:p>
      <w:pPr>
        <w:spacing w:after="120" w:line="276"/>
        <w:jc w:val="both"/>
      </w:pPr>
      <w:r>
        <w:rPr>
          <w:rFonts w:ascii="Barlow Semi Condensed" w:cs="Barlow Semi Condensed" w:eastAsia="Barlow Semi Condensed" w:hAnsi="Barlow Semi Condensed"/>
          <w:sz w:val="24"/>
          <w:szCs w:val="24"/>
        </w:rPr>
        <w:t xml:space="preserve">Il secondo pilastro è la sentenza sul capo della corrente, che il registro riporta, in ossequio alla propria regola, per esteso e senza parafrasi riduttive. Giulio Andreotti, 7 volte presidente del Consiglio, fu imputato a Palermo di associazione per delinquere ed associazione di tipo mafioso. La corte d'appello di Palermo, con sentenza del 2 maggio 2003, riformando la piena assoluzione di primo grado, dichiarò non doversi procedere in ordine al reato di partecipazione ad associazione per delinquere, commesso fino alla primavera del 1980, perché estinto per prescrizione, ed assolse Andreotti dal reato di partecipazione ad associazione di tipo mafioso per il periodo successivo, con la formula dell'articolo 530, comma 2, del codice di procedura penale; la corte di cassazione, con sentenza del 15 ottobre 2004, rigettò i ricorsi e rese definitiva la pronuncia. Il dictum è dunque duplice e va tenuto nella sua interezza: per il periodo anteriore alla primavera del 1980 il giudice d'appello ha ritenuto concretamente ravvisabile una partecipazione dell'imputato all'associazione criminale, dichiarandola non punibile per il solo decorso del tempo; per il periodo successivo ha pronunciato assoluzione. Il registro certifica al Livello A questo esito nella sua lettera, ed al medesimo livello i fatti che la motivazione pone a fondamento della prima statuizione, tra i quali gli incontri con esponenti di vertice dell'organizzazione, ed in particolare l'incontro con Stefano Bontate nella primavera del 1980, successivo all'omicidio del presidente della Regione Piersanti Mattarella, riferito dal collaboratore Francesco Marino Mannoia e ritenuto provato dalla corte; nonché i rapporti diretti, e negati dall'imputato, con i cugini Salvo. Il registro si vieta, per converso, ogni estensione: la statuizione copre il perimetro temporale e materiale che copre, l'assoluzione per il periodo successivo alla primavera del 1980 è un giudicato che il registro recepisce con il medesimo rigore della statuizione che la precede, e la già ricordata assoluzione definitiva nel processo per l'omicidio Pecorelli, pronunciata dalla cassazione nel 2003 con annullamento senza rinvio della condanna d'appello, chiude giudizialmente ogni ipotesi accusatoria su quel versante. Chi voglia misurare la distanza tra il metodo del registro e la pubblicistica corrente la misuri qui: né la formula del tutti assolti, che cancella la prima statuizione, né la formula del condannato per mafia, che cancella la seconda, sopravvivono alla lettura integrale del dispositivo.</w:t>
      </w:r>
    </w:p>
    <w:p>
      <w:pPr>
        <w:spacing w:after="120" w:line="276"/>
        <w:jc w:val="both"/>
      </w:pPr>
      <w:r>
        <w:rPr>
          <w:rFonts w:ascii="Barlow Semi Condensed" w:cs="Barlow Semi Condensed" w:eastAsia="Barlow Semi Condensed" w:hAnsi="Barlow Semi Condensed"/>
          <w:sz w:val="24"/>
          <w:szCs w:val="24"/>
        </w:rPr>
        <w:t xml:space="preserve">Il terzo pilastro è il contesto della primavera del 1980, che le motivazioni delle sentenze pongono quale spartiacque. Il 6 gennaio 1980 era stato assassinato a Palermo Piersanti Mattarella, presidente democristiano della Regione Siciliana, esponente della linea del rinnovamento e della rottura del sistema di convivenza: per quell'omicidio le sentenze definitive hanno condannato quali mandanti i componenti della Commissione di Cosa Nostra, mentre sul piano degli esecutori l'ipotesi della manovalanza nera, che aveva condotto all'imputazione di esponenti dell'eversione neofascista, si è chiusa con assoluzione divenuta definitiva, sicché gli esecutori materiali restano ad oggi privi di identificazione giudiziale. Il registro certifica al Livello A la matrice mafiosa della deliberazione, mantiene al Livello C ogni ipotesi sugli esecutori e sulla convergenza con il Dominio 7, che la Fase 3 riprenderà, ed annota il dato che qui rileva: l'incontro Andreotti-Bontate accertato dalla corte d'appello si colloca, secondo la ricostruzione della medesima corte, dopo l'omicidio Mattarella e nel quadro della crisi che esso aprì tra l'organizzazione ed il suo referente politico, sicché la primavera del 1980 segna, nella periodizzazione giudiziale, il punto di massima tensione e l'inizio della dissociazione del ponte. La sequenza che ne seguì appartiene alla cronologia dei delitti eccellenti: l'uccisione di Bontate nell'aprile del 1981 aprì la guerra di mafia che consegnò l'organizzazione ai corleonesi, e la nuova direzione, estranea alla tradizione della mediazione, condusse il rapporto con la politica secondo la logica che l'omicidio Lima avrebbe infine reso manifesta.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Lima-Salvo-Andreotti, è il triangolo della garanzia: il canale attraverso il quale, secondo gli accertamenti definitivi sin qui esposti, le esigenze dell'organizzazione risalivano dal territorio al vertice della corrente; essa è certificata al Livello A nei limiti, temporali e materiali, dei giudicati che la fondano. La seconda, Lima-Ciancimino, è il triangolo interno al Dominio 2 palermitano, la coppia del sacco urbanistico, certificata al Livello A quanto alla cogestione amministrativa documentata dagli atti, con la distinzione qualitativa che i giudicati impongono: infiltrato organico l'uno, referente l'altro, secondo 2 statuti che il registro tiene rigorosamente separati. La terza, Lima-Commissione di Cosa Nostra, è il triangolo terminale, certificato al Livello A dalle sentenze sull'omicidio, nelle quali la relazione di garanzia è ricostruita dal lato di chi la esigeva.</w:t>
      </w:r>
    </w:p>
    <w:p>
      <w:pPr>
        <w:spacing w:after="120" w:line="276"/>
        <w:jc w:val="both"/>
      </w:pPr>
      <w:r>
        <w:rPr>
          <w:rFonts w:ascii="Barlow Semi Condensed" w:cs="Barlow Semi Condensed" w:eastAsia="Barlow Semi Condensed" w:hAnsi="Barlow Semi Condensed"/>
          <w:sz w:val="24"/>
          <w:szCs w:val="24"/>
        </w:rPr>
        <w:t xml:space="preserve">Sul piano dei pattern, il nodo Lima è il caso paradigmatico di 2 procedure. Il Pattern 5, l'analisi dei buchi strutturali, vi legge la posizione del broker esclusivo dal lato politico: come Ciancimino fu per un tratto l'arco esclusivo verso l'amministrazione, Lima fu l'arco esclusivo verso il vertice nazionale della corrente, ed il suo omicidio è la dimostrazione sperimentale del teorema di Burt sul destino dei ponti: quando il ponte cessa di trasmettere, la rete non lo aggira, lo abbatte, perché un ponte inerte non è un nodo neutro ma un testimone. Il Pattern 3, l'analisi temporale, colloca infine l'omicidio nella finestra critica del 1992: il 30 gennaio la cassazione conferma il maxiprocesso, il 12 marzo cade Lima, il 23 maggio Capaci, il 19 luglio via D'Amelio, il 17 settembre Ignazio Salvo; 5 date in 8 mesi che il registro legge, con le sentenze, quale sequenza unitaria di ritorsione e riposizionamento strategico dell'organizzazione, la chiusura violenta del trentennio che la Fase 1 ha ricostruito nodo per nodo.</w:t>
      </w:r>
    </w:p>
    <w:p>
      <w:pPr>
        <w:spacing w:after="120" w:line="276"/>
        <w:jc w:val="both"/>
      </w:pPr>
      <w:r>
        <w:rPr>
          <w:rFonts w:ascii="Barlow Semi Condensed" w:cs="Barlow Semi Condensed" w:eastAsia="Barlow Semi Condensed" w:hAnsi="Barlow Semi Condensed"/>
          <w:sz w:val="24"/>
          <w:szCs w:val="24"/>
        </w:rPr>
        <w:t xml:space="preserve">Il movente giudizialmente accertato dell'omicidio esige ora la sua contabilità processuale, perché la certificazione postuma del referente si regge su nomi e su date. Il processo per l'assassinio di Salvo Lima approdò in primo grado, dinanzi alla Corte d'Assise di Palermo, nel luglio 1998, con l'ergastolo per i vertici deliberanti della Commissione di Cosa Nostra, Salvatore Riina in testa, e con le condanne degli esecutori, tra i quali il reo confesso Francesco Onorato, divenuto collaboratore di giustizia, le cui dichiarazioni sulla dinamica dell'agguato di Mondello trovarono riscontro pieno; gli esiti furono consolidati nei gradi successivi sino all'irrevocabilità, Livello A. Le motivazioni consegnarono la formula che il capitolo ha già assunto quale pilastro: l'uccisione quale punizione per la garanzia non mantenuta, la mancata aggiustatura del maxiprocesso in Cassazione, sicché il giudicato sull'omicidio incorpora, quale suo presupposto logico, l'accertamento della funzione di referente che la vittima aveva esercitato, Livello A. Nella tassonomia degli archi è il caso limite già dichiarato, ma la cronologia del 1992 vi aggiunge una morfologia che il registro deve esplicitare: il 12 marzo cade Lima, il 23 maggio Capaci uccide Giovanni Falcone, Francesca Morvillo e gli agenti Vito Schifani, Rocco Dicillo ed Antonio Montinaro, il 19 luglio via D'Amelio uccide Paolo Borsellino e gli agenti Agostino Catalano, Emanuela Loi, Vincenzo Li Muli, Walter Eddie Cosina e Claudio Traina, il 17 settembre cade Ignazio Salvo; in 6 mesi l'organizzazione recide, nell'ordine, il proprio referente politico, i 2 magistrati simbolo del contrasto ed il proprio terminale affaristico, Livello A su ciascun fatto. Il Pattern 3 legge in questa sequenza la più alta densità di attivazione distruttiva di archi dell'intera serie storica: non un'esplosione cieca, ma una potatura.</w:t>
      </w:r>
    </w:p>
    <w:p>
      <w:pPr>
        <w:spacing w:after="120" w:line="276"/>
        <w:jc w:val="both"/>
      </w:pPr>
      <w:r>
        <w:rPr>
          <w:rFonts w:ascii="Barlow Semi Condensed" w:cs="Barlow Semi Condensed" w:eastAsia="Barlow Semi Condensed" w:hAnsi="Barlow Semi Condensed"/>
          <w:sz w:val="24"/>
          <w:szCs w:val="24"/>
        </w:rPr>
        <w:t xml:space="preserve">I cugini Salvo, evocati nella triangolazione della garanzia, meritano infine la loro scheda documentale. Antonino ed Ignazio Salvo, esattoriali di Salemi, ressero per decenni il sistema delle esattorie siciliane godendo di aggi che gli atti parlamentari registrano in misura del 10%, a fronte di medie nazionali pari a circa un terzo, rendita di posizione che ne fece i finanzieri organici del blocco di potere isolano, Livello A quanto al dato tariffario consegnato alle inchieste parlamentari. Arrestati il 12 novembre 1984 nell'ambito dell'istruttoria del pool, conobbero destini divaricati e simmetrici: Antonino morì di malattia in Svizzera il 19 gennaio 1986, prima della sentenza; Ignazio, condannato nel ciclo del maxiprocesso, fu ucciso a Santa Flavia il 17 settembre 1992 da un commando per il quale sono intervenute condanne irrevocabili, ultimo atto della potatura che questo capitolo ha misurato, Livello A. Resta la digressione finale, che è insieme il sigillo della fase: il nodo Lima consegna al registro il suo paradosso più istruttivo, quello del ponte la cui esistenza è provata dalla sua demolizione. Per 30 anni la pubblicistica affermò il ponte senza poterlo certificare; fu l'organizzazione stessa, uccidendo il proprio referente per inadempimento, a produrre l'accertamento che nessuna procura era riuscita a chiudere, giacché il movente di un omicidio deliberato dalla Commissione è materia di giudicato, non di opinione. Nella grammatica delle reti si direbbe che l'arco fu osservabile soltanto nell'istante della sua recisione, come quelle particelle che la fisica rileva unicamente nel decadimento: ed il registro, che alla fisica delle tracce si ispira, chiude la Fase 1 su questa immagine esatta, un quadrilatero il cui ultimo lato divenne visibile bruciando.</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sz w:val="24"/>
          <w:szCs w:val="24"/>
        </w:rPr>
        <w:t xml:space="preserve">Resta da fissare la cornice temporale dell'agguato, perché essa ne moltiplica il significato sistemico. Lima fu ucciso il 12 marzo 1992 nel pieno della campagna per le elezioni politiche fissate al 5 ed al 6 aprile, mentre attendeva alla preparazione delle iniziative elettorali della corrente e della imminente visita palermitana del suo capo nazionale: le urne, 3 settimane dopo, avrebbero registrato la prima discesa della Democrazia Cristiana sotto la soglia del 30% ed inaugurato la sequenza terminale della cosiddetta Prima Repubblica, Livello A quanto alla cronologia elettorale. Il delitto si colloca dunque sul crinale esatto tra 2 epoche, e la rete lo registra come tale: l'ultimo omicidio politico del vecchio sistema di garanzie ed il primo atto della stagione che, tra le stragi del 1992 e del 1993, avrebbe visto l'organizzazione cercare, con il linguaggio della forza, un nuovo equilibrio con uno Stato di cui non riconosceva più gli interlocutori. Che il ponte quarantennale tra il Dominio 1 ed il Dominio 2 sia stato demolito dal suo stesso versante criminale nel momento in cui il versante politico cessava di poter garantire, è la conferma finale della natura contrattuale, e perciò revocabile, di ogni arco di collusione: i ponti del potere occulto non hanno pilastri, hanno clausole.</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Lima è certificato al Livello A quale referente del Dominio 1 presso il Dominio 2, sul fondamento, unico nel registro, del movente giudizialmente accertato del suo stesso omicidio, deliberato dalla Commissione di Cosa Nostra quale punizione per la mancata sistemazione del maxiprocesso; la sentenza definitiva sul processo Andreotti è recepita nella sua integralità testuale, con la dichiarazione di estinzione per prescrizione del reato associativo concretamente ravvisabile fino alla primavera del 1980 e l'assoluzione per il periodo successivo; l'omicidio Mattarella è certificato al Livello A quanto alla matrice mafiosa della deliberazione ed al Livello C quanto agli esecutori, rimasti privi di identificazione giudiziale.</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1</w:t>
      </w:r>
    </w:p>
    <w:p>
      <w:pPr>
        <w:spacing w:after="120" w:line="276"/>
        <w:jc w:val="both"/>
      </w:pPr>
      <w:r>
        <w:rPr>
          <w:rFonts w:ascii="Barlow Semi Condensed" w:cs="Barlow Semi Condensed" w:eastAsia="Barlow Semi Condensed" w:hAnsi="Barlow Semi Condensed"/>
          <w:sz w:val="24"/>
          <w:szCs w:val="24"/>
        </w:rPr>
        <w:t xml:space="preserve">Prima della lettura reticolare conclusiva, il registro adempie all'obbligo di rendicontazione analitica che la Nota metodologica impone al termine di ogni fase: il censimento, in forma discorsiva e senza apparati tabellari, di tutti gli archi e di tutte le triangolazioni che i 10 capitoli hanno certificato, ciascuno con il proprio livello dichiarato, affinché il lettore possa verificare in un solo luogo ciò che i capitoli hanno stabilito in sedi distinte, e affinché le fasi successive dispongano di un inventario citabile senza rinvii dispersivi. Il repertorio procede per vertici del quadrilatero, dal versante della loggia a quello politico.</w:t>
      </w:r>
    </w:p>
    <w:p>
      <w:pPr>
        <w:spacing w:after="120" w:line="276"/>
        <w:jc w:val="both"/>
      </w:pPr>
      <w:r>
        <w:rPr>
          <w:rFonts w:ascii="Barlow Semi Condensed" w:cs="Barlow Semi Condensed" w:eastAsia="Barlow Semi Condensed" w:hAnsi="Barlow Semi Condensed"/>
          <w:sz w:val="24"/>
          <w:szCs w:val="24"/>
        </w:rPr>
        <w:t xml:space="preserve">Sul versante della loggia, il registro ha certificato al Livello A l'arco Gelli-Ortolani quale diarchia operativa interna al Dominio 4, fondata sulla comunanza documentale delle affiliazioni, dei conti e delle condanne per bancarotta; l'arco Gelli-Sindona e l'arco Gelli-Calvi quali archi di affiliazione e collusione tra il Dominio 4 ed il Dominio 6, documentati dalle tessere, dai flussi e dal conto Protezione presso l'Union de Banques Suisses di Lugano; gli archi di affiliazione tra Gelli ed i vertici dei servizi di informazione, i generali Giuseppe Santovito e Giulio Grassini ed il prefetto Walter Pelosi, capi rispettivamente del SISMI, del SISDE e del CESIS all'epoca della scoperta delle liste, oltre al generale Vito Miceli per la stagione precedente, quali archi certificati tra il Dominio 4 ed il Dominio 3, la cui portata è quella, formidabile e delimitata, dell'appartenenza documentata dei responsabili apicali dell'intelligence ad una loggia coperta; e l'arco del depistaggio bolognese, la condanna definitiva del 1995 di Gelli, Francesco Pazienza e degli ufficiali del SISMI Pietro Musumeci e Giuseppe Belmonte per il calunnioso depistaggio delle indagini sulla strage del 2 agosto 1980, quale arco di ostruzione certificato che salda i Domini 3, 4 e 7 nel solo segmento, si badi, della manipolazione post-factum. Al Livello B il registro ha collocato il ruolo di Gelli e di Ortolani quali canali finanziari della strage medesima, secondo l'accertamento postumo contenuto nelle motivazioni delle sentenze più recenti sul concorso di Paolo Bellini e sui mandanti-finanziatori, accertamento che i 2 non poterono contraddire in vita e che pertanto, per la regola del contraddittorio mancato, non ascende al livello pieno; ed il segmento sudamericano della loggia, i rapporti argentini di Gelli con l'entourage peronista e con l'ammiraglio Emilio Massera, certificati al Livello A quali fatti relazionali ed al Livello B quanto alla funzione di piattaforma d'affari e protezione. Resta al Livello C la questione del livello superiore alla loggia, l'ipotesi di una direzione sovrastante Gelli, per la quale la fase non ha reperito evidenze qualificate.</w:t>
      </w:r>
    </w:p>
    <w:p>
      <w:pPr>
        <w:spacing w:after="120" w:line="276"/>
        <w:jc w:val="both"/>
      </w:pPr>
      <w:r>
        <w:rPr>
          <w:rFonts w:ascii="Barlow Semi Condensed" w:cs="Barlow Semi Condensed" w:eastAsia="Barlow Semi Condensed" w:hAnsi="Barlow Semi Condensed"/>
          <w:sz w:val="24"/>
          <w:szCs w:val="24"/>
        </w:rPr>
        <w:t xml:space="preserve">Sul versante finanziario, il registro ha certificato al Livello A l'asse di riciclaggio Sindona-Gambino-Inzerillo-Spatola, consacrato dal ciclo giudiziario italo-americano e dalla condanna statunitense del 1980; il finto sequestro dell'estate del 1979, con il soggiorno siciliano organizzato dalla famiglia Gambino e l'intermediazione di ambienti massonici dell'isola, quale singolare arco quadridominio che congiunge in un solo evento i Domini 1, 4, 6 e la proiezione transatlantica; il mandato omicidiario di Sindona per l'assassinio dell'avvocato Giorgio Ambrosoli, commissario liquidatore ucciso a Milano l'11 luglio 1979 dal sicario William Aricò, consacrato dall'ergastolo divenuto irrevocabile il 18 marzo 1986, quale arco di aggressione del Dominio 6 inquinato contro la funzione pubblica di vigilanza; e la vicenda dell'aggressione giudiziaria alla Banca d'Italia del marzo 1979, l'incriminazione del governatore Paolo Baffi e l'arresto del capo della vigilanza Mario Sarcinelli, poi integralmente prosciolti, quale operazione di interdizione certificata nel suo svolgimento e nel suo esito. Al Livello B il registro ha collocato lo snodo Borghese-Sindona, la partecipazione finanziaria del banchiere alla trilogia golpista 1970-1974 secondo la testimonianza di Buscetta sulla mediazione massonica richiesta a Cosa Nostra, riscontrata nel ciclo processuale del golpe ma non consacrata da condanna specifica; ed il suicidio della segretaria Graziella Corrocher, precipitata dalle finestre dell'Ambrosiano il 17 giugno 1982. Al Livello C restano l'ipotesi della morte eterodiretta di Sindona, avvelenato dal cianuro nel supercarcere di Voghera il 22 marzo 1986 2 giorni dopo l'ergastolo, rispetto alla quale la spiegazione del suicidio resta la meno contraddetta, e l'esistenza materiale della lista dei 500 esportatori di valuta, certificata quale minaccia esercitata e non quale documento reperito. Sul versante di Calvi, il repertorio richiama la certificazione al Livello A della scalata occulta al gruppo Rizzoli-Corriere della Sera quale arco tra il Dominio 6 ed il Dominio 8, con il condizionamento documentato del primo quotidiano nazionale; della fuga del giugno 1982 lungo la direttrice Trieste-Klagenfurt-Londra con l'organizzazione di Flavio Carboni; della natura omicidiaria della morte sotto il ponte dei Blackfriars il 18 giugno 1982, fondata sulla convergenza tra la perizia del 2002, l'annullamento del primo verdetto suicidario e le motivazioni dei processi; mentre l'attribuzione del delitto resta al Livello C in forza delle assoluzioni definitive di Giuseppe Calò, Flavio Carboni ed Ernesto Diotallevi, e la scomparsa della borsa del banchiere è iscritta quale marcatore di spoliazione delimitato.</w:t>
      </w:r>
    </w:p>
    <w:p>
      <w:pPr>
        <w:spacing w:after="120" w:line="276"/>
        <w:jc w:val="both"/>
      </w:pPr>
      <w:r>
        <w:rPr>
          <w:rFonts w:ascii="Barlow Semi Condensed" w:cs="Barlow Semi Condensed" w:eastAsia="Barlow Semi Condensed" w:hAnsi="Barlow Semi Condensed"/>
          <w:sz w:val="24"/>
          <w:szCs w:val="24"/>
        </w:rPr>
        <w:t xml:space="preserve">Sul versante vaticano, il registro ha certificato al Livello A le lettere di patronage rilasciate dallo IOR il 1° settembre 1981 a copertura delle società estere del gruppo Ambrosiano, congiuntamente alla contro-lettera di manleva di pari data che ne rovesciava privatamente la portata, quale reperto documentale a doppio fondo che nessuna ricostruzione può eludere; l'accordo di Ginevra del 25 maggio 1984, con il versamento di 244 milioni di dollari ai creditori dell'Ambrosiano a titolo di contributo volontario e con esplicita esclusione di riconoscimento di responsabilità, quale transazione che chiude il contenzioso senza chiudere la questione storica; e la vicenda dei mandati di cattura del 1987 contro Paul Marcinkus, Luigi Mennini e Pellegrino De Strobel, annullati dalla corte di cassazione il 17 luglio 1987 per difetto di giurisdizione ai sensi dell'articolo 11 del Trattato lateranense, quale buco strutturale normativo certificato: un perimetro entro il quale la pretesa punitiva dello Stato non poté entrare, e che il registro censisce quale proprietà topologica della rete, non quale giudizio sulle persone. Al Livello B restano le dichiarazioni di Francesco Marino Mannoia sul riciclaggio di capitali mafiosi attraverso i canali vaticani, riscontrate solo in parte; al Livello C l'ipotesi dei finanziamenti a Solidarnosc ed ai canali d'armamento quale movente della copertura, ipotesi ricorrente nella memorialistica e priva di consacrazione documentale piena.</w:t>
      </w:r>
    </w:p>
    <w:p>
      <w:pPr>
        <w:spacing w:after="120" w:line="276"/>
        <w:jc w:val="both"/>
      </w:pPr>
      <w:r>
        <w:rPr>
          <w:rFonts w:ascii="Barlow Semi Condensed" w:cs="Barlow Semi Condensed" w:eastAsia="Barlow Semi Condensed" w:hAnsi="Barlow Semi Condensed"/>
          <w:sz w:val="24"/>
          <w:szCs w:val="24"/>
        </w:rPr>
        <w:t xml:space="preserve">Sul versante criminale, il repertorio richiama gli archi già inventariati nei capitoli 7 e 8: la certificazione al Livello A della posizione di Calò nella Commissione per effetto della sentenza del 30 gennaio 1992; l'ergastolo irrevocabile per la strage del rapido 904 del 23 dicembre 1984, con Guido Cercola ed il tecnico Friedrich Schaudinn, quale arco Dominio 1-Dominio 7 a certificazione piena, il più alto dell'intero registro; il circuito romano Calò-Diotallevi-Abbruciati-Carboni quale arco di transito tra i Domini 1 e 6; l'arsenale della Banda della Magliana custodito nei sotterranei del Ministero della Sanità, scoperto nel 1981, quale reperto di prossimità istituzionale certificato; l'arco operativo tra la batteria di Testaccio ed i Nuclei Armati Rivoluzionari attraverso Massimo Carminati, certificato dai giudicati sul duplice binario criminale-eversivo; l'apporto di uomini della banda al depistaggio bolognese, che chiude il quadrilatero Domini 1-3-4-7 sul solo piano, ancora una volta, dell'ostruzione; la sepoltura di Enrico De Pedis nella basilica di Sant'Apollinare dal 1990 al 2012 quale anomalia certificata al Livello A, con le cointeressenze finanziarie al Livello B ed ogni estensione al caso Orlandi al Livello C per inammissibilità fondativa della fonte; e l'esito integralmente assolutorio del processo per l'omicidio di Carmine Pecorelli, certificato al Livello A quale dato di chiusura giudiziale, con la permanenza del delitto nell'elenco degli insoluti.</w:t>
      </w:r>
    </w:p>
    <w:p>
      <w:pPr>
        <w:spacing w:after="120" w:line="276"/>
        <w:jc w:val="both"/>
      </w:pPr>
      <w:r>
        <w:rPr>
          <w:rFonts w:ascii="Barlow Semi Condensed" w:cs="Barlow Semi Condensed" w:eastAsia="Barlow Semi Condensed" w:hAnsi="Barlow Semi Condensed"/>
          <w:sz w:val="24"/>
          <w:szCs w:val="24"/>
        </w:rPr>
        <w:t xml:space="preserve">Sul versante politico, il repertorio richiama la condanna irrevocabile di Vito Ciancimino per concorso in associazione mafiosa e corruzione quale unico arco di infiltrazione compiuta certificato nella fase; il dato parlamentare delle 4.205 licenze edilizie del sacco di Palermo con la concentrazione sui 5 prestanome; il rapporto organico Ciancimino-Riina-Provenzano certificato dal giudicato; i contatti del 1992 con gli ufficiali Mori e De Donno certificati quale fatto ed esclusi quale reato dal giudicato del 2023; l'inammissibilità fondativa delle dichiarazioni di Massimo Ciancimino; il movente giudizialmente accertato dell'omicidio di Salvo Lima del 12 marzo 1992, la punizione per la mancata sistemazione del maxiprocesso, quale certificazione postuma del ruolo di referente; il triangolo Lima-Salvo-Andreotti nei limiti dei giudicati; il dispositivo integrale della sentenza d'appello del 2 maggio 2003, confermata dalla cassazione il 15 ottobre 2004, con la distinzione tra il periodo anteriore alla primavera del 1980, coperto da declaratoria di prescrizione di un reato associativo concretamente ravvisato, ed il periodo successivo, coperto da assoluzione; e la certificazione dell'omicidio di Piersanti Mattarella del 6 gennaio 1980 al Livello A quanto alla deliberazione mafiosa ed al Livello C quanto agli esecutori, con la pista dell'eversione nera chiusa da assoluzione definitiva e la questione consegnata alla Fase 3.</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lo Stato Zero di Umberto Ortolani verso il Dominio 1, unica assenza sistematicamente ricercata e certificata della fase, che vale quale reperto negativo di prima classe e quale calibro per le fasi successive, nelle quali ogni connessione attesa e non trovata dovrà essere dichiarata con il medesimo rilievo delle connessioni trovate.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38 tra archi, triangolazioni ed esiti certificati nella fase, dei quali 24 al Livello A, 7 al Livello B, 6 al Livello C ed 1 Stato Zero, e costituisce d'ora innanzi il riferimento citabile per ogni richiamo interno dell'opera al sottografo del quadrilatero.</w:t>
      </w:r>
    </w:p>
    <w:p>
      <w:pPr>
        <w:pStyle w:val="Heading3"/>
        <w:spacing w:after="80" w:before="160"/>
      </w:pPr>
      <w:r>
        <w:rPr>
          <w:rFonts w:ascii="Barlow Semi Condensed" w:cs="Barlow Semi Condensed" w:eastAsia="Barlow Semi Condensed" w:hAnsi="Barlow Semi Condensed"/>
          <w:sz w:val="24"/>
          <w:szCs w:val="24"/>
        </w:rPr>
        <w:t xml:space="preserve">Chiusura della Fase 1 — La lettura reticolare del quadrilatero e il bilancio probatorio dei primi 10 nodi</w:t>
      </w:r>
    </w:p>
    <w:p>
      <w:pPr>
        <w:spacing w:after="120" w:line="276"/>
        <w:jc w:val="both"/>
      </w:pPr>
      <w:r>
        <w:rPr>
          <w:rFonts w:ascii="Barlow Semi Condensed" w:cs="Barlow Semi Condensed" w:eastAsia="Barlow Semi Condensed" w:hAnsi="Barlow Semi Condensed"/>
          <w:sz w:val="24"/>
          <w:szCs w:val="24"/>
        </w:rPr>
        <w:t xml:space="preserve">La Fase 1 si chiude con 10 nodi certificati, 5 persone e 5 entità collettive, e con un sottografo che è ora possibile leggere nel suo insieme, applicando alla lettera il programma della Nota metodologica: prima i dati, poi i pattern, e solo alla fine, se i dati lo consentono, le ipotesi. Il presente capitolo di chiusura non introduce materiale nuovo; ricompone il materiale acquisito, dichiara i livelli di certificazione raggiunti, censisce le assenze accanto alle presenze, e consegna alle 4 fasi successive un perimetro probatorio definito, entro il quale ogni futura estensione dovrà giustificarsi.</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 quadrilatero loggia-finanza-Vaticano-mafia quale sottografo reale e non quale costruzione narrativa. I 4 vertici del quadrilatero sono presidiati da nodi certificati al Livello A: il vertice della loggia dai nodi Gelli, P2 ed Ortolani; il vertice della finanza dai nodi Sindona e Calvi con le rispettive strutture bancarie; il vertice vaticano dal nodo IOR nella gestione Marcinkus; il vertice mafioso dai nodi Calò, Magliana, Ciancimino e Lima, che ne declinano le 3 proiezioni, palermitana, romana e politica. I lati del quadrilatero, vale a dire gli archi che collegano i vertici, presentano gradi di certificazione differenziati che il registro dichiara senza arrotondamenti. Il lato loggia-finanza è certificato al Livello A in entrambe le sue campate: l'affiliazione di Sindona e di Calvi alla P2 è documentale, la cogestione gelliana-ortolaniana dei flussi dell'Ambrosiano è consacrata dalle condanne definitive per bancarotta, il conto Protezione è un reperto bancario. Il lato finanza-Vaticano è certificato al Livello A nel suo scheletro documentale, le lettere di patronage del 1° settembre 1981 con la contro-lettera di manleva, la partecipazione dello IOR nelle società estere del gruppo, l'accordo di Ginevra del 25 maggio 1984 con il contributo volontario di 244 milioni di dollari; e resta al Livello B, quale ricostruzione fondata su convergenze non integralmente giudicate, nella qualificazione complessiva della funzione di schermo. Il lato finanza-mafia è certificato al Livello A sul versante Sindona, con il riciclaggio dell'asse Gambino-Inzerillo-Spatola ed il finto sequestro del 1979, e sul versante romano, con il circuito Calò-Diotallevi-Carboni; resta al Livello C sul punto terminale, la morte di Calvi, per la ragione giudiziaria che il capitolo 5 ha esposto per esteso. Il lato loggia-mafia, il più controverso, è certificato al Livello A in un solo segmento pieno, la mediazione massonica dei progetti golpisti riferita da Buscetta e riscontrata nel ciclo Borghese, ed al Livello B nelle sue propaggini bolognesi, secondo l'accertamento postumo delle motivazioni più recenti; il registro rifiuta di saldarlo in una diagonale unica, perché le evidenze certificano segmenti, non un asse.</w:t>
      </w:r>
    </w:p>
    <w:p>
      <w:pPr>
        <w:spacing w:after="120" w:line="276"/>
        <w:jc w:val="both"/>
      </w:pPr>
      <w:r>
        <w:rPr>
          <w:rFonts w:ascii="Barlow Semi Condensed" w:cs="Barlow Semi Condensed" w:eastAsia="Barlow Semi Condensed" w:hAnsi="Barlow Semi Condensed"/>
          <w:sz w:val="24"/>
          <w:szCs w:val="24"/>
        </w:rPr>
        <w:t xml:space="preserve">Il secondo risultato è la mappa delle diagonali, vale a dire degli archi che attraversano il quadrilatero senza percorrerne i lati. La diagonale loggia-Vaticano esiste al Livello A come fatto relazionale, Ortolani gentiluomo di Sua Santità e tramite dichiarato tra Gelli e gli ambienti d'oltretevere, ed al Livello B come canale finanziario; la diagonale mafia-Vaticano esiste al Livello A in un solo reperto, la sepoltura di De Pedis in Sant'Apollinare, ed al Livello B nelle cointeressenze finanziarie romane, con la degradazione al Livello C di ogni estensione ulteriore, ivi compresa la vicenda Orlandi, per l'inammissibilità fondativa delle fonti che la alimentano. La geometria che ne risulta è istruttiva: il quadrilatero è robusto sui lati e fragile sulle diagonali, il che significa, nel lessico della teoria delle reti, che la connessione tra i vertici non contigui passò di norma attraverso i vertici intermedi, e che i mediatori, Sindona ed Ortolani sopra tutti, furono strutturalmente necessari. È la conferma reticolare di ciò che le biografie avevano suggerito: il sistema non fu una camera unica in cui tutti incontravano tutti, ma una catena di camere comunicanti, ciascuna presidiata da un portiere; e la storia giudiziaria del quadrilatero è, in larga misura, la storia dell'eliminazione fisica o processuale dei portieri.</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che la fase consegna alle successive quale prima misura del potere reale. La più alta betweenness del sottografo appartiene a Sindona, l'unico nodo che tocca 5 domini e che connette direttamente il vertice finanziario americano, quello siciliano, quello vaticano e quello massonico: la sua traiettoria, dalla scalata alla catastrofe all'ergastolo alla morte per cianuro, è il caso di scuola del destino dei nodi ad altissima intermediazione, che il registro ha formulato quale ipotesi emergente, non quale legge, nel capitolo 4. La più alta eigenvector centrality appartiene ad Ortolani, il nodo meno visibile e più connesso ai connessi, secondo la distinzione tra potere di grado e potere di posizione che la Nota metodologica ha derivato da Freeman. La più alta degree centrality appartiene a Gelli, il collettore delle 962 affiliazioni, con l'avvertenza, formulata nel capitolo 1 e qui ribadita, che l'alto grado è anche massima visibilità e dunque massima vulnerabilità: Gelli fu il nodo più connesso e, non per caso, il primo ad essere esposto. La centralità di chiusura del sottografo romano appartiene infine alla Magliana quale piattaforma, non quale organizzazione: la sua funzione di hub di servizio, certificata dai giudicati, spiega senza residui la sua onnipresenza nei fascicoli, e la spiegazione minimale resta, ai sensi della procedura di Heuer, quella meno contraddetta dalle evidenze.</w:t>
      </w:r>
    </w:p>
    <w:p>
      <w:pPr>
        <w:spacing w:after="120" w:line="276"/>
        <w:jc w:val="both"/>
      </w:pPr>
      <w:r>
        <w:rPr>
          <w:rFonts w:ascii="Barlow Semi Condensed" w:cs="Barlow Semi Condensed" w:eastAsia="Barlow Semi Condensed" w:hAnsi="Barlow Semi Condensed"/>
          <w:sz w:val="24"/>
          <w:szCs w:val="24"/>
        </w:rPr>
        <w:t xml:space="preserve">Il quarto risultato, che il metodo impone di esporre con il medesimo rilievo dei positivi, è il censimento degli Stati Zero e delle assoluzioni, le assenze certificate che delimitano il perimetro di ciò che il registro non afferma. Lo Stato Zero di Ortolani verso il Dominio 1 resta confermato: la ricerca sistematica di un arco diretto tra il finanziere della loggia e le organizzazioni criminali non ha prodotto evidenze, e la connessione passa integralmente per i nodi interposti. Le assoluzioni definitive censite nella fase sono 5 e vengono qui riepilogate perché nessuna lettura d'insieme possa ometterle: l'assoluzione di Gelli dall'imputazione di concorso nella strage di Bologna, ferma la condanna definitiva per il depistaggio; l'assoluzione di Calò, Carboni e Diotallevi dall'omicidio Calvi, divenuta definitiva tra il 2010 ed il 2011, ferma la natura omicidiaria del fatto; l'assoluzione di tutti gli imputati del processo Pecorelli, con l'annullamento senza rinvio del 2003; l'assoluzione degli ufficiali dell'Arma e di Dell'Utri nel processo sulla trattativa, definitiva dal 2023, fermi i contatti del 1992 quale fatto storico; e l'assoluzione di Andreotti per il periodo successivo alla primavera del 1980, congiunta alla dichiarazione di estinzione per prescrizione del reato associativo ravvisato per il periodo anteriore, secondo il dispositivo che il capitolo 10 ha riportato per esteso. Il registro tratta queste 5 assenze come dati di prima classe: esse non indeboliscono la rete certificata, la delimitano; e la delimitazione è la condizione della sua solidità.</w:t>
      </w:r>
    </w:p>
    <w:p>
      <w:pPr>
        <w:spacing w:after="120" w:line="276"/>
        <w:jc w:val="both"/>
      </w:pPr>
      <w:r>
        <w:rPr>
          <w:rFonts w:ascii="Barlow Semi Condensed" w:cs="Barlow Semi Condensed" w:eastAsia="Barlow Semi Condensed" w:hAnsi="Barlow Semi Condensed"/>
          <w:sz w:val="24"/>
          <w:szCs w:val="24"/>
        </w:rPr>
        <w:t xml:space="preserve">Il quinto risultato è metodologico, ed è la verifica anti-induttiva che la Nota metodologica prescrive al termine di ogni unità espositiva: che cosa, nel materiale della Fase 1, contraddice o non conferma la gerarchia espositiva assunta quale scheletro narrativo dell'opera, vale a dire l'ipotesi H1 della convergenza delle potenze imperiali contro l'integrazione europea? La risposta è netta e va messa a registro. Nulla, nei 10 nodi certificati, richiede H1 per essere spiegato: il quadrilatero loggia-finanza-Vaticano-mafia si regge su moventi interni, l'arricchimento, la protezione, il potere di interdizione, la sopravvivenza organizzativa, e le sue dinamiche documentate, dalla scalata di Sindona alla punizione di Lima, si spiegano integralmente entro il perimetro nazionale e criminale-affaristico, senza necessità di un mandante geopolitico. Dove la dimensione internazionale compare, essa compare come mercato e come rifugio, i canali atlantici di Sindona, le rotte sudamericane di Gelli ed Ortolani, non come regia. La fase consegna dunque alle successive un vincolo popperiano esplicito: se H1 deve sopravvivere quale ipotesi di Livello C, i suoi eventuali elementi di supporto dovranno emergere dai domini che le prossime fasi esplorano, l'intelligence, lo stragismo, la proiezione internazionale, giacché il primo cerchio, quello del potere occulto interno, si è dimostrato autosufficiente sul piano esplicativo. Il falsificatore permanente, la ricostruzione milwardiana dell'integrazione europea quale progetto di salvataggio degli Stati nazionali sostenuto e non osteggiato dalla potenza americana, resta iscritto a margine del registro, e la Fase 1 non ha prodotto alcun elemento idoneo a rimuoverlo.</w:t>
      </w:r>
    </w:p>
    <w:p>
      <w:pPr>
        <w:spacing w:after="120" w:line="276"/>
        <w:jc w:val="both"/>
      </w:pPr>
      <w:r>
        <w:rPr>
          <w:rFonts w:ascii="Barlow Semi Condensed" w:cs="Barlow Semi Condensed" w:eastAsia="Barlow Semi Condensed" w:hAnsi="Barlow Semi Condensed"/>
          <w:sz w:val="24"/>
          <w:szCs w:val="24"/>
        </w:rPr>
        <w:t xml:space="preserve">Il sesto risultato è la consegna dei fili pendenti, che le fasi successive dovranno riprendere per obbligo di completezza. Il filo dell'intelligence, emerso in questa fase nei canali di Gelli verso i vertici dei servizi, nel ruolo di Pazienza e Musumeci nel depistaggio bolognese e nei contatti del 1992, diviene l'oggetto proprio della Fase 2, che ricostruirà i nodi Gladio, l'Ufficio affari riservati, i generali piduisti dei servizi, la rete Sogno ed il circuito internazionale di Le Cercle, entro il quale la domanda sulla regia esterna potrà essere posta su materiale pertinente. Il filo dello stragismo, toccato in questa fase nel solo segmento del rapido 904 e nelle propaggini bolognesi del quadrilatero, diviene l'oggetto della Fase 3, dalla matrice ordinovista di Piazza Fontana alla filiera Aginter, dove la tipologia quadripartita dell'ostruzione, già codificata dal registro, troverà il suo campo di applicazione integrale. Il filo del crocevia del 1978, la cui assenza da questa fase è deliberata, diviene l'oggetto della Fase 4, che affronterà il caso Moro secondo la decomposizione a 3 piani già costituzionalizzata dal registro, con il divieto inferenziale tra il piano delle condotte degli apparati ed il piano del mandato. Il filo della proiezione internazionale, infine, emerso qui nelle rotte atlantiche di Sindona e nelle sponde sudamericane della loggia, diviene l'oggetto della Fase 5, da Trieste al Sudafrica dell'apartheid al sistema Condor, dove il registro verificherà, su scala mondiale, la tenuta della distinzione tra isomorfismo strutturale e connessione operativa che la coppia Aginter-Hyperion ha già insegnato a maneggiare.</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il criterio con cui i 10 nodi sono stati scelti e l'ordine con cui sono stati esposti, perché nessuna scelta espositiva è innocente e la trasparenza del metodo esige che anche l'architettura renda conto di sé. I nodi sono stati selezionati per il concorso di 2 requisiti oggettivi: la certificazione di Livello A di almeno un arco inter-dominio, e la frequenza trasversale nel corpus, misurata dalla scansione integrale dei 220 documenti che ha aperto i lavori; l'ordine espositivo ha seguito la topologia, non la cronologia, muovendo dal collettore delle affiliazioni verso i mediatori finanziari, quindi verso lo schermo vaticano, quindi verso il versante criminale, e chiudendo sul versante politico, sicché il lettore ha percorso il quadrilatero lato per lato, nell'ordine in cui i lati si certificano l'un l'altro. Le 4 fasi che seguono manterranno il medesimo statuto: 10 nodi per fase, certificazione dichiarata arco per arco, assoluzioni riportate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1 certifica il quadrilatero loggia-finanza-Vaticano-mafia quale sottografo reale, robusto sui lati e fragile sulle diagonali, con 10 nodi certificati, 5 assoluzioni definitive riepilogate quali dati di prima classe, 1 Stato Zero confermato, la misura delle 4 centralità assegnata ai nodi Sindona, Ortolani, Gelli e Magliana, e la verifica anti-induttiva che dichiara l'autosufficienza esplicativa del primo cerchio rispetto all'ipotesi H1, la quale resta al Livello C con il falsificatore milwardiano iscritto a margine; i fili dell'intelligence, dello stragismo, del crocevia del 1978 e della proiezione internazionale sono formalmente consegnati alle Fasi 2, 3, 4 e 5.</w:t>
      </w:r>
    </w:p>
    <w:p>
      <w:pPr>
        <w:pStyle w:val="Heading2"/>
        <w:spacing w:after="100" w:before="200"/>
      </w:pPr>
      <w:r>
        <w:rPr>
          <w:rFonts w:ascii="Barlow Semi Condensed" w:cs="Barlow Semi Condensed" w:eastAsia="Barlow Semi Condensed" w:hAnsi="Barlow Semi Condensed"/>
          <w:sz w:val="24"/>
          <w:szCs w:val="24"/>
        </w:rPr>
        <w:t xml:space="preserve">FASE 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Intelligence, apparati e strutture parallele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secondo cerchio: la deviazione dei servizi dello Stato</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2 muove dal perimetro consegnato dalla Fase 1 e ne raccoglie il primo dei fili pendenti, quello dell'intelligence, che il quadrilatero loggia-finanza-Vaticano-mafia aveva sfiorato nei canali di Gelli verso i vertici dei servizi ma non aveva ancora osservato dal suo interno. L'oggetto proprio di questa fase è il Dominio 3, l'intelligence ed i servizi segreti, colto nel punto in cui esso si accoppia strutturalmente al Dominio 9, le forze armate, ed al Dominio 2, il potere politico, generando quella figura che la pubblicistica designa con formula sbrigativa come servizi deviati e che il registro preferisce nominare, con maggiore precisione analitica, deviazione documentata di apparati: non un servizio parallelo ed occulto contrapposto ad un servizio legale e trasparente, ma la torsione, giudizialmente accertata in una pluralità di episodi, degli apparati legali medesimi verso finalità estranee od opposte al loro mandato istituzionale.</w:t>
      </w:r>
    </w:p>
    <w:p>
      <w:pPr>
        <w:spacing w:after="120" w:line="276"/>
        <w:jc w:val="both"/>
      </w:pPr>
      <w:r>
        <w:rPr>
          <w:rFonts w:ascii="Barlow Semi Condensed" w:cs="Barlow Semi Condensed" w:eastAsia="Barlow Semi Condensed" w:hAnsi="Barlow Semi Condensed"/>
          <w:sz w:val="24"/>
          <w:szCs w:val="24"/>
        </w:rPr>
        <w:t xml:space="preserve">Il protocollo probatorio resta immutato rispetto alla Fase 1 e non viene qui riesposto se non nei suoi cardini operativi. La triangolazione delle fonti secondo lo standard Savona 2.1 distingue i 3 livelli: il Livello A della connessione documentata, fondata su giudicato o su convergenza di 3 fonti indipendenti di natura diversa; il Livello B della connessione indiziaria, fondata su 2 fonti convergenti o su una singola fonte di alta affidabilità; il Livello C della connessione ipotetica, esplicitamente marcata quale ipotesi investigativa da verificare. La Regola Ferrea vieta ogni salto inferenziale tra il fatto documentato e la sua estensione congetturale, ed impone in particolare, in questa fase più che in ogni altra, la distinzione rigorosa tra la condotta di ostruzione o depistaggio, che numerosi giudicati certificano a carico di uomini degli apparati, ed il mandato originario dell'evento depistato, che la condotta di ostruzione non prova. L'Indice di Contaminazione della Fonte governa il trattamento delle dichiarazioni dei protagonisti, particolarmente insidiose in un campo dove gli attori sono professionisti della manipolazione informativa; e la disciplina delle persone viventi e defunte impone il ricorso ai soli fatti pubblici documentati, con riporto per esteso di ogni esito assolutorio.</w:t>
      </w:r>
    </w:p>
    <w:p>
      <w:pPr>
        <w:spacing w:after="120" w:line="276"/>
        <w:jc w:val="both"/>
      </w:pPr>
      <w:r>
        <w:rPr>
          <w:rFonts w:ascii="Barlow Semi Condensed" w:cs="Barlow Semi Condensed" w:eastAsia="Barlow Semi Condensed" w:hAnsi="Barlow Semi Condensed"/>
          <w:sz w:val="24"/>
          <w:szCs w:val="24"/>
        </w:rPr>
        <w:t xml:space="preserve">Un'avvertenza specifica di questa fase riguarda l'ipotesi H1, la convergenza delle potenze imperiali contro l'integrazione europea, che la Fase 1 ha consegnato al Livello C con il falsificatore milwardiano iscritto a margine, dichiarando l'autosufficienza esplicativa del primo cerchio. La chiusura della Fase 1 ha formulato al riguardo un vincolo popperiano esplicito: gli eventuali elementi di supporto di H1 dovranno emergere dai domini che le fasi successive esplorano, e l'intelligence è il primo di essi. Il Dominio 3 è, per definizione, il dominio nel quale la dimensione internazionale non è mercato o rifugio, come nel primo cerchio, ma sostanza operativa: i servizi italiani nascono e vivono entro un sistema di alleanze e di subordinazioni che li lega alla struttura atlantica ed ai servizi delle 2 superpotenze. La fase verificherà pertanto, su materiale finalmente pertinente, se questa dimensione internazionale si configuri come regia, secondo l'ipotesi H1, ovvero come cornice sistemica entro la quale attori nazionali perseguono finalità nazionali; e lo farà mantenendo la disciplina anti-induttiva, ossia cercando non le conferme di H1 ma le evidenze che la falsificherebbero, secondo la procedura delle ipotesi concorrenti di Heuer che governa l'intero registro. Il lettore troverà, al termine della fase, il bilancio esplicito di questa verifica.</w:t>
      </w:r>
    </w:p>
    <w:p>
      <w:pPr>
        <w:spacing w:after="120" w:line="276"/>
        <w:jc w:val="both"/>
      </w:pPr>
      <w:r>
        <w:rPr>
          <w:rFonts w:ascii="Barlow Semi Condensed" w:cs="Barlow Semi Condensed" w:eastAsia="Barlow Semi Condensed" w:hAnsi="Barlow Semi Condensed"/>
          <w:sz w:val="24"/>
          <w:szCs w:val="24"/>
        </w:rPr>
        <w:t xml:space="preserve">Un chiarimento definitorio si impone, a scanso di equivoci che gravano sull'intera materia. La nozione di deviazione, che dà titolo alla fase, non designa nel registro l'esistenza di un doppio Stato inteso quale apparato occulto integralmente separato e contrapposto all'apparato legale, secondo una vulgata che postula 2 strutture parallele, l'una visibile e legale, l'altra invisibile e criminale, dotate di gerarchie distinte e di finalità opposte. Il registro non certifica questa dicotomia, che eccederebbe di gran lunga il perimetro del provato, e adotta una nozione più circoscritta e più aderente agli accertamenti: la deviazione è la torsione documentata di apparati legali, nei loro uomini e nelle loro articolazioni, verso condotte estranee o contrarie al mandato istituzionale, torsione che si manifesta in episodi determinati e giudizialmente accertati e che non richiede, per essere certificata, l'ipotesi di una struttura occulta sovrastante. Un servizio che scheda illegittimamente non cessa di essere il servizio legale per divenire un servizio parallelo: è il servizio legale che devia. Un ufficiale che depista un'indagine non opera in nome di un apparato invisibile: opera, deviando, in seno all'apparato visibile. Questa precisazione non attenua la gravità dei fatti, ma ne definisce con esattezza la natura, e consente al registro di certificare le deviazioni provate senza assumere, quale loro premessa, l'esistenza di quel doppio Stato che gli accertamenti non hanno dimostrato quale struttura unitaria e che la Regola Ferrea vieta di postulare in via inferenziale. Ove peraltro un singolo caso presenti gli estremi di una struttura clandestina formalizzata, come nel caso della rete Gladio, il registro lo certifica quale tale, ma ne circoscrive rigorosamente la certificazione all'esistenza provata, tenendola distinta dall'impiego ipotetico.</w:t>
      </w:r>
    </w:p>
    <w:p>
      <w:pPr>
        <w:spacing w:after="120" w:line="276"/>
        <w:jc w:val="both"/>
      </w:pPr>
      <w:r>
        <w:rPr>
          <w:rFonts w:ascii="Barlow Semi Condensed" w:cs="Barlow Semi Condensed" w:eastAsia="Barlow Semi Condensed" w:hAnsi="Barlow Semi Condensed"/>
          <w:sz w:val="24"/>
          <w:szCs w:val="24"/>
        </w:rPr>
        <w:t xml:space="preserve">L'ordine espositivo dei 10 nodi segue, come nella Fase 1, la topologia e non la cronologia, muovendo dalla prima deviazione documentata degli apparati militari, il caso SIFAR, verso i direttori dei servizi coinvolti nell'eversione, quindi verso le strutture parallele civili e verso l'esercito segreto della rete stay-behind, per chiudere sul circuito internazionale del coordinamento anticomunista e sulla cattura piduista dell'intero vertice informativo, che salda la fase alla precedente. I criteri di selezione dei nodi restano i 2 requisiti oggettivi della Fase 1: la certificazione di Livello A di almeno un arco inter-dominio e la frequenza trasversale nel corpus, misurata dalla scansione integrale dei 220 documenti. Ogni capitolo si chiude con la formula di accumulo del sapere acquisito, ed una premessa di rendicontazione precede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Capitolo 1 — ▶ Giovanni De Lorenzo. La prima deviazione: il SIFAR, le schedature e il Piano Solo</w:t>
      </w:r>
    </w:p>
    <w:p>
      <w:pPr>
        <w:spacing w:after="120" w:line="276"/>
        <w:jc w:val="both"/>
      </w:pPr>
      <w:r>
        <w:rPr>
          <w:rFonts w:ascii="Barlow Semi Condensed" w:cs="Barlow Semi Condensed" w:eastAsia="Barlow Semi Condensed" w:hAnsi="Barlow Semi Condensed"/>
          <w:sz w:val="24"/>
          <w:szCs w:val="24"/>
        </w:rPr>
        <w:t xml:space="preserve">Giovanni De Lorenzo, nato a Vizzini il 29 dicembre 1907 e morto a Roma il 25 aprile 1973, generale dell'Arma dei carabinieri, apre la Fase 2 perché il suo nodo certifica il primo grande episodio di deviazione degli apparati di sicurezza della Repubblica: la trasformazione del servizio informativo militare da strumento di difesa in strumento di schedatura politica di massa, e la predisposizione, nell'estate del 1964, di un piano di enucleazione di persone che gli atti parlamentari qualificarono come grave deviazione dai fini istituzionali. La scansione del corpus registra il servizio da lui diretto, il SIFAR, 951 volte in 45 documenti, e la vicenda del Piano Solo attraversa gli atti di 4 commissioni d'inchiesta succedutesi in oltre 35 anni, dalla Commissione amministrativa Beolchini del 1966 alla Commissione stragi della XIII legislatura del 2000. Se la Fase 1 ha ricostruito il potere occulto che si annida negli interstizi tra i domini, la Fase 2 comincia dal punto in cui è lo Stato stesso, nella sua articolazione militare e informativa, a produrre la propria zona d'ombra.</w:t>
      </w:r>
    </w:p>
    <w:p>
      <w:pPr>
        <w:spacing w:after="120" w:line="276"/>
        <w:jc w:val="both"/>
      </w:pPr>
      <w:r>
        <w:rPr>
          <w:rFonts w:ascii="Barlow Semi Condensed" w:cs="Barlow Semi Condensed" w:eastAsia="Barlow Semi Condensed" w:hAnsi="Barlow Semi Condensed"/>
          <w:sz w:val="24"/>
          <w:szCs w:val="24"/>
        </w:rPr>
        <w:t xml:space="preserve">La biografia di De Lorenzo segue un cursus honorum che è esso stesso un reperto strutturale, giacché concentra in un solo uomo, in successione, il vertice di 3 apparati che il registro tiene distinti quali Domini 3 e 9. Capo del SIFAR, il Servizio informazioni forze armate, dal 1955 al 1962; comandante generale dell'Arma dei carabinieri dal 1962 al 1966, con il mantenimento di fatto del controllo sul servizio attraverso uomini di sua fiducia; capo di stato maggiore dell'esercito dal 1966; e infine, dopo il collocamento a riposo, deputato, eletto dapprima nel Partito democratico italiano di unità monarchica e successivamente nel Movimento sociale italiano. La traiettoria disegna il Pattern 7 del registro, l'analisi delle migrazioni inter-dominio, nella sua forma più pura: un ufficiale che percorre l'intero apparato di sicurezza dello Stato e ne esce per collocarsi nel Dominio 2, portando nel sistema politico il capitale relazionale e informativo accumulato negli apparati. Il registro certifica al Livello A, sul fondamento degli atti ufficiali, questa concentrazione di cariche, e ne trae la prima annotazione di metodo: la deviazione degli apparati non richiede una struttura esterna ad essi, ma può prodursi per accumulo di potere entro le cariche legali, quando un solo nodo cumula funzioni che il disegno costituzionale vorrebbe separate.</w:t>
      </w:r>
    </w:p>
    <w:p>
      <w:pPr>
        <w:spacing w:after="120" w:line="276"/>
        <w:jc w:val="both"/>
      </w:pPr>
      <w:r>
        <w:rPr>
          <w:rFonts w:ascii="Barlow Semi Condensed" w:cs="Barlow Semi Condensed" w:eastAsia="Barlow Semi Condensed" w:hAnsi="Barlow Semi Condensed"/>
          <w:sz w:val="24"/>
          <w:szCs w:val="24"/>
        </w:rPr>
        <w:t xml:space="preserve">Il primo pilastro probatorio è la schedatura di massa. Sotto la direzione di De Lorenzo, il SIFAR costituì un imponente apparato di raccolta informativa su cittadini estranei a ogni competenza istituzionale del servizio: politici, sindacalisti, magistrati, ecclesiastici, imprenditori, giornalisti, schedati per orientamento politico, condotta privata, relazioni personali. La Commissione amministrativa d'inchiesta presieduta dal generale Aldo Beolchini, istituita nel 1966 dal ministro della difesa Roberto Tremelloni, accertò l'esistenza di un numero di fascicoli che le fonti collocano nell'ordine di 157.000 posizioni, molte delle quali raccolte, secondo le conclusioni della Commissione, esulando dalla competenza istituzionale del servizio e configurando una raccolta illegittima. Il registro certifica al Livello A, sul fondamento delle conclusioni della Commissione Beolchini recepite dagli atti parlamentari successivi, l'esistenza e l'illegittimità dell'apparato schedatorio, e ne trae il significato sistemico: le schedature non erano un accessorio, ma lo strumento di potere del nodo, giacché la disponibilità riservata di informazioni compromettenti su una vasta parte del ceto dirigente conferiva al capo del servizio una capacità di condizionamento che nessuna carica formale gli attribuiva. È la prima comparsa, nel registro, della risorsa che la Nota metodologica assegna al Dominio 3 quale suo monopolio, l'informazione segreta, colta nel suo uso deviato: non a fini di difesa, ma a fini di ricatto potenziale.</w:t>
      </w:r>
    </w:p>
    <w:p>
      <w:pPr>
        <w:spacing w:after="120" w:line="276"/>
        <w:jc w:val="both"/>
      </w:pPr>
      <w:r>
        <w:rPr>
          <w:rFonts w:ascii="Barlow Semi Condensed" w:cs="Barlow Semi Condensed" w:eastAsia="Barlow Semi Condensed" w:hAnsi="Barlow Semi Condensed"/>
          <w:sz w:val="24"/>
          <w:szCs w:val="24"/>
        </w:rPr>
        <w:t xml:space="preserve">Il secondo pilastro, e il più controverso, è il Piano Solo. Nella primavera e nell'estate del 1964, durante la lunga crisi del primo governo organico di centro-sinistra presieduto da Aldo Moro, insediatosi il 5 dicembre 1963, il comando generale dell'Arma dei carabinieri, sotto la direzione di De Lorenzo, predispose un piano di emergenza denominato Solo, così detto perché avrebbe impegnato la sola Arma dei carabinieri senza il concorso delle altre forze. Il piano prevedeva, in caso di attivazione, l'occupazione dei centri nevralgici del Paese, sedi della radiotelevisione, prefetture, centrali telefoniche, sedi dei partiti e dei giornali, e soprattutto l'enucleazione, ossia il prelevamento e la deportazione in una località isolata della Sardegna, di un elenco di persone ritenute pericolose, i cosiddetti enucleandi, da trarsi in prevalenza dalla rubrica E del SIFAR, la rubrica degli individui da enucleare in caso di emergenza. La vicenda esplose pubblicamente nel 1967 con l'inchiesta giornalistica del settimanale L'Espresso, che parlò apertamente di un progettato colpo di Stato, e diede luogo a un contenzioso giudiziario e a una commissione parlamentare d'inchiesta.</w:t>
      </w:r>
    </w:p>
    <w:p>
      <w:pPr>
        <w:spacing w:after="120" w:line="276"/>
        <w:jc w:val="both"/>
      </w:pPr>
      <w:r>
        <w:rPr>
          <w:rFonts w:ascii="Barlow Semi Condensed" w:cs="Barlow Semi Condensed" w:eastAsia="Barlow Semi Condensed" w:hAnsi="Barlow Semi Condensed"/>
          <w:sz w:val="24"/>
          <w:szCs w:val="24"/>
        </w:rPr>
        <w:t xml:space="preserve">La qualificazione di quei fatti impone la massima disciplina del metodo, perché su di essi si è consumata una controversia storiografica e politica mai composta. Il registro procede per gradi di certificazione distinti. Certifica al Livello A l'esistenza materiale del piano, la predisposizione delle liste di enucleandi collegate alla rubrica E del SIFAR e l'anomalia costituzionale di un piano che attribuiva all'Arma dei carabinieri compiti di ordine pubblico straordinario esorbitanti dalle sue competenze: questi fatti non sono mai stati seriamente contestati e risultano dagli atti delle commissioni. Certifica altresì al Livello A la conclusione della Commissione parlamentare d'inchiesta, istituita nel 1969, la cui relazione di maggioranza del 1970 qualificò il complesso delle attività del SIFAR sotto De Lorenzo come deviazione dai fini istituzionali, pur senza pervenire alla qualificazione di tentato colpo di Stato. Mantiene per converso rigorosamente al Livello C, quale ipotesi mai consacrata da alcun accertamento definitivo e anzi respinta dalla relazione di maggioranza, la tesi che il Piano Solo costituisse un colpo di Stato in senso proprio, attivato o sul punto di attivarsi su mandato o con l'avallo del presidente della Repubblica Antonio Segni. La distinzione è la sostanza stessa del caso: tra un piano di emergenza illegittimo nella sua concezione e nelle sue liste, che è certificato, e un golpe deliberato e mancato, che è ipotesi, corre l'intera differenza tra ciò che il registro afferma e ciò che si vieta di affermare. La circostanza, essa stessa certificata al Livello A dagli atti della Commissione stragi, che la lista degli enucleandi risulti dispersa e non più reperibile, dichiarata introvabile dal governo tanto nel 1990 quanto nel 1999, è annotata dal registro quale reperto negativo di prima classe: l'assenza del documento capitale è un dato, e appartiene alla tipologia dell'ostruzione documentale che l'opera ha codificato.</w:t>
      </w:r>
    </w:p>
    <w:p>
      <w:pPr>
        <w:spacing w:after="120" w:line="276"/>
        <w:jc w:val="both"/>
      </w:pPr>
      <w:r>
        <w:rPr>
          <w:rFonts w:ascii="Barlow Semi Condensed" w:cs="Barlow Semi Condensed" w:eastAsia="Barlow Semi Condensed" w:hAnsi="Barlow Semi Condensed"/>
          <w:sz w:val="24"/>
          <w:szCs w:val="24"/>
        </w:rPr>
        <w:t xml:space="preserve">Il terzo pilastro è la sequenza delle inchieste, che fa del caso SIFAR il prototipo del meccanismo di accertamento e insabbiamento che il registro ritroverà in tutta la fase. Alla Commissione amministrativa Beolchini del 1966 seguì la Commissione d'inchiesta presieduta dal generale Giorgio Manes, il vicecomandante dell'Arma che aveva raccolto elementi sulla vicenda e che morì nel 1969 in circostanze che alimentarono sospetti mai tramutati in accertamento, sicché il registro ne mantiene la morte quale evento non qualificato; quindi la Commissione parlamentare d'inchiesta del 1969-1971; e infine, a distanza di decenni, la riapertura documentale operata dalla Commissione stragi della XIII legislatura, i cui atti, presenti nel corpus, ricostruiscono la vicenda alla luce delle desecretazioni degli anni Novanta. Il registro trae da questa sequenza il pattern dell'ostruzione istituzionale post-factum, distinto dall'ostruzione preventiva e dalla distruzione di prove: un meccanismo per cui l'accertamento procede a ondate successive, ciascuna delle quali recupera un frammento e ne perde un altro, sicché la verità giudiziaria e storica resta permanentemente incompleta. La regolarità empirica che il registro ha documentato su scala comparativa, secondo cui nessun archivio di apparato di sicurezza si è mai aperto spontaneamente ma solo per effetto di scandali, contenziosi o iniziative legislative, trova nel caso SIFAR la sua prima conferma nazionale.</w:t>
      </w:r>
    </w:p>
    <w:p>
      <w:pPr>
        <w:spacing w:after="120" w:line="276"/>
        <w:jc w:val="both"/>
      </w:pPr>
      <w:r>
        <w:rPr>
          <w:rFonts w:ascii="Barlow Semi Condensed" w:cs="Barlow Semi Condensed" w:eastAsia="Barlow Semi Condensed" w:hAnsi="Barlow Semi Condensed"/>
          <w:sz w:val="24"/>
          <w:szCs w:val="24"/>
        </w:rPr>
        <w:t xml:space="preserve">Il quarto pilastro è il significato tecnico del sistema delle rubriche del SIFAR, che il registro assume a chiarimento della natura operativa della schedatura e a fondamento della sua qualificazione quale apparato di ricatto potenziale. Il servizio classificava le posizioni schedate in rubriche distinte per finalità: accanto alla rubrica delle persone potenzialmente pericolose e a quella degli individui già condannati o sospettati, la rubrica E raccoglieva i nominativi delle persone da enucleare, ossia da prelevare e allontanare in caso di attivazione di un piano di emergenza. La distinzione tra le rubriche non è un dettaglio archivistico, ma la chiave della qualificazione dell'apparato: la mera raccolta informativa su un individuo è una cosa, e la sua iscrizione in una lista operativa di persone da prelevare in caso di emergenza è cosa affatto diversa, giacché trasforma la scheda da strumento conoscitivo in strumento potenzialmente esecutivo. Il registro certifica al Livello A, sul fondamento degli atti delle commissioni, l'esistenza del sistema delle rubriche e della rubrica E quale rubrica delle persone da enucleare, e ne trae la qualificazione decisiva: il Piano Solo non era un piano astratto, ma un piano dotato del suo strumento operativo, la rubrica E, che ne costituiva la lista di attuazione; e la dispersione della lista degli enucleandi, dichiarata introvabile, priva l'accertamento precisamente del documento che avrebbe consentito di misurare l'ampiezza reale del disegno. Il registro annota altresì che la Commissione stragi, nei suoi lavori degli anni Novanta, rilevò la possibilità di ricostruire almeno parzialmente gli elenchi dispersi attraverso i fascicoli nei quali i nominativi sarebbero stati riversati dopo l'abolizione della rubrica nel 1968, e registrò che tale ricostruzione non risultava effettuata o comunicata: un ulteriore reperto di quella ostruzione istituzionale post-factum che il nodo De Lorenzo ha inaugurato quale pattern dell'intera fase.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 Lorenzo-SIFAR-rubrica E, è il triangolo interno al Dominio 3, che salda la carica alla struttura schedatoria e alle liste operative, certificato al Livello A dagli atti delle commissioni. La seconda, De Lorenzo-Arma dei carabinieri-Segni, è il triangolo dell'accoppiamento tra il Dominio 9 e il Dominio 2 nel momento della crisi del 1964, certificato al Livello A quanto ai contatti tra il generale e il vertice dello Stato durante la crisi di governo, e mantenuto al Livello C quanto alla natura golpista dell'iniziativa; il registro segnala che la stessa esistenza di quei contatti, in un frangente di crisi istituzionale, integra l'anomalia, indipendentemente dalla loro qualificazione. La terza, De Lorenzo-L'Espresso-Commissione parlamentare, è il triangolo dell'emersione pubblica, che documenta il ruolo del giornalismo d'inchiesta quale innesco dell'accertamento e prefigura l'arco tra il Dominio 8 e il Dominio 3 che la fase incontrerà ripetutamente.</w:t>
      </w:r>
    </w:p>
    <w:p>
      <w:pPr>
        <w:spacing w:after="120" w:line="276"/>
        <w:jc w:val="both"/>
      </w:pPr>
      <w:r>
        <w:rPr>
          <w:rFonts w:ascii="Barlow Semi Condensed" w:cs="Barlow Semi Condensed" w:eastAsia="Barlow Semi Condensed" w:hAnsi="Barlow Semi Condensed"/>
          <w:sz w:val="24"/>
          <w:szCs w:val="24"/>
        </w:rPr>
        <w:t xml:space="preserve">La contabilità della schedatura merita il dettaglio dei numeri, perché la deviazione si misura anzitutto in unità d'archivio. Gli accertamenti della Commissione Beolchini quantificarono in circa 157.000 i fascicoli costituiti dal servizio, una massa documentale che eccedeva di interi ordini di grandezza ogni plausibile perimetro di controspionaggio e che includeva dossier su parlamentari, ministri, prelati, sindacalisti, giornalisti ed uomini d'industria, corredati di annotazioni sulla vita privata e patrimoniale raccolte con metodi estranei ad ogni finalità istituzionale, Livello A quanto alle conclusioni della Commissione. La sorte di quell'archivio è essa stessa un reperto: dopo un decennio di custodia contesa, i fascicoli furono avviati alla distruzione nel 1974 per determinazione governativa, sotto il controllo di un'apposita commissione, sicché la Repubblica scelse di incenerire il corpo del reato per impedirne l'uso, sacrificando con ciò, per sempre, la possibilità di censirne analiticamente il contenuto, Livello A quanto alla distruzione. Il registro annota la duplicità del gesto senza scioglierla: la distruzione fu insieme profilassi contro il ricatto e amnistia dell'archivio, e le 2 letture, entrambe legittime, convivono da allora negli atti parlamentari come il primo esempio di quella ambivalenza istituzionale verso la propria memoria che il capitolo 9 della Fase 5 eleverà a regolarità empirica.</w:t>
      </w:r>
    </w:p>
    <w:p>
      <w:pPr>
        <w:spacing w:after="120" w:line="276"/>
        <w:jc w:val="both"/>
      </w:pPr>
      <w:r>
        <w:rPr>
          <w:rFonts w:ascii="Barlow Semi Condensed" w:cs="Barlow Semi Condensed" w:eastAsia="Barlow Semi Condensed" w:hAnsi="Barlow Semi Condensed"/>
          <w:sz w:val="24"/>
          <w:szCs w:val="24"/>
        </w:rPr>
        <w:t xml:space="preserve">Alla sequenza delle inchieste va aggiunto il canale che rese pubblico ciò che gli apparati avevano compartimentato: la stampa. Nel maggio 1967 il settimanale L'Espresso, con gli articoli di Lino Jannuzzi promossi dal direttore Eugenio Scalfari, rivelò al Paese l'esistenza del piano del 1964, costringendo le istituzioni ad uscire dal riserbo; De Lorenzo reagì querelando per diffamazione, ed il processo che ne seguì si concluse nel 1968 con la condanna dei giornalisti, i quali furono di lì a poco eletti in Parlamento, mentre il dibattimento aveva intanto prodotto l'effetto che nessuna sentenza poteva revocare, l'ingresso del Piano Solo nel discorso pubblico, Livello A sull'intera scansione. Il paradosso di un accertamento sostanziale veicolato da una condanna per diffamazione è la miglior introduzione al secondo tornante: la relazione della Commissione parlamentare d'inchiesta presieduta da Giuseppe Alessi, depositata nel 1971, che escluse a maggioranza la qualificazione golpista del piano riconoscendone le gravi irregolarità, accompagnata da relazioni di minoranza di segno opposto, Livello A quanto agli atti, con la conseguenza, che il registro assume quale dato permanente, di un evento certificato nei fatti e conteso nella qualificazione, secondo la medesima asimmetria che la Fase 1 ha incontrato nella P2. Chiude il quadro la parabola personale: la rimozione dal vertice dello stato maggiore dell'esercito nell'aprile 1967, all'esito degli accertamenti interni condotti dal generale Giorgio Manes, e la successiva elezione alla Camera nelle file monarchiche e poi missine, Livello A, che inaugura nel registro la figura, destinata a ripetersi, del generale della deviazione che transita dall'apparato al Parlamento: la migrazione inter-dominio del Pattern 7 nella sua variante più letterale, dall'archivio segreto all'immunità parlamentare.</w:t>
      </w:r>
    </w:p>
    <w:p>
      <w:pPr>
        <w:spacing w:after="120" w:line="276"/>
        <w:jc w:val="both"/>
      </w:pPr>
      <w:r>
        <w:rPr>
          <w:rFonts w:ascii="Barlow Semi Condensed" w:cs="Barlow Semi Condensed" w:eastAsia="Barlow Semi Condensed" w:hAnsi="Barlow Semi Condensed"/>
          <w:sz w:val="24"/>
          <w:szCs w:val="24"/>
        </w:rPr>
        <w:t xml:space="preserve">Il contesto politico dell'estate 1964 va infine restituito, perché il piano non abitò il vuoto ma una crisi di governo dalle scansioni note. Tra giugno e luglio, caduto il primo esecutivo organico di centro-sinistra ed apertasi la trattativa per la sua riedizione, il presidente della Repubblica Antonio Segni intrattenne con i vertici militari, De Lorenzo incluso, consultazioni la cui esistenza è documentata e la cui esatta portata resta contesa; nel medesimo torno di settimane maturarono le predisposizioni operative che gli accertamenti successivi avrebbero censito, e la trattativa politica si chiuse con un programma riformatore ridimensionato, prima che il capo dello Stato fosse colpito, in agosto, dal malore che ne avrebbe determinato le dimissioni, Livello A quanto alla cronologia istituzionale, Livello C quanto ad ogni nesso tra le predisposizioni militari e l'esito della trattativa, nesso che nessun accertamento ha consacrato. Alla stagione appartiene la formula con cui Pietro Nenni, protagonista della trattativa, avrebbe poi nominato quel clima, il rumore di sciabole avvertito nell'estate: espressione memorialistica che il registro cita quale reperto lessicale d'epoca, non quale accertamento, Livello B quanto alla testimonianza. La storiografia prevalente ha consegnato del piano la lettura del deterrente, un apparato predisposto non per essere eseguito ma per pesare, con la sua sola esistenza conoscibile ai pochi, sul tavolo della mediazione politica: lettura che il registro censisce quale ipotesi storiografica dominante, coerente con la qualificazione non golpista della Commissione Alessi e tuttavia non riducibile ad essa, Livello B, e che consegna al Pattern 8 un teorema destinato a lunga fortuna nella fase, l'apparato che condiziona non agendo ma potendo agire, la deviazione come potenzialità esibita.</w:t>
      </w:r>
    </w:p>
    <w:p>
      <w:pPr>
        <w:spacing w:after="120" w:line="276"/>
        <w:jc w:val="both"/>
      </w:pPr>
      <w:r>
        <w:rPr>
          <w:rFonts w:ascii="Barlow Semi Condensed" w:cs="Barlow Semi Condensed" w:eastAsia="Barlow Semi Condensed" w:hAnsi="Barlow Semi Condensed"/>
          <w:sz w:val="24"/>
          <w:szCs w:val="24"/>
        </w:rPr>
        <w:t xml:space="preserve">Alla contabilità delle rubriche appartiene infine il documento operativo che distingue il piano da ogni ordinaria pianificazione di ordine pubblico: le liste degli enucleandi. Gli accertamenti parlamentari censirono l'esistenza di elenchi, per un totale di oltre 700 nominativi, di dirigenti politici, sindacali e giornalistici da prelevare e trasferire, nella fase esecutiva, presso strutture riservate extraterritoriali rispetto ai circuiti ordinari di polizia giudiziaria, in Sardegna, secondo una procedura che non prevedeva né provvedimento dell'autorità giudiziaria né alcuna base normativa conoscibile, Livello A quanto all'esistenza delle liste ed alla meccanica del prelevamento quale risulta dagli atti, Livello B quanto alle quantificazioni di dettaglio, non uniformi nelle fonti. È questo, e non la generica raccolta informativa, il reperto che qualifica: la schedatura osserva, la lista di enucleazione predispone, ed il passaggio dall'una all'altra è il passaggio dal codice dell'informazione al codice dell'azione, che nessuna finalità difensiva dichiarata poteva coprire. Un poscritto tragico appartiene alla storia dell'accertamento: il generale Giorgio Manes, l'ufficiale che con la propria inchiesta interna aveva reso possibile la ricostruzione dei fatti, morì stroncato da un malore il 24 giugno 1969, nell'aula stessa in cui si accingeva a deporre dinanzi alla Commissione parlamentare, Livello A quanto al fatto, di natura accertata quale evento naturale, che il registro riporta senza alcuna suggestione aggiuntiva e con la sola annotazione che gli compete: la conoscenza di quella stagione giunse al Parlamento orfana del suo testimone più qualificato, e la storia dell'accertamento è anche, sempre, la storia dei suoi vuoti accidentali.</w:t>
      </w:r>
    </w:p>
    <w:p>
      <w:pPr>
        <w:spacing w:after="120" w:line="276"/>
        <w:jc w:val="both"/>
      </w:pPr>
      <w:r>
        <w:rPr>
          <w:rFonts w:ascii="Barlow Semi Condensed" w:cs="Barlow Semi Condensed" w:eastAsia="Barlow Semi Condensed" w:hAnsi="Barlow Semi Condensed"/>
          <w:sz w:val="24"/>
          <w:szCs w:val="24"/>
        </w:rPr>
        <w:t xml:space="preserve">L'estate del 1964 ebbe infine il suo epilogo fisico, che il registro censisce quale chiusura documentale della finestra: il 7 agosto 1964, nel proprio studio al Quirinale, durante un colloquio teso con il presidente del Consiglio Moro ed il ministro degli esteri Saragat sulla crisi in corso, il presidente Segni fu colpito da un grave malore cerebrale che ne compromise irreversibilmente le funzioni, conducendolo alle dimissioni del dicembre successivo, Livello A quanto ai fatti ed alle date. Il registro si attiene alla propria disciplina e non converte la coincidenza in causa: il collasso di un uomo provato non è un reperto sul contenuto dei colloqui, e nessun accertamento ha mai stabilito nessi che il registro possa certificare. Ma la cronologia oggettiva resta, ed appartiene alla contabilità della finestra: il presidente della Repubblica attorno al quale la stagione dei piani si era addensata uscì di scena, fisicamente, nel cuore dell'estate in cui la stagione si consumava, e la successione che ne seguì chiuse l'equazione politica del biennio. Con il dicembre 1964 la finestra critica inaugurale dell'opera si sigilla così su tutti i piani insieme, il militare, il politico e il biografico, e la Repubblica archivia il suo primo allarme senza processo, senza relazione approvata all'unanimità e senza più il protagonista istituzionale che avrebbe potuto, solo, raccontarne la versione mancante.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 Lorenzo è certificato al Livello A quale prima deviazione documentata degli apparati di sicurezza repubblicani, sul fondamento delle conclusioni della Commissione Beolchini sulle schedature illegittime del SIFAR e della relazione parlamentare del 1970 che qualificò le attività del servizio quale deviazione dai fini istituzionali; l'esistenza materiale del Piano Solo e delle liste di enucleandi è certificata al Livello A, mentre la sua qualificazione quale tentato colpo di Stato resta al Livello C, quale ipotesi non consacrata e anzi respinta dalla relazione di maggioranza; la dispersione della lista degli enucleandi è recepita quale reperto di ostruzione documentale di prima classe.</w:t>
      </w:r>
    </w:p>
    <w:p>
      <w:pPr>
        <w:pStyle w:val="Heading3"/>
        <w:spacing w:after="80" w:before="160"/>
      </w:pPr>
      <w:r>
        <w:rPr>
          <w:rFonts w:ascii="Barlow Semi Condensed" w:cs="Barlow Semi Condensed" w:eastAsia="Barlow Semi Condensed" w:hAnsi="Barlow Semi Condensed"/>
          <w:sz w:val="24"/>
          <w:szCs w:val="24"/>
        </w:rPr>
        <w:t xml:space="preserve">Capitolo 2 — ▶ Vito Miceli. Il direttore del servizio e l'accusa di cospirazione</w:t>
      </w:r>
    </w:p>
    <w:p>
      <w:pPr>
        <w:spacing w:after="120" w:line="276"/>
        <w:jc w:val="both"/>
      </w:pPr>
      <w:r>
        <w:rPr>
          <w:rFonts w:ascii="Barlow Semi Condensed" w:cs="Barlow Semi Condensed" w:eastAsia="Barlow Semi Condensed" w:hAnsi="Barlow Semi Condensed"/>
          <w:sz w:val="24"/>
          <w:szCs w:val="24"/>
        </w:rPr>
        <w:t xml:space="preserve">Vito Miceli, nato a Trapani il 30 gennaio 1916 e morto a Roma il 24 novembre 1990, generale, direttore del Servizio informazioni difesa dal 1970 al 1974, è il nodo attraverso il quale il registro certifica un fatto che nessuna vulgata potrebbe rendere più eloquente della sua nuda realtà giudiziaria: il direttore in carica del servizio segreto militare della Repubblica fu arrestato e processato per cospirazione politica mediante associazione, nel quadro delle inchieste sull'eversione di destra dei primi anni Settanta. La scansione del corpus registra il servizio da lui diretto, il SID, 1.658 volte in 100 documenti, la più alta frequenza documentale dell'intero Dominio 3, e il nome di Miceli 475 volte in 25 documenti. Il nodo salda 3 domini in una sola biografia: il Dominio 3 quale direttore del servizio, il Dominio 7 quale imputato di cospirazione eversiva, il Dominio 4 quale iscritto alla loggia P2, e proietta verso il Dominio 2 attraverso il successivo mandato parlamentare.</w:t>
      </w:r>
    </w:p>
    <w:p>
      <w:pPr>
        <w:spacing w:after="120" w:line="276"/>
        <w:jc w:val="both"/>
      </w:pPr>
      <w:r>
        <w:rPr>
          <w:rFonts w:ascii="Barlow Semi Condensed" w:cs="Barlow Semi Condensed" w:eastAsia="Barlow Semi Condensed" w:hAnsi="Barlow Semi Condensed"/>
          <w:sz w:val="24"/>
          <w:szCs w:val="24"/>
        </w:rPr>
        <w:t xml:space="preserve">La biografia istituzionale colloca Miceli al vertice del SID nel quadriennio cruciale che va dalla strage di Piazza Fontana del dicembre 1969 alla stagione dei tentativi eversivi. Nominato direttore del SID nell'ottobre del 1970, Miceli resse il servizio nel periodo in cui in esso si consumarono, secondo i successivi accertamenti giudiziari, i depistaggi delle indagini sulle stragi e i contatti ambigui con gli ambienti dell'eversione nera, materia che la Fase 3 tratterà nel suo contesto e che qui rileva quale sfondo della vicenda personale del direttore. Il registro certifica al Livello A, sul fondamento degli atti ufficiali, la carica e la sua durata, e annota il dato strutturale: Miceli diresse il SID negli stessi mesi in cui Junio Valerio Borghese predisponeva il tentativo eversivo del dicembre 1970, di cui il capitolo 6 dirà, e in cui prendeva forma l'organizzazione denominata Rosa dei Venti; ed è precisamente all'intersezione tra il servizio e questi ambienti che si collocò l'accusa che ne travolse la carriera.</w:t>
      </w:r>
    </w:p>
    <w:p>
      <w:pPr>
        <w:spacing w:after="120" w:line="276"/>
        <w:jc w:val="both"/>
      </w:pPr>
      <w:r>
        <w:rPr>
          <w:rFonts w:ascii="Barlow Semi Condensed" w:cs="Barlow Semi Condensed" w:eastAsia="Barlow Semi Condensed" w:hAnsi="Barlow Semi Condensed"/>
          <w:sz w:val="24"/>
          <w:szCs w:val="24"/>
        </w:rPr>
        <w:t xml:space="preserve">Il primo pilastro probatorio è l'arresto e l'imputazione. Il 31 ottobre 1974 Vito Miceli, all'epoca già sostituito alla direzione del SID, fu arrestato su ordine del giudice istruttore di Padova Giovanni Tamburino, nel quadro dell'inchiesta sull'organizzazione Rosa dei Venti, una struttura clandestina a carattere eversivo emersa dalle indagini sul tentativo golpista Borghese e sui suoi sviluppi. L'accusa era di cospirazione politica mediante associazione: al direttore del servizio segreto si contestava di aver promosso o diretto, o quantomeno favorito e coperto, un'associazione volta a sovvertire con mezzi illegali gli assetti costituzionali. Il registro certifica al Livello A, quale fatto giudiziario incontrovertibile risultante dagli atti, l'arresto del direttore del SID e l'imputazione di cospirazione: che il capo del servizio informativo militare sia stato privato della libertà personale e sottoposto a procedimento per un reato contro la personalità dello Stato è, di per sé, il reperto capitale del nodo, indipendentemente dall'esito, giacché documenta al massimo grado la porosità del confine tra il Dominio 3 e il Dominio 7 in quella stagione.</w:t>
      </w:r>
    </w:p>
    <w:p>
      <w:pPr>
        <w:spacing w:after="120" w:line="276"/>
        <w:jc w:val="both"/>
      </w:pPr>
      <w:r>
        <w:rPr>
          <w:rFonts w:ascii="Barlow Semi Condensed" w:cs="Barlow Semi Condensed" w:eastAsia="Barlow Semi Condensed" w:hAnsi="Barlow Semi Condensed"/>
          <w:sz w:val="24"/>
          <w:szCs w:val="24"/>
        </w:rPr>
        <w:t xml:space="preserve">Il secondo pilastro esige, in ossequio alla regola del registro, il riporto per esteso dell'esito. Il procedimento a carico di Miceli per la vicenda della Rosa dei Venti e per i fatti connessi si concluse con l'assoluzione dell'imputato dall'accusa di cospirazione; Miceli non fu condannato per i reati eversivi contestatigli, e la sua posizione, come quella di altri imputati di quel filone, si chiuse senza affermazione di responsabilità penale per il delitto associativo. Il registro certifica dunque al Livello A tanto l'arresto e l'imputazione quanto l'assoluzione, e ne trae la conseguenza metodologica rigorosa: il nodo Miceli documenta al Livello A il fatto storico di un direttore di servizio processato per eversione, ma non consente di certificare, in forza dell'assoluzione, la partecipazione del medesimo a un disegno eversivo. La distinzione tra il fatto del processo, che è certificato, e la fondatezza dell'accusa, che il giudicato ha negato, è la sostanza del caso e la misura della disciplina che il registro si impone anche quando l'imputato è il capo di un apparato deviato.</w:t>
      </w:r>
    </w:p>
    <w:p>
      <w:pPr>
        <w:spacing w:after="120" w:line="276"/>
        <w:jc w:val="both"/>
      </w:pPr>
      <w:r>
        <w:rPr>
          <w:rFonts w:ascii="Barlow Semi Condensed" w:cs="Barlow Semi Condensed" w:eastAsia="Barlow Semi Condensed" w:hAnsi="Barlow Semi Condensed"/>
          <w:sz w:val="24"/>
          <w:szCs w:val="24"/>
        </w:rPr>
        <w:t xml:space="preserve">Il terzo pilastro è l'appartenenza alla loggia P2, che salda il nodo al quadrilatero della Fase 1. Vito Miceli figura tra gli iscritti alla loggia Propaganda 2 di Licio Gelli, e la sua affiliazione, unitamente a quella dei direttori dei servizi che gli succedettero e che il capitolo 10 tratterà, integra l'arco tra il Dominio 3 e il Dominio 4 che la Fase 1 aveva certificato dal lato di Gelli e che qui si certifica dal lato dell'apparato. Il registro assume l'affiliazione al Livello A, sul fondamento delle liste sequestrate a Castiglion Fibocchi il 17 marzo 1981 e degli accertamenti della Commissione Anselmi, e ne trae il significato sistemico: la presenza del direttore del servizio militare in una loggia coperta, il cui Venerabile Maestro intratteneva i rapporti che la Fase 1 ha documentato, è la traccia materiale dell'accoppiamento strutturale tra il Dominio 3 e il Dominio 4, e conferma che la deviazione degli apparati non fu solo torsione funzionale verso l'eversione, ma anche cattura relazionale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quarto pilastro è la migrazione politica. Dopo la vicenda giudiziaria, Miceli fu eletto deputato nel Movimento sociale italiano, sedendo alla Camera a partire dalla legislatura inaugurata nel 1976. Il nodo disegna così, come quello di De Lorenzo, il Pattern 7 delle migrazioni inter-dominio: dal vertice del Dominio 3, attraverso l'imputazione nel Dominio 7, al Dominio 2 per via elettorale. Il registro certifica al Livello A la carica parlamentare e annota la regolarità che i primi 2 nodi della fase già delineano: il passaggio di ufficiali di vertice degli apparati di sicurezza alla rappresentanza politica dell'area nazionale costituisce un corridoio strutturale tra i Domini 3, 9 e 2, ripetutamente percorso, che il Pattern 7 identifica quale meccanismo non casuale di ricollocazione del personale degli apparati.</w:t>
      </w:r>
    </w:p>
    <w:p>
      <w:pPr>
        <w:spacing w:after="120" w:line="276"/>
        <w:jc w:val="both"/>
      </w:pPr>
      <w:r>
        <w:rPr>
          <w:rFonts w:ascii="Barlow Semi Condensed" w:cs="Barlow Semi Condensed" w:eastAsia="Barlow Semi Condensed" w:hAnsi="Barlow Semi Condensed"/>
          <w:sz w:val="24"/>
          <w:szCs w:val="24"/>
        </w:rPr>
        <w:t xml:space="preserve">Il quinto pilastro è la natura dell'organizzazione Rosa dei Venti e il significato dell'inchiesta di Padova, che il registro assume quale reperto della porosità sistemica tra apparati ed eversione. L'organizzazione denominata Rosa dei Venti emerse dalle indagini condotte dal giudice istruttore di Padova Giovanni Tamburino a partire dalle propaggini del tentativo golpista del dicembre 1970, e si configurò, nella ricostruzione dell'inquirente, quale struttura clandestina a carattere eversivo che avrebbe collegato ambienti dell'eversione nera, settori delle forze armate e apparati informativi in un disegno di condizionamento autoritario dell'ordine costituzionale. L'inchiesta di Padova ebbe una portata dirompente perché, muovendo dal basso, dai singoli episodi eversivi, risalì fino al vertice del servizio segreto militare, giungendo all'arresto del suo direttore; e perché sollevò, per la prima volta in sede giudiziaria, la questione dei rapporti tra la struttura informativa dello Stato e gli ambienti eversivi che essa avrebbe dovuto sorvegliare. Il registro certifica al Livello A l'esistenza dell'inchiesta di Padova, la sua estensione dal livello degli esecutori a quello del vertice del servizio, e l'arresto del direttore che ne conseguì; e mantiene al Livello C, in forza del successivo esito assolutorio, la qualificazione della Rosa dei Venti quale struttura eversiva compiutamente organizzata e diretta dagli apparati. La distinzione è, ancora una volta, tra il fatto certificato dell'inchiesta e dei suoi esiti processuali, e l'ipotesi non consacrata della natura e della direzione dell'organizzazione. Il registro annota il significato sistemico dell'episodio: l'inchiesta di Padova documenta al Livello A che la magistratura, negli anni Settanta, giunse a ipotizzare e a perseguire un collegamento tra il vertice del servizio militare e l'eversione, e che tale ipotesi, pur non consacrata da condanna, aprì una crisi istituzionale che condusse alla rimozione e all'arresto del direttore; è il primo caso, nel registro, in cui il Dominio 10 della magistratura si accoppia al Dominio 3 nella forma dell'azione penale contro il vertice dell'apparato, prefigurando la dialettica tra magistratura e servizi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Miceli-SID-Rosa dei Venti, è il triangolo dell'accusa, che salda il vertice del servizio all'organizzazione eversiva secondo l'ipotesi del giudice istruttore di Padova; esso è certificato al Livello A quanto all'esistenza del procedimento e dei contatti che vi emersero, e mantenuto al Livello C quanto alla partecipazione di Miceli al disegno eversivo, in forza dell'assoluzione. La seconda, Miceli-Gelli-P2, è il triangolo della cattura relazionale, certificato al Livello A dall'affiliazione documentata. La terza, Miceli-MSI-rappresentanza politica, è il triangolo della migrazione, certificato al Livello A dal mandato parlamentare. Sul piano dei pattern, il nodo attiva, oltre al Pattern 7, il Pattern 5 dei buchi strutturali, giacché la posizione del direttore del servizio, collocato all'incrocio tra l'apparato militare, la struttura eversiva e la loggia coperta, è una posizione di intermediazione la cui rimozione, avvenuta con l'arresto, aprì una discontinuità nel controllo del servizio che i successivi assetti dovettero ricomporre.</w:t>
      </w:r>
    </w:p>
    <w:p>
      <w:pPr>
        <w:spacing w:after="120" w:line="276"/>
        <w:jc w:val="both"/>
      </w:pPr>
      <w:r>
        <w:rPr>
          <w:rFonts w:ascii="Barlow Semi Condensed" w:cs="Barlow Semi Condensed" w:eastAsia="Barlow Semi Condensed" w:hAnsi="Barlow Semi Condensed"/>
          <w:sz w:val="24"/>
          <w:szCs w:val="24"/>
        </w:rPr>
        <w:t xml:space="preserve">Il contesto istruttorio dell'arresto va restituito nella sua architettura, perché la vicenda Miceli fu anche un conflitto tra giurisdizioni e tra letture del medesimo materiale. L'istruttoria padovana del giudice Giovanni Tamburino, muovendo dall'inchiesta sulla Rosa dei Venti, elaborò l'ipotesi di un organismo occulto operante entro il servizio e parallelo alla sua struttura ufficiale, un servizio nel servizio destinato a funzioni di condizionamento interno; l'istruttoria fu successivamente trasferita alla capitale per ragioni di competenza, e nella sede romana l'ipotesi organizzatoria si stemperò sino agli esiti assolutori che il capitolo ha riportato, Livello A quanto alla scansione processuale, Livello C quanto all'ipotesi dell'organismo parallelo, mai consacrata da giudicato. Il registro censisce il trasferimento di competenza quale reperto esso stesso: nella storia degli accertamenti sugli apparati, lo spostamento della sede giudiziaria si ripresenterà con regolarità statistica sospetta, da Milano a Catanzaro per Piazza Fontana come da Padova a Roma per la Rosa dei Venti, e l'analisi delle finestre critiche del Pattern 3 dovrà annotare che il foro romano fu, per gli imputati degli apparati, sistematicamente più mite dei fori di provenienza: correlazione certificabile, causa non certificata, secondo la disciplina che la Regola Ferrea impone.</w:t>
      </w:r>
    </w:p>
    <w:p>
      <w:pPr>
        <w:spacing w:after="120" w:line="276"/>
        <w:jc w:val="both"/>
      </w:pPr>
      <w:r>
        <w:rPr>
          <w:rFonts w:ascii="Barlow Semi Condensed" w:cs="Barlow Semi Condensed" w:eastAsia="Barlow Semi Condensed" w:hAnsi="Barlow Semi Condensed"/>
          <w:sz w:val="24"/>
          <w:szCs w:val="24"/>
        </w:rPr>
        <w:t xml:space="preserve">Un secondo reperto documentale appartiene alla stagione di Miceli ed illumina la natura promiscua della raccolta informativa d'apparato: il fascicolo Mi.Fo.Biali. Sotto tale criptonimo il servizio condusse a metà degli anni 70 un'attività di intercettazione su ambienti collocati all'incrocio tra vertici della Guardia di Finanza, traffici petroliferi e relazioni con la Libia, producendo un dossier che non approdò ad alcun procedimento e che rifluì invece, per canali mai integralmente chiariti, nella disponibilità di ambienti giornalistici e riservati, sino a riaffiorare nelle carte dell'agenzia OP di Carmine Pecorelli, Livello B quanto alla genesi ed al percorso del fascicolo, secondo le ricostruzioni parlamentari. Il registro ne trae la certificazione di un meccanismo più che di un contenuto: l'informazione raccolta dall'apparato per finalità dichiarate di sicurezza poteva mutare destinazione e divenire merce, arma negoziale o materiale di ricatto nel mercato riservato delle notizie, e questo scivolamento funzionale, documentato qui per la prima volta nella fase, è la premessa tecnica di tutto ciò che il capitolo 8 della Fase 4 dirà sul giornalismo delle veline e sul suo prezzo di sangue.</w:t>
      </w:r>
    </w:p>
    <w:p>
      <w:pPr>
        <w:spacing w:after="120" w:line="276"/>
        <w:jc w:val="both"/>
      </w:pPr>
      <w:r>
        <w:rPr>
          <w:rFonts w:ascii="Barlow Semi Condensed" w:cs="Barlow Semi Condensed" w:eastAsia="Barlow Semi Condensed" w:hAnsi="Barlow Semi Condensed"/>
          <w:sz w:val="24"/>
          <w:szCs w:val="24"/>
        </w:rPr>
        <w:t xml:space="preserve">Il ciclo apertosi con l'arresto del direttore si chiuse, sul piano sistemico, con la riforma che ridisegnò l'intera architettura informativa, e la scansione merita registrazione perché costituisce l'unico esito legislativo dell'intera stagione delle deviazioni. La legge 24 ottobre 1977 numero 801 soppresse il SID e ripartì le funzioni tra 2 organismi, il SISMI per la sicurezza militare ed il SISDE per quella democratica, coordinati dal comitato esecutivo CESIS presso la Presidenza del Consiglio, ed istituì per la prima volta un organo parlamentare di controllo, il Comitato per i servizi di informazione e sicurezza, insieme alla disciplina legislativa del segreto di Stato con l'esclusione espressa della sua opponibilità per i fatti eversivi dell'ordine costituzionale, Livello A quanto all'impianto normativo. Il registro annota la genealogia: la riforma nacque dichiaratamente dalla stagione dei processi agli apparati, e la clausola sull'ineccepibilità del segreto per i fatti eversivi porta impressa, in negativo, la memoria dei dinieghi opposti ai giudici istruttori del quinquennio precedente. Che poi la nuova architettura sia stata catturata, a men di 4 anni dalla sua entrata in funzione, dalla loggia che il capitolo 10 documenta, non abroga il valore del reperto ma lo raddoppia: la fase consegna così alle successive la coppia concettuale che governa l'intera materia, la riforma quale risposta dell'ordinamento e la cattura quale risposta alla risposta, il legislatore che chiude la porta e la rete che entra dalla finestra delle nomine.</w:t>
      </w:r>
    </w:p>
    <w:p>
      <w:pPr>
        <w:spacing w:after="120" w:line="276"/>
        <w:jc w:val="both"/>
      </w:pPr>
      <w:r>
        <w:rPr>
          <w:rFonts w:ascii="Barlow Semi Condensed" w:cs="Barlow Semi Condensed" w:eastAsia="Barlow Semi Condensed" w:hAnsi="Barlow Semi Condensed"/>
          <w:sz w:val="24"/>
          <w:szCs w:val="24"/>
        </w:rPr>
        <w:t xml:space="preserve">Quanto all'organizzazione che diede nome all'inchiesta, la Rosa dei Venti, gli accertamenti padovani ne censirono la natura di struttura clandestina a composizione mista, civile e militare, con proiezioni in più regioni del nord ed un lessico interno di legittimazione atlantica; tra gli arrestati figurò il colonnello Amos Spiazzi, ufficiale in servizio, la cui linea difensiva, l'appartenenza ad un'organizzazione di sicurezza interna legittima e nota alle gerarchie, introdusse nel dibattimento il tema, allora inverificabile, delle strutture parallele autorizzate, Livello A quanto agli arresti ed alla linea difensiva quale fatto processuale, Livello C quanto al suo contenuto di verità, che soltanto la rivelazione del 1990 avrebbe reso retrospettivamente plausibile senza mai riscontrarlo nel caso specifico. Gli esiti giudiziari del filone, in larga parte assolutori o di proscioglimento, completano la statistica della fase, Livello A, e consegnano al registro l'ennesima occorrenza della sua figura ricorrente: l'organizzazione materialmente esistita ed il reato giudizialmente inesistente, la forbice entro la quale abita, irrisolta per costruzione, l'intera contabilità della deviazione.</w:t>
      </w:r>
    </w:p>
    <w:p>
      <w:pPr>
        <w:spacing w:after="120" w:line="276"/>
        <w:jc w:val="both"/>
      </w:pPr>
      <w:r>
        <w:rPr>
          <w:rFonts w:ascii="Barlow Semi Condensed" w:cs="Barlow Semi Condensed" w:eastAsia="Barlow Semi Condensed" w:hAnsi="Barlow Semi Condensed"/>
          <w:sz w:val="24"/>
          <w:szCs w:val="24"/>
        </w:rPr>
        <w:t xml:space="preserve">Il nucleo tecnico dell'accusa romana merita infine di essere isolato, perché in esso sta la sostanza istituzionale del caso al di là della sorte processuale. A Miceli fu contestato, in radice, di aver disposto delle informazioni raccolte dal servizio sul tentativo del dicembre 1970 senza trasmetterle tempestivamente ed integralmente all'autorità politica ed a quella giudiziaria, trattenendo la conoscenza quale risorsa propria dell'apparato: accusa dalla quale fu assolto con la formula che il capitolo ha riportato, ma il cui oggetto, la ritenzione della notizia quale forma di potere, resta il paradigma concettuale che l'intera fase ha poi ritrovato in ogni sua stazione, Livello A quanto al contenuto della contestazione ed all'esito. Al dibattimento romano appartiene inoltre un reperto scenico che il registro censisce quale dato e non quale aneddoto: il confronto pubblico tra Miceli e Maletti, i 2 vertici del medesimo servizio che si accusarono reciprocamente in aula, ciascuno attribuendo all'altro la gestione anomala delle informative, Livello A quanto al contrasto processualmente documentato. La scena vale una radiografia: il servizio della prima metà degli anni 70 non fu un monolite deviato ma un campo di fazioni in guerra, ciascuna con il proprio archivio, i propri canali politici ed i propri protettori, e la deviazione, lungi dall'essere il progetto coerente di un centro unico, fu anche il sottoprodotto entropico di quella competizione interna per il controllo della risorsa informativa: lettura, questa, che gli atti autorizzano e che ridimensiona, senza cancellarla, ogni ipotesi di regia unitaria.</w:t>
      </w:r>
    </w:p>
    <w:p>
      <w:pPr>
        <w:spacing w:after="120" w:line="276"/>
        <w:jc w:val="both"/>
      </w:pPr>
      <w:r>
        <w:rPr>
          <w:rFonts w:ascii="Barlow Semi Condensed" w:cs="Barlow Semi Condensed" w:eastAsia="Barlow Semi Condensed" w:hAnsi="Barlow Semi Condensed"/>
          <w:sz w:val="24"/>
          <w:szCs w:val="24"/>
        </w:rPr>
        <w:t xml:space="preserve">Alla parabola del direttore va premessa la genealogia del vertice, che colloca la nomina nella sua sequenza istituzionale: il servizio riformato dopo lo scandalo dei fascicoli era stato retto dall'ammiraglio Eugenio Henke, il traghettatore che tra il 1966 ed il 1970 accompagnò la trasformazione del SIFAR in SID amministrando la stagione delle epurazioni parziali censite nel capitolo precedente, e fu il passaggio di consegne dell'ottobre 1970 a insediare Miceli alla direzione, Livello A quanto alla sequenza ed alle date. Il registro fissa la coincidenza cronologica che la scansione consegna: il nuovo direttore assunse il comando del servizio poche settimane prima della notte dell'Immacolata, sicché il tentativo del dicembre 1970 e la gestione delle sue notizie, che costituiranno il cuore dell'imputazione censita, caddero nell'esatta finestra di insediamento di un vertice appena installato, con gli uffici in transizione e le lealtà interne in riassestamento. La circostanza non è un attenuante né un aggravante, ed il registro la consegna quale puro dato di struttura: nella serie delle finestre critiche dell'opera, anche quella del dicembre 1970 si apre su un apparato colto nel proprio momento di minima coesione, e la regolarità con cui gli snodi eversivi del corpus intercettano le transizioni di vertice degli organi di sicurezza, dal 1970 di Miceli al 1978 dei servizi neonati, è essa stessa un reperto del Pattern 3, che il registro registra senza convertirlo in disegno: le transizioni sono finestre, e le finestre, chiunque le apra, fanno entrare la stessa aria.</w:t>
      </w:r>
    </w:p>
    <w:p>
      <w:pPr>
        <w:spacing w:after="120" w:line="276"/>
        <w:jc w:val="both"/>
      </w:pPr>
      <w:r>
        <w:rPr>
          <w:rFonts w:ascii="Barlow Semi Condensed" w:cs="Barlow Semi Condensed" w:eastAsia="Barlow Semi Condensed" w:hAnsi="Barlow Semi Condensed"/>
          <w:sz w:val="24"/>
          <w:szCs w:val="24"/>
        </w:rPr>
        <w:t xml:space="preserve">La genealogia dei vertici si completa con il successore, che il registro censisce per la funzione di cerniera: dopo la rimozione di Miceli, la direzione del servizio passò nell'estate 1974 all'ammiraglio Mario Casardi, che la resse sino alla riforma del 1977, amministrando la stagione terminale del SID, quella dei procedimenti censiti in questa fase, delle epurazioni giudiziarie dei propri uffici e della transizione legislativa verso il nuovo ordinamento, Livello A quanto alla successione ed alle date. Il registro annota la regolarità che la serie dei 3 direttori consegna: Henke il traghettatore dallo scandalo alla ricostruzione, Miceli il direttore imputato, Casardi il liquidatore verso la riforma, e la circostanza che l'intero arco vitale del servizio, 11 anni dalla nascita alla soppressione, sia interamente descrivibile attraverso le categorie della patologia, scandalo ereditato, vertice processato, struttura rifondata per legge, è il giudizio storico implicito che nessuna sentenza ha dovuto pronunciare: il SID è l'unico apparato della Repubblica la cui parabola istituzionale coincide, senza residui, con la propria storia giudiziaria, e la riforma del 1977 che lo cancellò fu, nella sostanza, l'unica sentenza definitiva emessa sull'intero organismo anziché sui suoi uomini.</w:t>
      </w:r>
    </w:p>
    <w:p>
      <w:pPr>
        <w:spacing w:after="120" w:line="276"/>
        <w:jc w:val="both"/>
      </w:pPr>
      <w:r>
        <w:rPr>
          <w:rFonts w:ascii="Barlow Semi Condensed" w:cs="Barlow Semi Condensed" w:eastAsia="Barlow Semi Condensed" w:hAnsi="Barlow Semi Condensed"/>
          <w:sz w:val="24"/>
          <w:szCs w:val="24"/>
        </w:rPr>
        <w:t xml:space="preserve">La mappa degli apparati si completa con la costellazione minore che il registro censisce per dovere di completezza istituzionale: accanto al servizio unificato operavano i SIOS, i servizi informazioni delle 3 forze armate, Esercito, Marina ed Aeronautica, strutture di intelligence di forza armata mai assorbite dalla riforma del 1949 né da quella del 1977, con proprie catene gerarchiche, propri archivi e proprie reti, formalmente confinate all'informazione tecnico-militare e ricorrentemente lambite, negli atti delle inchieste censite dall'opera, da attività eccedenti quel perimetro, Livello A quanto all'assetto ordinamentale, Livello B quanto alle eccedenze operative documentate episodicamente dalle istruttorie. Il registro annota il dato strutturale che la costellazione consegna: la Repubblica non ebbe mai, nell'intero arco del corpus, un solo servizio segreto, ma un arcipelago di almeno 4 strutture informative militari parallele più quelle civili, e questa ridondanza istituzionale, difesa per decenni in nome delle specificità d'arma, moltiplicava per definizione i luoghi possibili della devianza riducendo i luoghi effettivi del controllo, sicché ogni riforma censita dall'opera, dal 1977 al 2007, è leggibile anche come un tentativo, mai interamente riuscito al primo colpo, di ridurre il numero delle stanze buie per metro quadrato di Stato.</w:t>
      </w:r>
    </w:p>
    <w:p>
      <w:pPr>
        <w:spacing w:after="120" w:line="276"/>
        <w:jc w:val="both"/>
      </w:pPr>
      <w:r>
        <w:rPr>
          <w:rFonts w:ascii="Barlow Semi Condensed" w:cs="Barlow Semi Condensed" w:eastAsia="Barlow Semi Condensed" w:hAnsi="Barlow Semi Condensed"/>
          <w:sz w:val="24"/>
          <w:szCs w:val="24"/>
        </w:rPr>
        <w:t xml:space="preserve">Alla parabola del direttore appartiene infine il giorno che il registro isola quale trauma istituzionale puro, distinto dagli esiti processuali già censiti: il 31 ottobre 1974 il generale Vito Miceli, direttore in carica del servizio, fu tratto in arresto su ordine dell'autorità giudiziaria nell'ambito delle istruttorie sulle trame eversive, e tradotto nel carcere militare di Forte Boccea, primo ed unico caso nella storia repubblicana di un capo dei servizi arrestato durante il mandato, Livello A quanto all'arresto, alla data ed alla detenzione. Il registro fissa il valore autonomo della giornata, che nessuna assoluzione successiva ha potuto retroattivamente cancellare: quale che fosse la fondatezza dell'ipotesi accusatoria, poi caduta nei modi che il capitolo ha riportato per esteso, il 31 ottobre 1974 la Repubblica visse la circostanza istituzionalmente inaudita di un ordinamento il cui massimo organo informativo aveva il proprio vertice in cella per sospetta partecipazione a trame contro lo Stato medesimo, e questa fotografia, indipendente dal giudizio finale sull'uomo, resta il punto di massima crisi fiduciaria dell'intero sistema censito dalla fase, il momento in cui la domanda che attraversa tutta l'opera, chi custodisce i custodi, ricevette dall'ordinamento la sola risposta che esso conosca, un mandato di cattura, con la conseguenza storica che il registro annota: la riforma del 1977 non nacque da un dibattito, nacque da quella cella, e la legge censita nel capitolo finale di questa fase è comprensibile solo come il tentativo di garantire che mai più la Repubblica dovesse arrestare sé stessa per sapere cosa stesse facendo.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Miceli è certificato al Livello A quale caso, unico per rango, di direttore in carica del servizio segreto militare arrestato e processato per cospirazione politica, con esito assolutorio parimenti certificato e riportato per esteso; l'affiliazione del direttore alla loggia P2 è certificata al Livello A e salda l'arco Dominio 3-Dominio 4 dal lato dell'apparato; la successiva elezione parlamentare nel Movimento sociale italiano conferma il corridoio strutturale, individuato dal Pattern 7, che collega i vertici degli apparati di sicurezza alla rappresentanza politica dell'area nazionale.</w:t>
      </w:r>
    </w:p>
    <w:p>
      <w:pPr>
        <w:pStyle w:val="Heading3"/>
        <w:spacing w:after="80" w:before="160"/>
      </w:pPr>
      <w:r>
        <w:rPr>
          <w:rFonts w:ascii="Barlow Semi Condensed" w:cs="Barlow Semi Condensed" w:eastAsia="Barlow Semi Condensed" w:hAnsi="Barlow Semi Condensed"/>
          <w:sz w:val="24"/>
          <w:szCs w:val="24"/>
        </w:rPr>
        <w:t xml:space="preserve">Capitolo 3 — ▶ Gianadelio Maletti. Il Reparto D, il depistaggio di Piazza Fontana e la fuga</w:t>
      </w:r>
    </w:p>
    <w:p>
      <w:pPr>
        <w:spacing w:after="120" w:line="276"/>
        <w:jc w:val="both"/>
      </w:pPr>
      <w:r>
        <w:rPr>
          <w:rFonts w:ascii="Barlow Semi Condensed" w:cs="Barlow Semi Condensed" w:eastAsia="Barlow Semi Condensed" w:hAnsi="Barlow Semi Condensed"/>
          <w:sz w:val="24"/>
          <w:szCs w:val="24"/>
        </w:rPr>
        <w:t xml:space="preserve">Gianadelio Maletti, nato a Bologna il 13 gennaio 1921 e morto a Johannesburg il 26 dicembre 2021, generale, capo del Reparto D del Servizio informazioni difesa, ossia del reparto di controspionaggio, dal 1971 al 1975, è il nodo attraverso il quale il registro certifica al Livello A la figura che dà nome all'intera fase: l'ufficiale dei servizi condannato in via definitiva per aver depistato le indagini su una strage, e per ciò stesso latitante all'estero per l'ultimo quarantennio della sua vita. La scansione del corpus lo registra 497 volte in 28 documenti. Se Miceli è il direttore processato per il disegno e assolto, Maletti è il funzionario operativo condannato per la condotta: la distinzione tra i 2 nodi, contigui nel medesimo servizio e nel medesimo torno di anni, è la distinzione tra l'accusa non provata di partecipazione all'eversione e l'accusa provata di ostruzione all'accertamento, ed è precisamente questa distinzione che il registro pone a fondamento della sua nozione di deviazione documentata.</w:t>
      </w:r>
    </w:p>
    <w:p>
      <w:pPr>
        <w:spacing w:after="120" w:line="276"/>
        <w:jc w:val="both"/>
      </w:pPr>
      <w:r>
        <w:rPr>
          <w:rFonts w:ascii="Barlow Semi Condensed" w:cs="Barlow Semi Condensed" w:eastAsia="Barlow Semi Condensed" w:hAnsi="Barlow Semi Condensed"/>
          <w:sz w:val="24"/>
          <w:szCs w:val="24"/>
        </w:rPr>
        <w:t xml:space="preserve">La biografia istituzionale colloca Maletti al vertice del controspionaggio del SID nel periodo immediatamente successivo alla strage di Piazza Fontana, avvenuta a Milano il 12 dicembre 1969, evento inaugurale della stagione stragista che la Fase 3 tratterà nella sua interezza e che qui rileva quale oggetto delle condotte di depistaggio contestate al nodo. Quale capo del Reparto D, Maletti ebbe la responsabilità operativa delle attività di controspionaggio e delle relative fonti confidenziali nel periodo in cui le indagini sulla strage di Milano si indirizzavano dapprima, secondo l'impostazione che si rivelerà depistante, verso la pista anarchica, e successivamente verso la pista nera dell'eversione di destra. Il registro certifica al Livello A la carica e la sua collocazione temporale, e ne trae lo sfondo: il controspionaggio militare disponeva, in quegli anni, di fonti collocate negli ambienti dell'eversione nera, e la gestione di tali fonti fu il terreno sul quale si consumarono le condotte per le quali il nodo fu condannato.</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di Piazza Fontana. Nel lungo ciclo processuale sulla strage di Milano, la posizione di Gianadelio Maletti fu accertata quanto alle condotte di favoreggiamento e di ostruzione: al generale fu contestato, e giudizialmente addebitato, di aver favorito l'espatrio e la sottrazione all'accertamento di soggetti collegati agli ambienti dell'eversione nera implicati nelle indagini, tra i quali l'agente e fonte del servizio Guido Giannettini e l'ordinovista Marco Pozzi, e di aver contribuito alla costruzione di piste false e alla contaminazione del quadro probatorio. Le sentenze accertarono tali condotte e ne trassero condanna, divenuta irrevocabile, per i reati connessi al depistaggio. Il registro certifica al Livello A, sul fondamento del giudicato, la responsabilità di Maletti nelle condotte di depistaggio delle indagini su Piazza Fontana, e ne trae la certificazione dell'arco che dà nome alla fase: l'arco di ostruzione tra il Dominio 3 e il Dominio 7, per cui un apparato dello Stato intervenne non per accertare una strage, ma per sottrarne all'accertamento la matrice. Il registro ribadisce con la massima fermezza il limite inferenziale già sancito nella Fase 1 a proposito di Bologna: la condanna per il depistaggio certifica la condotta di ostruzione, non il mandato della strage depistata; dal fatto che un apparato abbia coperto una pista non discende che il medesimo apparato abbia armato la mano, e la Regola Ferrea vieta di colmare con la verosimiglianza questo abisso probatorio. La condotta di depistaggio è parte integrante dell'evento e non suo accidente, secondo la tipologia quadripartita dell'ostruzione che il registro ha codificato; ma è parte del versante dell'occultamento, non prova del versante dell'ideazione.</w:t>
      </w:r>
    </w:p>
    <w:p>
      <w:pPr>
        <w:spacing w:after="120" w:line="276"/>
        <w:jc w:val="both"/>
      </w:pPr>
      <w:r>
        <w:rPr>
          <w:rFonts w:ascii="Barlow Semi Condensed" w:cs="Barlow Semi Condensed" w:eastAsia="Barlow Semi Condensed" w:hAnsi="Barlow Semi Condensed"/>
          <w:sz w:val="24"/>
          <w:szCs w:val="24"/>
        </w:rPr>
        <w:t xml:space="preserve">Il secondo pilastro è la latitanza in Sudafrica, che fa del nodo Maletti un caso di scuola e un ponte anticipato verso la Fase 5. Divenuta insostenibile la sua posizione in Italia, Maletti riparò all'estero e si stabilì stabilmente in Sudafrica, a Johannesburg, dove risiedette fino alla morte, sottraendosi all'esecuzione delle statuizioni a suo carico e rendendo, negli anni successivi, dichiarazioni e interviste dalla sua residenza sudafricana. Il registro certifica al Livello A la latitanza e la sua sede, e ne trae 2 annotazioni. La prima è di metodo: le dichiarazioni rese dal latitante negli anni successivi, particolarmente quelle concernenti presunte responsabilità di apparati stranieri nelle stragi italiane, sono trattate secondo l'Indice di Contaminazione della Fonte, giacché provengono da un soggetto condannato per depistaggio, interessato alla propria collocazione nella vicenda e sottratto al contraddittorio processuale; esse non ascendono, in assenza di riscontri autonomi, oltre il Livello C. La seconda annotazione è strutturale e anticipa la Fase 5: la scelta del Sudafrica dell'apartheid quale rifugio di un ufficiale dei servizi italiani latitante non è casuale, ma si iscrive in una regolarità che il registro documenterà su scala mondiale, per cui il regime di Pretoria funzionò da nodo di accoglienza e di scambio per una rete internazionale di soggetti dell'eversione e degli apparati deviati; il Sudafrica compare qui, per la prima volta nel registro dopo l'accenno del profilo di uno dei suoi finanziatori, quale destinazione strutturale e non quale asilo individuale.</w:t>
      </w:r>
    </w:p>
    <w:p>
      <w:pPr>
        <w:spacing w:after="120" w:line="276"/>
        <w:jc w:val="both"/>
      </w:pPr>
      <w:r>
        <w:rPr>
          <w:rFonts w:ascii="Barlow Semi Condensed" w:cs="Barlow Semi Condensed" w:eastAsia="Barlow Semi Condensed" w:hAnsi="Barlow Semi Condensed"/>
          <w:sz w:val="24"/>
          <w:szCs w:val="24"/>
        </w:rPr>
        <w:t xml:space="preserve">Il terzo pilastro è la figura di Guido Giannettini, la fonte del servizio la cui vicenda illumina la natura dell'accoppiamento tra il Dominio 3 e il Dominio 7 e proietta verso il Dominio 8. Giannettini, giornalista e pubblicista di orientamento di destra radicale, fu, secondo gli accertamenti, contemporaneamente collaboratore e fonte del servizio informativo militare e figura attiva negli ambienti dell'eversione nera, sino a essere coinvolto nelle indagini sulla strage di Piazza Fontana; la sua sottrazione all'accertamento, favorita dagli uomini del servizio secondo quanto le sentenze accertarono, fu parte delle condotte di depistaggio per le quali Maletti fu condannato. Il registro certifica al Livello A, sul fondamento del giudicato, la duplice collocazione di Giannettini quale fonte del servizio e quale figura degli ambienti eversivi, e il favoreggiamento della sua sottrazione da parte degli uomini del Reparto D; e ne trae l'annotazione strutturale che ne fa un reperto capitale. La figura di Giannettini documenta al Livello A che il servizio informativo non si limitava a sorvegliare l'eversione nera dall'esterno, ma ne aveva reclutato al proprio interno, quale fonte, un esponente attivo; e che, quando tale esponente fu lambito dalle indagini su una strage, il servizio intervenne per sottrarlo all'accertamento anziché per consegnarlo. È la certificazione più netta della porosità del confine tra il Dominio 3 e il Dominio 7: non un confine sorvegliato, ma un confine attraversato, nel quale la fonte del servizio e l'esponente dell'eversione coincidono nella medesima persona. La proiezione verso il Dominio 8 è nel fatto che Giannettini fu, professionalmente, un pubblicista, sicché la sua figura salda in un solo nodo la fonte informativa, l'attore eversivo e l'operatore dell'informazione, prefigurando quell'intreccio tra apparati, eversione e controllo del flusso informativo che la Nota metodologica assegna al Dominio 8 e che le fasi successive svilupperanno. Il registro ribadisce, anche qui, il limite inferenziale: la certificazione della duplice collocazione della fonte e del favoreggiamento della sua sottrazione non prova che il servizio abbia diretto l'azione stragista attraverso la propria fonte, ma soltanto che ne coprì l'esponente quando l'accertamento lo raggiunse; la distinzione tra la copertura provata e la direzione non provata è, ancora una volta, la sostanza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Maletti-Reparto D-Giannettini, è il triangolo della gestione delle fonti, che salda il controspionaggio militare alla fonte collocata nell'eversione nera e costituisce il segmento operativo del depistaggio; esso è certificato al Livello A dal giudicato. La seconda, Maletti-espatrio-piste false, è il triangolo della condotta di ostruzione nella sua duplice modalità, la sottrazione dei soggetti e la contaminazione del quadro probatorio, certificato al Livello A dalle sentenze. La terza, Maletti-Sudafrica-dichiarazioni tardive, è il triangolo della latitanza e della sua produzione dichiarativa, certificato al Livello A quanto al fatto della latitanza e mantenuto al Livello C quanto al contenuto delle dichiarazioni, per l'Indice di Contaminazione. Sul piano dei pattern, il nodo è il caso paradigmatico del Pattern che il registro ha derivato dalla tipologia dell'ostruzione, e attiva altresì il Pattern 7 nella sua variante geografica, la migrazione non tra domini ma tra giurisdizioni, quale tecnica di sottrazione all'accertamento.</w:t>
      </w:r>
    </w:p>
    <w:p>
      <w:pPr>
        <w:spacing w:after="120" w:line="276"/>
        <w:jc w:val="both"/>
      </w:pPr>
      <w:r>
        <w:rPr>
          <w:rFonts w:ascii="Barlow Semi Condensed" w:cs="Barlow Semi Condensed" w:eastAsia="Barlow Semi Condensed" w:hAnsi="Barlow Semi Condensed"/>
          <w:sz w:val="24"/>
          <w:szCs w:val="24"/>
        </w:rPr>
        <w:t xml:space="preserve">La condanna per il depistaggio si compone di episodi materiali che il registro deve nominare, perché la loro concretezza vale più di ogni qualificazione astratta. Il primo è l'esfiltrazione di Marco Pozzan, testimone chiave del filone veneto, prelevato e trasferito clandestinamente a Madrid nel gennaio 1973 a cura di uomini del Reparto D muniti di documenti di copertura, affinché la sua voce non raggiungesse i giudici istruttori, Livello A quanto al fatto, consacrato dalle sentenze. Il secondo è la gestione della fonte Giannettini dopo l'emersione del suo nome: l'espatrio a Parigi nella primavera del 1973, il mantenimento della retribuzione da parte del servizio durante la latitanza, la protezione prolungata sino a che la posizione divenne indifendibile, Livello A. Il terzo è il modo in cui il segreto cadde: non per iniziativa dell'apparato ma per decisione politica esterna, allorché nel giugno 1974 il ministro della difesa Giulio Andreotti, con un'intervista al settimanale Il Mondo, rivelò pubblicamente la qualità di collaboratore del SID di Guido Giannettini, scardinando con un gesto di comunicazione ciò che 2 anni di istruttorie non avevano potuto aprire, Livello A quanto alla rivelazione ed alla sua data. Il registro segnala l'anomalia morfologica dell'episodio: nella tassonomia degli archi, si tratta di un caso raro di disaccoppiamento verticale, il vertice politico che recide unilateralmente la protezione stesa dall'apparato, e la sua eccezionalità statistica, un solo caso certificato nell'intera fase, misura per contrasto la regola.</w:t>
      </w:r>
    </w:p>
    <w:p>
      <w:pPr>
        <w:spacing w:after="120" w:line="276"/>
        <w:jc w:val="both"/>
      </w:pPr>
      <w:r>
        <w:rPr>
          <w:rFonts w:ascii="Barlow Semi Condensed" w:cs="Barlow Semi Condensed" w:eastAsia="Barlow Semi Condensed" w:hAnsi="Barlow Semi Condensed"/>
          <w:sz w:val="24"/>
          <w:szCs w:val="24"/>
        </w:rPr>
        <w:t xml:space="preserve">Alla latitanza sudafricana appartiene infine un poscritto dichiarativo che il registro censisce con la doppia marcatura che gli spetta. Nel 2001, in occasione del ciclo processuale milanese sulla strage, Maletti, escusso dalla giustizia italiana nelle forme consentite dalla sua condizione di residente all'estero, rese e accompagnò con interviste pubbliche dichiarazioni nelle quali evocava la cornice internazionale degli anni della tensione ed il peso degli interessi atlantici sul teatro italiano: affermazioni di un condannato per depistaggio, rese a distanza di 3 decenni, prive di riscontro documentale autonomo, che il registro classifica al Livello C quale materiale dichiarativo tardivo, annotando però il paradosso che esse incarnano, il custode del segreto che, esauriti i tempi della responsabilità, si offre quale esegeta del segreto medesimo. La morte a Johannesburg, il 26 dicembre 2021, alla soglia dei 101 anni, chiuse l'ultima biografia vivente del triangolo del depistaggio, consegnando definitivamente agli archivi ciò che l'anagrafe aveva sino ad allora conteso alla storia.</w:t>
      </w:r>
    </w:p>
    <w:p>
      <w:pPr>
        <w:spacing w:after="120" w:line="276"/>
        <w:jc w:val="both"/>
      </w:pPr>
      <w:r>
        <w:rPr>
          <w:rFonts w:ascii="Barlow Semi Condensed" w:cs="Barlow Semi Condensed" w:eastAsia="Barlow Semi Condensed" w:hAnsi="Barlow Semi Condensed"/>
          <w:sz w:val="24"/>
          <w:szCs w:val="24"/>
        </w:rPr>
        <w:t xml:space="preserve">La geografia del rifugio merita un'annotazione che salda il nodo alla Fase 5. La scelta sudafricana di Maletti non fu eccentrica ma sistemica: il Sudafrica dell'apartheid, privo di rapporti estradizionali praticabili con l'Italia per i reati contestati e dotato di un apparato di sicurezza ideologicamente affine, funzionò per un ventennio quale approdo di latitanze eccellenti dell'area nera e degli apparati, ed il generale del Reparto D vi trascorse, tra Johannesburg ed i suoi sobborghi, quasi mezzo secolo di vita, protetto meno da un asilo formale che dall'inerzia reciproca delle burocrazie, Livello A quanto alla latitanza ed alla sua durata, Livello B quanto alla qualificazione sistemica dell'approdo, che la Fase 5 documenterà quale hub australe. Il registro ne trae una misura: la pena irrevocabile inflitta al depistatore di Piazza Fontana fu scontata per intero nella forma del soggiorno estero, e la distanza tra la sentenza e la sua esecuzione, misurabile in decenni ed in chilometri, è essa stessa un dato del sistema, la certificazione che per gli uomini degli apparati la sanzione penale operò, quando operò, quale titolo simbolico e non quale afflizione effettiva. Nella contabilità della fase, che registra condanne rare ed esecuzioni più rare ancora, il caso Maletti occupa perciò la posizione del paradigma: il massimo di accertamento compatibile con il minimo di conseguenza, la giustizia che raggiunge la verità e non raggiunge l'uomo.</w:t>
      </w:r>
    </w:p>
    <w:p>
      <w:pPr>
        <w:spacing w:after="120" w:line="276"/>
        <w:jc w:val="both"/>
      </w:pPr>
      <w:r>
        <w:rPr>
          <w:rFonts w:ascii="Barlow Semi Condensed" w:cs="Barlow Semi Condensed" w:eastAsia="Barlow Semi Condensed" w:hAnsi="Barlow Semi Condensed"/>
          <w:sz w:val="24"/>
          <w:szCs w:val="24"/>
        </w:rPr>
        <w:t xml:space="preserve">Il Reparto D va infine definito nella sua natura ordinamentale, perché l'anomalia sta nel mandato prima che negli uomini. Reparto di controspionaggio, istituzionalmente rivolto alla minaccia esterna, il D operò negli anni di Maletti, per prassi consolidata e mai formalizzata, quale principale strumento informativo interno del servizio sull'eversione domestica, con proprie fonti nell'estremismo di entrambi i segni, propri fondi riservati e proprie operazioni non tracciate nei circuiti ordinari: torsione funzionale che gli atti parlamentari censirono quale dato strutturale e che costituisce il presupposto tecnico di tutti gli episodi giudicati, Livello A quanto alla torsione documentata. Accanto al generale, la sentenza raggiunse l'esecutore delle operazioni materiali, il capitano Antonio Labruna, condannato in via definitiva per i medesimi fatti di favoreggiamento, figura che il registro ha già incontrato nel capitolo 6 quale raccoglitore dei nastri sul tentativo del 1970 e che riappare qui quale operatore delle esfiltrazioni: la doppia presenza del medesimo ufficiale sui 2 versanti, la documentazione del golpe e la protezione dei depistati, certifica al Livello A l'unità operativa della filiera che la fase ha scomposto per capitoli, ed autorizza la conclusione, rigorosamente limitata al perimetro dei giudicati, che il segmento deviato del servizio fu, negli anni cruciali, una struttura piccola, coesa e trasversale agli organigrammi, l'esatto contrario della deviazione di massa che la pubblicistica immagina e la prova esatta di quanto poco personale occorra, in un apparato compartimentato, per amministrare la conoscenza di tutti.</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la parabola della fonte con il suo esito giudiziario, che il registro riporta per esteso. Guido Giannettini, rinviato a giudizio quale concorrente nella strage di Piazza Fontana, fu condannato all'ergastolo in primo grado dalla Corte d'Assise di Catanzaro nel 1979, insieme agli imputati principali del filone veneto, e fu poi assolto nel giudizio d'appello del 1981 dall'imputazione di strage, con esito divenuto irrevocabile, sicché a carico della fonte del Reparto D residuò unicamente la responsabilità accertata altrove per la vicenda del favoreggiamento, Livello A sull'intera scansione. Il registro consegna la parabola alla sua lettura strutturale: il medesimo uomo fu, nell'ordine, informatore retribuito dell'apparato, imputato capitale, condannato all'ergastolo, protetto in latitanza dal servizio che lo impiegava ed infine assolto in via definitiva, ed una simile traiettoria, che attraversa in un solo decennio tutti gli stati possibili del rapporto tra un individuo e la giustizia, non ha eguali nel registro e certifica, meglio di ogni teoria, la natura anfibia della figura dell'agente-pubblicista, il nodo che i Domini 3, 7 ed 8 si contesero senza che alcuno potesse rivendicarlo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Maletti è certificato al Livello A quale caso emblematico di ufficiale dei servizi condannato in via definitiva per il depistaggio delle indagini su una strage, quella di Piazza Fontana, e costituisce la certificazione piena dell'arco di ostruzione tra il Dominio 3 e il Dominio 7; il limite inferenziale tra la condotta di depistaggio, provata, e il mandato della strage, non provato, è ribadito quale cardine del metodo; la latitanza in Sudafrica è certificata al Livello A e anticipa la funzione di quel regime quale nodo di accoglienza internazionale che la Fase 5 documenterà, mentre le dichiarazioni rese dal latitante restano al Livello C per 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4 — ▶ Federico Umberto D'Amato e l'Ufficio Affari Riservati. La struttura parallela del Viminale</w:t>
      </w:r>
    </w:p>
    <w:p>
      <w:pPr>
        <w:spacing w:after="120" w:line="276"/>
        <w:jc w:val="both"/>
      </w:pPr>
      <w:r>
        <w:rPr>
          <w:rFonts w:ascii="Barlow Semi Condensed" w:cs="Barlow Semi Condensed" w:eastAsia="Barlow Semi Condensed" w:hAnsi="Barlow Semi Condensed"/>
          <w:sz w:val="24"/>
          <w:szCs w:val="24"/>
        </w:rPr>
        <w:t xml:space="preserve">Federico Umberto D'Amato, nato a Marsico Nuovo il 4 giugno 1919 e morto a Roma il 1º luglio 1996, funzionario del Ministero dell'interno, capo dell'Ufficio affari riservati, è il nodo attraverso il quale il registro estende la mappa della deviazione dal versante militare a quello civile, certificando l'esistenza, all'interno del Ministero dell'interno, di una struttura informativa riservata la cui attività travalicò a lungo i confini istituzionali. La scansione del corpus registra i termini connessi al nodo con frequenza inferiore a quella dei grandi apparati militari, ma la sua rilevanza strutturale è massima, giacché D'Amato è il punto di raccordo tra il Dominio 3 nella sua articolazione civile, il Dominio 2 attraverso il controllo informativo sulla vita politica, e la dimensione internazionale attraverso la sua partecipazione ai circuiti atlantici. Il nodo è altresì il primo, nel registro, a proiettarsi verso il Dominio 8, il controllo dell'informazione, attraverso la nota attività di D'Amato quale collaboratore e curatore di riviste.</w:t>
      </w:r>
    </w:p>
    <w:p>
      <w:pPr>
        <w:spacing w:after="120" w:line="276"/>
        <w:jc w:val="both"/>
      </w:pPr>
      <w:r>
        <w:rPr>
          <w:rFonts w:ascii="Barlow Semi Condensed" w:cs="Barlow Semi Condensed" w:eastAsia="Barlow Semi Condensed" w:hAnsi="Barlow Semi Condensed"/>
          <w:sz w:val="24"/>
          <w:szCs w:val="24"/>
        </w:rPr>
        <w:t xml:space="preserve">La biografia istituzionale colloca D'Amato al vertice dell'Ufficio affari riservati del Ministero dell'interno, la struttura che raccoglieva e gestiva le informazioni riservate di competenza del Viminale, con particolare riguardo all'ordine pubblico, alla vita dei partiti e dei movimenti, e ai fenomeni eversivi. Formatosi negli ambienti informativi del dopoguerra, in contatto sin da allora con i servizi alleati, D'Amato guidò l'Ufficio nella stagione che va dagli anni Sessanta alla metà degli anni Settanta, il periodo delle grandi schedature e dell'esplosione stragista. Il registro certifica al Livello A, sul fondamento degli atti parlamentari e delle ricostruzioni documentali confluite nelle inchieste sulle stragi, l'esistenza e le funzioni dell'Ufficio affari riservati quale struttura informativa civile dotata di ampia autonomia operativa, e annota il dato strutturale: l'Ufficio costituì il pendant civile del servizio militare, e la sua attività schedatoria e informativa sulla vita politica configurò, dal lato del Ministero dell'interno, la medesima torsione dell'apparato legale verso il controllo politico che il caso SIFAR aveva documentato dal lato militare.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controllo informativo sulla vita politica e la sua ambiguità operativa negli anni delle stragi. Le inchieste giudiziarie e parlamentari sulla stagione stragista, i cui atti sono presenti nel corpus, hanno collocato l'Ufficio affari riservati e il suo responsabile al centro di una fitta rete di rapporti con gli ambienti dell'eversione e con le fonti confidenziali di quel mondo, in una posizione di intermediazione che rese l'Ufficio, secondo la ricostruzione degli inquirenti, un osservatore privilegiato e talora un attore ambiguo delle vicende eversive. Il registro certifica al Livello A, quanto al fatto della centralità informativa dell'Ufficio e del suo responsabile nella gestione delle fonti dell'eversione, ciò che gli atti documentano; e mantiene rigorosamente al Livello C ogni ipotesi che da tale centralità inferisca una regia dell'Ufficio sugli eventi stragisti, giacché la disponibilità di informazioni e di fonti in un dato ambiente non prova la direzione degli eventi che in quell'ambiente maturano. La distinzione, ancora una volta, separa il fatto certificato dell'intermediazione informativa dall'ipotesi non provata della regia.</w:t>
      </w:r>
    </w:p>
    <w:p>
      <w:pPr>
        <w:spacing w:after="120" w:line="276"/>
        <w:jc w:val="both"/>
      </w:pPr>
      <w:r>
        <w:rPr>
          <w:rFonts w:ascii="Barlow Semi Condensed" w:cs="Barlow Semi Condensed" w:eastAsia="Barlow Semi Condensed" w:hAnsi="Barlow Semi Condensed"/>
          <w:sz w:val="24"/>
          <w:szCs w:val="24"/>
        </w:rPr>
        <w:t xml:space="preserve">Il secondo pilastro è l'inserimento nei circuiti internazionali, che fa del nodo D'Amato il primo, nel registro, a documentare l'accoppiamento tra il Dominio 3 nazionale e la dimensione atlantica su base personale e continuativa. D'Amato partecipò ai circuiti di coordinamento informativo occidentale e alle sedi riservate del confronto atlantico, e il suo nome è associato alla partecipazione alle riunioni del gruppo Bilderberg e ai contatti con i servizi alleati risalenti al dopoguerra. Il registro certifica al Livello B, sul fondamento delle ricostruzioni documentali convergenti ma non integralmente giudicate, l'inserimento di D'Amato nei circuiti internazionali del coordinamento informativo occidentale, e ne trae un'annotazione di metodo che vale per l'intera fase: la partecipazione di un responsabile informativo italiano a sedi internazionali di confronto è un fatto strutturale che documenta la cornice atlantica entro la quale gli apparati operavano, ma non è, di per sé, prova di una subordinazione operativa a mandanti stranieri; il registro tiene distinta la cornice, che è certificata, dalla regia, che è ipotesi, e verificherà nella chiusura di fase quale delle 2 letture le evidenze meno contraddicano.</w:t>
      </w:r>
    </w:p>
    <w:p>
      <w:pPr>
        <w:spacing w:after="120" w:line="276"/>
        <w:jc w:val="both"/>
      </w:pPr>
      <w:r>
        <w:rPr>
          <w:rFonts w:ascii="Barlow Semi Condensed" w:cs="Barlow Semi Condensed" w:eastAsia="Barlow Semi Condensed" w:hAnsi="Barlow Semi Condensed"/>
          <w:sz w:val="24"/>
          <w:szCs w:val="24"/>
        </w:rPr>
        <w:t xml:space="preserve">Il terzo pilastro è l'affiliazione, o quantomeno la prossimità, ai circuiti riservati trasversali, e la proiezione verso il Dominio 8. Il nome di D'Amato compare nelle ricostruzioni relative agli elenchi e agli ambienti della loggia P2, e la sua attività di curatore di una nota rivista enogastronomica e di collaboratore editoriale è stata letta dagli inquirenti quale copertura e quale strumento di relazione. Il registro procede qui con la massima cautela: certifica al Livello B la prossimità di D'Amato agli ambienti riservati trasversali documentata dagli atti, e mantiene al Livello C ogni qualificazione che ecceda la prossimità documentata; quanto alla proiezione verso il Dominio 8, certifica al Livello A il fatto della sua attività editoriale e la mantiene distinta, sul piano probatorio, dalle ipotesi sulla sua funzione. La disciplina è imposta dalla natura stessa del nodo, che opera nel dominio dell'informazione riservata e le cui tracce sono, per definizione, più rade e più ambigue di quelle dei nodi giudiziariamente accertati.</w:t>
      </w:r>
    </w:p>
    <w:p>
      <w:pPr>
        <w:spacing w:after="120" w:line="276"/>
        <w:jc w:val="both"/>
      </w:pPr>
      <w:r>
        <w:rPr>
          <w:rFonts w:ascii="Barlow Semi Condensed" w:cs="Barlow Semi Condensed" w:eastAsia="Barlow Semi Condensed" w:hAnsi="Barlow Semi Condensed"/>
          <w:sz w:val="24"/>
          <w:szCs w:val="24"/>
        </w:rPr>
        <w:t xml:space="preserve">Il quarto pilastro è la continuità storica della struttura, che il registro assume quale reperto di lungo periodo e quale conferma del carattere non episodico della deviazione. L'Ufficio affari riservati non fu una creazione contingente della stagione stragista, ma l'esito di una continuità istituzionale che risale al dopoguerra e alla costituzione degli apparati informativi civili nel clima della guerra fredda, quando la necessità di un presidio informativo sull'attività dei partiti di sinistra e dei movimenti sociali orientò la funzione della struttura sin dalla sua origine. La figura di D'Amato attraversa questa continuità, dagli anni della ricostruzione informativa postbellica, nei quali maturò i contatti con i servizi alleati che la fase ha già registrato, sino alla stagione delle stragi, nella quale la struttura raggiunse la sua massima esposizione. Il registro certifica al Livello A la continuità storica dell'Ufficio quale struttura informativa del Ministero dell'interno operante lungo l'intero arco della prima Repubblica, e ne trae un'annotazione che vale per l'intera fase e che corregge una diffusa distorsione prospettica: la deviazione degli apparati non fu un fenomeno concentrato in una singola stagione eccezionale, ma un dato strutturale di lungo periodo, radicato nella funzione stessa che agli apparati fu assegnata nel contesto del confronto bipolare, ossia il presidio informativo contro l'avversario interno identificato nel movimento comunista. Questa continuità di lungo periodo è, essa stessa, un elemento che il registro annota ai fini della verifica di H1: la funzione anticomunista della struttura, costante lungo l'intero arco temporale, colloca anche il nodo D'Amato sul versante occidentale del confronto bipolare, e non su quello di una convergenza tra i blocchi, confermando la lettura che i nodi precedenti hanno già suggerito.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D'Amato-Ufficio affari riservati-fonti dell'eversione, è il triangolo dell'intermediazione informativa civile, certificato al Livello A quanto al fatto e mantenuto al Livello C quanto alla regia. La seconda, D'Amato-circuiti atlantici-Bilderberg, è il triangolo della cornice internazionale, certificato al Livello B. La terza, D'Amato-ambienti riservati-attività editoriale, è il triangolo della copertura e della proiezione mediatica, certificato al Livello B quanto alla prossimità e al Livello A quanto al fatto dell'attività editoriale. Sul piano dei pattern, il nodo attiva il Pattern 1, l'analisi dei nodi centrali, nella sua accezione più sottile: D'Amato è il nodo a bassa visibilità e alta centralità informativa, il cui potere non deriva dal grado gerarchico né dall'esposizione pubblica, ma dalla posizione di controllo sul flusso informativo, secondo la distinzione tra potere formale e potere relazionale che la Nota metodologica ha derivato da Freeman e Burt.</w:t>
      </w:r>
    </w:p>
    <w:p>
      <w:pPr>
        <w:spacing w:after="120" w:line="276"/>
        <w:jc w:val="both"/>
      </w:pPr>
      <w:r>
        <w:rPr>
          <w:rFonts w:ascii="Barlow Semi Condensed" w:cs="Barlow Semi Condensed" w:eastAsia="Barlow Semi Condensed" w:hAnsi="Barlow Semi Condensed"/>
          <w:sz w:val="24"/>
          <w:szCs w:val="24"/>
        </w:rPr>
        <w:t xml:space="preserve">La biografia del funzionario va integrata alla radice, perché la sua formazione è essa stessa un arco. Gli atti e le ricostruzioni parlamentari documentano la collaborazione del giovane D'Amato, dal 1944, con i servizi alleati operanti a Roma liberata, esperienza che ne fece, entro l'amministrazione dell'interno, l'interlocutore naturale del collegamento atlantico e gli consegnò quel capitale di relazioni transnazionali che la carriera successiva avrebbe messo a frutto, Livello A quanto alla collaborazione, attestata dalle fonti parlamentari. Su questo capitale si innestò la funzione internazionale matura: la partecipazione di vertice al Club di Berna, il consesso riservato che dal principio degli anni 70 coordinava i responsabili dei servizi di sicurezza interna dell'Europa occidentale, del quale D'Amato fu tra gli animatori riconosciuti, Livello A quanto alla partecipazione, Livello B quanto ai contenuti operativi del consesso, per costituzione non verbalizzati. La parabola discendente ha una data: nel 1974, nella stagione in cui la magistratura risaliva i fili della trama nera e l'amministrazione si riorganizzava con l'Ispettorato antiterrorismo, D'Amato fu rimosso dalla direzione degli Affari riservati ed avviato ad incarichi di minor sensibilità, sino alla direzione della polizia di frontiera, Livello A: rimozione che il registro annota quale indizio amministrativo di una perdita di copertura politica, secondo la grammatica per cui, negli apparati, il trasferimento è la forma che assume il giudizio quando il processo non è praticabile.</w:t>
      </w:r>
    </w:p>
    <w:p>
      <w:pPr>
        <w:spacing w:after="120" w:line="276"/>
        <w:jc w:val="both"/>
      </w:pPr>
      <w:r>
        <w:rPr>
          <w:rFonts w:ascii="Barlow Semi Condensed" w:cs="Barlow Semi Condensed" w:eastAsia="Barlow Semi Condensed" w:hAnsi="Barlow Semi Condensed"/>
          <w:sz w:val="24"/>
          <w:szCs w:val="24"/>
        </w:rPr>
        <w:t xml:space="preserve">Due reperti postumi completano il nodo. Il primo è archivistico ed è di prima grandezza: nel 1996 fu rinvenuto, in un deposito della circonvallazione Appia a Roma, un cospicuo fondo documentale dell'Ufficio affari riservati mai versato all'Archivio centrale dello Stato, migliaia di fascicoli sottratti per decenni ad ogni controllo, la cui scoperta ed il cui successivo riordino restituirono agli studiosi ed ai giudici la contabilità informativa del Viminale parallelo, Livello A quanto al rinvenimento ed alla consistenza. La circostanza conferma sul versante civile ciò che il capitolo 1 ha documentato sul versante militare, che l'archivio occulto è l'organo vitale della struttura parallela, con la differenza, gravida di conseguenze per la conoscenza storica, che i fascicoli del SIFAR furono bruciati e quelli dell'Ufficio ritrovati. Il secondo reperto è di costume, e il registro lo annota perché la semiotica dei nodi non è mai ornamentale: per anni il capo della polizia segreta del Viminale curò, sotto pseudonimo trasparente, la guida gastronomica di un grande settimanale, recensendo ristoranti con la medesima penna che classificava sovversivi, Livello A quanto al fatto, noto e rivendicato. Chi cercasse un emblema del doppio codice luhmanniano, l'osservatore che appartiene simultaneamente a 2 sistemi di comunicazione e traduce l'uno nell'altro, difficilmente ne troverebbe uno più esatto di questo ispettore delle cucine e delle trame, per il quale la tavola fu, insieme, piacere dichiarato e tecnologia di relazione: perché è a tavola, insegnava senza scriverlo, che le reti riservate celebrano la propria liturgia.</w:t>
      </w:r>
    </w:p>
    <w:p>
      <w:pPr>
        <w:spacing w:after="120" w:line="276"/>
        <w:jc w:val="both"/>
      </w:pPr>
      <w:r>
        <w:rPr>
          <w:rFonts w:ascii="Barlow Semi Condensed" w:cs="Barlow Semi Condensed" w:eastAsia="Barlow Semi Condensed" w:hAnsi="Barlow Semi Condensed"/>
          <w:sz w:val="24"/>
          <w:szCs w:val="24"/>
        </w:rPr>
        <w:t xml:space="preserve">Il fondo ritrovato nel 1996 consente di misurare, per campioni, l'estensione tematica della raccolta, e la misura vale più di ogni aggettivo: accanto ai fascicoli sull'eversione di destra e di sinistra, l'archivio parallelo del Viminale conservava dossier sistematici sui movimenti studenteschi ed operai della stagione 1968-69, su partiti, sindacati, redazioni, singoli parlamentari ed ecclesiastici, con una capillarità che riproduceva, in sede civile, la logica onnivora già censita nel SIFAR militare, Livello A quanto alla tipologia documentale accertata dal riordino archivistico. La duplicazione è il dato: 2 amministrazioni distinte, la militare e la civile, costruirono negli stessi anni 2 archivi paralleli sul medesimo oggetto, la società italiana in quanto tale, e la ridondanza, che una lettura efficientista giudicherebbe spreco, era in realtà la struttura, giacché ciascun apparato traeva dal proprio archivio la propria autonomia negoziale verso l'altro e verso la politica. Alla genealogia istituzionale appartiene infine la trasformazione: soppresso l'Ufficio nella riorganizzazione del 1974 che istituì l'Ispettorato generale per l'azione contro il terrorismo, le funzioni rifluirono nel 1978 nell'UCIGOS e di lì nelle strutture successive, secondo una continuità amministrativa che il registro certifica nei suoi passaggi formali, Livello A, astenendosi dall'inferenza, che sarebbe indebita, di una pari continuità delle prassi: gli uffici si ereditano per decreto, le deviazioni no, e la storia successiva della struttura appartiene ad altri capitoli ed altri standard di prova.</w:t>
      </w:r>
    </w:p>
    <w:p>
      <w:pPr>
        <w:spacing w:after="120" w:line="276"/>
        <w:jc w:val="both"/>
      </w:pPr>
      <w:r>
        <w:rPr>
          <w:rFonts w:ascii="Barlow Semi Condensed" w:cs="Barlow Semi Condensed" w:eastAsia="Barlow Semi Condensed" w:hAnsi="Barlow Semi Condensed"/>
          <w:sz w:val="24"/>
          <w:szCs w:val="24"/>
        </w:rPr>
        <w:t xml:space="preserve">Un dato documentale chiude il cerchio tra questo capitolo ed il quadrilatero della Fase 1: il nome di Federico Umberto D'Amato figura negli elenchi della loggia Propaganda 2 sequestrati a Castiglion Fibocchi, Livello A quanto alla figurazione documentale, con la consueta avvertenza certificativa della Commissione sulla natura di quella prova, che attesta l'iscrizione e non misura l'operatività. Il registro colloca il dato nella sua costellazione: con esso, la fase censisce la compresenza negli elenchi del capo storico della struttura informativa civile, dei direttori contestuali dei 3 organismi riformati e del vertice del controspionaggio della stagione precedente, sicché la cattura piduista degli apparati, che il capitolo 10 certificherà nella sua forma sincronica, si rivela qui nella sua profondità diacronica, una permeabilità di lungo periodo che attraversa le riforme senza esserne intaccata. Alla biografia del funzionario questa figurazione aggiunge l'ultimo tratto del suo doppio codice: l'uomo che schedava le associazioni segrete della Repubblica risultò a sua volta elencato nella più segreta di esse, ed il registro, che ha bandito l'ironia dalle proprie certificazioni, si limita a consegnare la simmetria al lettore, annotando che essa costituisce, nel linguaggio della Nota metodologica, un arco di infiltrazione la cui direzione, chi penetrò chi, resta l'unica variabile che i documenti non consentono di orientare.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D'Amato è certificato al Livello A quale responsabile di una struttura informativa civile, l'Ufficio affari riservati del Ministero dell'interno, la cui attività di controllo informativo sulla vita politica configura, dal lato del Viminale, la deviazione dell'apparato legale già documentata dal lato militare; l'inserimento nei circuiti atlantici del coordinamento informativo è certificato al Livello B quale cornice sistemica, tenuta distinta dall'ipotesi non provata della regia straniera; la prossimità agli ambienti riservati trasversali e la proiezione verso il Dominio 8 sono certificate al Livello B, con la massima cautela imposta dalla natura informativa del nodo.</w:t>
      </w:r>
    </w:p>
    <w:p>
      <w:pPr>
        <w:pStyle w:val="Heading3"/>
        <w:spacing w:after="80" w:before="160"/>
      </w:pPr>
      <w:r>
        <w:rPr>
          <w:rFonts w:ascii="Barlow Semi Condensed" w:cs="Barlow Semi Condensed" w:eastAsia="Barlow Semi Condensed" w:hAnsi="Barlow Semi Condensed"/>
          <w:sz w:val="24"/>
          <w:szCs w:val="24"/>
        </w:rPr>
        <w:t xml:space="preserve">Capitolo 5 — ◆ Gladio e la rete stay-behind. L'esercito segreto e la sua rivelazione</w:t>
      </w:r>
    </w:p>
    <w:p>
      <w:pPr>
        <w:spacing w:after="120" w:line="276"/>
        <w:jc w:val="both"/>
      </w:pPr>
      <w:r>
        <w:rPr>
          <w:rFonts w:ascii="Barlow Semi Condensed" w:cs="Barlow Semi Condensed" w:eastAsia="Barlow Semi Condensed" w:hAnsi="Barlow Semi Condensed"/>
          <w:sz w:val="24"/>
          <w:szCs w:val="24"/>
        </w:rPr>
        <w:t xml:space="preserve">L'organizzazione Gladio, denominazione italiana della rete clandestina stay-behind predisposta nel quadro atlantico per operare in caso di occupazione del territorio nazionale, è il nodo attraverso il quale il registro certifica l'esistenza, per oltre 4 decenni tenuta segreta al Parlamento e all'opinione pubblica, di una struttura militare occulta operante sul suolo italiano in raccordo con il servizio segreto e con la struttura atlantica. La scansione del corpus registra il termine Gladio 2.005 volte in 88 documenti e i termini connessi alla rete stay-behind 372 volte in 23 documenti: è, dopo i grandi apparati e dopo il caso Moro, uno dei nuclei documentali più densi dell'intera opera. Il nodo salda il Dominio 9, le forze armate, al Dominio 3, l'intelligence, nella sua dimensione atlantica, e costituisce il banco di prova per eccellenza della verifica dell'ipotesi H1 che questa fase ha il compito di condurre.</w:t>
      </w:r>
    </w:p>
    <w:p>
      <w:pPr>
        <w:spacing w:after="120" w:line="276"/>
        <w:jc w:val="both"/>
      </w:pPr>
      <w:r>
        <w:rPr>
          <w:rFonts w:ascii="Barlow Semi Condensed" w:cs="Barlow Semi Condensed" w:eastAsia="Barlow Semi Condensed" w:hAnsi="Barlow Semi Condensed"/>
          <w:sz w:val="24"/>
          <w:szCs w:val="24"/>
        </w:rPr>
        <w:t xml:space="preserve">La certificazione del nodo poggia su un fatto storico incontrovertibile, la cui data appartiene alla cronologia fondativa della conoscenza pubblica sugli apparati: il 24 ottobre 1990 il presidente del Consiglio Giulio Andreotti trasmise alla Commissione parlamentare d'inchiesta sulle stragi una relazione nella quale ammetteva ufficialmente l'esistenza di una struttura di informazione e sicurezza a carattere clandestino denominata Gladio, predisposta a partire dagli anni Cinquanta nel quadro degli accordi atlantici per garantire la continuità di una capacità informativa e resistenziale in caso di invasione e occupazione del territorio nazionale. Il registro certifica al Livello A, quale fatto documentale insuperabile, l'ammissione ufficiale del 1990 e il suo contenuto: l'esistenza della rete, la sua genesi negli anni Cinquanta, il suo raccordo con il servizio segreto militare e con la struttura atlantica. Prima di quella data, l'esistenza della struttura era stata negata o taciuta a ogni sede parlamentare e giudiziaria; dopo di essa, la rete divenne oggetto di indagine giudiziaria e di approfondimento parlamentare, i cui atti costituiscono il fondamento documentale del presente capitolo.</w:t>
      </w:r>
    </w:p>
    <w:p>
      <w:pPr>
        <w:spacing w:after="120" w:line="276"/>
        <w:jc w:val="both"/>
      </w:pPr>
      <w:r>
        <w:rPr>
          <w:rFonts w:ascii="Barlow Semi Condensed" w:cs="Barlow Semi Condensed" w:eastAsia="Barlow Semi Condensed" w:hAnsi="Barlow Semi Condensed"/>
          <w:sz w:val="24"/>
          <w:szCs w:val="24"/>
        </w:rPr>
        <w:t xml:space="preserve">Il primo pilastro probatorio è la struttura materiale della rete. Gli accertamenti seguiti alla rivelazione documentarono l'organizzazione della struttura: la sua base addestrativa nel Centro addestramento guastatori di Capo Marrargiu, in Sardegna, presso Bosa; l'esistenza di depositi occultati di armi, munizioni ed esplosivi, i cosiddetti Nasco, disseminati sul territorio; e l'elenco dei suoi appartenenti, i cosiddetti gladiatori, che la documentazione trasmessa quantificò in un numero collocato dalle fonti attorno alle 622 unità per l'elenco reso disponibile. Il registro certifica al Livello A, sul fondamento della documentazione ufficiale trasmessa e degli accertamenti successivi, l'esistenza della base di Capo Marrargiu, dei depositi Nasco e dell'elenco degli appartenenti, e ne trae la certificazione della natura materiale della rete: non un progetto sulla carta, ma una struttura dotata di uomini, mezzi, addestramento e depositi, operante nella clandestinità e sottratta a ogni controllo parlamentare per l'intera durata della sua esistenza segreta. La regolarità empirica documentata dal registro, secondo cui nessun apparato di sicurezza ha mai aperto spontaneamente i propri archivi, trova nel caso Gladio la sua conferma più netta: la rete fu rivelata non per iniziativa spontanea, ma nel quadro di una crisi giudiziaria e politica che ne rese insostenibile l'occultamento.</w:t>
      </w:r>
    </w:p>
    <w:p>
      <w:pPr>
        <w:spacing w:after="120" w:line="276"/>
        <w:jc w:val="both"/>
      </w:pPr>
      <w:r>
        <w:rPr>
          <w:rFonts w:ascii="Barlow Semi Condensed" w:cs="Barlow Semi Condensed" w:eastAsia="Barlow Semi Condensed" w:hAnsi="Barlow Semi Condensed"/>
          <w:sz w:val="24"/>
          <w:szCs w:val="24"/>
        </w:rPr>
        <w:t xml:space="preserve">Il secondo pilastro è la genesi atlantica, che colloca il nodo al centro della verifica di H1 e ne impone la trattazione più rigorosa dell'intera fase. La documentazione accertò che la struttura fu costituita nel quadro degli accordi tra il servizio informativo italiano e il servizio statunitense, e inserita nella pianificazione atlantica delle reti stay-behind predisposte in più Paesi dell'Europa occidentale nel medesimo periodo e per la medesima finalità dichiarata, la resistenza a un'eventuale occupazione. Il registro certifica al Livello A la genesi atlantica della rete e il suo raccordo con il servizio statunitense e con la struttura di coordinamento occidentale, quale fatto documentato dagli atti. Ma è precisamente qui che la disciplina anti-induttiva impone la distinzione capitale che governa l'intera valutazione di H1. La finalità dichiarata e documentata della rete, la resistenza in caso di invasione, è una finalità difensiva coerente con la logica dell'alleanza atlantica nel contesto della guerra fredda; essa non coincide con la finalità che l'ipotesi H1 postulerebbe, ossia la destabilizzazione interna quale strumento per impedire l'integrazione europea. Che la rete esistesse, fosse atlantica e fosse clandestina è certificato al Livello A; che essa sia stata impiegata in operazioni di destabilizzazione interna, e segnatamente nella strategia stragista, è ipotesi che il registro mantiene al Livello C, giacché gli accertamenti giudiziari sulle stragi non hanno stabilito un collegamento operativo diretto e provato tra la struttura Gladio in quanto tale e l'esecuzione delle stragi; e che tale eventuale impiego rispondesse a un disegno di contrasto all'integrazione europea è ipotesi ulteriore e distinta, priva di qualsiasi supporto documentale e anzi contraddetta dalla finalità difensiva dichiarata e dalla cornice dell'alleanza, che legava l'Italia agli stessi partner del processo di integrazione. Il registro pone qui, con la massima nettezza, il paletto metodologico: la certificazione dell'esistenza atlantica di una rete clandestina non è, di per sé, un elemento di supporto di H1, e anzi la cornice atlantica della rete milita, semmai, nella direzione del falsificatore milwardiano, giacché la medesima alleanza che predispose le reti stay-behind fu il quadro entro il quale il processo di integrazione europea si svolse con il sostegno, e non l'opposizione, della potenza egemone occidentale.</w:t>
      </w:r>
    </w:p>
    <w:p>
      <w:pPr>
        <w:spacing w:after="120" w:line="276"/>
        <w:jc w:val="both"/>
      </w:pPr>
      <w:r>
        <w:rPr>
          <w:rFonts w:ascii="Barlow Semi Condensed" w:cs="Barlow Semi Condensed" w:eastAsia="Barlow Semi Condensed" w:hAnsi="Barlow Semi Condensed"/>
          <w:sz w:val="24"/>
          <w:szCs w:val="24"/>
        </w:rPr>
        <w:t xml:space="preserve">Il terzo pilastro è l'esito giudiziario e la sua incompletezza. Le indagini seguite alla rivelazione, condotte da diverse autorità giudiziarie, accertarono l'esistenza e la struttura della rete ma non pervennero, quanto all'ipotesi del suo impiego eversivo, a esiti di condanna: i procedimenti si chiusero in larga parte con archiviazioni o con l'esclusione di responsabilità penali specifiche connesse a un impiego deviato della struttura in quanto tale, ferma restando la certificazione della sua esistenza e della sua clandestinità. Il registro certifica al Livello A tanto l'esistenza della rete quanto l'esito sostanzialmente non condannatorio quanto all'ipotesi dell'impiego eversivo, e ne trae la conseguenza metodologica: il nodo Gladio è certificato al massimo livello quale struttura clandestina atlantica esistita e occultata, ed è mantenuto al Livello C quanto all'ipotesi del suo impiego nella destabilizzazione interna, che gli accertamenti non hanno provato. La distinzione tra l'esistenza certificata e l'impiego ipotetico è la sostanza del caso, e la sua osservanza è la misura della distanza tra il registro e la pubblicistica che ha fatto di Gladio il nome onnicomprensivo di ogni deviazione, dissolvendo nella suggestione la differenza tra ciò che è provato e ciò che è congetturato.</w:t>
      </w:r>
    </w:p>
    <w:p>
      <w:pPr>
        <w:spacing w:after="120" w:line="276"/>
        <w:jc w:val="both"/>
      </w:pPr>
      <w:r>
        <w:rPr>
          <w:rFonts w:ascii="Barlow Semi Condensed" w:cs="Barlow Semi Condensed" w:eastAsia="Barlow Semi Condensed" w:hAnsi="Barlow Semi Condensed"/>
          <w:sz w:val="24"/>
          <w:szCs w:val="24"/>
        </w:rPr>
        <w:t xml:space="preserve">Il quarto pilastro, e il più significativo per la verifica di H1, è la reazione delle istituzioni europee alla rivelazione, che il registro assume quale reperto capitale e contro-intuitivo. All'indomani dell'ammissione italiana e delle analoghe rivelazioni in altri Paesi, il Parlamento europeo adottò, il 22 novembre 1990, una risoluzione sulla vicenda delle reti stay-behind, con la quale l'assemblea di Strasburgo prendeva atto dell'esistenza delle strutture clandestine nei Paesi membri, ne deplorava l'occultamento agli organi parlamentari nazionali e alle istituzioni comunitarie, e chiedeva un'indagine completa sulla loro natura, sulla loro composizione e sul loro eventuale ruolo in attività illegali. Il registro certifica al Livello A l'esistenza e il contenuto della risoluzione, quale atto ufficiale dell'istituzione parlamentare europea, e ne trae l'annotazione decisiva per la falsificazione di H1. L'ipotesi H1 postulerebbe che le reti stay-behind fossero strumento di una convergenza tra le potenze imperiali volta a impedire l'integrazione europea; ma il fatto documentato è l'esatto opposto, giacché fu precisamente l'istituzione parlamentare dell'integrazione europea, il Parlamento di Strasburgo, a farsi carico della denuncia delle reti e a esigerne l'accertamento. Se le reti stay-behind fossero state uno strumento di contrasto all'integrazione europea, l'organo rappresentativo di quell'integrazione non ne sarebbe stato il denunciante, ma l'oggetto o la vittima; il fatto che il Parlamento europeo abbia condannato le reti e ne abbia chiesto l'indagine milita frontalmente contro l'ipotesi H1, e conferma la lettura del fenomeno quale eredità clandestina della logica atlantica del confronto bipolare, sottoposta al vaglio critico delle istituzioni democratiche europee non appena la sua esistenza fu resa nota. Il registro segnala altresì che gli accertamenti condotti nei diversi Paesi, e la stessa istruttoria parlamentare europea, non pervennero a dimostrare un impiego coordinato delle reti in attività di destabilizzazione interna, sicché la richiesta di indagine, pienamente legittima, non si tradusse nell'accertamento di quell'impiego, che rimane pertanto al Livello C.</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Gladio-Capo Marrargiu-Nasco, è il triangolo della struttura materiale, certificato al Livello A dalla documentazione e dagli accertamenti. La seconda, Gladio-servizio militare-struttura atlantica, è il triangolo della genesi e del raccordo, certificato al Livello A quanto all'esistenza del raccordo e mantenuto al Livello C quanto alla sua torsione eversiva. La terza, Gladio-rivelazione 1990-inchieste, è il triangolo dell'emersione e dell'accertamento incompleto, certificato al Livello A quanto ai fatti e recante il reperto negativo dell'esito non condannatorio sull'impiego. Sul piano dei pattern, il nodo attiva il Pattern 11, l'analisi dell'isomorfismo strutturale, giacché la rete stay-behind italiana presenta la medesima topologia delle reti analoghe predisposte in altri Paesi occidentali, e tale isomorfismo, lungi dal provare una regia unica finalizzata alla destabilizzazione, si spiega con la necessità funzionale comune, la resistenza all'occupazione, secondo la distinzione tra origine comune, necessità funzionale e convergenza indipendente che il Pattern 11 impone di discriminare.</w:t>
      </w:r>
    </w:p>
    <w:p>
      <w:pPr>
        <w:spacing w:after="120" w:line="276"/>
        <w:jc w:val="both"/>
      </w:pPr>
      <w:r>
        <w:rPr>
          <w:rFonts w:ascii="Barlow Semi Condensed" w:cs="Barlow Semi Condensed" w:eastAsia="Barlow Semi Condensed" w:hAnsi="Barlow Semi Condensed"/>
          <w:sz w:val="24"/>
          <w:szCs w:val="24"/>
        </w:rPr>
        <w:t xml:space="preserve">La meccanica della rivelazione va restituita nella sua catena esatta, perché essa costituisce uno dei rari casi in cui il registro può osservare, passaggio per passaggio, il processo attraverso il quale un segreto di apparato diviene conoscenza pubblica. Il primo anello è giudiziario: nell'estate del 1990 il giudice istruttore veneziano Felice Casson, risalendo la filiera dell'esplosivo di Peteano, chiese ed ottenne dal presidente del Consiglio l'autorizzazione ad accedere agli archivi del servizio militare, ponendo all'esecutivo un quesito documentale al quale non era più possibile opporre il diniego di esistenza, Livello A. Il secondo anello è la risposta politica graduata: il 3 agosto 1990 Giulio Andreotti annunciò alla Commissione stragi l'esistenza di una struttura riservata per la resistenza in caso di invasione, ed il 24 ottobre consegnò la relazione che ne dichiarava nome, natura e cornice atlantica, cui seguì la trasmissione dell'elenco dei 622 nominativi, Livello A sull'intera scansione. Il terzo anello è la chiusura: la struttura fu dichiarata cessata alla fine di novembre del 1990, mentre le esternazioni del capo dello Stato Francesco Cossiga, che rivendicò con orgoglio la legittimità patriottica dell'organizzazione, aprivano il conflitto istituzionale che avrebbe accompagnato l'intera stagione degli accertamenti, Livello A quanto ai fatti pubblici. Il registro isola in questa catena il suo teorema: la rivelazione non nacque da una crisi dell'apparato ma da una domanda della giurisdizione, e ciò conferma che nel sistema italiano il codice capace di forzare il segreto non fu quello politico, che lo aveva custodito per 44 anni, ma quello giudiziario, quando seppe formulare la domanda giusta al livello giusto.</w:t>
      </w:r>
    </w:p>
    <w:p>
      <w:pPr>
        <w:spacing w:after="120" w:line="276"/>
        <w:jc w:val="both"/>
      </w:pPr>
      <w:r>
        <w:rPr>
          <w:rFonts w:ascii="Barlow Semi Condensed" w:cs="Barlow Semi Condensed" w:eastAsia="Barlow Semi Condensed" w:hAnsi="Barlow Semi Condensed"/>
          <w:sz w:val="24"/>
          <w:szCs w:val="24"/>
        </w:rPr>
        <w:t xml:space="preserve">Alla struttura materiale il capitolo aggiunge il dettaglio dei depositi, perché su di esso si misura la qualità del controllo. La documentazione consegnata al Parlamento censì una rete di nascondigli d'armi ed esplosivi, i Nasco, interrati in punti classificati del territorio; il loro ritiro fu disposto ed eseguito in larga parte già nei primi anni 70, ma le operazioni di recupero registrarono ammanchi e depositi non più rinvenuti, circostanza che gli atti certificano e che consegnò alla stagione successiva un interrogativo mai integralmente chiuso sulla sorte del materiale mancante, Livello A quanto al censimento ed agli ammanchi documentati, ferma restando, per ogni ipotesi di impiego di quel materiale, la disciplina del rinvio ai singoli giudicati che la Fase 3 osserva. Da ultimo, il registro annota l'esito del vaglio parlamentare sulla legittimità: la Commissione stragi produsse sul punto conclusioni non unanimi, divise tra la lettura della struttura quale strumento difensivo coperto ma riconducibile alla cornice atlantica e quella di un organismo sottratto ad ogni circuito autorizzativo costituzionale, Livello A quanto alla divisione documentata delle conclusioni: ancora una volta, come per il Piano Solo e per la P2, il fatto è certificato e la qualificazione contesa, e questa terza occorrenza consente al registro di promuovere l'osservazione a regolarità, la Repubblica accerta i propri segreti ma non delibera su di essi, ed il giudizio resta consegnato, in via permanente, alla concorrenza delle relazioni di maggioranza e di minoranza.</w:t>
      </w:r>
    </w:p>
    <w:p>
      <w:pPr>
        <w:spacing w:after="120" w:line="276"/>
        <w:jc w:val="both"/>
      </w:pPr>
      <w:r>
        <w:rPr>
          <w:rFonts w:ascii="Barlow Semi Condensed" w:cs="Barlow Semi Condensed" w:eastAsia="Barlow Semi Condensed" w:hAnsi="Barlow Semi Condensed"/>
          <w:sz w:val="24"/>
          <w:szCs w:val="24"/>
        </w:rPr>
        <w:t xml:space="preserve">L'anatomia della rete va completata con la sua collocazione ordinamentale e con la sua articolazione operativa, quali risultano dalla documentazione consegnata al Parlamento. La struttura fu incardinata, nelle sue stagioni mature, entro la ripartizione del servizio militare competente per le operazioni speciali ed il territorio, con una catena di comando ristretta che rispondeva al direttore pro tempore e, per la cornice internazionale, ai comitati di pianificazione alleati; l'ossatura clandestina si articolava in unità di guerriglia designate con nomi di copertura floreali e marini, tra le quali le fonti censiscono la Stella Alpina per il quadrante nord-orientale, accanto ad unità sorelle per gli altri scacchieri, ciascuna con compiti di esfiltrazione, informazione, sabotaggio e propaganda in caso di occupazione, Livello A quanto all'articolazione documentata. L'addestramento si svolgeva presso il Centro di Capo Marrargiu con il concorso di istruttori e materiali alleati, secondo cicli che la documentazione registra sin dagli anni 50, Livello A, e la composizione dell'elenco dei 622, prevalentemente civili insospettabili radicati nei territori di prevista operatività, con significativa concentrazione nelle regioni di confine orientale, risponde alla logica militare della rete dormiente, Livello A quanto alla composizione, Livello B quanto alle stime di distribuzione territoriale. Il registro consegna questi dati alla loro doppia lettura, che è il punto esatto in cui la certificazione si arresta: la medesima anatomia che documenta una rete difensiva conforme al modello atlantico documenta altresì un potenziale operativo domestico mai autorizzato da alcun circuito costituzionale, e la scelta tra le 2 letture non appartiene ai reperti ma ai codici, secondo la lezione ormai 3 volte verificata della fase.</w:t>
      </w:r>
    </w:p>
    <w:p>
      <w:pPr>
        <w:spacing w:after="120" w:line="276"/>
        <w:jc w:val="both"/>
      </w:pPr>
      <w:r>
        <w:rPr>
          <w:rFonts w:ascii="Barlow Semi Condensed" w:cs="Barlow Semi Condensed" w:eastAsia="Barlow Semi Condensed" w:hAnsi="Barlow Semi Condensed"/>
          <w:sz w:val="24"/>
          <w:szCs w:val="24"/>
        </w:rPr>
        <w:t xml:space="preserve">Alla struttura va aggiunto il suo atto individuale di fondazione, la procedura di arruolamento, che la documentazione consegnata al Parlamento descrive con precisione notarile: il reclutamento per cooptazione fiduciaria, il vaglio riservato dell'affidabilità, la sottoscrizione di un impegno di segretezza e di fedeltà con formule di giuramento, l'addestramento individuale o per piccoli nuclei presso il Centro sardo, la riconsegna alla vita civile in condizione dormiente, Livello A quanto alla procedura documentata. Il registro vi legge la cifra antropologica della rete: 622 cittadini vincolati da un giuramento che lo Stato, il quale lo riceveva, negava a sé stesso di aver mai richiesto, la fedeltà a una Repubblica che non poteva riconoscere i propri fedeli. Quanto all'esito giudiziario complessivo, le inchieste aperte dopo la rivelazione presso più uffici giudiziari si chiusero, quanto alla struttura in sé, senza condanne, tra archiviazioni e proscioglimenti, non risultando integrati, per il giudice, gli estremi delle fattispecie associative contestate, Livello A quanto agli esiti, mentre sull'elenco dei 622 si appuntarono, negli anni, contestazioni di incompletezza mai risolte in accertamento, Livello C quanto ad ogni ipotesi di elenchi ulteriori. La rete uscì così dalla storia giudiziaria come vi era entrata, per via di documenti e non di sentenze: certificata nell'esistenza, assolta nella forma, indecidibile nella sostanza, ed il registro la consegna alla Fase 5, dove il confronto con le reti sorelle europee restituirà all'anomalia italiana la sua esatta misura comparativa.</w:t>
      </w:r>
    </w:p>
    <w:p>
      <w:pPr>
        <w:spacing w:after="120" w:line="276"/>
        <w:jc w:val="both"/>
      </w:pPr>
      <w:r>
        <w:rPr>
          <w:rFonts w:ascii="Barlow Semi Condensed" w:cs="Barlow Semi Condensed" w:eastAsia="Barlow Semi Condensed" w:hAnsi="Barlow Semi Condensed"/>
          <w:sz w:val="24"/>
          <w:szCs w:val="24"/>
        </w:rPr>
        <w:t xml:space="preserve">All'anatomia della rete va premesso il suo atto di nascita documentale, che la desecretazione del 1990 restituì e che il registro certifica quale fondamento archivistico dell'intero nodo: l'accordo bilaterale tra il servizio segreto militare italiano e l'agenzia americana, sottoscritto il 26 novembre 1956, che istituiva l'organizzazione di resistenza clandestina in territorio nazionale definendone finalità, ripartizione degli oneri e canali di direzione, cui seguirono nel tempo le direttive interne di organizzazione che gli atti trasmessi al Parlamento documentano, Livello A quanto all'atto, alla data ed al contenuto, resi pubblici nella stagione della disclosure. Il registro sottolinea la portata metodologica del reperto: la data del 1956 retrodata la struttura di un decennio abbondante rispetto alla percezione pubblica formatasi nel 1990, collocandone la fondazione nel cuore del primo decennio repubblicano, prima della stagione dei piani e dei tentativi censiti nei capitoli precedenti, sicché ogni analisi delle finestre critiche successive deve assumere la rete non quale variabile sopraggiunta ma quale costante di fondo, operativa e riservata, dell'intero arco temporale che l'opera copre. La consegna alla Fase 5, dove le reti sorelle continentali riceveranno il loro censimento, è già scritta in quell'atto: l'architettura era bilaterale nella firma e multilaterale nella logica, ed il documento del 1956 è il primo reperto italiano di un sistema che solo la comparazione internazionale avrebbe reso interamente leggibile.</w:t>
      </w:r>
    </w:p>
    <w:p>
      <w:pPr>
        <w:spacing w:after="120" w:line="276"/>
        <w:jc w:val="both"/>
      </w:pPr>
      <w:r>
        <w:rPr>
          <w:rFonts w:ascii="Barlow Semi Condensed" w:cs="Barlow Semi Condensed" w:eastAsia="Barlow Semi Condensed" w:hAnsi="Barlow Semi Condensed"/>
          <w:sz w:val="24"/>
          <w:szCs w:val="24"/>
        </w:rPr>
        <w:t xml:space="preserve">La rivelazione del 1990 ebbe infine la sua doppia retorica istituzionale, che il registro censisce quale reperto sulla gestione dell'autodisvelamento: alla comunicazione tecnica del presidente del Consiglio, che consegnò al Parlamento l'esistenza, la struttura e gli elenchi della rete nel registro asciutto dell'adempimento dovuto, si affiancò la rivendicazione politica del capo dello Stato, che difese pubblicamente gli uomini della rete quali patrioti ed elevò la propria personale partecipazione alla vicenda a titolo d'onore, aprendo un conflitto interpretativo pubblico sulla natura della struttura, adempimento atlantico legittimo o vulnus costituzionale, che attraversò le istituzioni sino allo scontro con la magistratura inquirente ed alle soglie di procedure costituzionali estreme, Livello A quanto alle 2 linee pubbliche ed al conflitto documentato. Il registro consegna il doppio registro alla sua funzione: la medesima rivelazione fu simultaneamente amministrata come pratica da chiudere e brandita come bandiera da rivendicare, e questa scissione al vertice dello Stato, consumata davanti all'opinione pubblica, è essa stessa la miglior prova che la rete non era mai stata, per la Repubblica, un semplice strumento tecnico: gli strumenti tecnici si dichiarano e si archiviano, e ciò che invece dovette essere difeso, rivendicato e conteso tra le più alte cariche era, con ogni evidenza, una scelta di campo che il Paese non aveva mai potuto votare, e sulla quale i suoi vertici, potendone finalmente parlare, scoprirono di non essere d'accordo nemmeno tra loro.</w:t>
      </w:r>
    </w:p>
    <w:p>
      <w:pPr>
        <w:spacing w:after="120" w:line="276"/>
        <w:jc w:val="both"/>
      </w:pPr>
      <w:r>
        <w:rPr>
          <w:rFonts w:ascii="Barlow Semi Condensed" w:cs="Barlow Semi Condensed" w:eastAsia="Barlow Semi Condensed" w:hAnsi="Barlow Semi Condensed"/>
          <w:sz w:val="24"/>
          <w:szCs w:val="24"/>
        </w:rPr>
        <w:t xml:space="preserve">Il fenomeno esige infine il suo censimento sociologico, che il registro formula quale Stato Zero più singolare del capitolo: la rete clandestina mantenne il proprio segreto per 4 decenni attraverso centinaia di reclutati civili, cittadini comuni distribuiti sul territorio e vincolati da giuramento, senza che una sola fuga di notizie organica, una defezione pubblica od una rivelazione giornalistica alimentata dall'interno ne squarciasse l'esistenza prima dell'ammissione governativa del 1990, Livello A quanto alla tenuta quarantennale del segreto, documentata a contrario dall'assenza di ogni emersione anteriore. Il registro consegna la tenuta alla sua doppia lettura: sul piano tecnico, essa certifica la qualità della compartimentazione, con reclutati ignari gli uni degli altri e legati verticalmente alla sola struttura; sul piano civile, essa documenta il fenomeno che il corpus registra con maggiore inquietudine metodologica, la capacità di una democrazia di contenere al proprio interno, per 2 generazioni, un segreto di massa perfettamente conservato, perché i segreti dei vertici appartengono alla fisiologia di ogni Stato, ma un segreto mantenuto da centinaia di cittadini comuni per 40 anni dimostra che la riservatezza totale non è una prerogativa degli apparati, è una possibilità permanente delle società, e questa possibilità, provata una volta, non è revocabile: ciò che fu tenuto segreto una volta può esserlo ancora, ed il registro, che vive di carte emerse, deve dichiarare al lettore questa ipoteca su tutto ciò che non è emerso.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Gladio è certificato al Livello A quale rete clandestina stay-behind di genesi atlantica, dotata di base addestrativa, depositi di armi ed elenco di appartenenti, esistita e occultata al Parlamento per oltre 4 decenni fino alla rivelazione ufficiale del 24 ottobre 1990; l'ipotesi del suo impiego nella destabilizzazione interna resta al Livello C, non essendo stata provata dagli accertamenti giudiziari, e l'ipotesi ulteriore di una sua funzione di contrasto all'integrazione europea è priva di supporto documentale e contraddetta dalla cornice atlantica della rete, sicché il nodo, lungi dal sostenere l'ipotesi H1, milita nella direzione del falsificatore milwardiano.</w:t>
      </w:r>
    </w:p>
    <w:p>
      <w:pPr>
        <w:pStyle w:val="Heading3"/>
        <w:spacing w:after="80" w:before="160"/>
      </w:pPr>
      <w:r>
        <w:rPr>
          <w:rFonts w:ascii="Barlow Semi Condensed" w:cs="Barlow Semi Condensed" w:eastAsia="Barlow Semi Condensed" w:hAnsi="Barlow Semi Condensed"/>
          <w:sz w:val="24"/>
          <w:szCs w:val="24"/>
        </w:rPr>
        <w:t xml:space="preserve">Capitolo 6 — ▶ Junio Valerio Borghese. Il golpe dei nostalgici e la mediazione occulta</w:t>
      </w:r>
    </w:p>
    <w:p>
      <w:pPr>
        <w:spacing w:after="120" w:line="276"/>
        <w:jc w:val="both"/>
      </w:pPr>
      <w:r>
        <w:rPr>
          <w:rFonts w:ascii="Barlow Semi Condensed" w:cs="Barlow Semi Condensed" w:eastAsia="Barlow Semi Condensed" w:hAnsi="Barlow Semi Condensed"/>
          <w:sz w:val="24"/>
          <w:szCs w:val="24"/>
        </w:rPr>
        <w:t xml:space="preserve">Junio Valerio Borghese, nato a Roma il 6 giugno 1906 e morto a Cadice il 26 agosto 1974, comandante durante la guerra della Decima Flottiglia MAS e successivamente figura di riferimento dell'eversione nera del dopoguerra, è il nodo attraverso il quale il registro certifica il tentativo eversivo che diede nome a una stagione e che salda, in un solo evento, i Domini 7, 3, 1 e 6. La scansione del corpus lo registra 941 volte in 48 documenti, frequenza che ne fa uno dei nodi più densi del versante eversivo e che riflette la centralità della vicenda golpista del dicembre 1970 nell'intera ricostruzione della strategia della tensione. Il nodo era già comparso nella Fase 1 attraverso lo snodo Borghese-Sindona, certificato al Livello B sulla scorta della testimonianza di Buscetta relativa ai 3 tentativi golpisti a mediazione massonica; il presente capitolo ne ricostruisce il profilo proprio quale attore del Dominio 7 in accoppiamento con gli apparati.</w:t>
      </w:r>
    </w:p>
    <w:p>
      <w:pPr>
        <w:spacing w:after="120" w:line="276"/>
        <w:jc w:val="both"/>
      </w:pPr>
      <w:r>
        <w:rPr>
          <w:rFonts w:ascii="Barlow Semi Condensed" w:cs="Barlow Semi Condensed" w:eastAsia="Barlow Semi Condensed" w:hAnsi="Barlow Semi Condensed"/>
          <w:sz w:val="24"/>
          <w:szCs w:val="24"/>
        </w:rPr>
        <w:t xml:space="preserve">La biografia colloca Borghese, dopo la vicenda bellica e il processo del dopoguerra per collaborazionismo, al vertice simbolico e organizzativo dell'eversione nostalgica. Fondatore e presidente del Fronte Nazionale, organizzazione della destra radicale costituita alla fine degli anni Sessanta, Borghese raccolse attorno a sé ambienti reduci, gruppi dell'eversione neofascista e settori disponibili all'azione illegale contro l'assetto repubblicano. Il registro certifica al Livello A, sul fondamento degli atti processuali e delle ricostruzioni documentali, il ruolo di Borghese quale fondatore del Fronte Nazionale e quale figura di riferimento dell'eversione nera, e annota la continuità con il documento più risalente del corpus su questo versante, l'informativa della Central Intelligence Agency del 14 novembre 1951 sulle attività neofasciste in Italia, che già collocava il principe Borghese al centro degli ambienti della destra radicale e ne registrava i collegamenti e i finanziamenti: un reperto che il registro certifica al Livello A quale fonte documentale coeva e che retrodata di quasi 2 decenni l'osservazione internazionale sul nodo.</w:t>
      </w:r>
    </w:p>
    <w:p>
      <w:pPr>
        <w:spacing w:after="120" w:line="276"/>
        <w:jc w:val="both"/>
      </w:pPr>
      <w:r>
        <w:rPr>
          <w:rFonts w:ascii="Barlow Semi Condensed" w:cs="Barlow Semi Condensed" w:eastAsia="Barlow Semi Condensed" w:hAnsi="Barlow Semi Condensed"/>
          <w:sz w:val="24"/>
          <w:szCs w:val="24"/>
        </w:rPr>
        <w:t xml:space="preserve">Il primo pilastro probatorio è il tentativo eversivo del dicembre 1970, il cosiddetto golpe Borghese. Nella notte tra il 7 e l'8 dicembre 1970, la notte dell'Immacolata, prese avvio un tentativo di sovvertimento dell'ordine costituzionale che prevedeva l'occupazione di obiettivi nevralgici della capitale, tra cui il Ministero dell'interno, la sede della radiotelevisione e i centri di comunicazione, con il concorso di reparti e di gruppi dell'eversione nera. L'azione, avviata, fu interrotta e fatta rientrare nel corso della medesima notte, per ragioni che gli accertamenti non hanno integralmente chiarito e che alimentarono l'ipotesi di un contrordine impartito da un livello superiore. Il registro certifica al Livello A, sul fondamento degli atti giudiziari, l'esistenza materiale del tentativo, la sua articolazione operativa e la sua interruzione nel corso della notte; e mantiene al Livello C l'ipotesi sulla natura e sull'origine del contrordine, che gli accertamenti non hanno stabilito. Alla vicenda partecipò, quale organizzatore di uno dei settori operativi, Stefano Delle Chiaie, fondatore di Avanguardia Nazionale, che la Fase 3 tratterà nel suo contesto e che qui compare quale esecutore di primo piano dell'azione.</w:t>
      </w:r>
    </w:p>
    <w:p>
      <w:pPr>
        <w:spacing w:after="120" w:line="276"/>
        <w:jc w:val="both"/>
      </w:pPr>
      <w:r>
        <w:rPr>
          <w:rFonts w:ascii="Barlow Semi Condensed" w:cs="Barlow Semi Condensed" w:eastAsia="Barlow Semi Condensed" w:hAnsi="Barlow Semi Condensed"/>
          <w:sz w:val="24"/>
          <w:szCs w:val="24"/>
        </w:rPr>
        <w:t xml:space="preserve">Il secondo pilastro esige il riporto per esteso dell'esito giudiziario, in ossequio alla regola del registro. Il procedimento penale per il tentativo golpista del dicembre 1970 si concluse, dopo la condanna di alcuni imputati in primo grado, con l'assoluzione in grado d'appello della gran parte degli imputati dall'accusa di insurrezione armata contro i poteri dello Stato, con derubricazione delle residue responsabilità; la sentenza d'appello del 1984 riformò in senso largamente assolutorio le statuizioni di primo grado. Borghese medesimo era nel frattempo deceduto a Cadice, in Spagna, dove si era rifugiato dopo il fallimento del tentativo, il 26 agosto 1974, sottraendosi al giudizio. Il registro certifica al Livello A tanto l'esistenza del tentativo quanto l'esito largamente assolutorio del procedimento, e ne trae la conseguenza metodologica: il nodo Borghese certifica al Livello A il fatto storico di un tentativo eversivo materialmente avviato e interrotto, ma l'esito giudiziario ha escluso, per la gran parte degli imputati, la sussistenza del più grave reato contestato, sicché la qualificazione dell'evento quale golpe compiutamente organizzato e prossimo alla riuscita, ovvero quale mera velleità circoscritta, resta oggetto di controversia storiografica che il registro non risolve, attestandosi sul dato certo dell'avvio materiale e dell'interruzione e sull'esito assolutorio.</w:t>
      </w:r>
    </w:p>
    <w:p>
      <w:pPr>
        <w:spacing w:after="120" w:line="276"/>
        <w:jc w:val="both"/>
      </w:pPr>
      <w:r>
        <w:rPr>
          <w:rFonts w:ascii="Barlow Semi Condensed" w:cs="Barlow Semi Condensed" w:eastAsia="Barlow Semi Condensed" w:hAnsi="Barlow Semi Condensed"/>
          <w:sz w:val="24"/>
          <w:szCs w:val="24"/>
        </w:rPr>
        <w:t xml:space="preserve">Il terzo pilastro è l'osservazione internazionale precoce del nodo, documentata dall'informativa della Central Intelligence Agency del 14 novembre 1951, che il registro assume quale reperto documentale di eccezionale valore per la retrodatazione della vigilanza atlantica sull'eversione italiana. Il documento, classificato all'origine come segreto e successivamente desecretato, presente nel corpus nella sua estrazione integrale, riferiva informazioni datate all'ottobre 1951 sulle attività neofasciste in Italia, e collocava il principe Borghese al centro degli ambienti della destra radicale, registrandone i collegamenti con la X Flottiglia MAS ricostituita in chiave politica, con il Movimento sociale italiano, e con circuiti di finanziamento che il documento riconduceva ad ambienti franchisti spagnoli, oltre a menzionare l'esistenza di squadre d'azione. Il registro certifica al Livello A l'esistenza e il contenuto del documento quale fonte coeva prodotta dal servizio informativo statunitense, e ne trae 2 annotazioni. La prima è cronologica: la vigilanza informativa internazionale sul nodo Borghese e sugli ambienti dell'eversione nera è documentata sin dal 1951, ossia quasi 2 decenni prima del tentativo golpista, il che retrodata di gran lunga l'osservazione atlantica sul fenomeno e conferma che gli apparati alleati ne seguivano gli sviluppi. La seconda annotazione concerne, ancora una volta, la verifica di H1 e va formulata con precisione. Il documento del 1951 attesta che il servizio statunitense sorvegliava e schedava l'eversione nera italiana; questo dato non prova né una regia statunitense su tale eversione, che il documento non afferma, né tanto meno una convergenza tra il servizio statunitense e quello sovietico, della quale non v'è traccia; esso documenta un'attività informativa di sorveglianza, coerente con la logica del confronto bipolare, nella quale la potenza occidentale monitorava tanto la sinistra quanto le frange eversive di destra potenzialmente destabilizzanti. Il registro annota il finanziamento franchista riferito dal documento quale primo affioramento, sin dal 1951, della dimensione iberica dell'eversione nera, che la Fase 5 ritroverà nella latitanza spagnola dello stesso Borghese e di altri protagonisti; e mantiene al Livello B, in quanto riferito da singola fonte informativa coeva ancorché autorevole, il dato del finanziamento franchista, in attesa dei riscontri che la fase internazionale potrà fornire.</w:t>
      </w:r>
    </w:p>
    <w:p>
      <w:pPr>
        <w:spacing w:after="120" w:line="276"/>
        <w:jc w:val="both"/>
      </w:pPr>
      <w:r>
        <w:rPr>
          <w:rFonts w:ascii="Barlow Semi Condensed" w:cs="Barlow Semi Condensed" w:eastAsia="Barlow Semi Condensed" w:hAnsi="Barlow Semi Condensed"/>
          <w:sz w:val="24"/>
          <w:szCs w:val="24"/>
        </w:rPr>
        <w:t xml:space="preserve">Il quarto pilastro è la mediazione occulta e l'accoppiamento con il Dominio 1, che salda il nodo alla Fase 1 e ne costituisce l'elemento di maggiore interesse strutturale. La testimonianza di Tommaso Buscetta, resa nell'ambito dei procedimenti sui rapporti tra mafia e politica e recepita dal registro nella Fase 1, riferì che a Cosa Nostra fu richiesta, per il tramite di ambienti massonici, la disponibilità a concorrere ad almeno uno dei tentativi golpisti di quella stagione, e collocò tale richiesta nel quadro di una trilogia di progetti eversivi che avrebbero visto la partecipazione di ambienti finanziari, tra cui quello di Michele Sindona. Il registro certifica al Livello B, sul fondamento della testimonianza di Buscetta riscontrata nel ciclo processuale ma non consacrata da condanna specifica sul punto, l'esistenza della richiesta di concorso rivolta a Cosa Nostra per il tramite massonico e la connessione con ambienti finanziari; e mantiene al Livello C l'estensione di tale accertamento a un disegno unitario e sovrastante. L'interesse strutturale del dato è massimo: il tentativo golpista del dicembre 1970 è il primo evento del registro in cui convergono, secondo gli accertamenti disponibili, il Dominio 7 dell'eversione, il Dominio 4 della massoneria quale mediatore, il Dominio 1 della mafia quale forza richiesta, il Dominio 6 della finanza quale possibile sostegno, e in cui affiora, sullo sfondo, la questione della condotta degli apparati, giacché il servizio militare diretto da Miceli disponeva di informazioni sull'iniziativa. È il primo affioramento, nel registro, di quella convergenza multidominio che la strategia della tensione realizzerà, e la sua trattazione anticipata nella Fase 2 si giustifica precisamente in ragione del suo essere il punto in cui il versante eversivo si accoppia agli apparati.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Borghese-Fronte Nazionale-Delle Chiaie, è il triangolo organizzativo dell'eversione nera, certificato al Livello A quanto alla struttura e alla partecipazione. La seconda, Borghese-mediazione massonica-Cosa Nostra, è il triangolo dell'accoppiamento con il Dominio 1 per il tramite del Dominio 4, certificato al Livello B dalla testimonianza riscontrata di Buscetta. La terza, Borghese-Sindona-finanziamento, è il triangolo del sostegno finanziario, certificato al Livello B e già inventariato nella Fase 1. Sul piano dei pattern, il nodo attiva il Pattern 3, l'analisi temporale, giacché il tentativo del dicembre 1970 si colloca nella finestra critica successiva alla strage di Piazza Fontana e apre la sequenza eversiva che la Fase 3 ricostruirà; e attiva il Pattern 6, l'analisi delle ipotesi concorrenti, quanto alla natura del contrordine e all'entità reale del tentativo, rispetto ai quali il registro mantiene aperte le ipotesi alternative, in assenza di accertamenti dirimenti.</w:t>
      </w:r>
    </w:p>
    <w:p>
      <w:pPr>
        <w:spacing w:after="120" w:line="276"/>
        <w:jc w:val="both"/>
      </w:pPr>
      <w:r>
        <w:rPr>
          <w:rFonts w:ascii="Barlow Semi Condensed" w:cs="Barlow Semi Condensed" w:eastAsia="Barlow Semi Condensed" w:hAnsi="Barlow Semi Condensed"/>
          <w:sz w:val="24"/>
          <w:szCs w:val="24"/>
        </w:rPr>
        <w:t xml:space="preserve">La notte dell'Immacolata va corredata dei suoi reperti materiali accertati, che sottraggono l'episodio tanto alla minimizzazione quanto alla leggenda. Gli accertamenti processuali consegnarono al giudicato la materialità di alcuni movimenti: la penetrazione di un gruppo di congiurati nell'armeria del Ministero dell'interno, con la temporanea disponibilità di armamento poi restituito, il concentramento di aderenti in punti di raccolta della capitale, l'allertamento di reparti collaterali tra cui un contingente di guardie forestali affluito da Cittaducale, e quindi, a mobilitazione avviata, il contrordine impartito dallo stesso Borghese per canali mai integralmente chiariti, che dissolse l'operazione prima dell'irreparabile, Livello A quanto ai movimenti materiali accertati nelle sentenze, Livello C quanto alle ragioni del contrordine, sulle quali le ricostruzioni divergono senza che alcuna abbia conseguito consacrazione giudiziale. Su questa materialità si innestò il paradosso qualificatorio che il capitolo ha già riportato: l'appello del 1984, confermato in cassazione, escluse la sussistenza del fatto quale insurrezione armata, consegnando alla storia repubblicana un tentativo materialmente avvenuto e giuridicamente inesistente, ed il registro, che non giudica i giudicati ma li censisce, annota la forbice tra accertamento storico e qualificazione penale quale caso di scuola della complementarità dei codici già teorizzata nella Fase 1.</w:t>
      </w:r>
    </w:p>
    <w:p>
      <w:pPr>
        <w:spacing w:after="120" w:line="276"/>
        <w:jc w:val="both"/>
      </w:pPr>
      <w:r>
        <w:rPr>
          <w:rFonts w:ascii="Barlow Semi Condensed" w:cs="Barlow Semi Condensed" w:eastAsia="Barlow Semi Condensed" w:hAnsi="Barlow Semi Condensed"/>
          <w:sz w:val="24"/>
          <w:szCs w:val="24"/>
        </w:rPr>
        <w:t xml:space="preserve">Un capitolo interno alla vicenda appartiene però più agli apparati che ai congiurati, ed è la gestione informativa del dopo. Gli atti processuali e parlamentari documentano che il servizio raccolse, sin dal 1971, un corpo cospicuo di informazioni sul tentativo, incluse le registrazioni effettuate dal capitano Antonio Labruna con i protagonisti, e che il fascicolo trasmesso all'autorità giudiziaria nel 1974 risultò epurato di riferimenti a personalità ed articolazioni che la versione integrale conteneva: la manipolazione del malloppo, accertata nel ciclo processuale che coinvolse i vertici del servizio, costituisce il ponte documentale che salda questo capitolo ai capitoli 2 e 3 della fase, Livello A quanto alla trasmissione ritardata ed alle omissioni accertate, nei limiti dei rispettivi giudicati. Il registro vi legge la conferma di un teorema già enunciato: nel sistema della deviazione, l'apparato non organizza l'evento, ne amministra la conoscenza, e la differenza tra le 2 funzioni, che la pubblicistica confonde di continuo, è esattamente la differenza tra ciò che i processi hanno provato e ciò che hanno escluso.</w:t>
      </w:r>
    </w:p>
    <w:p>
      <w:pPr>
        <w:spacing w:after="120" w:line="276"/>
        <w:jc w:val="both"/>
      </w:pPr>
      <w:r>
        <w:rPr>
          <w:rFonts w:ascii="Barlow Semi Condensed" w:cs="Barlow Semi Condensed" w:eastAsia="Barlow Semi Condensed" w:hAnsi="Barlow Semi Condensed"/>
          <w:sz w:val="24"/>
          <w:szCs w:val="24"/>
        </w:rPr>
        <w:t xml:space="preserve">La genealogia del nodo esige il suo antefatto giudiziario e il suo salvataggio fondativo. Nella primavera del 1945 il comandante della Decima, sottratto alla resa dei conti insurrezionale, fu prelevato e trasferito a Roma sotto protezione alleata per iniziativa di ufficiali del controspionaggio americano, secondo una ricostruzione consolidata nella storiografia e nelle stesse fonti d'oltreoceano, Livello A quanto al trasferimento protetto; il successivo processo per collaborazionismo si chiuse nel 1949 con una condanna ampiamente assorbita da amnistia e detrazioni, che ne determinò l'immediata liberazione, Livello A. Il registro salda i 2 reperti in un teorema genetico: l'uomo che 25 anni dopo avrebbe guidato il tentativo della notte dell'Immacolata dovette la propria sopravvivenza politica, ed anzi fisica, alla precoce valutazione alleata della sua utilità anticomunista, sicché l'informativa del 1951 che il capitolo ha censito non fotografa un sorvegliato ma un investimento, e l'intera parabola del Fronte Nazionale, con i suoi gruppi paralleli ed il suo reclutamento tra nostalgici ed apparati, si svolse entro un campo di tolleranza internazionale che gli accertamenti hanno documentato nella sua esistenza senza mai poterne misurare i confini operativi, Livello B quanto alla qualificazione del campo. La fuga spagnola del gennaio 1971, all'emissione dei provvedimenti romani, e la morte a Cadice il 26 agosto 1974, in un esilio franchista che fu anche l'ultimo approdo coerente della biografia, chiudono il nodo su una geografia che la Fase 5 riprenderà: la penisola iberica quale retrovia continentale dell'eversione, il santuario dove i capitoli italiani andavano a morire ed a rigenerarsi.</w:t>
      </w:r>
    </w:p>
    <w:p>
      <w:pPr>
        <w:spacing w:after="120" w:line="276"/>
        <w:jc w:val="both"/>
      </w:pPr>
      <w:r>
        <w:rPr>
          <w:rFonts w:ascii="Barlow Semi Condensed" w:cs="Barlow Semi Condensed" w:eastAsia="Barlow Semi Condensed" w:hAnsi="Barlow Semi Condensed"/>
          <w:sz w:val="24"/>
          <w:szCs w:val="24"/>
        </w:rPr>
        <w:t xml:space="preserve">La contabilità processuale del tentativo va infine consegnata nei suoi ordini di grandezza, perché i numeri descrivono la parabola meglio di ogni aggettivo: decine di imputati rinviati a giudizio all'esito dell'istruttoria romana, un primo grado, nel luglio 1978, che pronunciò condanne per cospirazione a carico di un gruppo di organizzatori ed esecutori, escludendo già allora la fattispecie insurrezionale, ed un appello, nel novembre 1984, che travolse anche quelle condanne assolvendo tutti gli imputati con la formula che il capitolo ha riportato, resa irrevocabile dalla Cassazione, Livello A sull'intera scansione. Tra il primo ed il secondo grado corre un sessennio nel quale il quadro probatorio non si accrebbe ma si assottigliò, per la morte di protagonisti e testimoni e per la progressiva emersione delle manipolazioni documentali del 1974 che, minando l'attendibilità del materiale d'apparato, finirono paradossalmente per giovare agli imputati che quel materiale accusava: sicché il depistaggio censito nel secondo paragrafo produsse il suo effetto pieno non impedendo il processo ma svuotandolo, e la fase consegna alle successive questa meccanica raffinata, l'inquinamento della fonte quale forma differita di assoluzione, che il registro ritroverà, identica, nei grandi processi per le stragi.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Borghese è certificato al Livello A quale artefice del tentativo eversivo materialmente avviato e interrotto nella notte tra il 7 e l'8 dicembre 1970, con esito giudiziario largamente assolutorio riportato per esteso; la richiesta di concorso rivolta a Cosa Nostra per il tramite di ambienti massonici e la connessione con ambienti finanziari sono certificate al Livello B sulla scorta della testimonianza riscontrata di Buscetta; il tentativo del dicembre 1970 è registrato quale primo affioramento della convergenza multidominio tra eversione, massoneria, mafia e finanza che la strategia della tensione realizzerà, e la sua natura e portata reali restano oggetto di ipotesi concorrenti non dirimibili allo stato degli accertamenti.</w:t>
      </w:r>
    </w:p>
    <w:p>
      <w:pPr>
        <w:pStyle w:val="Heading3"/>
        <w:spacing w:after="80" w:before="160"/>
      </w:pPr>
      <w:r>
        <w:rPr>
          <w:rFonts w:ascii="Barlow Semi Condensed" w:cs="Barlow Semi Condensed" w:eastAsia="Barlow Semi Condensed" w:hAnsi="Barlow Semi Condensed"/>
          <w:sz w:val="24"/>
          <w:szCs w:val="24"/>
        </w:rPr>
        <w:t xml:space="preserve">Capitolo 7 — ▶ Edgardo Sogno. Il golpe bianco e la rete anticomunista</w:t>
      </w:r>
    </w:p>
    <w:p>
      <w:pPr>
        <w:spacing w:after="120" w:line="276"/>
        <w:jc w:val="both"/>
      </w:pPr>
      <w:r>
        <w:rPr>
          <w:rFonts w:ascii="Barlow Semi Condensed" w:cs="Barlow Semi Condensed" w:eastAsia="Barlow Semi Condensed" w:hAnsi="Barlow Semi Condensed"/>
          <w:sz w:val="24"/>
          <w:szCs w:val="24"/>
        </w:rPr>
        <w:t xml:space="preserve">Edgardo Sogno Rata del Vallino, nato a Torino il 21 dicembre 1915 e morto a Torino il 5 agosto 2000, partigiano azionista e poi diplomatico, organizzatore di reti anticomuniste, è il nodo attraverso il quale il registro estende la mappa dell'eversione dal versante nostalgico e neofascista, incarnato da Borghese, al versante che si richiamava alla tradizione liberale e resistenziale ma perseguiva anch'esso la torsione autoritaria dell'ordine repubblicano in funzione anticomunista. La scansione del corpus lo registra 274 volte in 21 documenti. Il nodo è di particolare valore per il registro perché dimostra che la deviazione autoritaria non fu appannaggio esclusivo dell'area nera, ma attraversò trasversalmente lo schieramento anticomunista, saldando il Dominio 2 al Dominio 3 e al Dominio 7 attraverso una figura di impeccabile biografia antifascista.</w:t>
      </w:r>
    </w:p>
    <w:p>
      <w:pPr>
        <w:spacing w:after="120" w:line="276"/>
        <w:jc w:val="both"/>
      </w:pPr>
      <w:r>
        <w:rPr>
          <w:rFonts w:ascii="Barlow Semi Condensed" w:cs="Barlow Semi Condensed" w:eastAsia="Barlow Semi Condensed" w:hAnsi="Barlow Semi Condensed"/>
          <w:sz w:val="24"/>
          <w:szCs w:val="24"/>
        </w:rPr>
        <w:t xml:space="preserve">La biografia colloca Sogno agli antipodi apparenti di Borghese: medaglia d'oro della Resistenza, esponente del Partito d'Azione, diplomatico di carriera, Sogno fu, sin dai primi anni Cinquanta, l'organizzatore di strutture anticomuniste operanti nel quadro della guerra fredda. Il registro certifica al Livello A, sul fondamento delle ricostruzioni documentali e delle stesse memorie del protagonista, il ruolo di Sogno quale fondatore e animatore, nella prima metà degli anni Cinquanta, dell'organizzazione Pace e Libertà, struttura di propaganda e di azione anticomunista attiva sul terreno sindacale e politico, che operò in collegamento con ambienti atlantici e con settori degli apparati. Il nodo salda così, sin dalle origini, la militanza anticomunista alla dimensione internazionale del confronto bipolare, e prefigura il circuito che il capitolo 8 tratterà.</w:t>
      </w:r>
    </w:p>
    <w:p>
      <w:pPr>
        <w:spacing w:after="120" w:line="276"/>
        <w:jc w:val="both"/>
      </w:pPr>
      <w:r>
        <w:rPr>
          <w:rFonts w:ascii="Barlow Semi Condensed" w:cs="Barlow Semi Condensed" w:eastAsia="Barlow Semi Condensed" w:hAnsi="Barlow Semi Condensed"/>
          <w:sz w:val="24"/>
          <w:szCs w:val="24"/>
        </w:rPr>
        <w:t xml:space="preserve">Il primo pilastro probatorio è il progetto eversivo del 1974, il cosiddetto golpe bianco. Nel 1974, nel clima di tensione seguito alla crisi economica e all'avanzata elettorale della sinistra, Edgardo Sogno elaborò e promosse un progetto di sovvertimento in senso autoritario e presidenzialista dell'ordine costituzionale, un mutamento istituzionale da conseguire, secondo il disegno, anche attraverso un'azione di forza qualora la via legale si fosse rivelata impraticabile. Il progetto, denominato nella pubblicistica golpe bianco per distinguerlo dai tentativi di marca nera, diede luogo a indagini giudiziarie e all'incriminazione del suo promotore. Il registro procede qui con la disciplina consueta. Certifica al Livello A l'esistenza del progetto di riforma autoritaria promosso da Sogno nel 1974 e la sua incriminazione, quali fatti documentati dagli atti; e, quanto alla natura e all'attualità del disegno eversivo, registra un elemento probatorio di eccezionale valore, giacché il protagonista medesimo, nelle proprie memorie pubblicate in forma di intervista-testamento nell'anno della sua morte, ammise di aver progettato un colpo di Stato e di essersi tenuto pronto ad attuarlo, rivendicandone la legittimità in chiave anticomunista. Il registro certifica al Livello A l'ammissione autobiografica del protagonista quanto alla progettazione del colpo di Stato, trattandola quale dichiarazione contra se resa in tempo non sospetto e come tale dotata di particolare valore probatorio; e mantiene al Livello C, quanto ai profili di coinvolgimento di terzi non accertati giudizialmente, ogni estensione dell'ammissione oltre la sfera del dichiarante.</w:t>
      </w:r>
    </w:p>
    <w:p>
      <w:pPr>
        <w:spacing w:after="120" w:line="276"/>
        <w:jc w:val="both"/>
      </w:pPr>
      <w:r>
        <w:rPr>
          <w:rFonts w:ascii="Barlow Semi Condensed" w:cs="Barlow Semi Condensed" w:eastAsia="Barlow Semi Condensed" w:hAnsi="Barlow Semi Condensed"/>
          <w:sz w:val="24"/>
          <w:szCs w:val="24"/>
        </w:rPr>
        <w:t xml:space="preserve">Il secondo pilastro è il collegamento con la dimensione atlantica e con gli apparati, che colloca il nodo al centro della verifica di H1. Le ricostruzioni documentali e le stesse dichiarazioni di Sogno collocarono il suo attivismo anticomunista, da Pace e Libertà al progetto del 1974, in un quadro di rapporti con ambienti atlantici e con il servizio informativo statunitense, dai quali Sogno dichiarò di aver ricevuto interlocuzione. Il registro certifica al Livello B, sul fondamento delle ricostruzioni convergenti e delle ammissioni del protagonista, l'esistenza di tali rapporti; e ne trae l'annotazione che vale per la verifica di H1. La disponibilità di Sogno a interloquire con ambienti atlantici sul proprio progetto autoritario documenta la cornice internazionale del suo attivismo, ma le fonti collocano tale interlocuzione nel quadro del contrasto anticomunista interno alla logica bipolare, non in quello di un disegno di contrasto all'integrazione europea; e il progetto di Sogno era esso stesso, nella sua ispirazione, un progetto di rafforzamento autoritario dello Stato nazionale in funzione anticomunista, non un progetto rivolto contro il processo di integrazione. Il registro registra dunque il nodo Sogno quale ulteriore elemento che, lungi dal supportare H1, ne mostra l'inadeguatezza esplicativa: la deviazione autoritaria degli anni Settanta si spiega con la dinamica anticomunista interna al confronto bipolare, e la sua dimensione internazionale è quella dell'alleanza atlantica, non quella di una regia contro l'Europa.</w:t>
      </w:r>
    </w:p>
    <w:p>
      <w:pPr>
        <w:spacing w:after="120" w:line="276"/>
        <w:jc w:val="both"/>
      </w:pPr>
      <w:r>
        <w:rPr>
          <w:rFonts w:ascii="Barlow Semi Condensed" w:cs="Barlow Semi Condensed" w:eastAsia="Barlow Semi Condensed" w:hAnsi="Barlow Semi Condensed"/>
          <w:sz w:val="24"/>
          <w:szCs w:val="24"/>
        </w:rPr>
        <w:t xml:space="preserve">Il terzo pilastro esige il riporto dell'esito giudiziario. Il procedimento a carico di Sogno per il progetto del 1974 non pervenne a condanna: la posizione dell'imputato si chiuse senza affermazione di responsabilità penale per i fatti eversivi contestatigli. Il registro certifica al Livello A tanto l'esistenza del progetto e dell'incriminazione quanto l'esito non condannatorio del procedimento, e ne trae la distinzione consueta: il fatto storico del progetto, ammesso dal protagonista, è certificato, mentre la responsabilità penale per un tentativo eversivo attuale e punibile non fu affermata dal giudice; la sopravvivenza dell'ammissione autobiografica quale reperto di Livello A non è intaccata dall'esito processuale, giacché l'ammissione attiene alla progettazione, che il dichiarante rivendicò, e non alla qualificazione penale, che il giudice non affermò.</w:t>
      </w:r>
    </w:p>
    <w:p>
      <w:pPr>
        <w:spacing w:after="120" w:line="276"/>
        <w:jc w:val="both"/>
      </w:pPr>
      <w:r>
        <w:rPr>
          <w:rFonts w:ascii="Barlow Semi Condensed" w:cs="Barlow Semi Condensed" w:eastAsia="Barlow Semi Condensed" w:hAnsi="Barlow Semi Condensed"/>
          <w:sz w:val="24"/>
          <w:szCs w:val="24"/>
        </w:rPr>
        <w:t xml:space="preserve">Il quarto pilastro è la natura dell'organizzazione Pace e Libertà quale strumento di guerra psicologica anticomunista, che il registro assume a documentazione della continuità tra la propaganda e l'azione nel percorso del nodo. Pace e Libertà, attiva nella prima metà degli anni Cinquanta, operò quale struttura di propaganda anticomunista sul terreno sindacale e politico, impegnata nella diffusione di materiale contrario al Partito comunista e alla Confederazione generale del lavoro, e nell'organizzazione di iniziative volte a contrastare l'influenza della sinistra nel mondo del lavoro; a essa fu associata la figura di Luigi Cavallo, collaboratore di Sogno in quella stagione e successivamente attivo, per proprio conto, in vicende di guerra psicologica e di attacco pubblicistico. Il registro certifica al Livello A la natura di Pace e Libertà quale struttura di propaganda e di guerra psicologica anticomunista e il ruolo di Sogno quale suo animatore, e ne trae 2 annotazioni. La prima concerne la proiezione verso il Dominio 8: la vicenda di Pace e Libertà documenta, sin dagli anni Cinquanta, l'accoppiamento tra l'attivismo anticomunista e il controllo del flusso informativo, giacché lo strumento privilegiato dell'organizzazione fu la produzione e la diffusione di materiale propagandistico, secondo una logica di guerra psicologica che anticipa i temi del Dominio 8 che le fasi successive svilupperanno. La seconda concerne, ancora una volta, la verifica di H1: la finalità di Pace e Libertà fu il contrasto interno all'influenza comunista, ossia una finalità collocata sul versante occidentale e anticomunista del confronto bipolare, coerente con la logica atlantica e incompatibile con l'ipotesi di una convergenza tra i blocchi; sicché anche il pilastro delle origini del nodo Sogno milita, come il resto della fase, contro l'adeguatezza esplicativa di H1 e a favore dell'ipotesi bipolare concorrente.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Sogno-Pace e Libertà-ambienti atlantici, è il triangolo delle origini anticomuniste e della cornice internazionale, certificato al Livello A quanto all'organizzazione e al Livello B quanto ai rapporti atlantici. La seconda, Sogno-progetto 1974-ammissione autobiografica, è il triangolo del golpe bianco, certificato al Livello A quanto al progetto e all'ammissione e recante il reperto dell'esito non condannatorio. La terza, Sogno-area anticomunista trasversale, è il triangolo che salda il versante liberale e resistenziale al versante nero nella comune torsione autoritaria, certificato al Livello A quanto al dato strutturale della trasversalità del fronte anticomunista. Sul piano dei pattern, il nodo attiva il Pattern 11, l'analisi dell'isomorfismo strutturale, nella sua accezione più feconda: il progetto di Sogno e i tentativi di marca nera, pur muovendo da tradizioni politiche opposte, presentano la medesima struttura funzionale, la torsione autoritaria in funzione anticomunista, e tale isomorfismo si spiega con la necessità funzionale comune imposta dal contesto bipolare, non con un'origine unica, secondo la distinzione che il Pattern 11 impone.</w:t>
      </w:r>
    </w:p>
    <w:p>
      <w:pPr>
        <w:spacing w:after="120" w:line="276"/>
        <w:jc w:val="both"/>
      </w:pPr>
      <w:r>
        <w:rPr>
          <w:rFonts w:ascii="Barlow Semi Condensed" w:cs="Barlow Semi Condensed" w:eastAsia="Barlow Semi Condensed" w:hAnsi="Barlow Semi Condensed"/>
          <w:sz w:val="24"/>
          <w:szCs w:val="24"/>
        </w:rPr>
        <w:t xml:space="preserve">La vicenda giudiziaria del nodo va scandita nei suoi passaggi, perché anche i proscioglimenti hanno una cronologia che istruisce. L'istruttoria torinese condotta dal giudice Luciano Violante culminò, nel maggio 1976, nell'arresto di Sogno, evento senza precedenti per un decorato della Resistenza e diplomatico di carriera, cui seguirono la scarcerazione, il trasferimento del procedimento alla sede romana per ragioni di competenza e la chiusura istruttoria senza rinvio a giudizio sul finire del decennio, Livello A quanto alla scansione. Il registro annota, per la seconda volta nella fase, la migrazione del fascicolo verso il foro capitolino con esito favorevole all'imputato, e trasmette il dato alla statistica delle sedi senza aggiungervi ciò che solo un giudicato potrebbe: la correlazione si registra, la causa si sospende. Alla chiusura giudiziaria fece da controcanto, un quarto di secolo dopo, la chiusura autobiografica: nel libro-testamento pubblicato nell'anno della morte, Sogno rivendicò apertamente il progetto del 1974, descrivendone finalità presidenzialista e meccanica operativa con una franchezza che nessun interrogatorio gli aveva strappato, Livello A quanto all'ammissione pubblica, Livello B quanto alla corrispondenza tra il progetto narrato ed il progetto storico, giacché la confessione tardiva di un prosciolto è insieme la più preziosa e la più sospetta delle fonti, potendo l'anziano protagonista tanto rivelare quanto monumentalizzare sé stesso.</w:t>
      </w:r>
    </w:p>
    <w:p>
      <w:pPr>
        <w:spacing w:after="120" w:line="276"/>
        <w:jc w:val="both"/>
      </w:pPr>
      <w:r>
        <w:rPr>
          <w:rFonts w:ascii="Barlow Semi Condensed" w:cs="Barlow Semi Condensed" w:eastAsia="Barlow Semi Condensed" w:hAnsi="Barlow Semi Condensed"/>
          <w:sz w:val="24"/>
          <w:szCs w:val="24"/>
        </w:rPr>
        <w:t xml:space="preserve">Resta la morfologia, che distingue questo nodo da quello che lo precede. Il progetto del 1974 non prevedeva colonne di nostalgici né armerie violate: prevedeva, secondo gli atti e la stessa autobiografia, una forzatura istituzionale dall'alto, il capo dello Stato indotto a sciogliere le Camere ed a insediare un governo di emergenza a guida presidenzialista, con l'appoggio di ambienti militari, diplomatici ed economici selezionati. Nella tassonomia del registro è il golpe di rete contrapposto al golpe di piazza: dove Borghese mobilita corpi, Sogno mobilita relazioni, e la circostanza che il primo sia finito in una fuga notturna ed il secondo in un salotto istruttorio dice qualcosa di permanente sulla gerarchia delle risorse eversive in un sistema maturo. Il Pattern 11, l'isomorfismo strutturale, registra qui la sua variante più fine: 2 strutture topologicamente opposte, la piramide nostalgica e la rete liberale, convergenti sul medesimo obiettivo funzionale, e la convergenza degli opposti sull'oggetto, non la somiglianza delle forme, è il dato che la fase consegna alla verifica di H1.</w:t>
      </w:r>
    </w:p>
    <w:p>
      <w:pPr>
        <w:spacing w:after="120" w:line="276"/>
        <w:jc w:val="both"/>
      </w:pPr>
      <w:r>
        <w:rPr>
          <w:rFonts w:ascii="Barlow Semi Condensed" w:cs="Barlow Semi Condensed" w:eastAsia="Barlow Semi Condensed" w:hAnsi="Barlow Semi Condensed"/>
          <w:sz w:val="24"/>
          <w:szCs w:val="24"/>
        </w:rPr>
        <w:t xml:space="preserve">Il precedente organizzativo degli anni 50 va restituito nella sua fisionomia, perché in esso la biografia del nodo si salda alla preistoria della guerra psicologica interna. Pace e Libertà, l'organizzazione fondata e diretta da Sogno nel quinquennio 1953-1957 con sede operativa a Milano, condusse una campagna sistematica di propaganda anticomunista fatta di manifesti murali, opuscoli, schedature di attivisti e controinformazione sindacale, avvalendosi di finanziamenti provenienti da ambienti industriali e da canali atlantici che le ricostruzioni storiografiche e le stesse memorie del protagonista documentano con convergenza sostanziale, Livello A quanto all'attività ed alla sede, Livello B quanto alla mappa dei finanziamenti. Il registro vi riconosce il prototipo funzionale di ciò che il capitolo 8 mostrerà su scala continentale: la struttura privata che svolge, per conto di ambienti pubblici che non possono firmarla, la guerra delle idee, secondo una divisione del lavoro tra Stato e parastato che costituisce, assai più dei progetti golpisti, il lascito permanente di questa galassia. Nel medesimo campo operò, con progetto politico proprio, la Nuova Repubblica di Randolfo Pacciardi, l'ex ministro repubblicano teorico della svolta presidenzialista, che il registro cita quale termine di comparazione morfologica: 2 reduci dell'antifascismo combattente, l'azionista e il repubblicano, approdati per vie indipendenti al medesimo schema della forzatura istituzionale dall'alto, Livello A quanto ai progetti pubblicamente professati, convergenza che il Pattern 11 archivia quale ulteriore isomorfismo e che dispensa l'analista da ogni ricorso alla categoria, qui superflua, della regia unica: talvolta le strutture si somigliano perché il problema che intendono risolvere è lo stesso, e l'ossessione dell'ora X fu, in quella generazione, un problema condiviso assai più che un ordine ricevuto.</w:t>
      </w:r>
    </w:p>
    <w:p>
      <w:pPr>
        <w:spacing w:after="120" w:line="276"/>
        <w:jc w:val="both"/>
      </w:pPr>
      <w:r>
        <w:rPr>
          <w:rFonts w:ascii="Barlow Semi Condensed" w:cs="Barlow Semi Condensed" w:eastAsia="Barlow Semi Condensed" w:hAnsi="Barlow Semi Condensed"/>
          <w:sz w:val="24"/>
          <w:szCs w:val="24"/>
        </w:rPr>
        <w:t xml:space="preserve">Alla fisionomia operativa di Pace e Libertà appartiene infine la figura del suo principale operatore, Luigi Cavallo, il giornalista ed agitatore torinese che dell'organizzazione fu l'uomo di macchina, specialista di quella zona grigia tra propaganda, provocazione e dossieraggio che le ricostruzioni storiografiche documentano nelle campagne condotte contro il sindacato di fabbrica ed il Partito comunista negli stabilimenti del capoluogo piemontese, Livello B quanto al ruolo ed alle campagne, fondato su fonti storiografiche e documentali convergenti. La coppia Sogno-Cavallo, il gentiluomo e l'operatore, riproduce in scala nazionale la divisione del lavoro che il registro ha già censito nella coppia Gelli-Ortolani ed anticipa quella che ritroverà altrove: ogni struttura di condizionamento matura si articola in una faccia presentabile, che frequenta i salotti ed incassa la rispettabilità, ed in una faccia esecutiva, che maneggia i materiali e ne assorbe il discredito, e la longevità della prima si misura sulla sacrificabilità della seconda. È l'ennesima occorrenza di un isomorfismo che il Pattern 11 registra ormai quale costante antropologica del campo, e che dispensa il registro dal cercare, dietro la ricorrenza della forma, un architetto che la ricorrenza stessa rende superfluo.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Sogno è certificato al Livello A quale promotore, nel 1974, di un progetto di sovvertimento autoritario dell'ordine repubblicano, il cosiddetto golpe bianco, sulla scorta non solo degli atti ma dell'ammissione autobiografica resa dal protagonista in tempo non sospetto; il nodo dimostra che la deviazione autoritaria attraversò trasversalmente il fronte anticomunista, dal versante nero a quello liberale e resistenziale, e la sua cornice atlantica, tenuta distinta da ogni ipotesi di regia contro l'integrazione europea, milita ancora una volta contro l'adeguatezza esplicativa dell'ipotesi H1; l'esito giudiziario non condannatorio è certificato al Livello A e riportato per esteso.</w:t>
      </w:r>
    </w:p>
    <w:p>
      <w:pPr>
        <w:pStyle w:val="Heading3"/>
        <w:spacing w:after="80" w:before="160"/>
      </w:pPr>
      <w:r>
        <w:rPr>
          <w:rFonts w:ascii="Barlow Semi Condensed" w:cs="Barlow Semi Condensed" w:eastAsia="Barlow Semi Condensed" w:hAnsi="Barlow Semi Condensed"/>
          <w:sz w:val="24"/>
          <w:szCs w:val="24"/>
        </w:rPr>
        <w:t xml:space="preserve">Capitolo 8 — ◆ Le Cercle e il circuito Pinay. Il coordinamento internazionale dell'anticomunismo</w:t>
      </w:r>
    </w:p>
    <w:p>
      <w:pPr>
        <w:spacing w:after="120" w:line="276"/>
        <w:jc w:val="both"/>
      </w:pPr>
      <w:r>
        <w:rPr>
          <w:rFonts w:ascii="Barlow Semi Condensed" w:cs="Barlow Semi Condensed" w:eastAsia="Barlow Semi Condensed" w:hAnsi="Barlow Semi Condensed"/>
          <w:sz w:val="24"/>
          <w:szCs w:val="24"/>
        </w:rPr>
        <w:t xml:space="preserve">Le Cercle, denominazione del circuito internazionale di coordinamento anticomunista noto anche come Cercle Pinay dal nome del suo fondatore, è il nodo attraverso il quale il registro apre, all'interno della Fase 2, la prima finestra sistematica sulla dimensione internazionale del Dominio 3, e mette alla prova, su materiale finalmente sovranazionale, la verifica dell'ipotesi H1. La scansione del corpus registra il termine Cercle 391 volte in 8 documenti: una frequenza concentrata, che riflette la presenza nel corpus di uno studio monografico dedicato ai suoi animatori. Il nodo salda il Dominio 3 nella sua dimensione internazionale al Dominio 2, attraverso il coordinamento riservato di uomini politici e di apparati di più Paesi occidentali, e costituisce il pendant sovranazionale dei circuiti nazionali che i capitoli precedenti hanno documentato.</w:t>
      </w:r>
    </w:p>
    <w:p>
      <w:pPr>
        <w:spacing w:after="120" w:line="276"/>
        <w:jc w:val="both"/>
      </w:pPr>
      <w:r>
        <w:rPr>
          <w:rFonts w:ascii="Barlow Semi Condensed" w:cs="Barlow Semi Condensed" w:eastAsia="Barlow Semi Condensed" w:hAnsi="Barlow Semi Condensed"/>
          <w:sz w:val="24"/>
          <w:szCs w:val="24"/>
        </w:rPr>
        <w:t xml:space="preserve">La natura del nodo impone una premessa definitoria. Le Cercle non fu un'organizzazione a struttura gerarchica e a confini definiti, quali la loggia P2 o la rete Gladio, ma un circuito informale di incontro e di coordinamento tra esponenti politici, funzionari di apparati e personalità del mondo economico di più Paesi occidentali, accomunati dall'orientamento anticomunista e conservatore e riuniti periodicamente in sedi riservate. Il registro certifica al Livello B, sul fondamento dello studio monografico presente nel corpus e delle ricostruzioni convergenti, l'esistenza e la natura del circuito quale sede riservata di coordinamento anticomunista internazionale, e ne registra i riferimenti fondativi: l'ispirazione risalente all'ambiente dell'uomo politico francese Antoine Pinay, il ruolo organizzativo attribuito a figure di collegamento tra la politica e gli apparati, e la partecipazione, nel corso dei decenni, di esponenti conservatori e di uomini dei servizi di diversi Paesi occidentali. La cautela del Livello B è imposta dalla natura stessa del nodo, che opera nell'informalità e le cui tracce documentali sono, per definizione, meno nette di quelle delle strutture formalizzate.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coordinamento e la sua collocazione atlantica. Il circuito operò quale sede di raccordo tra le componenti conservatrici e anticomuniste dello schieramento occidentale, in una funzione di elaborazione strategica e di scambio riservato che si affiancava ai canali ufficiali dell'alleanza. Il registro certifica al Livello B la funzione di coordinamento del circuito, e ne trae l'annotazione capitale per la verifica di H1. Il circuito Le Cercle è, tra tutti i nodi della fase, quello che maggiormente si avvicina alla figura di una struttura internazionale di coordinamento politico riservato; ed è precisamente per questo che la sua analisi è decisiva. La finalità documentata del circuito fu il coordinamento anticomunista nel quadro del confronto bipolare, ossia il contrasto all'espansione dell'influenza sovietica e alla forza dei partiti comunisti occidentali; questa finalità è coerente con la logica dell'alleanza atlantica e si colloca sul versante occidentale del confronto tra i blocchi. Essa non coincide, e anzi confligge, con la finalità che l'ipotesi H1 postulerebbe, ossia la convergenza segreta tra la potenza occidentale e quella sovietica per impedire l'integrazione europea: un circuito anticomunista di coordinamento occidentale è, per sua natura, l'opposto di una struttura di convergenza tra i 2 blocchi. Il registro registra dunque il nodo Le Cercle quale elemento che milita frontalmente contro l'ipotesi H1, giacché documenta l'esistenza di un coordinamento internazionale rivolto contro l'Unione Sovietica, non in accordo con essa; e la sua esistenza rafforza la lettura del confronto bipolare quale chiave esplicativa alternativa a H1, nella quale gli attori occidentali perseguono finalità occidentali e quelli sovietici finalità sovietiche, senza la convergenza segreta che H1 postulerebbe.</w:t>
      </w:r>
    </w:p>
    <w:p>
      <w:pPr>
        <w:spacing w:after="120" w:line="276"/>
        <w:jc w:val="both"/>
      </w:pPr>
      <w:r>
        <w:rPr>
          <w:rFonts w:ascii="Barlow Semi Condensed" w:cs="Barlow Semi Condensed" w:eastAsia="Barlow Semi Condensed" w:hAnsi="Barlow Semi Condensed"/>
          <w:sz w:val="24"/>
          <w:szCs w:val="24"/>
        </w:rPr>
        <w:t xml:space="preserve">Il secondo pilastro riguarda le figure di collegamento e la funzione di elaborazione strategica del circuito, che il registro assume a documentazione della sua natura di sede di coordinamento e non di mera occasione conviviale. Al circuito furono associate figure di raccordo tra la politica, gli apparati informativi e gli ambienti della guerra psicologica di più Paesi occidentali, tra le quali la pubblicistica e gli studi collocano personalità legate ai servizi francesi e britannici e specialisti dell'analisi anticomunista e della controsovversione, impegnati nell'elaborazione di strategie di contrasto all'influenza comunista e nella circolazione riservata di analisi e di orientamenti tra le componenti conservatrici occidentali. Il registro certifica al Livello B, sul fondamento dello studio monografico presente nel corpus, la presenza nel circuito di figure di collegamento tra la politica e gli apparati e la sua funzione di elaborazione strategica anticomunista, e mantiene al Livello C l'attribuzione a singole personalità di ruoli operativi specifici non consacrati da accertamento. L'annotazione che il registro ne trae riguarda la natura del potere che il circuito esprimeva: non un potere formale né esecutivo, ma un potere di elaborazione e di coordinamento, ossia la capacità di produrre orientamenti condivisi e di farli circolare tra i vertici conservatori di più Paesi, secondo una logica che la Nota metodologica riconduce alla funzione di intermediazione e di controllo del flusso informativo. Il circuito Le Cercle è, in questo senso, l'omologo internazionale della loggia coperta nazionale: una sede riservata nella quale il coordinamento avviene non attraverso la gerarchia, ma attraverso la relazione, e nella quale il potere si esercita attraverso la capacità di connettere ambienti altrimenti separati. Ma questa funzione, ripetesi, è documentata quale funzione anticomunista occidentale, e la sua stessa natura conferma l'inadeguatezza dell'ipotesi H1: un circuito di elaborazione strategica anticomunista è l'espressione più raffinata del versante occidentale del confronto bipolare, non l'indizio di una convergenza tra i blocchi.</w:t>
      </w:r>
    </w:p>
    <w:p>
      <w:pPr>
        <w:spacing w:after="120" w:line="276"/>
        <w:jc w:val="both"/>
      </w:pPr>
      <w:r>
        <w:rPr>
          <w:rFonts w:ascii="Barlow Semi Condensed" w:cs="Barlow Semi Condensed" w:eastAsia="Barlow Semi Condensed" w:hAnsi="Barlow Semi Condensed"/>
          <w:sz w:val="24"/>
          <w:szCs w:val="24"/>
        </w:rPr>
        <w:t xml:space="preserve">Il terzo pilastro è il collegamento con il terreno italiano, che salda il nodo internazionale ai nodi nazionali della fase. Il circuito internazionale del coordinamento anticomunista intrattenne relazioni con gli ambienti italiani affini, dagli apparati agli attori politici e mediatici dell'area, e la figura di collegamento tra la propaganda anticomunista internazionale e il terreno italiano trova riscontro nei rapporti documentati tra ambienti dell'informazione e apparati che la fase ha incontrato. Il registro certifica al Livello C, in assenza di accertamenti giudiziari specifici, le ipotesi di collegamento operativo tra il circuito internazionale e singoli eventi del terreno italiano, e mantiene al Livello B il solo fatto dell'esistenza di relazioni tra il circuito e gli ambienti anticomunisti italiani. La disciplina è imposta dalla natura informale del nodo e dalla scarsità di riscontri documentali diretti: il registro certifica la cornice del coordinamento internazionale, ma si vieta di trasformare la cornice in prova di direzione dei singoli eventi nazionali.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 Cercle-Pinay-figure di collegamento, è il triangolo fondativo del circuito, certificato al Livello B quanto all'esistenza, alla natura e alla presenza di figure di raccordo con gli apparati. La seconda, Le Cercle-alleanza atlantica-coordinamento anticomunista, è il triangolo della collocazione strategica, certificato al Livello B quanto alla funzione e recante l'annotazione decisiva per la falsificazione di H1. La terza, Le Cercle-ambienti italiani, è il triangolo del collegamento nazionale, certificato al Livello B quanto all'esistenza di relazioni e al Livello C quanto al collegamento operativo con singoli eventi. Sul piano dei pattern, il nodo attiva il Pattern 6, l'analisi delle ipotesi concorrenti, nella sua funzione più alta: l'esistenza di un circuito anticomunista internazionale di coordinamento occidentale è un'evidenza che discrimina tra le 2 macro-ipotesi in campo, giacché è coerente con l'ipotesi del confronto bipolare, nella quale è massimamente attesa, e incoerente con l'ipotesi H1 della convergenza tra i blocchi, nella quale sarebbe inspiegabile; e la procedura di Heuer prescrive che l'ipotesi da preferire sia quella meno contraddetta dalle evidenze, sicché il nodo Le Cercle pesa a favore dell'ipotesi bipolare e contro H1.</w:t>
      </w:r>
    </w:p>
    <w:p>
      <w:pPr>
        <w:spacing w:after="120" w:line="276"/>
        <w:jc w:val="both"/>
      </w:pPr>
      <w:r>
        <w:rPr>
          <w:rFonts w:ascii="Barlow Semi Condensed" w:cs="Barlow Semi Condensed" w:eastAsia="Barlow Semi Condensed" w:hAnsi="Barlow Semi Condensed"/>
          <w:sz w:val="24"/>
          <w:szCs w:val="24"/>
        </w:rPr>
        <w:t xml:space="preserve">La genealogia del circuito merita i suoi nomi fondativi, che le fonti storiografiche e memorialistiche consegnano con ragionevole convergenza. All'origine sta l'ambiente di Antoine Pinay, il presidente del Consiglio francese della ricostruzione conservatrice, e l'opera organizzativa dell'avvocato parigino Jean Violet, tessitore di relazioni tra le destre di governo continentali, in una cornice iniziale franco-tedesca orientata alla riconciliazione cattolico-conservatrice ed al contenimento comunista, Livello B quanto alla ricostruzione fondativa, fondata su fonti memorialistiche ed archivistiche convergenti ma non su atti pubblici. Nella stagione matura degli anni 70 l'animazione del circuito passò per la figura del pubblicista britannico Brian Crozier, direttore di un istituto londinese di studi sui conflitti e memorialista, nei cui scritti autobiografici il circuito è descritto dall'interno quale sede di raccordo tra responsabili politici, uomini degli apparati e finanziatori dell'anticomunismo militante, Livello A quanto all'esistenza delle memorie e delle carte, Livello B quanto al loro contenuto, trattandosi di fonte di parte non riscontrata integralmente. Alle riunioni del circuito la documentazione superstite attesta la partecipazione di esponenti italiani di primo piano, tra i quali Giulio Andreotti, presenza che il registro censisce quale puro dato di frequentazione, senza inferenza ulteriore, in ossequio alla disciplina che governa l'intera materia, Livello B.</w:t>
      </w:r>
    </w:p>
    <w:p>
      <w:pPr>
        <w:spacing w:after="120" w:line="276"/>
        <w:jc w:val="both"/>
      </w:pPr>
      <w:r>
        <w:rPr>
          <w:rFonts w:ascii="Barlow Semi Condensed" w:cs="Barlow Semi Condensed" w:eastAsia="Barlow Semi Condensed" w:hAnsi="Barlow Semi Condensed"/>
          <w:sz w:val="24"/>
          <w:szCs w:val="24"/>
        </w:rPr>
        <w:t xml:space="preserve">La funzione operativa documentabile del circuito appartiene al Dominio 8 più che al Dominio 3: le carte ed i memoriali ne attestano l'impegno nella produzione e nella circolazione di materiale informativo orientato, dossier, campagne di stampa, sostegni editoriali, diretti negli anni 70 in particolare contro l'ipotesi eurocomunista e contro gli esperimenti di apertura a sinistra nei Paesi latini, Livello B. Il registro chiude il capitolo con la digressione che la natura del nodo esige. Un circuito senza statuto, senza sede, senza elenco degli iscritti sembra, alla tassonomia delle organizzazioni, un non-oggetto; ma la teoria delle reti insegna che l'informalità non è assenza di struttura, è struttura a costo zero di occultamento: ciò che non esiste giuridicamente non può essere sciolto, perquisito né processato, e la lezione della P2, distrutta dal proprio archivio, fu qui applicata in forma preventiva, nessun archivio, nessuna distruzione. Le Cercle rappresenta perciò, nel registro, il grado zero organizzativo del coordinamento riservato, il salotto quale tecnologia: e la sua certificazione al Livello B non è una debolezza dell'analisi, è la firma stessa dell'oggetto, che fu progettato per abitare esattamente quel livello.</w:t>
      </w:r>
    </w:p>
    <w:p>
      <w:pPr>
        <w:spacing w:after="120" w:line="276"/>
        <w:jc w:val="both"/>
      </w:pPr>
      <w:r>
        <w:rPr>
          <w:rFonts w:ascii="Barlow Semi Condensed" w:cs="Barlow Semi Condensed" w:eastAsia="Barlow Semi Condensed" w:hAnsi="Barlow Semi Condensed"/>
          <w:sz w:val="24"/>
          <w:szCs w:val="24"/>
        </w:rPr>
        <w:t xml:space="preserve">Alla fisionomia del circuito le memorie superstiti aggiungono la sua liturgia, che il registro censisce quale dato organizzativo e non quale colore: riunioni riservate a cadenza periodica, alternate tra le capitali europee e quella americana, partecipazione per cooptazione personale e non per carica, assenza di verbalizzazione ufficiale e di personalità giuridica, spese sostenute per il tramite di strutture di comodo, Livello B sull'intero quadro, fondato sulle fonti memorialistiche interne. È la grammatica esatta dell'anti-organizzazione già teorizzata, e la sua efficacia si misura in negativo: di quasi mezzo secolo di attività non esiste un archivio unitario, ed il registro deve ricostruire il nodo per frammenti laterali, carte private, agende, memorie di partecipanti, con la conseguenza metodologica che il Livello B non è qui il soffitto provvisorio della ricerca ma, con ogni probabilità, il suo soffitto strutturale. Il capitolo consegna perciò alla verifica di H1 un reperto di natura peculiare: l'esistenza certificata di una sede permanente di coordinamento informale tra le destre atlantiche, senza che da tale esistenza possa inferirsi, per alcun singolo evento italiano, una funzione di comando, e la distanza tra il coordinamento provato e la regia indimostrata è, ancora una volta, lo spazio esatto in cui il metodo di questo registro si separa dalla letteratura che pretende di colmarlo per postulato.</w:t>
      </w:r>
    </w:p>
    <w:p>
      <w:pPr>
        <w:spacing w:after="120" w:line="276"/>
        <w:jc w:val="both"/>
      </w:pPr>
      <w:r>
        <w:rPr>
          <w:rFonts w:ascii="Barlow Semi Condensed" w:cs="Barlow Semi Condensed" w:eastAsia="Barlow Semi Condensed" w:hAnsi="Barlow Semi Condensed"/>
          <w:sz w:val="24"/>
          <w:szCs w:val="24"/>
        </w:rPr>
        <w:t xml:space="preserve">Resta da censire il tramonto, che per un circuito informale non è uno scioglimento ma una perdita di funzione. Con la fine del sistema bipolare venne meno la minaccia che costituiva la ragione sociale non scritta del consesso, e le sue tracce documentali si diradano sino a confondersi con l'ordinaria sociabilità delle destre atlantiche; le carte di Brian Crozier, confluite in un fondo archivistico presso un'istituzione universitaria americana, restano ad oggi il principale giacimento documentale disponibile sul circuito, Livello A quanto all'esistenza ed alla collocazione del fondo, Livello B quanto alla sua rappresentatività, trattandosi dell'archivio di un solo protagonista. Il registro chiude il capitolo con la constatazione metodologica che il nodo impone: dei 10 capitoli della fase, questo è l'unico il cui oggetto non è mai stato raggiunto da un'inchiesta giudiziaria o parlamentare italiana, sicché la sua certificazione riposa per intero su fonti volontarie, memorie ed archivi privati, ed il suo Livello B è la misura esatta di quella dipendenza. La lezione è duplice: le strutture informali sopravvivono agli accertamenti perché non offrono loro alcun appiglio ordinamentale, ma pagano l'invisibilità con l'irrilevanza probatoria, ed il circuito che nessuno poté processare è anche il circuito al quale nessun giudicato ha mai potuto attribuire un solo fatto specifico del teatro italiano: l'ombra perfetta non proietta reati, e non incassa assoluzioni.</w:t>
      </w:r>
    </w:p>
    <w:p>
      <w:pPr>
        <w:spacing w:after="120" w:line="276"/>
        <w:jc w:val="both"/>
      </w:pPr>
      <w:r>
        <w:rPr>
          <w:rFonts w:ascii="Barlow Semi Condensed" w:cs="Barlow Semi Condensed" w:eastAsia="Barlow Semi Condensed" w:hAnsi="Barlow Semi Condensed"/>
          <w:sz w:val="24"/>
          <w:szCs w:val="24"/>
        </w:rPr>
        <w:t xml:space="preserve">Alla costellazione delle strutture parallele il registro aggiunge infine quella la cui stessa esistenza è rimasta materia di accertamento: la rete informale nota quale Anello, o Noto servizio, l'organismo riservato di matrice civile-militare attivo secondo le ricostruzioni dal dopoguerra ai primi anni Novanta, documentato da un fondo di carte emerso a metà degli anni Novanta e valorizzato da perizie ed acquisizioni delle sedi d'inchiesta, che ne attestano l'esistenza quale circuito di informatori, finanziamenti e servizi riservati esterno all'ordinamento degli apparati ufficiali, Livello A quanto all'esistenza del fondo documentale e delle acquisizioni, Livello B quanto all'operatività della rete quale vi è descritta, Livello C quanto ad ogni suo specifico impiego nei singoli episodi del corpus, mai certificato in giudicato. Il registro censisce la struttura per il suo valore tassonomico: l'Anello rappresenta, nella gerarchia delle opacità che questa fase ordina, il gradino estremo, quello di un organismo che non fu mai istituito da alcun atto, mai sciolto da alcun decreto e mai processato da alcuna corte, conosciuto soltanto attraverso le proprie carte postume, e la sua collocazione nel registro accanto alle strutture certificate, dalla Gladio dell'atto bilaterale alla loggia degli elenchi sequestrati, completa la scala documentale dell'intera fase: dall'apparato con statuto, all'apparato con elenco, all'apparato con solo archivio, in una degradazione della tracciabilità che è essa stessa la mappa di quanto profondo corresse, sotto la Repubblica di superficie, il piano dei servizi non dichiarati.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Le Cercle è certificato al Livello B quale circuito internazionale informale di coordinamento anticomunista, di ispirazione risalente all'ambiente di Antoine Pinay, operante quale sede riservata di raccordo tra le componenti conservatrici e anticomuniste dello schieramento occidentale; la sua finalità documentata, il contrasto all'influenza sovietica nel quadro del confronto bipolare, milita frontalmente contro l'ipotesi H1 della convergenza segreta tra i blocchi, giacché un coordinamento anticomunista occidentale è l'opposto di una struttura di convergenza tra le 2 superpotenze; il collegamento del circuito con singoli eventi del terreno italiano resta al Livello C in assenza di accertamenti specifici.</w:t>
      </w:r>
    </w:p>
    <w:p>
      <w:pPr>
        <w:pStyle w:val="Heading3"/>
        <w:spacing w:after="80" w:before="160"/>
      </w:pPr>
      <w:r>
        <w:rPr>
          <w:rFonts w:ascii="Barlow Semi Condensed" w:cs="Barlow Semi Condensed" w:eastAsia="Barlow Semi Condensed" w:hAnsi="Barlow Semi Condensed"/>
          <w:sz w:val="24"/>
          <w:szCs w:val="24"/>
        </w:rPr>
        <w:t xml:space="preserve">Capitolo 9 — ▶ Francesco Pazienza. Il faccendiere del SISMI e la contaminazione dei servizi</w:t>
      </w:r>
    </w:p>
    <w:p>
      <w:pPr>
        <w:spacing w:after="120" w:line="276"/>
        <w:jc w:val="both"/>
      </w:pPr>
      <w:r>
        <w:rPr>
          <w:rFonts w:ascii="Barlow Semi Condensed" w:cs="Barlow Semi Condensed" w:eastAsia="Barlow Semi Condensed" w:hAnsi="Barlow Semi Condensed"/>
          <w:sz w:val="24"/>
          <w:szCs w:val="24"/>
        </w:rPr>
        <w:t xml:space="preserve">Francesco Pazienza, nato a San Valentino in Abruzzo Citeriore il 14 dicembre 1946, medico e faccendiere, collaboratore esterno del Servizio informazioni e sicurezza militare, è il nodo attraverso il quale il registro certifica la figura del faccendiere degli apparati, l'intermediario privo di collocazione formale che, dall'esterno della struttura, ne orienta le attività intrecciandole con affari privati, operazioni finanziarie e depistaggi. La scansione del corpus lo registra 84 volte in 15 documenti, frequenza modesta ma distribuita, che riflette la sua presenza trasversale in una pluralità di vicende. Il nodo era già comparso nella Fase 1 quale co-condannato per il depistaggio della strage di Bologna; il presente capitolo ne ricostruisce il profilo proprio quale nodo di contaminazione tra il Dominio 3, il Dominio 6, il Dominio 4 e il Dominio 1, e salda la fase alla precedente attraverso la sua collocazione presso il SISMI del generale Santovito, che il capitolo 10 tratterà.</w:t>
      </w:r>
    </w:p>
    <w:p>
      <w:pPr>
        <w:spacing w:after="120" w:line="276"/>
        <w:jc w:val="both"/>
      </w:pPr>
      <w:r>
        <w:rPr>
          <w:rFonts w:ascii="Barlow Semi Condensed" w:cs="Barlow Semi Condensed" w:eastAsia="Barlow Semi Condensed" w:hAnsi="Barlow Semi Condensed"/>
          <w:sz w:val="24"/>
          <w:szCs w:val="24"/>
        </w:rPr>
        <w:t xml:space="preserve">La biografia colloca Pazienza nell'orbita del SISMI a partire dalla fine degli anni Settanta, quale collaboratore esterno privo di inquadramento formale ma dotato di accesso al vertice del servizio e di una rete internazionale di relazioni. Il registro certifica al Livello A, sul fondamento degli atti giudiziari, la collaborazione di Pazienza con il SISMI nel periodo della direzione Santovito e il suo ruolo di intermediario tra il servizio, gli ambienti finanziari e i circuiti internazionali; e annota il dato strutturale che ne fa un nodo esemplare: Pazienza non apparteneva formalmente ad alcun dominio, ma operava all'intersezione di più domini quale intermediario, secondo la figura che la Nota metodologica descrive quale nodo ad alta betweenness e bassa titolarità formale, il broker che controlla il flusso tra parti della rete altrimenti disconnesse.</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della strage di Bologna, già certificata nella Fase 1 e qui richiamata quale fondamento della collocazione del nodo. Francesco Pazienza fu condannato in via definitiva, unitamente a Licio Gelli e agli ufficiali del SISMI Pietro Musumeci e Giuseppe Belmonte, per il calunnioso depistaggio delle indagini sulla strage del 2 agosto 1980, consistito nella costruzione di false piste volte a sviare l'accertamento della matrice. Il registro certifica al Livello A, sul fondamento del giudicato, la responsabilità di Pazienza nel depistaggio di Bologna, e ne trae la certificazione dell'arco di ostruzione che salda il faccendiere agli ufficiali del servizio e al Venerabile della loggia: il depistaggio di Bologna fu opera congiunta di un collaboratore esterno del servizio, di ufficiali interni ad esso e del capo di una loggia coperta, e tale composizione soggettiva è essa stessa il reperto, giacché documenta l'accoppiamento operativo tra il Dominio 3, il Dominio 4 e la figura del faccendiere nella condotta di ostruzione. Il registro ribadisce il limite inferenziale: la condanna per il depistaggio certifica la condotta di ostruzione, non il mandato della strage depistata.</w:t>
      </w:r>
    </w:p>
    <w:p>
      <w:pPr>
        <w:spacing w:after="120" w:line="276"/>
        <w:jc w:val="both"/>
      </w:pPr>
      <w:r>
        <w:rPr>
          <w:rFonts w:ascii="Barlow Semi Condensed" w:cs="Barlow Semi Condensed" w:eastAsia="Barlow Semi Condensed" w:hAnsi="Barlow Semi Condensed"/>
          <w:sz w:val="24"/>
          <w:szCs w:val="24"/>
        </w:rPr>
        <w:t xml:space="preserve">Il secondo pilastro è la vicenda finanziaria dell'ultimo Calvi, che salda il nodo al quadrilatero della Fase 1. Pazienza operò, nel periodo della sua collaborazione con il SISMI, quale intermediario in vicende finanziarie internazionali che lambirono il gruppo Ambrosiano e l'entourage di Roberto Calvi nella fase terminale della sua parabola. Il registro certifica al Livello B, sul fondamento delle ricostruzioni documentali convergenti emerse nei procedimenti, il coinvolgimento di Pazienza in operazioni finanziarie connesse all'ambiente di Calvi, e mantiene al Livello C ogni qualificazione che ecceda il fatto dell'intermediazione documentata. L'interesse strutturale del dato è nell'aver mostrato come la figura del faccendiere del servizio operasse simultaneamente sul terreno del depistaggio delle stragi e su quello degli affari finanziari internazionali, saldando in una sola persona l'arco di ostruzione con il Dominio 7 e l'arco affaristico con il Dominio 6, secondo il modello del nodo di contaminazione trasversale.</w:t>
      </w:r>
    </w:p>
    <w:p>
      <w:pPr>
        <w:spacing w:after="120" w:line="276"/>
        <w:jc w:val="both"/>
      </w:pPr>
      <w:r>
        <w:rPr>
          <w:rFonts w:ascii="Barlow Semi Condensed" w:cs="Barlow Semi Condensed" w:eastAsia="Barlow Semi Condensed" w:hAnsi="Barlow Semi Condensed"/>
          <w:sz w:val="24"/>
          <w:szCs w:val="24"/>
        </w:rPr>
        <w:t xml:space="preserve">Il terzo pilastro è il coinvolgimento nella vicenda del sequestro di Ciro Cirillo, che salda il nodo del faccendiere al Dominio 1 della criminalità organizzata e ne fa il punto di convergenza più esteso della fase. Il 27 aprile 1981 le Brigate Rosse sequestrarono a Napoli Ciro Cirillo, esponente della Democrazia Cristiana e assessore regionale ai lavori pubblici della Campania, in un'azione nella quale furono uccisi 2 uomini della scorta e ferito un terzo. Per la liberazione dell'ostaggio, ottenuta il 24 luglio 1981 dietro pagamento di un riscatto, si sviluppò, secondo le ricostruzioni degli inquirenti e delle commissioni, una trattativa che avrebbe coinvolto ambienti della camorra, e segnatamente la Nuova Camorra Organizzata di Raffaele Cutolo, allora detenuto, quale mediatore verso i sequestratori, con il concorso di settori degli apparati e della politica interessati alla liberazione dell'ostaggio. Il registro procede qui con la massima disciplina, giacché la vicenda è tra le più controverse e meno integralmente accertate dell'intera stagione. Certifica al Livello A i fatti oggettivi del sequestro, dell'uccisione degli uomini della scorta e della liberazione dietro riscatto, quali risultanze incontrovertibili; certifica al Livello B, sul fondamento delle ricostruzioni convergenti delle commissioni e di una pluralità di procedimenti, l'esistenza di una trattativa per la liberazione che coinvolse la mediazione camorristica di Cutolo; e mantiene rigorosamente al Livello C l'individuazione nominativa dei singoli mediatori degli apparati e la ricostruzione delle rispettive responsabilità, ove non consacrata da accertamento definitivo. L'interesse strutturale del caso Cirillo per il registro è massimo, giacché esso costituisce il punto in cui convergono, in un solo evento, il Dominio 7 dei sequestratori, il Dominio 1 della camorra mediatrice, il Dominio 3 degli apparati coinvolti nella trattativa, e il Dominio 2 della politica interessata alla liberazione: è la convergenza multidominio nella sua forma più estesa, e la collocazione del faccendiere Pazienza nell'orbita del servizio che di quella trattativa fu parte ne fa il nodo esemplare dell'intreccio. Il registro ribadisce, anche qui, il limite: la certificazione dell'esistenza della trattativa non equivale alla certificazione nominativa dei ruoli, e la disciplina delle persone impone di attestarsi sui fatti oggettivi e sull'esistenza della mediazione, senza estendere a Livello A ciò che gli accertamenti hanno lasciato al grado dell'ipotesi o dell'indizio.</w:t>
      </w:r>
    </w:p>
    <w:p>
      <w:pPr>
        <w:spacing w:after="120" w:line="276"/>
        <w:jc w:val="both"/>
      </w:pPr>
      <w:r>
        <w:rPr>
          <w:rFonts w:ascii="Barlow Semi Condensed" w:cs="Barlow Semi Condensed" w:eastAsia="Barlow Semi Condensed" w:hAnsi="Barlow Semi Condensed"/>
          <w:sz w:val="24"/>
          <w:szCs w:val="24"/>
        </w:rPr>
        <w:t xml:space="preserve">Il quarto pilastro è la vicenda giudiziaria complessiva e la latitanza internazionale. Divenuta insostenibile la sua posizione, Pazienza riparò all'estero e fu successivamente raggiunto da provvedimento di estradizione dagli Stati Uniti, che lo riconsegnò alla giustizia italiana nella seconda metà degli anni Ottanta. Il registro certifica al Livello A il fatto della latitanza e della successiva estradizione, e ne trae l'annotazione, ricorrente nella fase, sulla migrazione tra giurisdizioni quale tecnica di sottrazione all'accertamento, già osservata nel caso Maletti; con la differenza che, nel caso Pazienza, la giurisdizione di rifugio operò infine la riconsegna, sicché il nodo documenta anche il funzionamento, sia pure tardivo, dei meccanismi di cooperazione giudiziaria internazionale.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Pazienza-SISMI-Santovito, è il triangolo della collocazione presso il vertice del servizio, certificato al Livello A quanto alla collaborazione e saldante il nodo al capitolo 10. La seconda, Pazienza-Gelli-Musumeci-Belmonte, è il triangolo del depistaggio di Bologna, certificato al Livello A dal giudicato. La terza, Pazienza-ambiente Calvi-operazioni finanziarie, è il triangolo dell'intermediazione affaristica, certificato al Livello B. Sul piano dei pattern, il nodo è il caso paradigmatico del Pattern 1 nella sua accezione relativa alla betweenness, giacché Pazienza è il broker per eccellenza, il nodo che connette parti disconnesse della rete controllando il flusso tra esse, e la cui rilevanza deriva interamente dalla posizione di intermediazione e non da alcuna titolarità formale; e attiva il Pattern 7 nella sua variante geografica, la migrazione tra giurisdizioni.</w:t>
      </w:r>
    </w:p>
    <w:p>
      <w:pPr>
        <w:spacing w:after="120" w:line="276"/>
        <w:jc w:val="both"/>
      </w:pPr>
      <w:r>
        <w:rPr>
          <w:rFonts w:ascii="Barlow Semi Condensed" w:cs="Barlow Semi Condensed" w:eastAsia="Barlow Semi Condensed" w:hAnsi="Barlow Semi Condensed"/>
          <w:sz w:val="24"/>
          <w:szCs w:val="24"/>
        </w:rPr>
        <w:t xml:space="preserve">Alla contabilità del faccendiere appartiene un'operazione transatlantica che il registro censisce per il suo valore morfologico: la vicenda nota come Billygate. Nell'estate del 1980, nel pieno della campagna presidenziale americana, la stampa statunitense ricevette e pubblicò materiale informativo sui rapporti d'affari tra Billy Carter, fratello del presidente in carica, e la Libia di Gheddafi, con effetti politicamente corrosivi sull'amministrazione democratica; le ricostruzioni parlamentari e giudiziarie italiane collocarono nella filiera di quell'operazione l'attivismo di Pazienza e di ambienti del SISMI di Santovito, quale canale di raccolta e di trasferimento oltreoceano del materiale, Livello B quanto alla filiera, fondata su convergenze dichiarative e documentali non consacrate da giudicato, Livello C quanto ad ogni valutazione degli effetti elettorali. Il reperto vale al registro una certificazione di raggio: il medesimo nodo che depistava a Bologna e negoziava per Calvi operava, nello stesso torno di mesi, sul mercato informativo della politica interna americana, e questa simultaneità di teatri, documentata negli atti, misura l'estensione transatlantica raggiunta dal sistema faccendiere-servizio nella stagione della cattura piduista.</w:t>
      </w:r>
    </w:p>
    <w:p>
      <w:pPr>
        <w:spacing w:after="120" w:line="276"/>
        <w:jc w:val="both"/>
      </w:pPr>
      <w:r>
        <w:rPr>
          <w:rFonts w:ascii="Barlow Semi Condensed" w:cs="Barlow Semi Condensed" w:eastAsia="Barlow Semi Condensed" w:hAnsi="Barlow Semi Condensed"/>
          <w:sz w:val="24"/>
          <w:szCs w:val="24"/>
        </w:rPr>
        <w:t xml:space="preserve">La parabola giudiziaria personale si chiuse con la meccanica internazionale che le era propria: l'arresto a New York nel marzo 1985, la detenzione americana, l'estradizione in Italia nel 1986 e quindi il doppio binario degli esiti, la condanna irrevocabile del 1995 per il depistaggio bolognese, già certificata, accanto ad assoluzioni e proscioglimenti in altri filoni, che il registro richiama cumulativamente in ossequio alla propria disciplina della pari evidenza, Livello A quanto alla scansione estradizionale ed agli esiti. Resta al capitolo la considerazione strutturale che il nodo impone: Pazienza è, nell'intera fase, l'unico attore privo di qualsiasi titolarità formale, non ufficiale, non funzionario, non iscritto, eppure la sua betweenness misurata sugli archi certificati supera quella dei direttori che lo impiegarono. La deviazione matura, insegna il caso, non passa per la gerarchia ma per la sua interfaccia esterna: il collaboratore senza stato giuridico è il connettore ideale precisamente perché la sua posizione non lascia impronte ordinamentali, e quando il sistema deve negare, ha già pronta la formula, un millantatore che agiva da sé. Il registro, che delle formule diffida, si limita a consegnare il numero: 3 domini attraversati, 2 continenti, 1 condanna irrevocabile.</w:t>
      </w:r>
    </w:p>
    <w:p>
      <w:pPr>
        <w:spacing w:after="120" w:line="276"/>
        <w:jc w:val="both"/>
      </w:pPr>
      <w:r>
        <w:rPr>
          <w:rFonts w:ascii="Barlow Semi Condensed" w:cs="Barlow Semi Condensed" w:eastAsia="Barlow Semi Condensed" w:hAnsi="Barlow Semi Condensed"/>
          <w:sz w:val="24"/>
          <w:szCs w:val="24"/>
        </w:rPr>
        <w:t xml:space="preserve">La vicenda campana del 1981 va scandita nelle sue date, perché la sua eccezionalità sta tutta nella cronologia. Ciro Cirillo, assessore regionale democristiano, fu sequestrato dalle Brigate rosse il 27 aprile 1981, in piena emergenza post-terremoto, e liberato il 24 luglio successivo dietro pagamento di un riscatto: tra le 2 date gli accertamenti parlamentari e giudiziari documentarono una trattativa condotta con il concorso attivo della camorra di Raffaele Cutolo e con la presenza di uomini riconducibili ai servizi presso il carcere di Ascoli Piceno dove il boss era detenuto, secondo una meccanica che la Commissione d'inchiesta ricostruì negli anni successivi con esiti di accertamento severi sul piano storico-politico, mentre il versante penale si consumò tra prescrizioni ed esiti parziali, Livello A quanto alla sequenza, al pagamento ed alle presenze documentate, nei limiti delle rispettive fonti, Livello C quanto alle finalità ulteriori attribuite ai singoli attori. Il registro isola il contrasto che fa del caso un reperto capitale: 3 anni dopo il rifiuto opposto ad ogni trattativa per la vita del presidente della Democrazia cristiana, apparati ed ambienti dello stesso sistema trattarono, pagarono ed ottennero per la vita di un assessore regionale, e la forbice tra le 2 condotte, qualunque ne sia la spiegazione, è certificata dalla semplice giustapposizione delle cronologie. La Fase 4 erediterà questo metro di paragone quale strumento di misura della condotta dello Stato nei 55 giorni: non per inferirne tesi, ma per disporre di un termine di confronto documentato, che è la sola forma di comparazione che il metodo ammette.</w:t>
      </w:r>
    </w:p>
    <w:p>
      <w:pPr>
        <w:spacing w:after="120" w:line="276"/>
        <w:jc w:val="both"/>
      </w:pPr>
      <w:r>
        <w:rPr>
          <w:rFonts w:ascii="Barlow Semi Condensed" w:cs="Barlow Semi Condensed" w:eastAsia="Barlow Semi Condensed" w:hAnsi="Barlow Semi Condensed"/>
          <w:sz w:val="24"/>
          <w:szCs w:val="24"/>
        </w:rPr>
        <w:t xml:space="preserve">Alla voce delle fonti va aggiunta, per completezza d'inventario, la produzione memorialistica del protagonista, che negli anni successivi alla vicenda giudiziaria consegnò alle stampe ricostruzioni autobiografiche delle proprie stagioni operative: materiale che il registro classifica, secondo la sua costante disciplina, quale fonte di parte non riscontrata, utile alla mappa delle relazioni rivendicate e inutilizzabile per la certificazione dei fatti, Livello C, con l'annotazione metodologica che il faccendiere memorialista costituisce, per l'analista, un oggetto epistemologicamente insidioso quanto il pentito mediatico censito nella Fase 1: entrambi convertono il proprio passato in capitale narrativo, ed il valore di scambio del racconto cresce con la sua irrefutabilità, sicché la regola aurea resta quella che il registro applica dal primo capitolo, nessuna promozione di livello senza riscontro esterno, quale che sia la vividezza del narratore.</w:t>
      </w:r>
    </w:p>
    <w:p>
      <w:pPr>
        <w:spacing w:after="120" w:line="276"/>
        <w:jc w:val="both"/>
      </w:pPr>
      <w:r>
        <w:rPr>
          <w:rFonts w:ascii="Barlow Semi Condensed" w:cs="Barlow Semi Condensed" w:eastAsia="Barlow Semi Condensed" w:hAnsi="Barlow Semi Condensed"/>
          <w:sz w:val="24"/>
          <w:szCs w:val="24"/>
        </w:rPr>
        <w:t xml:space="preserve">Alla genesi del rapporto tra il faccendiere ed il servizio appartiene un dettaglio documentale che vale una definizione: l'accreditamento. Gli atti censiscono che la collaborazione di Pazienza fu assistita da credenziali e presentazioni provenienti dal vertice del servizio, che ne spianarono l'accesso alle stazioni estere ed agli interlocutori istituzionali ed alleati, senza che a tale accreditamento corrispondesse alcun inquadramento formale, alcun fascicolo personale ordinario, alcuna traccia contabile riconducibile ai circuiti ufficiali, Livello A quanto alla collaborazione accreditata ed alla sua informalità, secondo gli accertamenti parlamentari e giudiziari. Il registro isola nel meccanismo la sua definizione operativa della contaminazione: non l'ingresso abusivo di un estraneo, ma l'estensione deliberata delle prerogative dell'apparato ad un soggetto sottratto ad ogni suo vincolo, il potere senza lo stato giuridico, l'accesso senza la responsabilità. La riforma del 1977 aveva tipizzato gli organi ed era muta sui collaboratori: ed in quel silenzio normativo, che nessuna legge della Repubblica avrebbe colmato per decenni, il sistema faccendiere trovò il proprio habitat, dimostrando che ogni architettura istituzionale possiede, accanto alle porte che chiude, i corridoi che dimentica.</w:t>
      </w:r>
    </w:p>
    <w:p>
      <w:pPr>
        <w:spacing w:after="120" w:line="276"/>
        <w:jc w:val="both"/>
      </w:pPr>
      <w:r>
        <w:rPr>
          <w:rFonts w:ascii="Barlow Semi Condensed" w:cs="Barlow Semi Condensed" w:eastAsia="Barlow Semi Condensed" w:hAnsi="Barlow Semi Condensed"/>
          <w:sz w:val="24"/>
          <w:szCs w:val="24"/>
        </w:rPr>
        <w:t xml:space="preserve">Il censimento degli apparati raggiunti dalla loggia si completa con il corpo che ne subì la penetrazione di vertice più duratura, ed il registro lo riporta con i suoi esiti: il comandante generale della Guardia di Finanza degli anni 1974-1978, generale Raffaele Giudice, figura negli elenchi sequestrati della loggia coperta, e la sua gestione fu travolta dallo scandalo dei petroli, la colossale frode fiscale sui prodotti petroliferi coperta da segmenti del corpo, per la quale il generale riportò condanne definitive, Livello A quanto all'iscrizione risultante dagli elenchi acquisiti ed agli esiti giudiziari della vicenda petroli. Il registro fissa la specificità del caso nella serie: a differenza dei vertici dell'intelligence censiti, per i quali l'iscrizione si accompagnò a vicende giudiziarie dagli esiti divergenti, qui la parabola si chiuse con la condanna irrevocabile del vertice di un corpo militare dello Stato per fatti di criminalità economica consumati durante il comando, ed il caso salda perciò, in una sola biografia, i 2 volti della loggia che l'opera documenta in fasi distinte, quello della penetrazione degli apparati censito in questa fase e quello della predazione economica censito nella prima, dimostrando che le 2 funzioni, il controllo delle istituzioni ed il saccheggio delle risorse, non erano programmi separati ma facce della medesima occupazione.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Pazienza è certificato al Livello A quale faccendiere del SISMI condannato in via definitiva per il depistaggio della strage di Bologna, unitamente a Gelli e agli ufficiali Musumeci e Belmonte, e costituisce il caso esemplare del nodo di contaminazione trasversale, privo di titolarità formale e operante all'intersezione dei Domini 3, 4, 6 e 7; il coinvolgimento nelle operazioni finanziarie connesse all'ambiente di Calvi è certificato al Livello B; la sua collocazione presso il servizio coinvolto nella trattativa per la liberazione dell'ostaggio nel caso Cirillo salda il nodo al Dominio 1 della camorra mediatrice e al Dominio 2, con i fatti oggettivi del sequestro certificati al Livello A, l'esistenza della mediazione camorristica al Livello B e i ruoli nominativi degli apparati al Livello C; la latitanza e la successiva estradizione dagli Stati Uniti sono certificate al Livello A e documentano tanto la tecnica della migrazione tra giurisdizioni quanto il tardivo funzionamento della cooperazione giudiziaria internazionale.</w:t>
      </w:r>
    </w:p>
    <w:p>
      <w:pPr>
        <w:pStyle w:val="Heading3"/>
        <w:spacing w:after="80" w:before="160"/>
      </w:pPr>
      <w:r>
        <w:rPr>
          <w:rFonts w:ascii="Barlow Semi Condensed" w:cs="Barlow Semi Condensed" w:eastAsia="Barlow Semi Condensed" w:hAnsi="Barlow Semi Condensed"/>
          <w:sz w:val="24"/>
          <w:szCs w:val="24"/>
        </w:rPr>
        <w:t xml:space="preserve">Capitolo 10 — ▶ Giuseppe Santovito e la cattura piduista dei servizi. La chiusura del cerchio</w:t>
      </w:r>
    </w:p>
    <w:p>
      <w:pPr>
        <w:spacing w:after="120" w:line="276"/>
        <w:jc w:val="both"/>
      </w:pPr>
      <w:r>
        <w:rPr>
          <w:rFonts w:ascii="Barlow Semi Condensed" w:cs="Barlow Semi Condensed" w:eastAsia="Barlow Semi Condensed" w:hAnsi="Barlow Semi Condensed"/>
          <w:sz w:val="24"/>
          <w:szCs w:val="24"/>
        </w:rPr>
        <w:t xml:space="preserve">Giuseppe Santovito, nato a Gioia del Colle il 3 aprile 1918 e morto a Roma nel 1984, generale, direttore del Servizio informazioni e sicurezza militare dal 1978 al 1981, è il nodo che chiude la Fase 2 perché in esso si compie e si certifica il fenomeno che salda l'intero secondo cerchio al primo: la cattura del vertice dei servizi segreti della Repubblica da parte della loggia coperta P2 di Licio Gelli. La scansione del corpus registra il nome di Santovito 153 volte in 23 documenti. Il nodo non è scelto per la sua rilevanza individuale, che pure è massima quale direttore del servizio militare nel triennio cruciale del sequestro Moro e della strage di Bologna, ma per la sua funzione di sintesi: attraverso Santovito e i suoi omologhi civili, il registro certifica che nel triennio 1978-1981 i responsabili apicali dell'intelligence italiana appartenevano simultaneamente alla loggia di Gelli, chiudendo così il cerchio che la Fase 1 aveva aperto dal lato del Venerabile e che la Fase 2 ha percorso dal lato degli apparati.</w:t>
      </w:r>
    </w:p>
    <w:p>
      <w:pPr>
        <w:spacing w:after="120" w:line="276"/>
        <w:jc w:val="both"/>
      </w:pPr>
      <w:r>
        <w:rPr>
          <w:rFonts w:ascii="Barlow Semi Condensed" w:cs="Barlow Semi Condensed" w:eastAsia="Barlow Semi Condensed" w:hAnsi="Barlow Semi Condensed"/>
          <w:sz w:val="24"/>
          <w:szCs w:val="24"/>
        </w:rPr>
        <w:t xml:space="preserve">La biografia istituzionale colloca Santovito al vertice del SISMI, il servizio segreto militare riformato dalla legge del 1977, nel triennio che va dal 1978 al 1981, ossia nel periodo che comprende il sequestro e l'omicidio di Aldo Moro, oggetto della Fase 4, e la strage di Bologna del 2 agosto 1980, oggetto della Fase 3. Il registro certifica al Livello A, sul fondamento degli atti ufficiali, la carica di Santovito e la sua collocazione temporale, e annota il dato che ne fa un nodo di sintesi: il direttore del servizio militare, nel triennio dei 2 eventi più gravi della storia repubblicana dopo il caso SIFAR, era affiliato alla loggia P2, e presso il suo servizio operava, quale collaboratore esterno, il faccendiere Pazienza del capitolo precedente, e vi prestavano servizio gli ufficiali Musumeci e Belmonte, anch'essi condannati per il depistaggio di Bologna e appartenenti all'orbita piduista.</w:t>
      </w:r>
    </w:p>
    <w:p>
      <w:pPr>
        <w:spacing w:after="120" w:line="276"/>
        <w:jc w:val="both"/>
      </w:pPr>
      <w:r>
        <w:rPr>
          <w:rFonts w:ascii="Barlow Semi Condensed" w:cs="Barlow Semi Condensed" w:eastAsia="Barlow Semi Condensed" w:hAnsi="Barlow Semi Condensed"/>
          <w:sz w:val="24"/>
          <w:szCs w:val="24"/>
        </w:rPr>
        <w:t xml:space="preserve">Il primo pilastro probatorio è l'affiliazione dei vertici dei servizi alla loggia P2, certificata al Livello A dalle liste sequestrate a Castiglion Fibocchi il 17 marzo 1981 e dagli accertamenti della Commissione parlamentare d'inchiesta presieduta da Tina Anselmi. Le liste e gli accertamenti documentano che, all'epoca della loro scoperta, appartenevano alla loggia Propaganda 2 il direttore del SISMI, il servizio militare, nella persona di Giuseppe Santovito; il direttore del SISDE, il servizio civile, nella persona del generale Giulio Grassini; e il responsabile del CESIS, l'organismo di coordinamento, nella persona del prefetto Walter Pelosi; oltre a numerosi altri ufficiali e funzionari degli apparati, tra cui il generale Vito Miceli, già direttore del SID, di cui il capitolo 2 ha detto. Il registro certifica al Livello A questo insieme di affiliazioni, e ne trae la certificazione del fatto capitale della fase: nel triennio 1978-1981, i responsabili apicali dei 3 organismi in cui si articolava l'intelligence italiana, il servizio militare, il servizio civile e l'organismo di coordinamento, appartenevano simultaneamente a una medesima loggia coperta, il cui Venerabile Maestro intratteneva i rapporti con la finanza, il Vaticano e gli ambienti internazionali che la Fase 1 ha documentato. Questo è, nella sistematica del registro, l'arco Dominio 3-Dominio 4 a certificazione piena e nella sua massima estensione: non l'affiliazione di un singolo ufficiale, ma la cattura contestuale dell'intero vertice informativo dello Stato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secondo pilastro è la portata sistemica di tale cattura e i suoi limiti probatori. Il registro procede qui con la massima disciplina, giacché è precisamente su questo punto che la suggestione è più forte e il salto inferenziale più tentante. La certificazione dell'affiliazione simultanea dei vertici dei servizi alla loggia P2 è, ripetesi, di Livello A; ma da tale affiliazione non discende, automaticamente e senza ulteriore prova, che ogni atto dei servizi in quel triennio, e segnatamente le condotte relative al sequestro Moro e alla strage di Bologna, sia stato compiuto in esecuzione di un disegno unitario della loggia. La Regola Ferrea impone di distinguere l'appartenenza, che è certificata, dall'imputazione alla loggia di specifici atti dei servizi, che richiede prova specifica. Ove tale prova specifica sussista, come nel caso del depistaggio di Bologna, per il quale gli ufficiali del SISMI Musumeci e Belmonte furono condannati unitamente a Gelli, l'arco tra l'appartenenza piduista e la condotta di ostruzione è certificato al Livello A; ove tale prova specifica non sussista, l'imputazione alla loggia dell'atto resta al Livello C, quand'anche l'atto sia stato compiuto da soggetti affiliati. La distinzione tra la certificazione dell'appartenenza e la certificazione dell'imputazione del singolo atto è la sostanza del metodo, e la sua osservanza è ciò che separa la ricostruzione del registro dalla vulgata che, dalla appartenenza dei vertici alla loggia, inferisce senz'altro la responsabilità della loggia in ogni vicenda del triennio.</w:t>
      </w:r>
    </w:p>
    <w:p>
      <w:pPr>
        <w:spacing w:after="120" w:line="276"/>
        <w:jc w:val="both"/>
      </w:pPr>
      <w:r>
        <w:rPr>
          <w:rFonts w:ascii="Barlow Semi Condensed" w:cs="Barlow Semi Condensed" w:eastAsia="Barlow Semi Condensed" w:hAnsi="Barlow Semi Condensed"/>
          <w:sz w:val="24"/>
          <w:szCs w:val="24"/>
        </w:rPr>
        <w:t xml:space="preserve">Il terzo pilastro è la funzione di chiusura del cerchio, che giustifica la collocazione del nodo a sigillo della fase. Il registro riprende qui il filo aperto nella Fase 1. Il capitolo 1 della Fase 1 aveva certificato l'affiliazione alla P2 dei vertici dei servizi dal lato di Gelli, elencando tra gli iscritti i generali Santovito e Grassini e il prefetto Pelosi; il capitolo 10 della Fase 2 certifica il medesimo fatto dal lato degli apparati, mostrando che i responsabili dell'intelligence appartenevano alla loggia. I 2 accertamenti, provenienti da lati opposti del medesimo arco, convergono e si rafforzano reciprocamente, secondo il principio della consilienza che governa lo standard probatorio del registro: l'arco Dominio 3-Dominio 4 è certificato al Livello A tanto dal versante della loggia quanto dal versante del servizio, e la sua certificazione bilaterale è la prova più solida dell'intera architettura. La Fase 2 si chiude dunque nel punto esatto in cui si era aperta la Fase 1, e il secondo cerchio si salda al primo: la deviazione degli apparati, che la fase ha ricostruito nei suoi episodi giudizialmente accertati, dal Piano Solo ai depistaggi delle stragi, trova nella cattura piduista del vertice informativo la sua cornice relazionale, ferma restando la disciplina che vieta di inferire dalla cornice la responsabilità della loggia in ogni singolo atto.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Santovito-Grassini-Pelosi, è il triangolo della cattura contestuale dei 3 organismi informativi, certificato al Livello A dalle liste e dagli accertamenti Anselmi. La seconda, Santovito-Gelli-P2, è il triangolo dell'affiliazione del direttore del servizio militare alla loggia, certificato al Livello A e convergente con l'accertamento del lato Gelli della Fase 1. La terza, Santovito-Pazienza-Musumeci-Belmonte, è il triangolo del servizio militare quale sede operativa del depistaggio di Bologna, certificato al Livello A quanto alle condanne dei suoi membri e recante l'arco tra l'appartenenza piduista e la condotta di ostruzione, unico segmento per il quale la prova specifica consente l'imputazione. Sul piano dei pattern, il nodo attiva il Pattern 2, l'analisi delle comunità, giacché l'insieme dei vertici dei servizi affiliati alla loggia costituisce una comunità trasversale ai domini formali, un cluster funzionale che opera attraverso i confini istituzionali e la cui identificazione è il risultato più netto dell'intera fase; e attiva il Pattern 1, l'analisi dei nodi centrali, giacché la loggia, attraverso la cattura del vertice informativo, acquisì una centralità nella rete complessiva che nessuna struttura formale le attribuiva.</w:t>
      </w:r>
    </w:p>
    <w:p>
      <w:pPr>
        <w:spacing w:after="120" w:line="276"/>
        <w:jc w:val="both"/>
      </w:pPr>
      <w:r>
        <w:rPr>
          <w:rFonts w:ascii="Barlow Semi Condensed" w:cs="Barlow Semi Condensed" w:eastAsia="Barlow Semi Condensed" w:hAnsi="Barlow Semi Condensed"/>
          <w:sz w:val="24"/>
          <w:szCs w:val="24"/>
        </w:rPr>
        <w:t xml:space="preserve">La biografia del direttore va completata con la sua chiusura amministrativa, che è il vero epilogo del capitolo. Travolto dall'emersione delle liste, Santovito lasciò la direzione del servizio nell'agosto 1981, a pochi mesi dal sequestro di Castiglion Fibocchi, e morì nel 1984 senza che la sua posizione personale fosse approdata ad alcun giudicato definitivo, sicché il registro ne censisce l'affiliazione quale fatto documentale e sospende, come il metodo impone, ogni qualificazione ulteriore, Livello A quanto alla scansione. Ciò che seguì alla sua uscita vale però quale prova amministrativa di ciò che i processi non poterono misurare: la nuova direzione affidata al generale Ninetto Lugaresi avviò una bonifica interna fatta di avvicendamenti, trasferimenti e chiusure di strutture anomale, tra le quali il cosiddetto Super SISMI degli uffici paralleli di Musumeci, e l'ampiezza stessa della bonifica, documentata negli atti parlamentari, certifica per via indiretta l'estensione della contaminazione che la rimozione dei vertici piduisti intendeva sanare, Livello A quanto ai provvedimenti di riorganizzazione.</w:t>
      </w:r>
    </w:p>
    <w:p>
      <w:pPr>
        <w:spacing w:after="120" w:line="276"/>
        <w:jc w:val="both"/>
      </w:pPr>
      <w:r>
        <w:rPr>
          <w:rFonts w:ascii="Barlow Semi Condensed" w:cs="Barlow Semi Condensed" w:eastAsia="Barlow Semi Condensed" w:hAnsi="Barlow Semi Condensed"/>
          <w:sz w:val="24"/>
          <w:szCs w:val="24"/>
        </w:rPr>
        <w:t xml:space="preserve">Chiude il capitolo, ed insieme la fase, la lettura temporale che il Pattern 3 esige e che il registro consegna nella sua forma più disciplinata. Il triennio della direzione Santovito, 1978-1981, coincide con la finestra che contiene il sequestro Moro e la sua gestione, la strage di Bologna ed il suo depistaggio, l'apogeo e la caduta della loggia: 3 eventi capitali della storia repubblicana consumati mentre i vertici contestuali dei 3 organismi informativi risultavano iscritti alla medesima associazione segreta. Il registro dichiara il dato per ciò che è, una coincidenza temporale di densità massima, certificata al Livello A in ciascuno dei suoi elementi costitutivi, e dichiara con eguale nettezza ciò che il dato non è: la prova di una regia unitaria degli eventi contenuti nella finestra, che nessun giudicato ha accertato e che la Regola Ferrea vieta di inferire dalla sola sovrapposizione cronologica. Tra il dato e l'inferenza corre il confine che separa questo registro dalla pubblicistica che pretende di sostituirlo: la finestra 1978-1981 resta consegnata alle fasi successive quale campo di massima attenzione istruttoria, non quale teorema dimostrato, e la Fase 4, che di quella finestra abiterà il centro esatto, erediterà l'obbligo di percorrerla con la lanterna dei giudicati e non con la torcia delle suggestioni.</w:t>
      </w:r>
    </w:p>
    <w:p>
      <w:pPr>
        <w:spacing w:after="120" w:line="276"/>
        <w:jc w:val="both"/>
      </w:pPr>
      <w:r>
        <w:rPr>
          <w:rFonts w:ascii="Barlow Semi Condensed" w:cs="Barlow Semi Condensed" w:eastAsia="Barlow Semi Condensed" w:hAnsi="Barlow Semi Condensed"/>
          <w:sz w:val="24"/>
          <w:szCs w:val="24"/>
        </w:rPr>
        <w:t xml:space="preserve">La cattura contestuale va completata con i profili degli altri 2 vertici, che il registro censisce nella loro nudità documentale. Giulio Grassini, generale dei carabinieri, direttore del SISDE dalla sua istituzione, e Walter Pelosi, prefetto, segretario generale del CESIS, figurano entrambi negli elenchi di Castiglion Fibocchi accanto a Santovito, e entrambi lasciarono gli incarichi nella stagione immediatamente successiva all'emersione delle liste, nell'ambito del ricambio generale dei vertici della sicurezza deliberato dal governo, Livello A quanto alle affiliazioni documentate ed agli avvicendamenti. Nessuno dei 3 direttori riportò condanne per la mera appartenenza, che la legge del 1982 avrebbe reso perseguibile solo per l'avvenire, e questa impunità tecnica, che il registro annota senza enfasi, illumina il vero punto di vulnerabilità che il capitolo consegna alla riflessione istituzionale: il meccanismo fiduciario delle nomine. I 3 uomini non si infiltrarono, furono nominati, ciascuno all'esito delle ordinarie procedure governative, e la loggia non dovette forzare alcuna porta perché le porte, nel sistema delle designazioni fiduciarie prive di vaglio esterno, si aprivano dall'interno. La riforma del 1977 aveva costruito il controllo parlamentare sull'attività dei servizi, non sulla selezione dei loro capi: e in quello scarto, tra l'atto controllato ed il nominante incontrollato, la fase individua la falla sistemica che rese possibile, senza violare una sola norma, la cattura simultanea dei 3 organismi. È la conclusione più sobria e più grave dell'intero secondo cerchio: la deviazione matura non delinque, nomina.</w:t>
      </w:r>
    </w:p>
    <w:p>
      <w:pPr>
        <w:spacing w:after="120" w:line="276"/>
        <w:jc w:val="both"/>
      </w:pPr>
      <w:r>
        <w:rPr>
          <w:rFonts w:ascii="Barlow Semi Condensed" w:cs="Barlow Semi Condensed" w:eastAsia="Barlow Semi Condensed" w:hAnsi="Barlow Semi Condensed"/>
          <w:sz w:val="24"/>
          <w:szCs w:val="24"/>
        </w:rPr>
        <w:t xml:space="preserve">La posizione personale del direttore si chiuse per via anagrafica: i procedimenti che lo riguardavano furono definiti con lo stralcio per morte del reo nel 1984, sicché sul nodo Santovito, come su Sindona, il giudizio storico non dispone di un giudicato individuale pieno e deve accontentarsi della certificazione documentale dell'appartenenza e degli atti di gestione, Livello A quanto allo stralcio. Il contesto della sua uscita merita l'ultima annotazione della fase: l'emersione delle liste travolse il governo in carica ed aprì la strada, nel giugno 1981, al primo esecutivo della storia repubblicana non presieduto da un democristiano, il governo di Giovanni Spadolini, che della ricostituzione della fiducia negli apparati fece programma dichiarato, procedendo al ricambio dei vertici che il capitolo ha censito, Livello A quanto alla scansione politico-istituzionale. Che la più grave crisi degli apparati di sicurezza della storia repubblicana si sia risolta non in una riforma strutturale ma in un avvicendamento di uomini, per quanto ampio, è il bilancio con cui la Fase 2 si congeda: il sistema sostituì i catturati senza modificare il meccanismo della cattura, e la falla delle nomine fiduciarie, diagnosticata ma non sanata, restò consegnata ai decenni successivi quale variabile permanente, silenziosamente operante, di ogni futura stagione di condizionamento.</w:t>
      </w:r>
    </w:p>
    <w:p>
      <w:pPr>
        <w:spacing w:after="120" w:line="276"/>
        <w:jc w:val="both"/>
      </w:pPr>
      <w:r>
        <w:rPr>
          <w:rFonts w:ascii="Barlow Semi Condensed" w:cs="Barlow Semi Condensed" w:eastAsia="Barlow Semi Condensed" w:hAnsi="Barlow Semi Condensed"/>
          <w:sz w:val="24"/>
          <w:szCs w:val="24"/>
        </w:rPr>
        <w:t xml:space="preserve">La stagione censita da questa fase produsse infine la sua legge, che il registro censisce quale atto di chiusura ordinamentale dell'intero ciclo: la legge 24 ottobre 1977 numero 801 soppresse il SID, istituì la tripartizione tra i 2 servizi ed il comitato esecutivo di coordinamento, sottopose per la prima volta l'intero sistema alla responsabilità politica del presidente del Consiglio, creò il comitato parlamentare di controllo e, soprattutto, trasferì il segreto di Stato dal terreno della prassi amministrativa a quello della legge, definendone l'oggetto, il titolare e, con la clausola destinata alla più lunga vita dell'ordinamento, l'inopponibilità sui fatti eversivi dell'ordine costituzionale, Livello A quanto ai contenuti della riforma. Il registro consegna la legge alla sua genealogia: ogni sua clausola è la fotografia in negativo di un episodio censito da questa fase, la soppressione del servizio risponde al servizio processato, la responsabilità del premier risponde alle catene di comando opache delle notti censite, il controllo parlamentare risponde alle commissioni che avevano dovuto inseguire gli apparati per anni, e la clausola sull'eversione, scritta nel 1977 mentre le istruttorie sulle stragi sbattevano contro il segreto, è la confessione legislativa più esplicita che la Repubblica abbia mai reso sul proprio decennio: uno Stato non scrive nella legge che il segreto non può coprire l'eversione, se il segreto non ha mai coperto l'eversione, e la data di quella clausola, prima ancora del suo contenuto, è il giudizio storico che questa fase consegna alle successive.</w:t>
      </w:r>
    </w:p>
    <w:p>
      <w:pPr>
        <w:spacing w:after="120" w:line="276"/>
        <w:jc w:val="both"/>
      </w:pPr>
      <w:r>
        <w:rPr>
          <w:rFonts w:ascii="Barlow Semi Condensed" w:cs="Barlow Semi Condensed" w:eastAsia="Barlow Semi Condensed" w:hAnsi="Barlow Semi Condensed"/>
          <w:sz w:val="24"/>
          <w:szCs w:val="24"/>
        </w:rPr>
        <w:t xml:space="preserve">Il decennio giudiziario dell'eversione istituzionale esige il suo bilancio statistico unitario, che il registro formula aggregando gli esiti censiti nei capitoli: dei grandi procedimenti istruiti tra il 1974 ed il 1984 sui fatti di questa fase, il piano del 1964, la trama del 1970, la struttura del 1973, il progetto del 1974, nessuno si concluse con condanne definitive dei vertici per i reati di cospirazione od insurrezione originariamente contestati, dissolvendosi nella sequenza di amnistie, derubricazioni, proscioglimenti ed assoluzioni che i singoli capitoli hanno riportato per esteso, sicché il tasso di conversione tra istruttorie golpiste e condanne eversive definitive, nell'intero corpus della fase, è pari a zero, Livello A quanto agli esiti aggregati dai giudicati. Il registro consegna la statistica alla sua doppia lettura obbligata, che la disciplina vieta di gerarchizzare: la lettura garantista, per cui lo zero misura l'inconsistenza penale di trame più chiacchierate che armate, e la lettura strutturale, per cui lo zero misura l'incapacità sistemica di un ordinamento di processare apparati di sé stesso, con l'osservazione di metodo che il confronto internazionale della fase quinta renderà stringente: entrambe le letture spiegano lo zero, ma solo la seconda spiega anche perché lo zero italiano coesista con le condanne definitive per i depistaggi, poiché un Paese dove nessuno cospirò ma qualcuno fu condannato per avere coperto la cospirazione inesistente è un paradosso logico, mentre un Paese dove le cospirazioni evaporarono prima del giudizio grazie alle coperture poi punite è, semplicemente, il Paese che questa fase ha documentato.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Santovito è certificato al Livello A quale direttore del SISMI nel triennio 1978-1981 e quale affiliato alla loggia P2, e costituisce il nodo di sintesi attraverso il quale il registro certifica la cattura contestuale dell'intero vertice informativo dello Stato, i direttori del servizio militare, del servizio civile e dell'organismo di coordinamento, da parte della loggia di Gelli; l'arco Dominio 3-Dominio 4 è certificato al Livello A in modo bilaterale, dal versante della loggia nella Fase 1 e dal versante degli apparati nella Fase 2, secondo il principio della consilienza; l'imputazione alla loggia di specifici atti dei servizi resta al Livello C ove manchi la prova specifica, ed ascende al Livello A solo ove tale prova sussista, come nel depistaggio di Bologna, chiudendo così il cerchio che salda il secondo dominio al primo nel rispetto integrale della Regola Ferrea.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2</w:t>
      </w:r>
    </w:p>
    <w:p>
      <w:pPr>
        <w:spacing w:after="120" w:line="276"/>
        <w:jc w:val="both"/>
      </w:pPr>
      <w:r>
        <w:rPr>
          <w:rFonts w:ascii="Barlow Semi Condensed" w:cs="Barlow Semi Condensed" w:eastAsia="Barlow Semi Condensed" w:hAnsi="Barlow Semi Condensed"/>
          <w:sz w:val="24"/>
          <w:szCs w:val="24"/>
        </w:rPr>
        <w:t xml:space="preserve">Il registro adempie, anche per la Fase 2, all'obbligo di rendicontazione analitica, censendo in forma discorsiva tutti gli archi e le triangolazioni che i 10 capitoli hanno certificato, ciascuno con il proprio livello dichiarato. Il repertorio procede secondo l'articolazione della fase, dai nodi della deviazione militare a quelli delle strutture parallele, dall'esercito segreto ai circuiti internazionali, sino al nodo di sintesi della cattura piduista.</w:t>
      </w:r>
    </w:p>
    <w:p>
      <w:pPr>
        <w:spacing w:after="120" w:line="276"/>
        <w:jc w:val="both"/>
      </w:pPr>
      <w:r>
        <w:rPr>
          <w:rFonts w:ascii="Barlow Semi Condensed" w:cs="Barlow Semi Condensed" w:eastAsia="Barlow Semi Condensed" w:hAnsi="Barlow Semi Condensed"/>
          <w:sz w:val="24"/>
          <w:szCs w:val="24"/>
        </w:rPr>
        <w:t xml:space="preserve">Sul versante della deviazione degli apparati militari, il registro ha certificato al Livello A la deviazione documentata del SIFAR sotto la direzione del generale De Lorenzo, nella duplice forma delle schedature illegittime accertate dalla Commissione Beolchini, nell'ordine delle 157.000 posizioni, e della qualificazione parlamentare del 1970 delle attività del servizio quale deviazione dai fini istituzionali; l'esistenza materiale del Piano Solo e delle liste di enucleandi collegate alla rubrica E, con la loro anomalia costituzionale; e la dispersione della lista degli enucleandi, dichiarata introvabile nel 1990 e nel 1999, quale reperto di ostruzione documentale. Ha mantenuto al Livello C la qualificazione del Piano Solo quale tentato colpo di Stato attivato o avallato dal vertice dello Stato, respinta dalla relazione parlamentare di maggioranza. Ha certificato al Livello A la concentrazione in De Lorenzo delle cariche di capo del SIFAR, comandante generale dell'Arma e capo di stato maggiore dell'esercito, quale caso del Pattern 7, e la sua successiva migrazione parlamentare.</w:t>
      </w:r>
    </w:p>
    <w:p>
      <w:pPr>
        <w:spacing w:after="120" w:line="276"/>
        <w:jc w:val="both"/>
      </w:pPr>
      <w:r>
        <w:rPr>
          <w:rFonts w:ascii="Barlow Semi Condensed" w:cs="Barlow Semi Condensed" w:eastAsia="Barlow Semi Condensed" w:hAnsi="Barlow Semi Condensed"/>
          <w:sz w:val="24"/>
          <w:szCs w:val="24"/>
        </w:rPr>
        <w:t xml:space="preserve">Sul versante dei direttori dei servizi coinvolti nell'eversione, il registro ha certificato al Livello A l'arresto del 31 ottobre 1974 di Vito Miceli, direttore in carica sino a poco prima del SID, e la sua imputazione di cospirazione politica mediante associazione nel quadro dell'inchiesta sulla Rosa dei Venti, quale reperto capitale della porosità tra il Dominio 3 e il Dominio 7; e, in ossequio alla regola del riporto integrale, l'assoluzione di Miceli da tale accusa, con conseguente mantenimento al Livello C della sua partecipazione al disegno eversivo. Ha certificato al Livello A l'affiliazione di Miceli alla loggia P2 e la sua successiva elezione parlamentare nel Movimento sociale italiano. Sul versante del controspionaggio, ha certificato al Livello A la condanna definitiva di Gianadelio Maletti, capo del Reparto D del SID, per le condotte di depistaggio delle indagini su Piazza Fontana, comprensive del favoreggiamento dell'espatrio di soggetti collegati all'eversione nera e della costruzione di piste false, quale certificazione piena dell'arco di ostruzione tra il Dominio 3 e il Dominio 7; e ha ribadito il limite inferenziale tra la condotta di depistaggio, provata, e il mandato della strage, non provato. Ha certificato al Livello A la latitanza di Maletti in Sudafrica, anticipando la funzione di quel regime quale nodo di accoglienza internazionale, e mantenuto al Livello C, per l'Indice di Contaminazione della Fonte, le dichiarazioni rese dal latitante.</w:t>
      </w:r>
    </w:p>
    <w:p>
      <w:pPr>
        <w:spacing w:after="120" w:line="276"/>
        <w:jc w:val="both"/>
      </w:pPr>
      <w:r>
        <w:rPr>
          <w:rFonts w:ascii="Barlow Semi Condensed" w:cs="Barlow Semi Condensed" w:eastAsia="Barlow Semi Condensed" w:hAnsi="Barlow Semi Condensed"/>
          <w:sz w:val="24"/>
          <w:szCs w:val="24"/>
        </w:rPr>
        <w:t xml:space="preserve">Sul versante delle strutture parallele civili, il registro ha certificato al Livello A l'esistenza e le funzioni dell'Ufficio affari riservati del Ministero dell'interno diretto da Federico Umberto D'Amato, quale struttura informativa civile dotata di ampia autonomia, e la sua centralità nella gestione delle fonti dell'eversione, mantenendo al Livello C ogni ipotesi di regia dell'Ufficio sugli eventi stragisti. Ha certificato al Livello B l'inserimento di D'Amato nei circuiti atlantici del coordinamento informativo e la sua prossimità agli ambienti riservati trasversali, tenendo distinta la cornice, certificata, dalla regia, ipotetica. Ha certificato al Livello A il fatto della sua attività editoriale quale proiezione verso il Dominio 8.</w:t>
      </w:r>
    </w:p>
    <w:p>
      <w:pPr>
        <w:spacing w:after="120" w:line="276"/>
        <w:jc w:val="both"/>
      </w:pPr>
      <w:r>
        <w:rPr>
          <w:rFonts w:ascii="Barlow Semi Condensed" w:cs="Barlow Semi Condensed" w:eastAsia="Barlow Semi Condensed" w:hAnsi="Barlow Semi Condensed"/>
          <w:sz w:val="24"/>
          <w:szCs w:val="24"/>
        </w:rPr>
        <w:t xml:space="preserve">Sul versante dell'esercito segreto, il registro ha certificato al Livello A l'esistenza della rete stay-behind Gladio, rivelata ufficialmente il 24 ottobre 1990 dalla relazione del presidente del Consiglio Andreotti alla Commissione stragi, nella sua genesi atlantica degli anni Cinquanta, nella sua struttura materiale comprensiva della base di Capo Marrargiu, dei depositi Nasco e dell'elenco degli appartenenti nell'ordine delle 622 unità, e nel suo occultamento quarantennale al Parlamento. Ha mantenuto al Livello C l'ipotesi dell'impiego della rete nella destabilizzazione interna, non provata dagli accertamenti giudiziari, e ha dichiarato priva di supporto documentale e contraddetta dalla cornice atlantica l'ipotesi ulteriore di una sua funzione di contrasto all'integrazione europea, registrando anzi il nodo quale elemento militante in direzione del falsificatore milwardiano.</w:t>
      </w:r>
    </w:p>
    <w:p>
      <w:pPr>
        <w:spacing w:after="120" w:line="276"/>
        <w:jc w:val="both"/>
      </w:pPr>
      <w:r>
        <w:rPr>
          <w:rFonts w:ascii="Barlow Semi Condensed" w:cs="Barlow Semi Condensed" w:eastAsia="Barlow Semi Condensed" w:hAnsi="Barlow Semi Condensed"/>
          <w:sz w:val="24"/>
          <w:szCs w:val="24"/>
        </w:rPr>
        <w:t xml:space="preserve">Sul versante dell'eversione in accoppiamento con gli apparati, il registro ha certificato al Livello A l'esistenza materiale del tentativo golpista di Junio Valerio Borghese nella notte tra il 7 e l'8 dicembre 1970, la sua articolazione operativa e la sua interruzione, con esito giudiziario largamente assolutorio riportato per esteso, e con l'ipotesi sulla natura del contrordine mantenuta al Livello C; ha certificato al Livello A il ruolo di Borghese quale fondatore del Fronte Nazionale, riscontrato sin dall'informativa CIA del 14 novembre 1951; e ha certificato al Livello B la richiesta di concorso rivolta a Cosa Nostra per il tramite massonico e la connessione con ambienti finanziari, sulla scorta della testimonianza riscontrata di Buscetta, registrando il tentativo quale primo affioramento della convergenza multidominio. Sul versante liberale-resistenziale, ha certificato al Livello A il progetto di sovvertimento autoritario promosso da Edgardo Sogno nel 1974, il cosiddetto golpe bianco, corroborato dall'ammissione autobiografica del protagonista resa in tempo non sospetto, con esito giudiziario non condannatorio riportato per esteso; ha certificato al Livello A l'organizzazione anticomunista Pace e Libertà e al Livello B i rapporti di Sogno con ambienti atlantici, registrando il nodo quale prova della trasversalità del fronte anticomunista e quale ulteriore elemento contro l'adeguatezza esplicativa di H1.</w:t>
      </w:r>
    </w:p>
    <w:p>
      <w:pPr>
        <w:spacing w:after="120" w:line="276"/>
        <w:jc w:val="both"/>
      </w:pPr>
      <w:r>
        <w:rPr>
          <w:rFonts w:ascii="Barlow Semi Condensed" w:cs="Barlow Semi Condensed" w:eastAsia="Barlow Semi Condensed" w:hAnsi="Barlow Semi Condensed"/>
          <w:sz w:val="24"/>
          <w:szCs w:val="24"/>
        </w:rPr>
        <w:t xml:space="preserve">Sul versante internazionale, il registro ha certificato al Livello B l'esistenza e la natura del circuito Le Cercle quale sede riservata di coordinamento anticomunista internazionale di ispirazione risalente all'ambiente di Antoine Pinay, e la sua funzione di raccordo tra le componenti conservatrici dello schieramento occidentale; ha registrato la finalità anticomunista del circuito quale elemento militante frontalmente contro l'ipotesi H1 della convergenza tra i blocchi, giacché un coordinamento anticomunista occidentale è l'opposto di una struttura di convergenza tra le 2 superpotenze; e ha mantenuto al Livello C il collegamento del circuito con singoli eventi del terreno italiano.</w:t>
      </w:r>
    </w:p>
    <w:p>
      <w:pPr>
        <w:spacing w:after="120" w:line="276"/>
        <w:jc w:val="both"/>
      </w:pPr>
      <w:r>
        <w:rPr>
          <w:rFonts w:ascii="Barlow Semi Condensed" w:cs="Barlow Semi Condensed" w:eastAsia="Barlow Semi Condensed" w:hAnsi="Barlow Semi Condensed"/>
          <w:sz w:val="24"/>
          <w:szCs w:val="24"/>
        </w:rPr>
        <w:t xml:space="preserve">Sul versante della contaminazione e della sintesi, il registro ha certificato al Livello A la responsabilità di Francesco Pazienza, faccendiere del SISMI, nel depistaggio della strage di Bologna, unitamente a Gelli, Musumeci e Belmonte, quale caso del nodo di contaminazione trasversale ai Domini 3, 4, 6 e 7; al Livello B il suo coinvolgimento nelle operazioni finanziarie connesse all'ambiente di Calvi; al Livello A la sua latitanza e la successiva estradizione dagli Stati Uniti. Ha infine certificato al Livello A, quale fatto capitale e di chiusura, l'affiliazione simultanea alla loggia P2 dei responsabili apicali dei 3 organismi informativi nel triennio 1978-1981, il direttore del SISMI Giuseppe Santovito, il direttore del SISDE Giulio Grassini e il responsabile del CESIS Walter Pelosi, oltre al già direttore del SID Miceli, quale arco Dominio 3-Dominio 4 nella sua massima estensione, certificato in modo bilaterale dal versante della loggia e dal versante degli apparati secondo il principio della consilienza; e ha mantenuto al Livello C l'imputazione alla loggia di specifici atti dei servizi ove manchi la prova specifica, riconoscendola al Livello A solo ove tale prova sussista, come nel depistaggio di Bologna.</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e degli esiti assolutori della fase, che il metodo impone di esporre con il medesimo rilievo delle presenze. Gli esiti non condannatori certificati e riportati per esteso sono 3: l'assoluzione di Miceli dall'accusa di cospirazione; l'esito largamente assolutorio del procedimento sul tentativo golpista Borghese, con la sentenza d'appello del 1984; e l'esito non condannatorio del procedimento a carico di Sogno per il progetto del 1974. A essi si aggiunge il reperto negativo di prima classe costituito, per il nodo Gladio, dall'esito sostanzialmente non condannatorio delle inchieste quanto all'ipotesi dell'impiego eversivo della rete, che certifica l'esistenza della struttura ma non il suo impiego nella destabilizzazione. Il registro tratta questi 4 esiti quali dati di prima classe, che non indeboliscono la rete certificata ma ne delimitano il perimetro, e la cui osservanza è la condizione della sua solidità.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con netta prevalenza del Livello A, cui si aggiungono gli archi di Livello B relativi alla cornice atlantica e alle mediazioni non giudizialmente consacrate e i pochi archi di Livello C relativi alle ipotesi di regia e di collegamento operativo non provate, oltre a 3 esiti assolutori riportati per esteso, quelli di Miceli, Borghese e Sogno, e 1 reperto negativo sull'impiego di Gladio; e costituisce d'ora innanzi il riferimento citabile per ogni richiamo interno dell'opera al sottografo degli apparati e delle strutture parallele.</w:t>
      </w:r>
    </w:p>
    <w:p>
      <w:pPr>
        <w:pStyle w:val="Heading3"/>
        <w:spacing w:after="80" w:before="160"/>
      </w:pPr>
      <w:r>
        <w:rPr>
          <w:rFonts w:ascii="Barlow Semi Condensed" w:cs="Barlow Semi Condensed" w:eastAsia="Barlow Semi Condensed" w:hAnsi="Barlow Semi Condensed"/>
          <w:sz w:val="24"/>
          <w:szCs w:val="24"/>
        </w:rPr>
        <w:t xml:space="preserve">Chiusura della Fase 2 — La macchina della deviazione e il bilancio della verifica di H1</w:t>
      </w:r>
    </w:p>
    <w:p>
      <w:pPr>
        <w:spacing w:after="120" w:line="276"/>
        <w:jc w:val="both"/>
      </w:pPr>
      <w:r>
        <w:rPr>
          <w:rFonts w:ascii="Barlow Semi Condensed" w:cs="Barlow Semi Condensed" w:eastAsia="Barlow Semi Condensed" w:hAnsi="Barlow Semi Condensed"/>
          <w:sz w:val="24"/>
          <w:szCs w:val="24"/>
        </w:rPr>
        <w:t xml:space="preserve">La Fase 2 si chiude con 10 nodi certificati, 6 persone, 3 entità collettive o strutturali e 1 nodo di sintesi, e con un sottografo, quello degli apparati e delle strutture parallele, che è ora possibile leggere nel suo insieme e saldare al sottografo del quadrilatero ricostruito nella Fase 1. Il presente capitolo di chiusura non introduce materiale nuovo; ricompone l'acquisito, dichiara i livelli raggiunti, censisce le assenze accanto alle presenze e, soprattutto, adempie al compito che la Fase 1 aveva assegnato a questa fase quale suo obbligo specifico: il bilancio della verifica dell'ipotesi H1 su materiale, finalmente, pertinente.</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della deviazione degli apparati quale fenomeno documentato e non quale suggestione. La categoria dei servizi deviati, tanto abusata nella pubblicistica da aver perduto ogni contorno, riceve dal registro un contenuto probatorio preciso e delimitato. La deviazione è documentata al Livello A in una pluralità di episodi giudizialmente accertati: le schedature illegittime del SIFAR, il depistaggio di Piazza Fontana per il quale Maletti fu condannato, il depistaggio di Bologna per il quale furono condannati ufficiali del SISMI unitamente al faccendiere Pazienza e al Venerabile Gelli. Ciascuno di questi episodi è un arco certificato tra il Dominio 3 e, rispettivamente, il Dominio 2 nelle schedature e il Dominio 7 nei depistaggi. Ma la deviazione così certificata ha una natura precisa che il registro dichiara: essa è, negli episodi provati, torsione dell'apparato legale verso il controllo politico o verso l'ostruzione dell'accertamento, non prova di un apparato occulto che diriga gli eventi eversivi e stragisti. La distinzione tra la deviazione-ostruzione, certificata, e la deviazione-regia, ipotetica, è il primo e principale acquisito della fase, e la sua osservanza è ciò che consente al registro di affermare molto, quanto alle condotte provate, e di non affermare nulla, quanto ai mandati non provati.</w:t>
      </w:r>
    </w:p>
    <w:p>
      <w:pPr>
        <w:spacing w:after="120" w:line="276"/>
        <w:jc w:val="both"/>
      </w:pPr>
      <w:r>
        <w:rPr>
          <w:rFonts w:ascii="Barlow Semi Condensed" w:cs="Barlow Semi Condensed" w:eastAsia="Barlow Semi Condensed" w:hAnsi="Barlow Semi Condensed"/>
          <w:sz w:val="24"/>
          <w:szCs w:val="24"/>
        </w:rPr>
        <w:t xml:space="preserve">Il secondo risultato è la mappa dell'accoppiamento tra il Dominio 3 e gli altri domini, che la fase consegna nelle sue direttrici certificate. L'accoppiamento con il Dominio 9, le forze armate, è strutturale e certificato al Livello A: gli apparati informativi nacquero in seno alla struttura militare, e i loro vertici furono ufficiali, sicché il confine tra i 2 domini è, in questa fase, il più poroso di tutti, e i nodi De Lorenzo, Miceli e Santovito lo attraversano per definizione. L'accoppiamento con il Dominio 7, l'eversione, è certificato al Livello A nella forma dell'ostruzione, attraverso i depistaggi provati, e mantenuto al Livello C nella forma della direzione, che gli accertamenti non hanno provato. L'accoppiamento con il Dominio 4, la massoneria, è certificato al Livello A e in modo bilaterale, attraverso la cattura piduista del vertice informativo che il capitolo 10 ha documentato dal lato degli apparati e la Fase 1 dal lato della loggia. L'accoppiamento con il Dominio 2, la politica, è certificato al Livello A tanto nella forma delle schedature quanto nella forma della migrazione, il corridoio del Pattern 7 che condusse gli ufficiali degli apparati alla rappresentanza politica. L'accoppiamento con il Dominio 6, la finanza, e con il Dominio 1, la mafia, è certificato attraverso il nodo Pazienza e attraverso l'affioramento del tentativo Borghese, che salda gli apparati al quadrilatero della Fase 1.</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del sottografo degli apparati. La più alta betweenness appartiene al nodo Pazienza, il faccendiere privo di titolarità formale che connette il servizio militare, la finanza internazionale, la loggia e l'ambiente dei depistaggi: è il broker per eccellenza, e la sua rilevanza deriva interamente dalla posizione di intermediazione, secondo la distinzione tra potere formale e potere relazionale che la Nota metodologica ha derivato da Burt. La più alta centralità di grado appartiene al nodo Santovito e, con esso, all'insieme dei vertici piduisti dei servizi, la cui affiliazione simultanea alla loggia costituisce la comunità trasversale che il Pattern 2 identifica quale risultato più netto della fase. La più alta centralità informativa, nell'accezione sottile del Pattern 1, appartiene al nodo D'Amato, il responsabile a bassa visibilità e alto controllo sul flusso informativo. Il nodo Gladio, infine, occupa nella rete una posizione peculiare: massima rilevanza documentale e massima densità di suggestione, ma centralità operativa certificata modesta, giacché l'esistenza della struttura è provata al Livello A mentre il suo impiego resta al Livello C, sicché il nodo pesa nel registro per ciò che è certificato, l'esistenza clandestina di una rete atlantica, e non per ciò che gli è attribuito, un impiego eversivo non provato.</w:t>
      </w:r>
    </w:p>
    <w:p>
      <w:pPr>
        <w:spacing w:after="120" w:line="276"/>
        <w:jc w:val="both"/>
      </w:pPr>
      <w:r>
        <w:rPr>
          <w:rFonts w:ascii="Barlow Semi Condensed" w:cs="Barlow Semi Condensed" w:eastAsia="Barlow Semi Condensed" w:hAnsi="Barlow Semi Condensed"/>
          <w:sz w:val="24"/>
          <w:szCs w:val="24"/>
        </w:rPr>
        <w:t xml:space="preserve">A questo censimento delle centralità interne al sottografo degli apparati il registro aggiunge un raccordo con le centralità del quadrilatero ricostruito nella Fase 1, giacché è dalla saldatura dei 2 sottografi che emerge la topologia complessiva delle prime 2 fasi. Il nodo che, sommando le 2 fasi, acquisisce la più alta centralità di intermediazione dell'intero grafo sinora costruito è la loggia P2 nella persona del suo Venerabile, che la Fase 1 aveva collocato al centro del quadrilatero e che la Fase 2 ritrova al centro della cattura del vertice informativo: la loggia è il nodo che connette i 2 sottografi, il broker tra il quadrilatero finanziario-vaticano-mafioso e l'apparato informativo, e la sua centralità deriva precisamente dalla capacità di occupare la posizione di raccordo tra ambienti altrimenti separati. Al secondo posto per centralità di raccordo si collocano i faccendieri, la figura che i 2 sottografi condividono e che ne costituisce il connettivo mobile: Sindona e Ortolani sul versante del quadrilatero, Pazienza sul versante degli apparati, accomunati dalla natura di intermediari privi di titolarità formale ma dotati di accesso trasversale. La saldatura dei 2 sottografi conferma pertanto una regolarità che il registro annota quale acquisizione delle prime 2 fasi: il potere che attraversa i domini non risiede nei vertici formali di ciascun dominio, ma nei nodi di raccordo, le logge e i faccendieri, la cui funzione è precisamente connettere ciò che le gerarchie formali tengono separato; ed è questa la ragione per cui la loro rimozione, quando avviene, produce le discontinuità più marcate nella rete, secondo il Pattern 5 dei buchi strutturali.</w:t>
      </w:r>
    </w:p>
    <w:p>
      <w:pPr>
        <w:spacing w:after="120" w:line="276"/>
        <w:jc w:val="both"/>
      </w:pPr>
      <w:r>
        <w:rPr>
          <w:rFonts w:ascii="Barlow Semi Condensed" w:cs="Barlow Semi Condensed" w:eastAsia="Barlow Semi Condensed" w:hAnsi="Barlow Semi Condensed"/>
          <w:sz w:val="24"/>
          <w:szCs w:val="24"/>
        </w:rPr>
        <w:t xml:space="preserve">Il quarto risultato è la verifica esplicita dell'ipotesi H1, che costituisce l'adempimento del compito assegnato dalla Fase 1 e il bilancio più importante della fase. La Fase 1 aveva dichiarato l'autosufficienza esplicativa del primo cerchio e aveva formulato il vincolo popperiano: gli eventuali elementi di supporto di H1 dovranno emergere dai domini che le fasi successive esplorano, a partire dall'intelligence. La Fase 2 ha esplorato l'intelligence, ossia il dominio nel quale, per definizione, la dimensione internazionale è sostanza operativa e non mera cornice; ed è in grado di rendere un bilancio netto. La dimensione internazionale del Dominio 3 è certificata al Livello A nella sua realtà, giacché i servizi italiani operarono entro il sistema di alleanze atlantico, la rete Gladio nacque da accordi con il servizio statunitense, i responsabili informativi parteciparono ai circuiti internazionali del coordinamento occidentale. Ma questa dimensione internazionale, in tutte le sue manifestazioni certificate, ha una direzione precisa e univoca: è la direzione dell'alleanza atlantica e del confronto anticomunista interno alla logica bipolare, non la direzione della convergenza tra i 2 blocchi che l'ipotesi H1 postulerebbe. La rete Gladio era predisposta contro un'eventuale occupazione sovietica; il circuito Le Cercle coordinava il contrasto all'influenza sovietica; i progetti eversivi, tanto quello di marca nera di Borghese quanto quello liberale di Sogno, erano progetti anticomunisti; i rapporti internazionali degli apparati erano rapporti con il servizio statunitense e con la struttura atlantica. In nessuno dei 10 nodi della fase affiora un elemento, sia pure di Livello C, che documenti una convergenza operativa tra la potenza occidentale e quella sovietica, e tanto meno una convergenza finalizzata a impedire l'integrazione europea. Il registro deve dunque registrare, con la nettezza che il metodo impone, che la Fase 2 non solo non ha prodotto elementi di supporto di H1, ma ha prodotto una pluralità di elementi che la contraddicono: l'intera dimensione internazionale certificata degli apparati si colloca sul versante occidentale del confronto bipolare, e milita a favore dell'ipotesi concorrente, quella del confronto tra i blocchi, nella quale gli attori occidentali perseguono finalità occidentali. Di più: la cornice atlantica degli apparati milita positivamente a favore del falsificatore milwardiano, giacché la medesima alleanza che predispose le reti stay-behind e coordinò il fronte anticomunista fu il quadro entro il quale il processo di integrazione europea si svolse con il sostegno della potenza egemone occidentale, e non contro di essa. La disciplina anti-induttiva impone di trarre la conseguenza: dopo 2 fasi, l'ipotesi H1 non solo resta priva di supporto, ma ha incontrato, nel dominio che avrebbe dovuto eventualmente sostenerla, la sua più netta contraddizione; essa permane al Livello C quale ipotesi formalmente registrata e falsificabile, ma il registro dichiara che il peso delle evidenze accumulate nelle prime 2 fasi milita contro di essa e a favore delle ipotesi concorrenti, e che le fasi successive dovranno misurarsi con questo bilancio.</w:t>
      </w:r>
    </w:p>
    <w:p>
      <w:pPr>
        <w:spacing w:after="120" w:line="276"/>
        <w:jc w:val="both"/>
      </w:pPr>
      <w:r>
        <w:rPr>
          <w:rFonts w:ascii="Barlow Semi Condensed" w:cs="Barlow Semi Condensed" w:eastAsia="Barlow Semi Condensed" w:hAnsi="Barlow Semi Condensed"/>
          <w:sz w:val="24"/>
          <w:szCs w:val="24"/>
        </w:rPr>
        <w:t xml:space="preserve">Il quinto risultato è la consegna dei fili pendenti alle fasi successive. Il filo dello stragismo, che questa fase ha ripetutamente sfiorato attraverso i depistaggi di Piazza Fontana e di Bologna, attraverso il tentativo Borghese e attraverso la gestione delle fonti dell'eversione da parte degli apparati, diviene l'oggetto proprio della Fase 3, che ricostruirà la sequenza stragista dal suo evento inaugurale, con particolare attenzione alla filiera dell'eversione nera, ad Aginter Press e alla figura di Delle Chiaie, che questa fase ha incontrato quale esecutore del tentativo del dicembre 1970 e la cui trattazione propria è riservata alla fase dello stragismo. Il filo del caso Moro, la cui ombra ha attraversato la fase attraverso la collocazione temporale della direzione Santovito e attraverso la questione della condotta degli apparati nei 55 giorni, diviene l'oggetto della Fase 4, che affronterà il sequestro secondo la decomposizione a 3 piani già costituzionalizzata dal registro. Il filo della proiezione internazionale, che questa fase ha anticipato attraverso la latitanza sudafricana di Maletti e attraverso il circuito Le Cercle, diviene l'oggetto della Fase 5, che verificherà su scala mondiale la tenuta della distinzione tra cornice atlantica e regia eversiva che la presente fase ha posto a fondamento della propria valutazione di H1.</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la coerenza del criterio selettivo ed espositivo con quello della Fase 1. I 10 nodi sono stati selezionati per il concorso dei 2 requisiti oggettivi, la certificazione di Livello A di almeno un arco inter-dominio e la frequenza trasversale nel corpus; l'ordine espositivo ha seguito la topologia, muovendo dalla prima deviazione militare verso i direttori coinvolti nell'eversione, quindi verso le strutture parallele e l'esercito segreto, quindi verso i progetti eversivi trasversali e il circuito internazionale, e chiudendo sul nodo di sintesi della cattura piduista che salda la fase alla precedente. Le 3 fasi che seguono manterranno il medesimo statuto: 10 nodi per fase, certificazione dichiarata arco per arco, esiti assolutori riportati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2 certifica la deviazione degli apparati quale fenomeno documentato al Livello A negli episodi di schedatura e di depistaggio giudizialmente accertati, distinguendo la deviazione-ostruzione, provata, dalla deviazione-regia, ipotetica; certifica l'accoppiamento del Dominio 3 con i Domini 9, 7, 4, 2, 6 e 1 nelle direttrici e ai livelli dichiarati, culminante nella cattura piduista bilaterale del vertice informativo; e rende il bilancio esplicito della verifica di H1, dichiarando che il dominio dell'intelligence, lungi dal sostenere l'ipotesi della convergenza tra i blocchi contro l'integrazione europea, l'ha contraddetta in tutte le sue manifestazioni internazionali certificate, tutte collocate sul versante occidentale e anticomunista del confronto bipolare, sicché H1 permane al Livello C ma il peso delle evidenze delle prime 2 fasi milita contro di essa e a favore del falsificatore milwardiano; i fili dello stragismo, del caso Moro e della proiezione internazionale sono formalmente consegnati alle Fasi 3, 4 e 5.</w:t>
      </w:r>
    </w:p>
    <w:p>
      <w:pPr>
        <w:pStyle w:val="Heading2"/>
        <w:spacing w:after="100" w:before="200"/>
      </w:pPr>
      <w:r>
        <w:rPr>
          <w:rFonts w:ascii="Barlow Semi Condensed" w:cs="Barlow Semi Condensed" w:eastAsia="Barlow Semi Condensed" w:hAnsi="Barlow Semi Condensed"/>
          <w:sz w:val="24"/>
          <w:szCs w:val="24"/>
        </w:rPr>
        <w:t xml:space="preserve">FASE III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Lo stragismo e la strategia della tensione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terzo cerchio: le stragi, i depistaggi e la matrice</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3 raccoglie il filo che le 2 fasi precedenti hanno più volte sfiorato senza mai assumerlo quale oggetto proprio: la sequenza stragista che insanguinò la Repubblica dal 12 dicembre 1969 al 2 agosto 1980, e oltre. La Fase 1 aveva incontrato lo stragismo dal lato del quadrilatero, attraverso la condanna definitiva di Giuseppe Calò per la strage del rapido 904 e attraverso il depistaggio di Bologna addebitato a Licio Gelli; la Fase 2 lo aveva incontrato dal lato degli apparati, attraverso le condanne definitive di Gianadelio Maletti per il depistaggio di Piazza Fontana e di Francesco Pazienza, con gli ufficiali Musumeci e Belmonte, per il depistaggio di Bologna. La presente fase rovescia la prospettiva: assume gli eventi stragisti e i loro attori quali nodi propri, e ricostruisce dal loro interno il Dominio 7, il terrorismo e la violenza politica, nei suoi accoppiamenti certificati con i Domini 3, 4, 9, 1, 8 e 10.</w:t>
      </w:r>
    </w:p>
    <w:p>
      <w:pPr>
        <w:spacing w:after="120" w:line="276"/>
        <w:jc w:val="both"/>
      </w:pPr>
      <w:r>
        <w:rPr>
          <w:rFonts w:ascii="Barlow Semi Condensed" w:cs="Barlow Semi Condensed" w:eastAsia="Barlow Semi Condensed" w:hAnsi="Barlow Semi Condensed"/>
          <w:sz w:val="24"/>
          <w:szCs w:val="24"/>
        </w:rPr>
        <w:t xml:space="preserve">Il protocollo probatorio resta immutato e viene richiamato nei soli cardini. La triangolazione delle fonti secondo lo standard Savona 2.1 distingue il Livello A della connessione documentata, fondata su giudicato o su convergenza di 3 fonti indipendenti eterogenee, il Livello B della connessione indiziaria, fondata su 2 fonti convergenti o su una singola fonte di alta affidabilità, e il Livello C della connessione ipotetica, esplicitamente marcata. La Regola Ferrea vieta ogni salto inferenziale, e in questa fase assume la sua declinazione più severa, giacché la materia stragista è quella in cui la distanza tra il provato e il creduto è massima, e in cui la vulgata ha più profondamente confuso i piani. Tre discipline specifiche governano la fase. La prima è la disciplina delle assoluzioni: la storia processuale delle stragi italiane è, in larghissima parte, una storia di assoluzioni, e il registro le riporta tutte per esteso, con il medesimo rilievo delle condanne, giacché un registro che censisse le sole condanne fabbricherebbe una rete più fitta del reale. La seconda è la disciplina della distinzione tra dispositivo e motivazione: talune sentenze definitive contengono, in motivazione, accertamenti storici che il dispositivo non traduce in condanna, e il registro li recepisce dichiarandone la natura, senza confondere la verità storica affermata in motivazione con la responsabilità penale affermata in dispositivo. La terza è la disciplina dell'ostruzione: la fase arricchisce la tipologia delle condotte di inquinamento dell'accertamento che il registro ha codificato, distinguendo in ogni capitolo la strage dal suo depistaggio, e ribadendo che la condanna per il secondo non prova il mandato della prima.</w:t>
      </w:r>
    </w:p>
    <w:p>
      <w:pPr>
        <w:spacing w:after="120" w:line="276"/>
        <w:jc w:val="both"/>
      </w:pPr>
      <w:r>
        <w:rPr>
          <w:rFonts w:ascii="Barlow Semi Condensed" w:cs="Barlow Semi Condensed" w:eastAsia="Barlow Semi Condensed" w:hAnsi="Barlow Semi Condensed"/>
          <w:sz w:val="24"/>
          <w:szCs w:val="24"/>
        </w:rPr>
        <w:t xml:space="preserve">Anche questa fase adempie a un compito assegnato dalle precedenti: la prosecuzione della verifica dell'ipotesi H1, la convergenza delle potenze imperiali contro l'integrazione europea, che la Fase 2 ha consegnato al Livello C con un bilancio esplicitamente sfavorevole, avendo constatato che l'intera dimensione internazionale certificata degli apparati si colloca sul versante occidentale e anticomunista del confronto bipolare. La Fase 3 verificherà se la matrice accertata dello stragismo, e le sue proiezioni internazionali documentate, modifichino tale bilancio; e lo farà, come sempre, cercando le evidenze che falsificherebbero le ipotesi in campo, non quelle che le confermerebbero, secondo la procedura delle ipotesi concorrenti di Heuer. Il lettore troverà nella chiusura il bilancio aggiornato, con un reperto di particolare interesse metodologico: la circostanza che gli stessi atti parlamentari conclusivi sulla stagione stragista contengano elaborati di segno opposto, l'uno orientato alla dimensione sovranazionale atlantica e l'altro all'ombra del blocco sovietico, e che nessuno dei 2, nemmeno nella loro massima estensione congetturale, sostenga la convergenza tra i blocchi che H1 postula.</w:t>
      </w:r>
    </w:p>
    <w:p>
      <w:pPr>
        <w:spacing w:after="120" w:line="276"/>
        <w:jc w:val="both"/>
      </w:pPr>
      <w:r>
        <w:rPr>
          <w:rFonts w:ascii="Barlow Semi Condensed" w:cs="Barlow Semi Condensed" w:eastAsia="Barlow Semi Condensed" w:hAnsi="Barlow Semi Condensed"/>
          <w:sz w:val="24"/>
          <w:szCs w:val="24"/>
        </w:rPr>
        <w:t xml:space="preserve">Un chiarimento tassonomico si impone in apertura. La fase introduce sistematicamente, accanto ai nodi-persona e ai nodi-organizzazione delle fasi precedenti, il nodo-evento, contrassegnato dal marcatore proprio: la strage, l'omicidio, il tentativo eversivo quale entità della rete, dotata di attributi propri, la data, il luogo, le vittime, gli esiti giudiziari, e di archi propri verso le persone, le organizzazioni e gli apparati che vi convergono. La scelta non è nominalistica ma metodologica: nella materia della fase, l'evento è sovente l'unico punto fermo certificabile al massimo livello, mentre le attribuzioni personali oscillano tra condanne, assoluzioni e vuoti; assumere l'evento quale nodo primario consente al registro di ancorare la rete a ciò che è certo, il fatto, la data, le vittime, e di appendervi le attribuzioni con il loro grado effettivo, anziché costruire la rete attorno ad attribuzioni instabili. Ne discende che ogni capitolo-evento della fase certifica dapprima l'evento nella sua materialità, quindi i suoi archi, distinguendo sempre lo strato dell'esecuzione, lo strato dell'ostruzione e lo strato del mandato, i 3 strati che la materia stragista impone di non confondere mai e la cui confusione è stata, storicamente, il principale veicolo di errore tanto della vulgata colpevolista quanto di quella negazionista.</w:t>
      </w:r>
    </w:p>
    <w:p>
      <w:pPr>
        <w:spacing w:after="120" w:line="276"/>
        <w:jc w:val="both"/>
      </w:pPr>
      <w:r>
        <w:rPr>
          <w:rFonts w:ascii="Barlow Semi Condensed" w:cs="Barlow Semi Condensed" w:eastAsia="Barlow Semi Condensed" w:hAnsi="Barlow Semi Condensed"/>
          <w:sz w:val="24"/>
          <w:szCs w:val="24"/>
        </w:rPr>
        <w:t xml:space="preserve">L'ordine espositivo dei 10 nodi segue la topologia e la cronologia insieme, giacché nella materia stragista le 2 dimensioni coincidono in larga misura: si muove dall'evento inaugurale del dicembre 1969 e dalla sua matrice organizzativa, l'ordinovismo, attraverso i suoi uomini e la sua proiezione internazionale, Aginter Press e Stefano Delle Chiaie, quindi lungo la sequenza degli eventi certificati, Peteano, Brescia, l'Italicus, sino alla strage di Bologna, per chiudere sull'omicidio di Piersanti Mattarella, che riprende il filo lasciato aperto dalla Fase 1 sulla convergenza tra eversione e mafia e salda la fase al primo cerchio. I criteri di selezione restano i 2 requisiti oggettivi: la certificazione di Livello A di almeno un arco o di un accertamento centrale del nodo, e la frequenza trasversale nel corpus dei 220 documenti. Ogni capitolo si chiude con la formula di accumulo, e il repertorio precede la lettura reticolare conclusiva. Le vittime degli eventi trattati sono nominate, ove lo spazio lo consenta, quale atto dovuto di un registro che non dimentica che dietro ogni nodo analitico vi sono nomi, corpi e famiglie.</w:t>
      </w:r>
    </w:p>
    <w:p>
      <w:pPr>
        <w:pStyle w:val="Heading3"/>
        <w:spacing w:after="80" w:before="160"/>
      </w:pPr>
      <w:r>
        <w:rPr>
          <w:rFonts w:ascii="Barlow Semi Condensed" w:cs="Barlow Semi Condensed" w:eastAsia="Barlow Semi Condensed" w:hAnsi="Barlow Semi Condensed"/>
          <w:sz w:val="24"/>
          <w:szCs w:val="24"/>
        </w:rPr>
        <w:t xml:space="preserve">Capitolo 1 — ■ Piazza Fontana. L'evento inaugurale e il paradosso del giudicato</w:t>
      </w:r>
    </w:p>
    <w:p>
      <w:pPr>
        <w:spacing w:after="120" w:line="276"/>
        <w:jc w:val="both"/>
      </w:pPr>
      <w:r>
        <w:rPr>
          <w:rFonts w:ascii="Barlow Semi Condensed" w:cs="Barlow Semi Condensed" w:eastAsia="Barlow Semi Condensed" w:hAnsi="Barlow Semi Condensed"/>
          <w:sz w:val="24"/>
          <w:szCs w:val="24"/>
        </w:rPr>
        <w:t xml:space="preserve">La strage di piazza Fontana, consumata a Milano il 12 dicembre 1969 nella sede della Banca Nazionale dell'Agricoltura, è il nodo-evento inaugurale della fase e dell'intera stagione che essa ricostruisce. La scansione del corpus registra il sintagma 638 volte in 33 documenti, e la vicenda attraversa gli atti di ogni commissione d'inchiesta e di ogni ciclo processuale della storia repubblicana successiva. L'ordigno, esploso alle 16:37 nel salone centrale della banca, uccise 17 persone, 16 nell'immediato e 1 nei giorni successivi, e ne ferì 88; nello stesso pomeriggio altri ordigni esplosero a Roma, all'Altare della Patria e presso la Banca Nazionale del Lavoro, e un ulteriore ordigno inesploso fu rinvenuto alla Banca Commerciale di Milano e fatto brillare per decisione degli inquirenti, con la conseguente distruzione di un reperto capitale: un atto che il registro annota sin d'ora quale primo anello della catena di inquinamento dell'accertamento che accompagnerà l'intera vicenda.</w:t>
      </w:r>
    </w:p>
    <w:p>
      <w:pPr>
        <w:spacing w:after="120" w:line="276"/>
        <w:jc w:val="both"/>
      </w:pPr>
      <w:r>
        <w:rPr>
          <w:rFonts w:ascii="Barlow Semi Condensed" w:cs="Barlow Semi Condensed" w:eastAsia="Barlow Semi Condensed" w:hAnsi="Barlow Semi Condensed"/>
          <w:sz w:val="24"/>
          <w:szCs w:val="24"/>
        </w:rPr>
        <w:t xml:space="preserve">Il primo pilastro probatorio è la vicenda della pista anarchica e delle sue vittime collaterali, che il registro certifica al Livello A quale primo depistaggio della stagione. Nelle ore e nei giorni successivi alla strage le indagini si concentrarono sugli ambienti anarchici milanesi e romani: il ballerino anarchico Pietro Valpreda fu arrestato e additato all'opinione pubblica quale mostro, e il ferroviere anarchico Giuseppe Pinelli, fermato e trattenuto nella questura di Milano oltre i termini, morì nella notte tra il 15 e il 16 dicembre 1969 precipitando da una finestra del quarto piano durante l'interrogatorio. Il registro certifica al Livello A i fatti oggettivi del fermo, del trattenimento e della morte di Pinelli, e recepisce l'esito dell'istruttoria giudiziaria condotta dal giudice Gerardo D'Ambrosio, chiusa nel 1975 con l'esclusione tanto dell'omicidio quanto del suicidio e con la qualificazione della caduta quale conseguenza di un malore attivo: una formula controversa, che il registro riporta quale esito giudiziario senza farla propria né contestarla, annotando che la morte di Pinelli resta, sul piano storico, l'emblema del costo umano del primo depistaggio. Quanto a Valpreda, la sua vicenda processuale durò 3 lustri e si chiuse con l'assoluzione dall'accusa di strage per insufficienza di prove, divenuta irrevocabile nel 1987: il registro la riporta per esteso, e certifica al Livello A, sul fondamento dell'intero ciclo processuale successivo, che la pista anarchica fu una pista falsa, costruita e alimentata mentre gli elementi sulla pista alternativa venivano occultati. La condanna definitiva di Gianadelio Maletti e degli uomini del Reparto D per il favoreggiamento e il depistaggio, certificata nella Fase 2, è il complemento istituzionale di questo pilastro: il registro salda qui i 2 accertamenti, la falsità della pista anarchica e la responsabilità di uomini degli apparati nel suo puntellamento.</w:t>
      </w:r>
    </w:p>
    <w:p>
      <w:pPr>
        <w:spacing w:after="120" w:line="276"/>
        <w:jc w:val="both"/>
      </w:pPr>
      <w:r>
        <w:rPr>
          <w:rFonts w:ascii="Barlow Semi Condensed" w:cs="Barlow Semi Condensed" w:eastAsia="Barlow Semi Condensed" w:hAnsi="Barlow Semi Condensed"/>
          <w:sz w:val="24"/>
          <w:szCs w:val="24"/>
        </w:rPr>
        <w:t xml:space="preserve">Il secondo pilastro è il lunghissimo ciclo processuale sulla pista nera, che il registro ricostruisce nei suoi 2 tronconi. Il primo troncone, istruito a Milano e celebrato per competenza a Catanzaro, vide imputati Franco Freda e Giovanni Ventura, esponenti della cellula ordinovista veneta, e Guido Giannettini, la fonte del servizio di cui la Fase 2 ha detto: condannati all'ergastolo in primo grado nel 1979, furono assolti in appello, e dopo l'annullamento con rinvio la Corte d'assise d'appello di Bari li assolse dall'accusa di strage per insufficienza di prove nel 1985, con sentenza divenuta irrevocabile nel 1987. Il registro riporta per esteso l'assoluzione irrevocabile di Freda, Ventura e Giannettini dall'accusa di strage. Il secondo troncone, nato dall'istruttoria milanese del giudice Guido Salvini negli anni Novanta, vide imputati altri esponenti dell'ordinovismo veneto, tra cui Delfo Zorzi e Carlo Maria Maggi: condannati in primo grado nel 2001, furono assolti in appello nel 2004, e la Corte di cassazione, il 3 maggio 2005, rese definitive le assoluzioni. Il registro riporta per esteso anche queste assoluzioni definitive.</w:t>
      </w:r>
    </w:p>
    <w:p>
      <w:pPr>
        <w:spacing w:after="120" w:line="276"/>
        <w:jc w:val="both"/>
      </w:pPr>
      <w:r>
        <w:rPr>
          <w:rFonts w:ascii="Barlow Semi Condensed" w:cs="Barlow Semi Condensed" w:eastAsia="Barlow Semi Condensed" w:hAnsi="Barlow Semi Condensed"/>
          <w:sz w:val="24"/>
          <w:szCs w:val="24"/>
        </w:rPr>
        <w:t xml:space="preserve">Il terzo pilastro è il paradosso del giudicato, che fa del nodo un caso metodologico unico e impone la distinzione più sottile dell'intera opera. Le sentenze conclusive del secondo troncone, pur assolvendo gli imputati, affermarono in motivazione, sul fondamento del materiale probatorio accumulato in 3 decenni, che la strage di piazza Fontana fu opera della cellula eversiva ordinovista veneta guidata da Franco Freda e Giovanni Ventura; e diedero atto che i 2, essendo stati irrevocabilmente assolti nel 1987 per il medesimo fatto, non potevano più essere perseguiti in forza del divieto di un secondo giudizio. Si produsse così la figura che il registro denomina paradosso del giudicato: una verità storica affermata in una sentenza definitiva, riguardante soggetti che il dispositivo di un'altra sentenza definitiva ha assolto e che nessun giudice potrà mai più condannare. Il registro procede con il massimo rigore classificatorio: certifica al Livello A l'attribuzione storica della strage alla cellula ordinovista veneta di Freda e Ventura, quale accertamento contenuto nella motivazione di una sentenza definitiva e fondato sulla convergenza dell'intero compendio probatorio; e certifica simultaneamente al Livello A, riportandolo per esteso, il dato che Franco Freda e Giovanni Ventura restano, nel dispositivo irrevocabile del 1987, assolti dall'accusa di strage per insufficienza di prove, e che tali essi sono e resteranno per l'ordinamento. Le 2 certificazioni coesistono senza contraddizione, perché attengono a piani diversi, la ricostruzione storica e la responsabilità penale; e la loro coesistenza è essa stessa il reperto: la strage inaugurale della stagione ha una matrice storicamente accertata in sede giudiziaria definitiva e, al contempo, nessun condannato per la sua esecuzione.</w:t>
      </w:r>
    </w:p>
    <w:p>
      <w:pPr>
        <w:spacing w:after="120" w:line="276"/>
        <w:jc w:val="both"/>
      </w:pPr>
      <w:r>
        <w:rPr>
          <w:rFonts w:ascii="Barlow Semi Condensed" w:cs="Barlow Semi Condensed" w:eastAsia="Barlow Semi Condensed" w:hAnsi="Barlow Semi Condensed"/>
          <w:sz w:val="24"/>
          <w:szCs w:val="24"/>
        </w:rPr>
        <w:t xml:space="preserve">Il quarto pilastro è l'infiltrazione documentata dell'ambiente anarchico, che completa la genesi del primo depistaggio e certifica un arco di infiltrazione di manuale. Gli accertamenti processuali documentarono che il circolo anarchico romano frequentato da Valpreda era stato penetrato da Mario Merlino, militante proveniente dall'area di Avanguardia Nazionale, che vi si muoveva sotto veste di anarchico: la sua doppia collocazione, accertata nei giudizi, fece di lui uno degli imputati del primo troncone, e la sua posizione rispetto all'accusa di strage si chiuse, come per Valpreda, con l'assoluzione divenuta irrevocabile, che il registro riporta per esteso. Il registro certifica al Livello A, quale fatto accertato nei processi, la qualità di Merlino di militante dell'area avanguardista infiltrato nell'ambiente anarchico romano alla vigilia della strage, e ne dichiara il rilievo tassonomico: è l'arco di infiltrazione nella sua forma pura, quale la Nota metodologica lo definisce, un attore del campo eversivo nero che assume posizione formale nel campo opposto conservando la lealtà d'origine; e la circostanza che la pista depistante si sia indirizzata precisamente verso l'ambiente infiltrato costituisce il nesso strutturale, certificato quanto ai fatti e mantenuto al Livello C quanto alla preordinazione, tra l'infiltrazione e il depistaggio. Il registro annota che la figura dell'infiltrato che orienta la colpa verso l'ambiente ospite ritornerà, in altre vesti, lungo l'intera opera.</w:t>
      </w:r>
    </w:p>
    <w:p>
      <w:pPr>
        <w:spacing w:after="120" w:line="276"/>
        <w:jc w:val="both"/>
      </w:pPr>
      <w:r>
        <w:rPr>
          <w:rFonts w:ascii="Barlow Semi Condensed" w:cs="Barlow Semi Condensed" w:eastAsia="Barlow Semi Condensed" w:hAnsi="Barlow Semi Condensed"/>
          <w:sz w:val="24"/>
          <w:szCs w:val="24"/>
        </w:rPr>
        <w:t xml:space="preserve">Il quinto pilastro è la scia di sangue che dall'evento si irradiò negli anni successivi, e che il registro censisce quale campo di conseguenze certificate. La morte di Pinelli generò una campagna pubblica di accusa contro il commissario Luigi Calabresi, titolare dell'ufficio nel quale il ferroviere era trattenuto; il 17 maggio 1972 Calabresi fu assassinato sotto la sua abitazione milanese, e per quell'omicidio furono condannati in via definitiva, all'esito di un ciclo processuale fondato sulle dichiarazioni del reo confesso Leonardo Marino e protrattosi sino al 2000, Adriano Sofri, Giorgio Pietrostefani e Ovidio Bompressi quali mandanti ed esecutore, esponenti dell'organizzazione Lotta Continua, con le pene definitive a 22 anni. Il registro certifica al Livello A, sul fondamento del giudicato, l'omicidio Calabresi e le sue condanne definitive, dà atto che i condannati hanno sempre protestato la propria innocenza e che la vicenda è rimasta oggetto di controversia civile, e ne trae l'annotazione strutturale: l'evento inaugurale produsse vittime a catena su ogni versante, i 17 morti della banca, il ferroviere anarchico, il commissario di polizia, e la catena certifica che la strategia della tensione operò anche attraverso gli effetti di secondo ordine, avvelenando il conflitto civile ben oltre il perimetro dell'evento; è il Pattern 8, lo sfruttamento della crisi, osservato nella sua dimensione temporale lunga.</w:t>
      </w:r>
    </w:p>
    <w:p>
      <w:pPr>
        <w:spacing w:after="120" w:line="276"/>
        <w:jc w:val="both"/>
      </w:pPr>
      <w:r>
        <w:rPr>
          <w:rFonts w:ascii="Barlow Semi Condensed" w:cs="Barlow Semi Condensed" w:eastAsia="Barlow Semi Condensed" w:hAnsi="Barlow Semi Condensed"/>
          <w:sz w:val="24"/>
          <w:szCs w:val="24"/>
        </w:rPr>
        <w:t xml:space="preserve">Il registro annota infine, quale reperto processuale trasversale al pilastro, la vicenda della sede: il processo per la strage fu sottratto nel 1972 alla sede naturale di Milano e trasferito a Catanzaro per ragioni di ordine pubblico, e vi si celebrò, a 1.000 chilometri dal luogo del fatto, dai testimoni e dal contesto; il registro certifica al Livello A il trasferimento quale fatto, e recepisce la valutazione, costante nelle ricostruzioni parlamentari e storiografiche, che l'allontanamento della sede concorse ad attenuare la pressione conoscitiva dell'ambiente milanese sull'accertamento, quale dato di Livello B sulla condizione complessiva in cui il primo ciclo processuale si svolse; nessuna inferenza sulla intenzionalità del pregiudizio è formulata, e la circostanza si aggiunge, quale fattore di contesto, alla serie delle menomazioni che il capitolo ha censito.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Fontana-pista anarchica-Pinelli e Valpreda, è il triangolo del primo depistaggio, certificato al Livello A quanto alla falsità della pista e ai suoi costi umani, con gli esiti giudiziari riportati per esteso. La seconda, piazza Fontana-cellula ordinovista veneta-Freda e Ventura, è il triangolo della matrice, certificato al Livello A quale verità storica di motivazione, con il dispositivo assolutorio irrevocabile parimenti certificato e riportato. La terza, piazza Fontana-Reparto D-Giannettini, è il triangolo dell'ostruzione istituzionale, certificato al Livello A dalla condanna definitiva di Maletti e saldato alla Fase 2. Sul piano dei pattern, il nodo attiva il Pattern 3, l'analisi temporale, quale apertura della finestra critica 1969-1974 entro cui si addensa la prima sequenza stragista; e il Pattern 6, le ipotesi concorrenti, nella sua applicazione storica: la competizione tra la pista anarchica e la pista nera fu risolta dal quarantennale lavorio processuale a favore della seconda, e la prima è oggi certificata quale costruzione depistante.</w:t>
      </w:r>
    </w:p>
    <w:p>
      <w:pPr>
        <w:spacing w:after="120" w:line="276"/>
        <w:jc w:val="both"/>
      </w:pPr>
      <w:r>
        <w:rPr>
          <w:rFonts w:ascii="Barlow Semi Condensed" w:cs="Barlow Semi Condensed" w:eastAsia="Barlow Semi Condensed" w:hAnsi="Barlow Semi Condensed"/>
          <w:sz w:val="24"/>
          <w:szCs w:val="24"/>
        </w:rPr>
        <w:t xml:space="preserve">Prima di ogni ulteriore analisi, il registro adempie al suo obbligo più antico, quello verso i nomi. Le 17 vittime della strage furono Giovanni Arnoldi, Giulio China, Eugenio Corsini, Pietro Dendena, Carlo Gaiani, Calogero Galatioto, Carlo Garavaglia, Paolo Gerli, Luigi Meloni, Vittorio Mocchi, Gerolamo Papetti, Mario Pasi, Carlo Perego, Oreste Sangalli, Angelo Scaglia, Carlo Silva ed Attilio Valè: in massima parte agricoltori, mediatori e piccoli operatori della provincia lombarda convenuti nel salone della banca per il giorno di contrattazione, uomini del lavoro minuto che la geografia sociale dell'obiettivo trasformò in bersaglio, Livello A quanto all'elenco, consegnato dagli atti e dalla memoria pubblica. Il registro annota la composizione sociologica dell'elenco quale reperto esso stesso: chi colpì la Banca Nazionale dell'Agricoltura un venerdì pomeriggio non colpì un simbolo del potere ma la sua clientela più modesta, e questa sproporzione tra il bersaglio dichiarato dalla propaganda della tensione, lo Stato, ed il bersaglio raggiunto, il ceto medio rurale, appartiene alla grammatica del terrore indiscriminato che l'intera fase documenta.</w:t>
      </w:r>
    </w:p>
    <w:p>
      <w:pPr>
        <w:spacing w:after="120" w:line="276"/>
        <w:jc w:val="both"/>
      </w:pPr>
      <w:r>
        <w:rPr>
          <w:rFonts w:ascii="Barlow Semi Condensed" w:cs="Barlow Semi Condensed" w:eastAsia="Barlow Semi Condensed" w:hAnsi="Barlow Semi Condensed"/>
          <w:sz w:val="24"/>
          <w:szCs w:val="24"/>
        </w:rPr>
        <w:t xml:space="preserve">Alla contabilità dell'evento appartiene anche la sua dimensione romana, spesso obliterata dalla memoria concentrata su Milano: nel medesimo pomeriggio del 12 dicembre 1969 esplosero nella capitale 3 ordigni, alla Banca Nazionale del Lavoro di via San Basilio ed all'Altare della Patria, con un bilancio di 16 feriti, a certificare che l'attacco fu, sin dal primo giorno, una campagna coordinata su 2 città e non un episodio isolato, Livello A. La simultaneità, accertata dai giudicati sulla campagna attentatoria, è il primo dato che ogni ipotesi sulla matrice dovette da allora incorporare: chi agì disponeva di una logistica a scala nazionale, e questa soglia organizzativa, da sola, escludeva in radice la figura dell'attentatore isolato che il primo depistaggio pretese di accreditare.</w:t>
      </w:r>
    </w:p>
    <w:p>
      <w:pPr>
        <w:spacing w:after="120" w:line="276"/>
        <w:jc w:val="both"/>
      </w:pPr>
      <w:r>
        <w:rPr>
          <w:rFonts w:ascii="Barlow Semi Condensed" w:cs="Barlow Semi Condensed" w:eastAsia="Barlow Semi Condensed" w:hAnsi="Barlow Semi Condensed"/>
          <w:sz w:val="24"/>
          <w:szCs w:val="24"/>
        </w:rPr>
        <w:t xml:space="preserve">Alla vicenda di Valpreda, il cui esito assolutorio irrevocabile il capitolo ha già riportato per esteso, il registro aggiunge 2 reperti di sistema che la biografia individuale consegna all'analisi istituzionale. Il primo è probatorio: l'intera costruzione accusatoria poggiò in origine sul riconoscimento operato da un tassista che avrebbe condotto l'attentatore in prossimità della banca, teste la cui morte, già nel 1971, sottrasse per sempre al contraddittorio la fonte unica dell'impianto, Livello A quanto alla centralità del riconoscimento ed alla morte del teste. Il secondo è normativo, ed è senza eguali nell'opera: la custodia preventiva dell'accusato si protrasse sino a quando il Parlamento, con la legge del dicembre 1972 concepita in dichiarata funzione del caso, introdusse la possibilità di concedere la libertà provvisoria anche per i reati che sino ad allora la escludevano, consentendone la scarcerazione, Livello A. Un uomo la cui posizione processuale richiese una legge dello Stato per tradursi in libertà è la misura esatta della torsione che il primo depistaggio impresse all'ordinamento: e l'asimmetria tra il tempo dell'accusa, edificata in 72 ore su un riconoscimento ed un teorema, ed il tempo della liberazione, che pretese un atto del legislatore e 3 lustri di giudizi, è la costante che il registro ritroverà, con i segni invertiti, nella durata degli accertamenti sulla matrice reale.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un reperto tecnico la cui sorte costituisce, essa sola, un capitolo di metodo: la seconda bomba milanese. Nel medesimo pomeriggio del 12 dicembre 1969 un ordigno gemello fu rinvenuto inesploso nella sede della Banca Commerciale Italiana in piazza della Scala, e la sera stessa, per disposizione delle autorità, fu fatto brillare dagli artificieri anziché essere disinnescato e repertato: con esso andarono distrutti il congegno, l'innesco, il contenitore e ogni traccia utile alla comparazione, vale a dire l'unico esemplare integro della serie che la giustizia avrebbe inseguito per 36 anni, Livello A quanto al rinvenimento ed alla distruzione. Il registro censisce l'episodio quale menomazione probatoria originaria, distinta dal depistaggio in senso proprio perché priva di un giudicato che ne accerti il dolo, e tuttavia funzionalmente equivalente: qualunque ne sia stata la ragione, fretta, imperizia o calcolo, la Repubblica bruciò nelle prime 12 ore il proprio miglior testimone materiale, e l'intera storia processuale successiva, costretta a lavorare su frammenti, porta impressa quella sottrazione inaugurale. Il paradigma indiziario insegna che l'indagine comincia dalla custodia della traccia: a piazza Fontana cominciò dalla sua distruzione, e questa inversione, più di ogni teoria, spiega perché il nodo inaugurale sia divenuto il laboratorio di tutte le ostruzioni successive.</w:t>
      </w:r>
    </w:p>
    <w:p>
      <w:pPr>
        <w:spacing w:after="120" w:line="276"/>
        <w:jc w:val="both"/>
      </w:pPr>
      <w:r>
        <w:rPr>
          <w:rFonts w:ascii="Barlow Semi Condensed" w:cs="Barlow Semi Condensed" w:eastAsia="Barlow Semi Condensed" w:hAnsi="Barlow Semi Condensed"/>
          <w:sz w:val="24"/>
          <w:szCs w:val="24"/>
        </w:rPr>
        <w:t xml:space="preserve">Al paradosso del giudicato la pronuncia conclusiva del 3 maggio 2005 aggiunse una statuizione accessoria che il registro riporta perché appartiene, a pieno titolo, alla morfologia dell'esito: nel confermare le assoluzioni, la Corte pose a carico delle parti civili, i familiari delle vittime costituiti in giudizio, la rifusione delle spese processuali, secondo la regola ordinaria della soccombenza applicata ad un processo che aveva nel contempo consegnato, in motivazione, la matrice storica della strage, Livello A quanto alla statuizione. Il registro si astiene, per disciplina, da ogni commento assiologico e consegna al lettore la sola geometria del fatto: i congiunti dei 17 uccisi uscirono dall'ultimo processo con una verità storica riconosciuta, nessun colpevole punibile ed un debito verso gli assolti, ed in questa terna, verità senza responsabili e giustizia con addebito agli offesi, si misura per intero la distanza tra l'accertamento storico e la macchina processuale che la fase ha assunto quale suo tema. Chi cerchi il punto esatto in cui il codice del diritto e il codice della memoria civile divergono senza possibilità di traduzione reciproca, secondo la grammatica luhmanniana che governa questo registro, lo ha trovato: è il dispositivo del 3 maggio 2005, letto accanto alla propria motivazione.</w:t>
      </w:r>
    </w:p>
    <w:p>
      <w:pPr>
        <w:spacing w:after="120" w:line="276"/>
        <w:jc w:val="both"/>
      </w:pPr>
      <w:r>
        <w:rPr>
          <w:rFonts w:ascii="Barlow Semi Condensed" w:cs="Barlow Semi Condensed" w:eastAsia="Barlow Semi Condensed" w:hAnsi="Barlow Semi Condensed"/>
          <w:sz w:val="24"/>
          <w:szCs w:val="24"/>
        </w:rPr>
        <w:t xml:space="preserve">Alla vicenda della sede il registro aggiunge la sua contabilità cumulativa, perché l'itinerario territoriale del processo è esso stesso un reperto quantificabile: istruito a Milano, trasferito a Roma, assegnato per legittima suspicione a Catanzaro, approdato per il giudizio conclusivo del primo troncone a Bari, il procedimento percorse 4 sedi e superò il migliaio di chilometri di distanza dal luogo del fatto, con la conseguenza, misurabile, che nessun giudice del merito conclusivo operò nella città della strage né a contatto con il suo tessuto testimoniale, Livello A quanto all'itinerario. Il registro si astiene dal sindacare le singole ordinanze di rimessione, ciascuna assistita dalle proprie ragioni processuali, e censisce l'effetto aggregato quale dato di sistema: la giustizia itinerante è giustizia rallentata, e nella materia stragista, dove il tempo lavora per la dispersione delle fonti e per la morte dei testimoni, il rallentamento non è mai una variabile neutra. La distanza, insegna il primo nodo della fase, è una forma silenziosa dell'ostruzione, che non richiede dolo per produrre i suoi effetti: basta la fisica.</w:t>
      </w:r>
    </w:p>
    <w:p>
      <w:pPr>
        <w:spacing w:after="120" w:line="276"/>
        <w:jc w:val="both"/>
      </w:pPr>
      <w:r>
        <w:rPr>
          <w:rFonts w:ascii="Barlow Semi Condensed" w:cs="Barlow Semi Condensed" w:eastAsia="Barlow Semi Condensed" w:hAnsi="Barlow Semi Condensed"/>
          <w:sz w:val="24"/>
          <w:szCs w:val="24"/>
        </w:rPr>
        <w:t xml:space="preserve">La parabola personale di Pietro Valpreda merita infine la sua chiusa documentale, perché essa sigilla il primo depistaggio con una data che è essa stessa un verdetto: il ballerino anarchico, la cui assoluzione definitiva il capitolo ha riportato per esteso, morì a Milano il 6 luglio 2002, quasi 3 anni prima che la pronuncia conclusiva del 3 maggio 2005 chiudesse per sempre il ciclo processuale della strage di cui era stato, per anni, il colpevole designato dinanzi al Paese, Livello A quanto alla data ed alla sequenza. Alla detenzione sofferta nella lunga custodia non seguì mai una riparazione, giacché l'istituto dell'indennizzo per l'ingiusta detenzione, introdotto dal codice del 1988, non retroagiva alle vicende anteriori, Livello A quanto al quadro normativo, sicché il conto personale del primo depistaggio si chiuse in perfetto pareggio negativo: anni di carcere, nessun colpevole della calunnia di sistema che ve lo condusse, nessun ristoro. Il registro consegna la biografia alla sua funzione di reperto: Valpreda è il caso limite in cui la macchina dell'ostruzione produsse, oltre alle vittime della strage, una vittima processuale integrale, l'uomo che attraversò da innocente l'intero arco della vicenda, dall'arresto alla morte, senza vedere né la propria riparazione né la condanna di alcuno, e la sua parabola, misurata sulle date, è la biografia individuale esatta del paradosso del giudicato che il capitolo certifica sul piano collettivo.</w:t>
      </w:r>
    </w:p>
    <w:p>
      <w:pPr>
        <w:spacing w:after="120" w:line="276"/>
        <w:jc w:val="both"/>
      </w:pPr>
      <w:r>
        <w:rPr>
          <w:rFonts w:ascii="Barlow Semi Condensed" w:cs="Barlow Semi Condensed" w:eastAsia="Barlow Semi Condensed" w:hAnsi="Barlow Semi Condensed"/>
          <w:sz w:val="24"/>
          <w:szCs w:val="24"/>
        </w:rPr>
        <w:t xml:space="preserve">Alla fenomenologia della falsa bandiera il caso milanese offre la sua prova giudiziaria più pulita, che il registro censisce quale controprova sperimentale dell'intero paradigma: il 7 aprile 1973, sul direttissimo Torino-Roma, il militante del gruppo ordinovista milanese La Fenice Nico Azzi rimase gravemente ferito dall'innesco anticipato dell'ordigno che stava armando nella toilette del treno, e l'istruttoria che ne seguì accertò con condanne definitive il piano del commando, che prevedeva di accompagnare l'attentato con tracce precostituite riconducibili all'estrema sinistra per orientarne l'attribuzione, Livello A quanto al fatto, al piano ed ai giudicati. Il valore del reperto nell'economia del capitolo è metodologico prima che storico: la strage fallita del 7 aprile è l'unico caso della serie in cui la falsa bandiera fu sequestrata intatta, per così dire, sul corpo del suo esecutore, con l'ordigno, l'attribuzione preconfezionata ed il colpevole designato colti nello stesso istante, e ciò che a piazza Fontana il registro ha dovuto ricostruire in 36 anni di gradi di giudizio, la meccanica dell'addossamento all'area anarchica, qui è documentato in flagranza, a 16 mesi esatti dalla strage madre e per mano del medesimo ambiente ideologico. Il registro consegna perciò il treno di Azzi alla sua funzione di stele: la falsa bandiera non è, nel corpus, un'inferenza degli storici, è una tecnica confessata dalle cose almeno una volta, e quella volta basta a trasformare, per tutti gli altri casi, l'ipotesi da congettura in modello documentato di cui verificare caso per caso la ricorrenza.</w:t>
      </w:r>
    </w:p>
    <w:p>
      <w:pPr>
        <w:spacing w:after="120" w:line="276"/>
        <w:jc w:val="both"/>
      </w:pPr>
      <w:r>
        <w:rPr>
          <w:rFonts w:ascii="Barlow Semi Condensed" w:cs="Barlow Semi Condensed" w:eastAsia="Barlow Semi Condensed" w:hAnsi="Barlow Semi Condensed"/>
          <w:sz w:val="24"/>
          <w:szCs w:val="24"/>
        </w:rPr>
        <w:t xml:space="preserve">La contabilità dei caduti del caso include infine il magistrato che ne aveva raccolto l'eredità istruttoria, e la cui fine consegna al registro l'ironia più nera dell'intero corpus: Emilio Alessandrini, il giudice milanese che aveva condotto con rigore la ricostruzione della pista nera sulla strage ed esteso le proprie indagini agli snodi finanziari censiti nella prima fase dell'opera, fu assassinato a Milano il 29 gennaio 1979 da un commando del gruppo armato di estrema sinistra Prima Linea, che ne rivendicò l'uccisione, ed i responsabili furono individuati e condannati con sentenze definitive, Livello A quanto al fatto, alla matrice ed ai giudicati. Il registro fissa il paradosso documentale che la biografia consegna: il magistrato che aveva contribuito a smontare l'addossamento della strage all'estrema sinistra fu ucciso dall'estrema sinistra armata, che lo colpì non per la pista nera ma per la sua efficienza complessiva di investigatore dello Stato, sicché la sua morte, estranea per matrice al capitolo, vi appartiene per funzione: essa privò simultaneamente l'istruttoria milanese sulla strage e quella sui crocevia finanziari del loro continuatore più capace, e la circostanza che i 2 fronti dell'opera, il nero delle bombe ed il grigio dei capitali, si siano trovati sguarniti dal medesimo agguato proveniente dal terzo fronte, il rosso, è la dimostrazione più cruda della tesi sistemica dell'opera, che i domini si danneggiano e si giovano a vicenda anche senza coordinarsi, per la semplice fisica delle sottrazioni: chiunque uccida un buon giudice lavora oggettivamente per tutti gli imputati di tutti i processi che quel giudice istruiva.</w:t>
      </w:r>
    </w:p>
    <w:p>
      <w:pPr>
        <w:spacing w:after="120" w:line="276"/>
        <w:jc w:val="both"/>
      </w:pPr>
      <w:r>
        <w:rPr>
          <w:rFonts w:ascii="Barlow Semi Condensed" w:cs="Barlow Semi Condensed" w:eastAsia="Barlow Semi Condensed" w:hAnsi="Barlow Semi Condensed"/>
          <w:sz w:val="24"/>
          <w:szCs w:val="24"/>
        </w:rPr>
        <w:t xml:space="preserve">La scia della strage madre attraversa il 1973 con l'attentato che il registro censisce quale suo replicante diretto: il 17 maggio 1973, nel cortile della Questura di Milano, durante la cerimonia di commemorazione del commissario ucciso l'anno precedente, alla presenza delle massime autorità con il ministro dell'interno Rumor allontanatosi pochi minuti prima, Gianfranco Bertoli lanciò una bomba a mano sulla folla uccidendo 4 persone, i cui nomi la lapide del cortile custodisce, e ferendone decine, Livello A quanto al fatto, alle vittime ed al bersaglio mancato. Il percorso giudiziario consegnò 2 verità di profondità diversa, che il registro riporta con il loro statuto: l'esecutore, presentatosi quale anarchico individualista, fu condannato all'ergastolo con sentenza definitiva e morì detenuto nel 2000, Livello A; le istruttorie successive, che ne ricostruirono i pregressi rapporti con ambienti dell'eversione ordinovista veneta e ne smontarono documentalmente l'autorappresentazione libertaria, esplorarono per decenni l'ipotesi della strage concertata con copertura anarchica, la medesima grammatica del 12 dicembre, senza approdare a giudicati ulteriori sui concorrenti, Livello B quanto alle acquisizioni sui rapporti pregressi, Livello C quanto alla catena di concorso mai certificata. Il registro colloca l'attentato nella sua funzione di cerniera: colpendo la cerimonia per Calabresi con un attentatore in maschera anarchica, la bomba della Questura replicò a distanza di 41 mesi l'intero dispositivo semiotico di piazza Fontana, la violenza attribuita per costruzione all'area che si voleva colpire politicamente, e la sua collocazione cronologica, tra la stagione dei depistaggi della strage madre e la campagna del 1974, ne fa l'anello che salda i 2 tempi del capitolo, dimostrando che la tecnica della falsa bandiera censita in flagranza sul treno di aprile era, un mese dopo, di nuovo operativa nel cuore blindato dello Stato.</w:t>
      </w:r>
    </w:p>
    <w:p>
      <w:pPr>
        <w:spacing w:after="120" w:line="276"/>
        <w:jc w:val="both"/>
      </w:pPr>
      <w:r>
        <w:rPr>
          <w:rFonts w:ascii="Barlow Semi Condensed" w:cs="Barlow Semi Condensed" w:eastAsia="Barlow Semi Condensed" w:hAnsi="Barlow Semi Condensed"/>
          <w:sz w:val="24"/>
          <w:szCs w:val="24"/>
        </w:rPr>
        <w:t xml:space="preserve">L'accusa originaria contro l'anarchico ebbe il suo intero peso su un solo teste, ed il registro ne censisce la parabola quale architrave fragile dell'errore: il tassista Cornelio Rolandi, che dichiarò di avere trasportato nel pomeriggio del 12 dicembre un passeggero con una borsa sino ai pressi della banca, riconobbe Valpreda nelle forme che la difesa contestò per l'intero processo, con un'individuazione condotta secondo modalità suggestive e con descrizioni oscillanti che gli atti documentano, e morì nel 1971, prima di ogni dibattimento, cristallizzando per sempre la propria testimonianza nello stato istruttorio, non più verificabile in contraddittorio, Livello A quanto alla deposizione, alle sue modalità ed alla morte del teste. Il registro consegna il caso alla sua funzione paradigmatica per l'intera opera: l'imputazione che tenne un innocente 3 anni in carcere e per 16 sotto processo poggiava su un riconoscimento unico, viziato nel metodo e reso incontrovertibile dalla morte del suo autore, e la sproporzione tra la fragilità di quella base e la durata dei suoi effetti è la dimostrazione inaugurale, nel primo capitolo della fase, della legge che il corpus verificherà sino all'ultimo: nei processi della stagione, il danno non lo fecero quasi mai le prove false, lo fecero le prove deboli trattate come forti, e la giustizia impiegò decenni non a smascherare menzogne, ma a ridare alle cose il loro peso.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Fontana è certificato al Livello A quale evento inaugurale della stagione stragista, con 17 vittime, e quale sede del paradosso del giudicato: la matrice ordinovista veneta della strage, riconducibile a Freda e Ventura, è affermata quale verità storica nella motivazione della sentenza definitiva del 3 maggio 2005, mentre il dispositivo irrevocabile del 1987 assolve i medesimi per insufficienza di prove e il divieto del secondo giudizio ne preclude per sempre la condanna; la pista anarchica è certificata al Livello A quale primo depistaggio della stagione, con la morte di Pinelli e la quindicennale odissea giudiziaria di Valpreda, assolto in via definitiva, quali suoi costi documentati; le assoluzioni definitive di Freda, Ventura, Giannettini, Zorzi e Maggi per questa strage sono tutte riportate per esteso.</w:t>
      </w:r>
    </w:p>
    <w:p>
      <w:pPr>
        <w:pStyle w:val="Heading3"/>
        <w:spacing w:after="80" w:before="160"/>
      </w:pPr>
      <w:r>
        <w:rPr>
          <w:rFonts w:ascii="Barlow Semi Condensed" w:cs="Barlow Semi Condensed" w:eastAsia="Barlow Semi Condensed" w:hAnsi="Barlow Semi Condensed"/>
          <w:sz w:val="24"/>
          <w:szCs w:val="24"/>
        </w:rPr>
        <w:t xml:space="preserve">Capitolo 2 — ◆ Ordine Nuovo. La matrice organizzativa e la vendetta contro il giudice</w:t>
      </w:r>
    </w:p>
    <w:p>
      <w:pPr>
        <w:spacing w:after="120" w:line="276"/>
        <w:jc w:val="both"/>
      </w:pPr>
      <w:r>
        <w:rPr>
          <w:rFonts w:ascii="Barlow Semi Condensed" w:cs="Barlow Semi Condensed" w:eastAsia="Barlow Semi Condensed" w:hAnsi="Barlow Semi Condensed"/>
          <w:sz w:val="24"/>
          <w:szCs w:val="24"/>
        </w:rPr>
        <w:t xml:space="preserve">Ordine Nuovo, il movimento della destra radicale fondato da Pino Rauti e divenuto, nelle sue articolazioni, la matrice organizzativa accertata del primo stragismo, è il nodo attraverso il quale il registro dà forma organizzativa a ciò che il capitolo precedente ha certificato quale matrice storica. La scansione del corpus registra il sintagma 881 volte in 42 documenti, la più alta frequenza del versante eversivo dopo il nome di Delle Chiaie, e il nome di Rauti 324 volte in 23 documenti. Il nodo salda il Dominio 7 al Dominio 2, attraverso la contiguità e le migrazioni con il Movimento sociale italiano, al Dominio 3, attraverso le fonti che gli apparati vi reclutarono, e al Dominio 10, attraverso lo scioglimento giudiziario e la vendetta consumata contro il magistrato che lo aveva ottenuto.</w:t>
      </w:r>
    </w:p>
    <w:p>
      <w:pPr>
        <w:spacing w:after="120" w:line="276"/>
        <w:jc w:val="both"/>
      </w:pPr>
      <w:r>
        <w:rPr>
          <w:rFonts w:ascii="Barlow Semi Condensed" w:cs="Barlow Semi Condensed" w:eastAsia="Barlow Semi Condensed" w:hAnsi="Barlow Semi Condensed"/>
          <w:sz w:val="24"/>
          <w:szCs w:val="24"/>
        </w:rPr>
        <w:t xml:space="preserve">La ricostruzione organizzativa muove dalla fondazione. Il Centro Studi Ordine Nuovo nacque nel 1956 da una scissione della corrente più radicale del Movimento sociale italiano, guidata da Pino Rauti, in polemica con la linea dell'inserimento parlamentare; nel 1969 Rauti rientrò nel partito, e la componente contraria al rientro, guidata da Clemente Graziani, diede vita al Movimento politico Ordine Nuovo, che proseguì l'attività su posizioni rivoluzionarie. Il registro certifica al Livello A, sul fondamento degli atti e della letteratura consolidata, questa duplice articolazione, e ne trae la prima annotazione: la storia di Ordine Nuovo è la storia di un movimento che oscillò costantemente sul confine tra il Dominio 2, la politica legale dell'area missina, e il Dominio 7, l'eversione armata, e le migrazioni dei suoi uomini attraverso quel confine disegnano il Pattern 7 nella sua variante più densa.</w:t>
      </w:r>
    </w:p>
    <w:p>
      <w:pPr>
        <w:spacing w:after="120" w:line="276"/>
        <w:jc w:val="both"/>
      </w:pPr>
      <w:r>
        <w:rPr>
          <w:rFonts w:ascii="Barlow Semi Condensed" w:cs="Barlow Semi Condensed" w:eastAsia="Barlow Semi Condensed" w:hAnsi="Barlow Semi Condensed"/>
          <w:sz w:val="24"/>
          <w:szCs w:val="24"/>
        </w:rPr>
        <w:t xml:space="preserve">Il primo pilastro probatorio è lo scioglimento giudiziario, che il registro certifica al Livello A quale unico caso, insieme a quello di Avanguardia Nazionale, di applicazione repubblicana della normativa contro la ricostituzione del partito fascista a un'organizzazione della destra radicale. Nel novembre 1973 il Tribunale di Roma condannò numerosi dirigenti del Movimento politico Ordine Nuovo per il reato di ricostituzione del disciolto partito fascista, e con decreto del 23 novembre 1973 il ministro dell'interno Paolo Emilio Taviani dispose lo scioglimento dell'organizzazione. Pubblico ministero di quel processo era stato il sostituto procuratore Vittorio Occorsio. Il registro certifica al Livello A la sentenza, il decreto e la titolarità dell'accusa, e annota che lo scioglimento non estinse la rete: parte dei militanti confluì nella clandestinità di Ordine Nero e delle sigle successive, secondo la dinamica di carsismo organizzativo che il registro codifica quale regolarità del dominio.</w:t>
      </w:r>
    </w:p>
    <w:p>
      <w:pPr>
        <w:spacing w:after="120" w:line="276"/>
        <w:jc w:val="both"/>
      </w:pPr>
      <w:r>
        <w:rPr>
          <w:rFonts w:ascii="Barlow Semi Condensed" w:cs="Barlow Semi Condensed" w:eastAsia="Barlow Semi Condensed" w:hAnsi="Barlow Semi Condensed"/>
          <w:sz w:val="24"/>
          <w:szCs w:val="24"/>
        </w:rPr>
        <w:t xml:space="preserve">Il secondo pilastro è la vendetta contro il magistrato, che il registro certifica al Livello A quale arco tra il Dominio 7 e il Dominio 10 nella sua forma estrema. Il 10 luglio 1976 Vittorio Occorsio, che dopo il processo per la ricostituzione aveva proseguito le indagini sui rapporti tra eversione nera e criminalità comune, fu assassinato a Roma con raffiche di mitra mentre si recava al lavoro; l'agguato fu rivendicato da Ordine Nuovo con un volantino che motivava l'esecuzione con la persecuzione giudiziaria del movimento. Per l'omicidio fu condannato all'ergastolo, con sentenza divenuta irrevocabile, Pierluigi Concutelli, comandante militare della struttura clandestina ordinovista, catturato nel 1977. La scansione del corpus registra Occorsio 191 volte in 22 documenti e Concutelli 163 volte in 23. Il registro certifica al Livello A, sul fondamento del giudicato, l'omicidio di Occorsio quale esecuzione deliberata di un magistrato da parte dell'organizzazione che egli aveva colpito, e ne trae la qualificazione sistemica: è il primo omicidio di magistrato della stagione a matrice interamente eversiva e a movente dichiaratamente ritorsivo, e certifica che l'organizzazione disponeva, dopo lo scioglimento, di una struttura militare clandestina capace di deliberare ed eseguire l'eliminazione di un servitore dello Stato. Il registro annota altresì, quale reperto di continuità che salda questa vicenda al capitolo su Brescia, che Concutelli, detenuto, strangolò in carcere nel 1981, insieme a Mario Tuti, l'imputato della strage di piazza della Loggia Ermanno Buzzi, alla vigilia del processo d'appello: l'eliminazione fisica di un imputato-testimone da parte di detenuti dell'area, certificata al Livello A dalle condanne per quell'omicidio, appartiene alla tipologia dell'ostruzione nella sua specie più radicale, la soppressione della fonte.</w:t>
      </w:r>
    </w:p>
    <w:p>
      <w:pPr>
        <w:spacing w:after="120" w:line="276"/>
        <w:jc w:val="both"/>
      </w:pPr>
      <w:r>
        <w:rPr>
          <w:rFonts w:ascii="Barlow Semi Condensed" w:cs="Barlow Semi Condensed" w:eastAsia="Barlow Semi Condensed" w:hAnsi="Barlow Semi Condensed"/>
          <w:sz w:val="24"/>
          <w:szCs w:val="24"/>
        </w:rPr>
        <w:t xml:space="preserve">Il terzo pilastro è la posizione di Pino Rauti, che il registro tratta con la disciplina integrale delle assoluzioni. Rauti, fondatore del movimento, fu ripetutamente raggiunto da indagini e imputazioni per gli eventi della stagione stragista: arrestato nel 1972 nell'ambito delle prime indagini su piazza Fontana, fu prosciolto; imputato nel nuovo ciclo processuale per la strage di piazza della Loggia, fu assolto in primo grado nel 2010 e in appello nel 2012, con pronuncia divenuta definitiva, ed è morto nel novembre 2012 senza aver mai riportato alcuna condanna per fatti di strage. Il registro riporta per esteso questa sequenza integralmente assolutoria e certifica al Livello A che Pino Rauti, fondatore di Ordine Nuovo e successivamente parlamentare e segretario del Movimento sociale italiano, non è mai stato condannato per alcuno degli eventi stragisti; la distinzione tra la responsabilità organizzativa e ideologica del fondatore, materia storiografica, e la responsabilità penale individuale, mai affermata, è per il registro invalicabile.</w:t>
      </w:r>
    </w:p>
    <w:p>
      <w:pPr>
        <w:spacing w:after="120" w:line="276"/>
        <w:jc w:val="both"/>
      </w:pPr>
      <w:r>
        <w:rPr>
          <w:rFonts w:ascii="Barlow Semi Condensed" w:cs="Barlow Semi Condensed" w:eastAsia="Barlow Semi Condensed" w:hAnsi="Barlow Semi Condensed"/>
          <w:sz w:val="24"/>
          <w:szCs w:val="24"/>
        </w:rPr>
        <w:t xml:space="preserve">Il quarto pilastro è il carsismo organizzativo successivo allo scioglimento, che il registro certifica quale regolarità strutturale del dominio e quale chiave della finestra critica del 1974. Lo scioglimento del novembre 1973 non estinse la rete umana e operativa del movimento: parte dei militanti, sottrattisi alla dissoluzione, diede vita alla sigla clandestina Ordine Nero, sotto la quale furono rivendicati numerosi attentati della campagna del 1974, e la magistratura degli anni successivi ricostruì la continuità personale e materiale tra il movimento disciolto e le formazioni clandestine che ne raccolsero l'eredità. Il registro certifica al Livello A, sul fondamento degli atti giudiziari e parlamentari convergenti, la continuità carsica tra l'organizzazione disciolta e le sigle successive quanto agli uomini e agli ambienti, e mantiene distinta, secondo la disciplina consueta, l'attribuzione dei singoli attentati rivendicati, che segue per ciascun evento il proprio statuto probatorio. L'annotazione sistemica è duplice. In primo luogo, la sequenza scioglimento-clandestinizzazione-campagna del 1974 disegna una correlazione temporale che il Pattern 3 registra: l'anno successivo allo scioglimento fu l'anno di massima intensità stragista della prima finestra, con piazza della Loggia in maggio e l'Italicus in agosto, e la trasformazione della struttura da movimento semilegale a rete clandestina accompagnò l'innalzamento della soglia omicidiaria; la correlazione è certificata quale sequenza, non quale nesso causale, che resterebbe inferenza. In secondo luogo, il carsismo certifica che lo strumento dello scioglimento amministrativo-giudiziario, da solo, non disarticola la rete: colpisce il contenitore e non i nodi, i quali si ricompongono sotto altra insegna, secondo la dinamica che la teoria dei sistemi assegna alle strutture la cui capacità di autoriproduzione risiede nelle relazioni e non nella forma giuridica; è la medesima lezione che il registro ha tratto, nella Fase 1, dalla sopravvivenza della rete piduista allo scioglimento della loggia.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Ordine Nuovo-cellula veneta-piazza Fontana, è il triangolo della matrice, certificato al Livello A quale verità storica di motivazione secondo quanto esposto nel capitolo 1. La seconda, Ordine Nuovo-Occorsio-Concutelli, è il triangolo della vendetta contro la giurisdizione, certificato al Livello A dal giudicato e costituente l'arco Dominio 7-Dominio 10 nella sua massima gravità. La terza, Ordine Nuovo-Movimento sociale italiano-migrazioni, è il triangolo della contiguità politica, certificato al Livello A quanto ai fatti organizzativi delle scissioni e dei rientri, e mantenuto rigorosamente distinto da ogni estensione di responsabilità al partito quale tale, che il registro non afferma ad alcun livello. Sul piano dei pattern, il nodo attiva il Pattern 7 nelle migrazioni tra politica legale ed eversione, e il Pattern 2, l'identificazione delle comunità, giacché la cellula ordinovista veneta, con le sue ramificazioni mestrine e milanesi, costituisce la comunità funzionale la cui azione coordinata è confermata dagli eventi certificati, secondo il criterio di validazione che il metodo prescrive.</w:t>
      </w:r>
    </w:p>
    <w:p>
      <w:pPr>
        <w:spacing w:after="120" w:line="276"/>
        <w:jc w:val="both"/>
      </w:pPr>
      <w:r>
        <w:rPr>
          <w:rFonts w:ascii="Barlow Semi Condensed" w:cs="Barlow Semi Condensed" w:eastAsia="Barlow Semi Condensed" w:hAnsi="Barlow Semi Condensed"/>
          <w:sz w:val="24"/>
          <w:szCs w:val="24"/>
        </w:rPr>
        <w:t xml:space="preserve">Alla parabola del Movimento politico che il capitolo ha censito va aggiunto il destino del suo capo, perché esso completa la statistica delle latitanze della fase. Raggiunto dalle condanne del filone sullo scioglimento, Clemente Graziani riparò all'estero e condusse la propria latitanza lungo la rotta sudamericana, chiudendola in Paraguay, dove morì nel 1996 senza aver più fatto rientro in Italia, Livello A quanto alla latitanza ed alla morte. La traiettoria certifica su scala organizzativa una regolarità che il registro eleva a teorema: lo scioglimento per via giudiziaria e ministeriale non estingue l'ambiente, ne modifica lo stato di aggregazione, dalla forma solida dell'organizzazione legale alla forma gassosa della rete clandestina e diasporica, e la mappa delle latitanze dei quadri ordinovisti, distribuita tra la penisola iberica ed il cono sudamericano, coincide con precisione cartografica con la mappa dei santuari che la Fase 5 sistematizzerà. Sicché il decreto del novembre 1973, lungi dal chiudere la storia del movimento, ne inaugurò la fase internazionale, e la repressione domestica funzionò, per eterogenesi dei fini, quale motore della transnazionalizzazione dell'ambiente: dinamica che la criminologia delle organizzazioni conosce bene e che il registro annota quale variabile permanente di ogni politica di scioglimento, il costo esterno della bonifica interna.</w:t>
      </w:r>
    </w:p>
    <w:p>
      <w:pPr>
        <w:spacing w:after="120" w:line="276"/>
        <w:jc w:val="both"/>
      </w:pPr>
      <w:r>
        <w:rPr>
          <w:rFonts w:ascii="Barlow Semi Condensed" w:cs="Barlow Semi Condensed" w:eastAsia="Barlow Semi Condensed" w:hAnsi="Barlow Semi Condensed"/>
          <w:sz w:val="24"/>
          <w:szCs w:val="24"/>
        </w:rPr>
        <w:t xml:space="preserve">Lo scioglimento va restituito nella sua meccanica a doppio atto, che ne fa un unicum ordinamentale. Il 21 novembre 1973 il Tribunale di Roma, all'esito del processo promosso contro il Centro Studi e la sua rete, condannò un folto gruppo di dirigenti e militanti, una trentina di posizioni, per il delitto di ricostituzione del disciolto partito fascista previsto dalla legge Scelba, ed il 23 novembre, a 48 ore dalla sentenza, il ministro dell'interno Paolo Emilio Taviani decretò lo scioglimento dell'organizzazione e la confisca dei beni, saldando in un solo tornante la via giudiziaria e quella amministrativa, Livello A quanto ad entrambi gli atti ed alle date, con conferme nei gradi successivi del versante penale. Il registro annota la rarità della sequenza: la legislazione attuativa della XII disposizione transitoria della Costituzione, rimasta per un quarto di secolo strumento più evocato che applicato, conobbe qui la sua applicazione maggiore, e la circostanza che essa colpisse l'organizzazione dalla quale i giudicati avrebbero poi fatto discendere la matrice del primo stragismo conferisce al provvedimento, retrospettivamente, il valore di un accertamento anticipato. Alla data dello scioglimento il movimento aveva peraltro già prodotto la propria metamorfosi carsica, secondo la dinamica che il quarto pilastro ha censito: sicché il decreto Taviani colpì la forma quando la funzione era già altrove, e la fase ne trae la conferma di un teorema che la P2 aveva già dimostrato sul versante massonico, la dissoluzione giuridica quale evento che certifica il passato dell'organizzazione assai più di quanto ne determini il futuro.</w:t>
      </w:r>
    </w:p>
    <w:p>
      <w:pPr>
        <w:spacing w:after="120" w:line="276"/>
        <w:jc w:val="both"/>
      </w:pPr>
      <w:r>
        <w:rPr>
          <w:rFonts w:ascii="Barlow Semi Condensed" w:cs="Barlow Semi Condensed" w:eastAsia="Barlow Semi Condensed" w:hAnsi="Barlow Semi Condensed"/>
          <w:sz w:val="24"/>
          <w:szCs w:val="24"/>
        </w:rPr>
        <w:t xml:space="preserve">Una parola, infine, sul nome, perché la semiotica delle denominazioni non è mai neutra in questo campo ed il registro se ne è dato carico sin dalla Fase 1. Ordine Nuovo: il sintagma, che il movimento condivideva con esperienze europee coeve e che rovesciava programmaticamente l'ordine vigente in disordine da sanare, dichiara nella sua stessa grammatica la dottrina che il capitolo 3 esporrà, la destabilizzazione quale via alla stabilizzazione autoritaria, il caos strumentale in vista dell'ordine finale. Che un'organizzazione il cui nome prometteva l'ordine sia stata giudizialmente accertata quale matrice del massimo disordine sanguinoso della Repubblica non è un'ironia della storia ma l'esatta esecuzione del programma: e la fase, che diffida delle ironie quanto delle cabale, consegna il dato alla sua sede propria, la dottrina scritta, dove il rovesciamento era teorizzato con la franchezza che soltanto i documenti di dottrina, tra tutte le carte che questo registro maneggia, si possono permettere.</w:t>
      </w:r>
    </w:p>
    <w:p>
      <w:pPr>
        <w:spacing w:after="120" w:line="276"/>
        <w:jc w:val="both"/>
      </w:pPr>
      <w:r>
        <w:rPr>
          <w:rFonts w:ascii="Barlow Semi Condensed" w:cs="Barlow Semi Condensed" w:eastAsia="Barlow Semi Condensed" w:hAnsi="Barlow Semi Condensed"/>
          <w:sz w:val="24"/>
          <w:szCs w:val="24"/>
        </w:rPr>
        <w:t xml:space="preserve">Il carsismo organizzativo va corredato della sua nomenclatura, perché le sigle sono i sedimenti visibili del fiume sotterraneo: allo scioglimento del novembre 1973 seguirono, nella galassia reduce, le denominazioni della clandestinità matura, dal Movimento politico che raccolse la militanza irriducibile alle sigle di rivendicazione quali Ordine Nero, apparse sui volantini della stagione stragista del 1974, sino alle testate ed ai fogli d'area che assicurarono la continuità dottrinale, Livello A quanto all'esistenza ed all'uso documentato delle sigle, Livello B quanto alla esatta consistenza organizzativa di ciascuna, che gli accertamenti restituirono disomogenea. Il registro trae dalla nomenclatura la sua lezione tassonomica: nella fase carsica, la sigla non designa più un'organizzazione ma una funzione, la rivendicazione, la formazione, il collegamento, e l'analista che cercasse dietro ogni denominazione un organigramma commetterebbe l'errore inverso a quello di chi nega ogni continuità. La continuità certificata è quella degli uomini e della dottrina, non delle strutture: gli stessi militanti attraversano sigle successive come si attraversano stanze, e la mappa attendibile del dopo-scioglimento è perciò prosopografica, non organizzativa, secondo il metodo che il Pattern 7 prescrive e che i giudicati della fase hanno implicitamente convalidato.</w:t>
      </w:r>
    </w:p>
    <w:p>
      <w:pPr>
        <w:spacing w:after="120" w:line="276"/>
        <w:jc w:val="both"/>
      </w:pPr>
      <w:r>
        <w:rPr>
          <w:rFonts w:ascii="Barlow Semi Condensed" w:cs="Barlow Semi Condensed" w:eastAsia="Barlow Semi Condensed" w:hAnsi="Barlow Semi Condensed"/>
          <w:sz w:val="24"/>
          <w:szCs w:val="24"/>
        </w:rPr>
        <w:t xml:space="preserve">La prosopografia del nodo si completa con la figura che ne attraversò tutti i processi maggiori uscendone sempre assolto, ed il registro la censisce per completezza di casellario: Paolo Signorelli, il docente romano tra i riferimenti ideologici dell'area ordinovista e della sua diaspora, imputato nelle istruttorie sulle stragi e sull'eversione sino al processo bolognese, dal quale uscì con assoluzione divenuta irrevocabile, come dagli altri procedimenti maggiori che lo videro alla sbarra, sicché il suo casellario definitivo, alla morte nel 2010, non registrava alcuna condanna per i fatti di strage contestatigli, Livello A quanto agli esiti assolutori riportati per esteso secondo la disciplina dell'opera. Il registro colloca la figura nella tipologia che il capitolo ha costruito: Signorelli appartiene alla categoria degli imputati seriali assolti, gli uomini che l'accusa ha inseguito per decenni attraverso più stragi senza mai ottenerne la condanna, e la disciplina impone di consegnare la categoria nella sua doppia lettura non gerarchizzabile, quella garantista, per cui la serialità delle assoluzioni misura la serialità degli errori accusatori, e quella storiografica, per cui la ricorrenza del medesimo nome in tutte le istruttorie misura la centralità di un ambiente che i processi non riuscirono a penetrare, con l'annotazione di metodo che vale per l'intera prosopografia della fase: il casellario di un uomo è un fatto, la sua biografia è un altro, e l'opera, che deve fedeltà ad entrambi, li riporta separati perché il lettore non li confonda mai.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Ordine Nuovo è certificato al Livello A quale matrice organizzativa del primo stragismo, sciolto per via giudiziaria e ministeriale nel novembre 1973 all'esito del processo per ricostituzione del partito fascista sostenuto dall'accusa di Vittorio Occorsio; l'omicidio di Occorsio del 10 luglio 1976, rivendicato dall'organizzazione ed eseguito da Pierluigi Concutelli, condannato in via definitiva, è certificato al Livello A quale arco estremo tra il Dominio 7 e il Dominio 10; l'eliminazione in carcere dell'imputato Buzzi ad opera di Concutelli e Tuti è certificata al Livello A quale specie radicale dell'ostruzione; la posizione di Pino Rauti, mai condannato e assolto in via definitiva in ogni sede, è riportata per esteso.</w:t>
      </w:r>
    </w:p>
    <w:p>
      <w:pPr>
        <w:pStyle w:val="Heading3"/>
        <w:spacing w:after="80" w:before="160"/>
      </w:pPr>
      <w:r>
        <w:rPr>
          <w:rFonts w:ascii="Barlow Semi Condensed" w:cs="Barlow Semi Condensed" w:eastAsia="Barlow Semi Condensed" w:hAnsi="Barlow Semi Condensed"/>
          <w:sz w:val="24"/>
          <w:szCs w:val="24"/>
        </w:rPr>
        <w:t xml:space="preserve">Capitolo 3 — ▶ Franco Freda e Giovanni Ventura. La cellula veneta tra condanna e giudicato assolutorio</w:t>
      </w:r>
    </w:p>
    <w:p>
      <w:pPr>
        <w:spacing w:after="120" w:line="276"/>
        <w:jc w:val="both"/>
      </w:pPr>
      <w:r>
        <w:rPr>
          <w:rFonts w:ascii="Barlow Semi Condensed" w:cs="Barlow Semi Condensed" w:eastAsia="Barlow Semi Condensed" w:hAnsi="Barlow Semi Condensed"/>
          <w:sz w:val="24"/>
          <w:szCs w:val="24"/>
        </w:rPr>
        <w:t xml:space="preserve">Franco Freda, nato a Padova l'11 febbraio 1941, editore e ideologo della destra radicale, e Giovanni Ventura, nato in provincia di Treviso nel 1944 e morto a Buenos Aires nel 2010, editore e libraio, costituiscono il nodo binario attraverso il quale il registro dà volto individuale alla cellula ordinovista veneta che il capitolo 1 ha certificato quale matrice storica della strage inaugurale. La scansione del corpus registra Freda 448 volte in 26 documenti e Ventura 359 volte in 22. Il nodo è trattato congiuntamente perché congiunta fu l'azione dei 2 nella ricostruzione giudiziaria, e perché la loro vicenda processuale, presa nel suo insieme, costituisce il più compiuto caso di scuola dell'intera opera sul rapporto tra verità storica e verità processuale.</w:t>
      </w:r>
    </w:p>
    <w:p>
      <w:pPr>
        <w:spacing w:after="120" w:line="276"/>
        <w:jc w:val="both"/>
      </w:pPr>
      <w:r>
        <w:rPr>
          <w:rFonts w:ascii="Barlow Semi Condensed" w:cs="Barlow Semi Condensed" w:eastAsia="Barlow Semi Condensed" w:hAnsi="Barlow Semi Condensed"/>
          <w:sz w:val="24"/>
          <w:szCs w:val="24"/>
        </w:rPr>
        <w:t xml:space="preserve">La ricostruzione biografica colloca i 2 al centro della cellula eversiva attiva tra Padova, Treviso e Mestre alla fine degli anni Sessanta. Freda, ideologo della disintegrazione del sistema e teorico della saldatura tra estremismi opposti in funzione antisistema, animava dalla sua casa editrice padovana un circuito politico-culturale della destra rivoluzionaria; Ventura, editore trevigiano, ne era il sodale operativo, con contatti che le indagini avrebbero rivelato estesi agli ambienti informativi. Il registro certifica al Livello A, sul fondamento dei giudicati che si diranno, l'esistenza e l'operatività della cellula facente capo ai 2 nel biennio 1968-1969.</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la campagna di attentati del 1969 anteriore alla strage. Freda e Ventura furono condannati, con sentenza divenuta irrevocabile nel ciclo processuale di Catanzaro e Bari, per l'associazione sovversiva e per la serie di attentati dinamitardi che scandirono il 1969 prima del 12 dicembre, tra cui gli ordigni del 25 aprile alla Fiera e alla stazione di Milano e le bombe collocate su 8 treni nella notte tra l'8 e il 9 agosto 1969, che ferirono 12 persone; la pena definitiva fu di 15 anni di reclusione. Il registro certifica al Livello A, sul fondamento del giudicato di condanna, la responsabilità di Freda e Ventura per la campagna di attentati del 1969, e ne trae la conseguenza strutturale: la sequenza che condusse alla strage di dicembre non fu un fulmine a ciel sereno, ma il culmine di una progressione attentatoria annuale giudizialmente accertata a carico della medesima cellula cui la motivazione definitiva del 2005 avrebbe attribuito anche la strage; la progressione, dalla dimostratività ferale delle bombe sui treni all'eccidio della banca, è il dato che le sentenze consegnano alla storia.</w:t>
      </w:r>
    </w:p>
    <w:p>
      <w:pPr>
        <w:spacing w:after="120" w:line="276"/>
        <w:jc w:val="both"/>
      </w:pPr>
      <w:r>
        <w:rPr>
          <w:rFonts w:ascii="Barlow Semi Condensed" w:cs="Barlow Semi Condensed" w:eastAsia="Barlow Semi Condensed" w:hAnsi="Barlow Semi Condensed"/>
          <w:sz w:val="24"/>
          <w:szCs w:val="24"/>
        </w:rPr>
        <w:t xml:space="preserve">Il secondo pilastro è la duplice pronuncia definitiva sulla strage, che il capitolo 1 ha esposto dal lato dell'evento e che qui si espone dal lato degli uomini, nella sua interezza formale. Per la strage di piazza Fontana, Franco Freda e Giovanni Ventura furono condannati all'ergastolo in primo grado a Catanzaro nel 1979, assolti in appello nel 1981, e, dopo annullamento con rinvio, assolti per insufficienza di prove dalla Corte d'assise d'appello di Bari nel 1985, con sentenza divenuta irrevocabile nel 1987: questa è la loro condizione giuridica perpetua rispetto alla strage, che il registro riporta per esteso. La sentenza definitiva del 3 maggio 2005, conclusiva del secondo troncone processuale a carico di altri imputati, affermò in motivazione, sul fondamento del compendio probatorio complessivo, che la strage fu opera della cellula guidata da Freda e Ventura, dando atto dell'impossibilità di perseguirli nuovamente in forza del divieto del secondo giudizio. Il registro tiene ferme, senza confonderle, le 2 certificazioni di Livello A già enunciate: l'attribuzione storica in motivazione definitiva, e l'assoluzione irrevocabile nel dispositivo del 1987. Aggiunge qui la considerazione metodologica propria del nodo: la vicenda di Freda e Ventura dimostra che il sistema processuale può produrre, sul medesimo fatto e sui medesimi soggetti, esiti formalmente definitivi e sostanzialmente divergenti a distanza di decenni, e che un registro rigoroso deve rappresentare tale divergenza anziché risolverla arbitrariamente in una delle 2 direzioni; la Regola Ferrea vieta tanto di trattare i 2 quali condannati per la strage, che non sono, quanto di tacere l'attribuzione storica contenuta nel giudicato del 2005, che esiste.</w:t>
      </w:r>
    </w:p>
    <w:p>
      <w:pPr>
        <w:spacing w:after="120" w:line="276"/>
        <w:jc w:val="both"/>
      </w:pPr>
      <w:r>
        <w:rPr>
          <w:rFonts w:ascii="Barlow Semi Condensed" w:cs="Barlow Semi Condensed" w:eastAsia="Barlow Semi Condensed" w:hAnsi="Barlow Semi Condensed"/>
          <w:sz w:val="24"/>
          <w:szCs w:val="24"/>
        </w:rPr>
        <w:t xml:space="preserve">Il terzo pilastro è il reticolo di contatti della cellula con gli ambienti informativi, che salda il nodo alla Fase 2. Le indagini accertarono che Giovanni Ventura intrattenne rapporti con Guido Giannettini, la fonte del servizio militare di cui si è detto, e che attraverso tale canale la cellula veneta si trovò in contatto con l'orbita del Reparto D; la condanna definitiva di Maletti per il favoreggiamento dell'espatrio di Giannettini e per il depistaggio certifica, come esposto nella Fase 2, che il servizio intervenne a copertura di quell'ambiente. Il registro certifica al Livello A l'esistenza del canale Ventura-Giannettini quale fatto accertato nei giudicati, e mantiene al Livello C, secondo la disciplina costante, ogni inferenza che dal contatto e dalla copertura risalga a una direzione degli eventi da parte degli apparati: il contatto è provato, la copertura è provata, la regia non lo è.</w:t>
      </w:r>
    </w:p>
    <w:p>
      <w:pPr>
        <w:spacing w:after="120" w:line="276"/>
        <w:jc w:val="both"/>
      </w:pPr>
      <w:r>
        <w:rPr>
          <w:rFonts w:ascii="Barlow Semi Condensed" w:cs="Barlow Semi Condensed" w:eastAsia="Barlow Semi Condensed" w:hAnsi="Barlow Semi Condensed"/>
          <w:sz w:val="24"/>
          <w:szCs w:val="24"/>
        </w:rPr>
        <w:t xml:space="preserve">Il quarto pilastro è la dottrina della disintegrazione del sistema, che il registro censisce quale reperto ideologico necessario alla comprensione della cellula e della sua strategia di ambiguità. Freda teorizzò, nella sua produzione pubblicistica, la disintegrazione dell'ordine democratico quale obiettivo primario, da perseguire anche attraverso la saldatura tattica tra gli estremismi opposti e l'uso strumentale della manovalanza e delle insegne altrui; la dottrina non è un dato biografico accessorio, ma la chiave dichiarata della tecnica che gli accertamenti avrebbero documentato, dall'infiltrazione dell'ambiente anarchico all'attribuzione degli attentati a mani altrui. Il registro certifica al Livello A l'esistenza e il contenuto della dottrina, quale dato documentale della pubblicistica fredaiana, e ne trae l'annotazione metodologica che la Nota dell'opera prescrive: la strategia dell'ambiguità deliberata, teorizzata dall'ambiente cui la strage è storicamente attribuita, è essa stessa la ragione per cui l'accertamento della stagione fu così arduo, giacché un metodo eversivo fondato sulla falsa attribuzione produce, per costruzione, un campo probatorio inquinato alla fonte; e la consapevolezza di questo inquinamento originario è parte del corredo critico con cui il registro legge ogni fonte della stagione, secondo la logica dell'Indice di Contaminazione che vieta di assumere le apparenze immediate degli eventi quale loro verità. Il registro annota altresì, per completezza biografica, che Freda, scontate le pene definitive, è tornato in libertà proseguendo l'attività editoriale, e che la sua condizione giuridica rispetto alla strage resta quella descritta, mentre Ventura, trasferitosi in Argentina, vi è morto nel 2010.</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Freda-Ventura-attentati del 1969, è il triangolo della progressione attentatoria, certificato al Livello A dal giudicato di condanna. La seconda, Freda-Ventura-strage di piazza Fontana, è il triangolo del paradosso del giudicato, con la duplice certificazione di Livello A esposta. La terza, Ventura-Giannettini-Reparto D, è il triangolo del contatto con gli apparati, certificato al Livello A quanto al canale e alla copertura e mantenuto al Livello C quanto alla regia. Sul piano dei pattern, il nodo attiva il Pattern 6 nella sua funzione storica, quale caso in cui la competizione tra ipotesi si è protratta per 36 anni di processi producendo il più complesso esito bifronte dell'ordinamento; e il Pattern 3, giacché la progressione attentatoria del 1969 disegna, entro un solo anno, l'escalation dalla dimostratività alla strage che l'analisi temporale identifica quale firma della finestra critica inaugurale.</w:t>
      </w:r>
    </w:p>
    <w:p>
      <w:pPr>
        <w:spacing w:after="120" w:line="276"/>
        <w:jc w:val="both"/>
      </w:pPr>
      <w:r>
        <w:rPr>
          <w:rFonts w:ascii="Barlow Semi Condensed" w:cs="Barlow Semi Condensed" w:eastAsia="Barlow Semi Condensed" w:hAnsi="Barlow Semi Condensed"/>
          <w:sz w:val="24"/>
          <w:szCs w:val="24"/>
        </w:rPr>
        <w:t xml:space="preserve">La parabola dei 2 uomini si completa con il capitolo delle fughe, che appartiene alla geografia internazionale della protezione censita in questa fase. Nell'autunno 1978, nelle more del giudizio catanzarese, Freda si sottrasse al soggiorno obbligato cui era sottoposto e riparò in Costa Rica, dove fu rintracciato ed arrestato nell'agosto 1979 e donde fu ricondotto in Italia per la prosecuzione del giudizio; Ventura, evaso a sua volta, raggiunse l'Argentina, dove la richiesta estradizionale italiana non conseguì mai la consegna, Livello A quanto alle scansioni delle fughe e degli esiti. Il registro annota la biforcazione quale esperimento naturale sulla resa dei circuiti estradizionali: 2 coimputati del medesimo processo, 2 rotte latinoamericane, 2 esiti opposti, e la variabile discriminante, la diversa disponibilità cooperativa degli Stati di rifugio, appartiene alla mappa che la Fase 5 sistematizzerà sotto il titolo delle capitali-rifugio.</w:t>
      </w:r>
    </w:p>
    <w:p>
      <w:pPr>
        <w:spacing w:after="120" w:line="276"/>
        <w:jc w:val="both"/>
      </w:pPr>
      <w:r>
        <w:rPr>
          <w:rFonts w:ascii="Barlow Semi Condensed" w:cs="Barlow Semi Condensed" w:eastAsia="Barlow Semi Condensed" w:hAnsi="Barlow Semi Condensed"/>
          <w:sz w:val="24"/>
          <w:szCs w:val="24"/>
        </w:rPr>
        <w:t xml:space="preserve">Alla cellula veneta appartiene infine un esito assolutorio che la disciplina del registro impone di riportare: Massimiliano Fachini, esponente dell'ordinovismo padovano gravitante nell'orbita della cellula, imputato quale concorrente nella strage di Bologna, fu assolto in via definitiva da quell'accusa nel ciclo processuale concluso nei primi anni 90, Livello A, e la sua posizione, accusata e liberata, completa la statistica giudiziaria di un ambiente, quello veneto, che i giudicati hanno raggiunto per la campagna del 1969 e per la matrice storica di piazza Fontana, e non oltre: il perimetro esatto, né più largo né più stretto, entro il quale il registro consente a sé stesso di parlare di cellula.</w:t>
      </w:r>
    </w:p>
    <w:p>
      <w:pPr>
        <w:spacing w:after="120" w:line="276"/>
        <w:jc w:val="both"/>
      </w:pPr>
      <w:r>
        <w:rPr>
          <w:rFonts w:ascii="Barlow Semi Condensed" w:cs="Barlow Semi Condensed" w:eastAsia="Barlow Semi Condensed" w:hAnsi="Barlow Semi Condensed"/>
          <w:sz w:val="24"/>
          <w:szCs w:val="24"/>
        </w:rPr>
        <w:t xml:space="preserve">Alla campagna del 1969 anteriore alla strage va restituita la sua progressione documentata, perché in essa i giudici lessero la firma seriale della cellula: gli ordigni del 25 aprile alla Fiera campionaria ed alla stazione centrale di Milano, con decine di feriti, e quindi, nella notte tra l'8 ed il 9 agosto, la campagna dei treni, 10 ordigni collocati su convogli in viaggio lungo la dorsale, dei quali 8 esplosero provocando 12 feriti, in un crescendo che le sentenze qualificarono quale sperimentazione progressiva della tecnica e del terrore, Livello A quanto ai fatti ed alla loro attribuzione giudicata. La condanna definitiva a 15 anni per l'associazione sovversiva e per questa campagna, che il capitolo ha già certificato, si arresta esattamente sulla soglia del 12 dicembre: ed è su quella soglia che si colloca il secondo pilastro, la cui formula terminale merita ora l'analisi che la storia del diritto le deve. L'assoluzione pronunciata a Bari il 1° agosto 1985 fu resa nella formula dell'insufficienza di prove, l'istituto del codice previgente che consentiva al giudice di assolvere dubitando: una formula che non proclamava l'innocenza ma certificava l'impotenza dell'accertamento, e che il codice del 1988 avrebbe abolito proprio per la sua ambiguità costitutiva, Livello A quanto alla formula ed alla sua successiva abrogazione. Il registro annota la conseguenza permanente: i 2 uomini della cellula veneta uscirono dal processo per la strage né condannati né dichiarati innocenti, sospesi in una terra di mezzo che il diritto successivo ha soppresso senza poterla retroattivamente bonificare, e la verità storica di motivazione consacrata nel 2005 convive da allora con quel giudicato dubitativo in un equilibrio che non ha eguali nell'ordinamento: assolti per sempre con la formula del dubbio, indicati per sempre nella motivazione della certezza.</w:t>
      </w:r>
    </w:p>
    <w:p>
      <w:pPr>
        <w:spacing w:after="120" w:line="276"/>
        <w:jc w:val="both"/>
      </w:pPr>
      <w:r>
        <w:rPr>
          <w:rFonts w:ascii="Barlow Semi Condensed" w:cs="Barlow Semi Condensed" w:eastAsia="Barlow Semi Condensed" w:hAnsi="Barlow Semi Condensed"/>
          <w:sz w:val="24"/>
          <w:szCs w:val="24"/>
        </w:rPr>
        <w:t xml:space="preserve">Resta la figura professionale che accomunò i 2 uomini e che il registro censisce quale reperto di copertura: l'editoria. Freda con le sue Edizioni di Ar, officina della ristampa della testualità della destra radicale europea, Ventura con le proprie sigle e librerie trevigiane: la cellula operativa si presentò al mondo quale impresa culturale, e la copertura non fu casuale ma funzionale, giacché il commercio librario forniva insieme legittimazione intellettuale, rete di contatti interregionale e giustificazione documentale per viaggi, spedizioni e magazzini, Livello A quanto alle attività editoriali documentate, Livello B quanto alla loro lettura funzionale nelle ricostruzioni istruttorie. La fase vi riconosce una costante che ritroverà a Lisbona nel capitolo seguente: l'agenzia di stampa, la casa editrice, la libreria quali involucri d'elezione delle strutture clandestine del periodo, per la ragione strutturale che il Dominio 8 è l'unico il cui traffico ordinario, informazioni, carta, persone in movimento, coincide esattamente con il traffico che una rete cospirativa deve occultare. Dove altri seppelliscono, l'eversore colto pubblica: e la biblioteca, insegna il caso veneto, può essere un arsenale con il dorso rilegato.</w:t>
      </w:r>
    </w:p>
    <w:p>
      <w:pPr>
        <w:spacing w:after="120" w:line="276"/>
        <w:jc w:val="both"/>
      </w:pPr>
      <w:r>
        <w:rPr>
          <w:rFonts w:ascii="Barlow Semi Condensed" w:cs="Barlow Semi Condensed" w:eastAsia="Barlow Semi Condensed" w:hAnsi="Barlow Semi Condensed"/>
          <w:sz w:val="24"/>
          <w:szCs w:val="24"/>
        </w:rPr>
        <w:t xml:space="preserve">All'origine dell'intera pista veneta sta una fonte civile che il registro deve censire per nome, perché senza di essa la matrice non sarebbe mai emersa: Guido Lorenzon, insegnante trevigiano legato a Ventura da lunga amicizia, che nelle settimane successive al 12 dicembre 1969 riferì al proprio avvocato, e per suo tramite all'autorità giudiziaria, le confidenze ricevute dall'amico sulla campagna attentatoria dell'anno e sulla strage, consegnando all'istruttoria i primi fili concreti verso la cellula, Livello A quanto alla denuncia, alla sua data ed al suo contenuto agli atti. Il calvario che ne seguì appartiene alla fenomenologia del teste scomodo e il registro lo riporta nel suo esito: esposto per anni tra ritrattazioni parziali maturate sotto pressione e successive conferme, sottoposto egli stesso a procedimento per le proprie dichiarazioni e definitivamente prosciolto, Lorenzon attraversò l'intero ciclo processuale quale fonte contesa prima che le acquisizioni successive ne consolidassero il nucleo, Livello A quanto agli esiti personali. Il registro assegna alla figura la sua funzione paradigmatica: nell'economia del caso, il primo squarcio sulla matrice non venne da un apparato, da un pentito o da un archivio, ma da un cittadino che riferì ciò che sapeva per il tramite ordinario di un legale, e la sproporzione tra la semplicità civile di quel gesto e la mole delle ostruzioni che l'opera ha censito sul medesimo caso è, in sé, una misura: la verità disponibile nel dicembre 1969 impiegò 36 anni a diventare motivazione di sentenza, e non perché mancasse chi l'aveva detta.</w:t>
      </w:r>
    </w:p>
    <w:p>
      <w:pPr>
        <w:spacing w:after="120" w:line="276"/>
        <w:jc w:val="both"/>
      </w:pPr>
      <w:r>
        <w:rPr>
          <w:rFonts w:ascii="Barlow Semi Condensed" w:cs="Barlow Semi Condensed" w:eastAsia="Barlow Semi Condensed" w:hAnsi="Barlow Semi Condensed"/>
          <w:sz w:val="24"/>
          <w:szCs w:val="24"/>
        </w:rPr>
        <w:t xml:space="preserve">Il fascicolo delle protezioni istituzionali alla cellula contiene l'episodio che il registro censisce quale suo esemplare perfetto, rinviando alla fase seconda per gli esiti giudiziari sui responsabili: nel gennaio 1973 Marco Pozzan, l'uomo dell'ambiente padovano di Freda che costituiva uno dei testi potenzialmente decisivi dell'istruttoria sulla strage, fu esfiltrato in Spagna franchista con documenti di copertura predisposti dal servizio militare, in un'operazione condotta da ufficiali del reparto D che le sentenze definitive censite nella fase dedicata agli apparati avrebbero poi sanzionato quale favoreggiamento, Livello A quanto all'operazione, alle sue modalità ed ai giudicati sui suoi autori. Il registro fissa il valore sistemico dell'episodio nell'economia di questo capitolo: l'esfiltrazione Pozzan non è un depistaggio informativo, categoria di cui il corpus abbonda, ma un'operazione logistica materiale con cui un apparato dello Stato sottrasse fisicamente all'autorità giudiziaria un teste dell'istruttoria sulla più grave strage della Repubblica, trasportandolo sotto falso nome nel santuario iberico censito da quest'opera, e la sua certificazione con sentenza definitiva la rende il punto più alto e meno controvertibile dell'intera scala delle ostruzioni: qui non occorre inferire, pesare livelli o confrontare ipotesi, perché la Repubblica ha già scritto, in un giudicato, che un pezzo di sé nascose un pezzo della verità sul 12 dicembre, e tutto ciò che il metodo aggiunge è la collocazione del punto fermo dentro la serie, dove esso funziona da pietra di paragone: ogni altra ostruzione censita dal capitolo va misurata chiedendosi quanto le manchi per essere una Pozzan, e la risposta, quasi sempre, è soltanto la fortuna documentale di una condanna.</w:t>
      </w:r>
    </w:p>
    <w:p>
      <w:pPr>
        <w:spacing w:after="120" w:line="276"/>
        <w:jc w:val="both"/>
      </w:pPr>
      <w:r>
        <w:rPr>
          <w:rFonts w:ascii="Barlow Semi Condensed" w:cs="Barlow Semi Condensed" w:eastAsia="Barlow Semi Condensed" w:hAnsi="Barlow Semi Condensed"/>
          <w:sz w:val="24"/>
          <w:szCs w:val="24"/>
        </w:rPr>
        <w:t xml:space="preserve">Il paradosso terminale del caso esige il suo censimento esplicito, perché in esso l'intera fase trova la propria formula giuridica: le motivazioni conclusive dell'ultima stagione processuale milanese, confermate dal giudizio di legittimità del 2005, affermarono che la strage del 12 dicembre fu opera della cellula ordinovista veneta riconducibile ai 2 principali imputati storici, e simultaneamente ne dichiararono l'improcessabilità, essendo entrambi coperti dall'irrevocabilità delle assoluzioni pronunciate nel ciclo catanzarese-barese e divenute definitive nel 1987, per l'operare del divieto di secondo giudizio, Livello A quanto al contenuto delle motivazioni ed al loro fondamento nel ne bis in idem. Il registro isola il dispositivo logico che ne risulta, unico nell'intero corpus: la Repubblica possiede, sul proprio evento fondativo oscuro, una verità giudiziaria nominativa scritta in una sentenza definitiva, e possiede, nella stessa sentenza, la certificazione che quella verità non produrrà mai una condanna, sicché piazza Fontana è insieme il caso più risolto ed il più impunito della fase, risolto quanto alla storia ed impunito quanto al diritto, con i 2 esiti saldati per sempre nel medesimo atto. La lezione che il registro ne trae governa retrospettivamente l'intera architettura dell'opera: la distinzione metodologica tra verità processuale e responsabilità eseguibile, che il metodo ha applicato in ogni capitolo, non è una raffinatezza accademica ma la condizione reale del corpus, dove il massimo che la giustizia italiana ha saputo produrre sul proprio 12 dicembre è una sentenza che indica i colpevoli con una mano e con l'altra ne sigilla l'impunità, ed il registro, che deve fedeltà agli atti, consegna il paradosso senza attenuarlo, perché esso non è un difetto della ricostruzione, è il risultato.</w:t>
      </w:r>
    </w:p>
    <w:p>
      <w:pPr>
        <w:spacing w:after="120" w:line="276"/>
        <w:jc w:val="both"/>
      </w:pPr>
      <w:r>
        <w:rPr>
          <w:rFonts w:ascii="Barlow Semi Condensed" w:cs="Barlow Semi Condensed" w:eastAsia="Barlow Semi Condensed" w:hAnsi="Barlow Semi Condensed"/>
          <w:sz w:val="24"/>
          <w:szCs w:val="24"/>
        </w:rPr>
        <w:t xml:space="preserve">La geografia dei bersagli della stagione esige infine il suo censimento settoriale, che il registro formula quale pattern trasversale: la ferrovia fu il bersaglio strutturale ricorrente dell'intero arco stragista, dagli ordigni sui convogli del 12 dicembre 1969, coevi alla banca milanese, alla strage dell'Italicus nella galleria appenninica del 1974, sino al rapido 904 del dicembre 1984 nella medesima tratta, una persistenza di obiettivo che attraversa 15 anni, matrici giudiziariamente diverse e 3 distinte stagioni della violenza censite dal corpus, Livello A quanto alla serie degli attacchi ed ai rispettivi giudicati. Il registro consegna la persistenza alla sua lettura funzionale: il treno riunisce in un solo bersaglio le proprietà che una strategia del terrore ricerca, la concentrazione indifesa di vittime casuali, la simbologia dello Stato che connette il Paese, la vulnerabilità tecnica delle percorrenze obbligate, e la circostanza che matrici diverse, l'eversione nera giudicata per l'Italicus e la committenza mafiosa giudicata per il 904, abbiano eletto nel tempo il medesimo obiettivo sulla medesima dorsale dimostra la tesi che questa fase ha costruito capitolo per capitolo: le stagioni della violenza italiana, giudiziariamente distinte, condivisero una grammatica operativa comune, un repertorio di bersagli e di metodi che migrò tra campi diversi come migra una tecnologia, e la storia delle stragi italiane è anche la storia di questa grammatica che nessun processo poteva imputare, perché le grammatiche non hanno mandanti, hanno parlanti.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Freda-Ventura è certificato al Livello A quanto alla condanna definitiva a 15 anni per l'associazione sovversiva e per la campagna di attentati del 1969, comprese le bombe sugli 8 treni dell'agosto; quanto alla strage di piazza Fontana, la condizione giuridica dei 2 è l'assoluzione irrevocabile per insufficienza di prove del 1987, riportata per esteso, mentre l'attribuzione storica della strage alla loro cellula è affermata nella motivazione della sentenza definitiva del 2005, e le 2 certificazioni coesistono quale paradosso del giudicato; il canale Ventura-Giannettini verso il Reparto D è certificato al Livello A quanto al contatto e alla copertura, ferma l'ipoteticità della regia.</w:t>
      </w:r>
    </w:p>
    <w:p>
      <w:pPr>
        <w:pStyle w:val="Heading3"/>
        <w:spacing w:after="80" w:before="160"/>
      </w:pPr>
      <w:r>
        <w:rPr>
          <w:rFonts w:ascii="Barlow Semi Condensed" w:cs="Barlow Semi Condensed" w:eastAsia="Barlow Semi Condensed" w:hAnsi="Barlow Semi Condensed"/>
          <w:sz w:val="24"/>
          <w:szCs w:val="24"/>
        </w:rPr>
        <w:t xml:space="preserve">Capitolo 4 — ◆ Aginter Press. La centrale di Lisbona e l'internazionale della sovversione</w:t>
      </w:r>
    </w:p>
    <w:p>
      <w:pPr>
        <w:spacing w:after="120" w:line="276"/>
        <w:jc w:val="both"/>
      </w:pPr>
      <w:r>
        <w:rPr>
          <w:rFonts w:ascii="Barlow Semi Condensed" w:cs="Barlow Semi Condensed" w:eastAsia="Barlow Semi Condensed" w:hAnsi="Barlow Semi Condensed"/>
          <w:sz w:val="24"/>
          <w:szCs w:val="24"/>
        </w:rPr>
        <w:t xml:space="preserve">Aginter Press, la struttura clandestina operante a Lisbona sotto copertura di agenzia di stampa dal 1966 al 1974, diretta da Yves Guérin-Sérac, è il nodo attraverso il quale il registro apre la dimensione internazionale della fase e certifica l'esistenza di una centrale estera di formazione, propaganda e collegamento dell'eversione anticomunista con proiezioni documentate verso l'Italia. La scansione del corpus registra Aginter 875 volte in 26 documenti e Guérin 182 volte in 13: la frequenza elevatissima riflette la presenza nel corpus tanto dei documenti originali della struttura quanto di 7 monografie di approfondimento che il registro ha dedicato alle sue proiezioni geografiche, dall'Africa australe all'Asia. Il nodo salda il Dominio 7 al Dominio 3, quale struttura in rapporto con apparati di sicurezza, e al Dominio 8, quale caso paradigmatico dell'uso della copertura giornalistica come schermo dell'attività clandestina.</w:t>
      </w:r>
    </w:p>
    <w:p>
      <w:pPr>
        <w:spacing w:after="120" w:line="276"/>
        <w:jc w:val="both"/>
      </w:pPr>
      <w:r>
        <w:rPr>
          <w:rFonts w:ascii="Barlow Semi Condensed" w:cs="Barlow Semi Condensed" w:eastAsia="Barlow Semi Condensed" w:hAnsi="Barlow Semi Condensed"/>
          <w:sz w:val="24"/>
          <w:szCs w:val="24"/>
        </w:rPr>
        <w:t xml:space="preserve">La certificazione del nodo poggia su una circostanza documentale eccezionale, che lo distingue da quasi ogni altro nodo dell'opera: la caduta del regime portoghese nell'aprile 1974, con la Rivoluzione dei garofani, produsse la scoperta e il sequestro degli archivi della struttura, sicché Aginter Press è documentata non da testimonianze o da ricostruzioni, ma dalle sue stesse carte, parte delle quali è presente nel corpus. Il registro certifica al Livello A, sul fondamento della documentazione sequestrata e degli atti che la recepirono, i tratti costitutivi della struttura: la fondazione a Lisbona nel settembre 1966 ad opera di Yves Guérin-Sérac, pseudonimo di Yves Guillou, già ufficiale francese transitato per l'Organisation de l'Armée Secrète e riparato nel Portogallo salazarista; la copertura di agenzia di stampa, con corrispondenti e materiale pubblicistico; la natura reale di centro di reclutamento, addestramento e propaganda anticomunista, operante in raccordo con la polizia politica portoghese e in contatto con ambienti e apparati di più Paesi; e l'articolazione interna, documentata dalle carte, in strutture dedicate all'azione, alla formazione e alla penetrazione informativa. La conferma empirica della regolarità già codificata dal registro è qui integrale: anche questo archivio non si aprì spontaneamente, ma per effetto del collasso del regime che lo ospitava.</w:t>
      </w:r>
    </w:p>
    <w:p>
      <w:pPr>
        <w:spacing w:after="120" w:line="276"/>
        <w:jc w:val="both"/>
      </w:pPr>
      <w:r>
        <w:rPr>
          <w:rFonts w:ascii="Barlow Semi Condensed" w:cs="Barlow Semi Condensed" w:eastAsia="Barlow Semi Condensed" w:hAnsi="Barlow Semi Condensed"/>
          <w:sz w:val="24"/>
          <w:szCs w:val="24"/>
        </w:rPr>
        <w:t xml:space="preserve">Il primo pilastro probatorio è la proiezione italiana, che il registro tratta con la disciplina graduata che la materia impone. Le carte sequestrate e gli atti istruttori italiani, in particolare l'istruttoria milanese degli anni Novanta, documentarono contatti e collegamenti tra la struttura di Lisbona e gli ambienti dell'eversione nera italiana, con riferimento alla circolazione di uomini, di materiale propagandistico e di tecniche; la figura di collegamento più frequentemente indicata dagli atti è quella di esponenti dell'area di Avanguardia Nazionale e dell'ordinovismo, e la monografia del corpus dedicata al rapporto tra Stefano Delle Chiaie e Aginter Press ne ha vagliato criticamente la consistenza, concludendo per un rapporto documentato nei contatti ma controverso nella qualificazione. Il registro certifica al Livello B, sul fondamento della convergenza tra le carte sequestrate e gli atti istruttori, l'esistenza di collegamenti tra Aginter Press e ambienti dell'eversione nera italiana; e mantiene al Livello C l'attribuzione alla struttura di un ruolo operativo in specifici eventi stragisti italiani, che nessun giudicato ha accertato. La distinzione tra il collegamento documentato e l'operatività congetturata è la sostanza della disciplina, e il registro annota che Guérin-Sérac non è mai stato condannato in Italia per alcun fatto della stagione.</w:t>
      </w:r>
    </w:p>
    <w:p>
      <w:pPr>
        <w:spacing w:after="120" w:line="276"/>
        <w:jc w:val="both"/>
      </w:pPr>
      <w:r>
        <w:rPr>
          <w:rFonts w:ascii="Barlow Semi Condensed" w:cs="Barlow Semi Condensed" w:eastAsia="Barlow Semi Condensed" w:hAnsi="Barlow Semi Condensed"/>
          <w:sz w:val="24"/>
          <w:szCs w:val="24"/>
        </w:rPr>
        <w:t xml:space="preserve">Il secondo pilastro è la funzione di Aginter Press nella verifica di H1, che ne fa uno dei nodi analiticamente più preziosi della fase. La struttura di Lisbona è, per collocazione e finalità documentate, una centrale anticomunista dell'estremo campo occidentale: nacque nel Portogallo dell'Estado Novo, operò in raccordo con la sua polizia politica, arruolò reduci delle guerre coloniali e dell'Organisation de l'Armée Secrète, e la sua produzione documentale, presente nel corpus, teorizza la guerra rivoluzionaria contro la sovversione comunista. Il registro certifica al Livello A questa collocazione, e ne trae la conseguenza per il bilancio dell'ipotesi H1: la più documentata centrale internazionale collegata all'eversione nera europea è una struttura anticomunista occidentale, radicata in un regime alleato dell'Occidente, e la sua esistenza conferma, ancora una volta, che la dimensione internazionale certificata del fenomeno si colloca sul versante occidentale del confronto bipolare; nulla, nelle carte sequestrate e negli atti, documenta una convergenza con il blocco sovietico, e l'ipotesi H1 non trova nel nodo alcun sostegno.</w:t>
      </w:r>
    </w:p>
    <w:p>
      <w:pPr>
        <w:spacing w:after="120" w:line="276"/>
        <w:jc w:val="both"/>
      </w:pPr>
      <w:r>
        <w:rPr>
          <w:rFonts w:ascii="Barlow Semi Condensed" w:cs="Barlow Semi Condensed" w:eastAsia="Barlow Semi Condensed" w:hAnsi="Barlow Semi Condensed"/>
          <w:sz w:val="24"/>
          <w:szCs w:val="24"/>
        </w:rPr>
        <w:t xml:space="preserve">Il terzo pilastro è l'isomorfismo strutturale con l'organizzazione Hyperion, che il registro richiama anticipatamente quale reperto analitico codificato e rinvia, per la trattazione propria, alla Fase 4. Il registro dei nodi analitici dell'opera censisce, quale acquisizione consolidata, la comparazione tra Aginter Press e la scuola di lingue Hyperion di Parigi, la struttura gravitante nell'area opposta, quella della sinistra rivoluzionaria, che gli atti sul caso Moro hanno ripetutamente lambito: le 2 strutture presentano un isomorfismo topologico compiuto, entrambe operanti all'estero sotto copertura civile, entrambe poste all'incrocio tra militanza, informazione e apparati, entrambe circondate da un alone di sospetto investigativo mai tradotto in condanna; e presentano, al contempo, regimi probatori opposti, giacché Aginter è documentata dalle sue carte sequestrate mentre Hyperion è documentata quasi soltanto da atti investigativi esterni, e nessuna connessione operativa tra le 2 è mai stata documentata. Il registro certifica al Livello A l'isomorfismo strutturale quale dato comparativo, e certifica parimenti, quale reperto negativo formale, l'assenza di connessione operativa documentata tra le 2 strutture: è il Pattern 11 nella sua applicazione più rigorosa, che discrimina tra la somiglianza di struttura, accertata, e l'origine comune, non provata, orientando verso la spiegazione della necessità funzionale, per cui contesti speculari producono strutture speculari senza bisogno di un progettista unico.</w:t>
      </w:r>
    </w:p>
    <w:p>
      <w:pPr>
        <w:spacing w:after="120" w:line="276"/>
        <w:jc w:val="both"/>
      </w:pPr>
      <w:r>
        <w:rPr>
          <w:rFonts w:ascii="Barlow Semi Condensed" w:cs="Barlow Semi Condensed" w:eastAsia="Barlow Semi Condensed" w:hAnsi="Barlow Semi Condensed"/>
          <w:sz w:val="24"/>
          <w:szCs w:val="24"/>
        </w:rPr>
        <w:t xml:space="preserve">Il quarto pilastro è la geografia delle proiezioni internazionali della centrale, che il registro ha sottoposto a verifica sistematica attraverso 7 monografie dedicate, i cui esiti consolidati appartengono al corpus e vengono qui recepiti in forma sintetica. Le carte sequestrate e la documentazione internazionale attestano che l'attività della struttura non si esaurì nel teatro europeo: le monografie hanno vagliato le proiezioni verso l'Africa australe dei regimi coloniali e segregazionisti, verso l'Africa centrale, verso l'area del Golfo, verso l'Asia orientale e il circuito delle organizzazioni anticomuniste del Pacifico, oltre alla già esposta comparazione con Hyperion. L'esito complessivo della verifica, che il registro certifica quale acquisizione consolidata, è graduato: le proiezioni verso i teatri coloniali portoghesi e verso l'Africa australe risultano le più documentate, in coerenza con la collocazione lusitana della centrale e con la sua funzione controinsurrezionale, mentre le proiezioni più remote degradano verso livelli inferiori di riscontro; e il reperto trasversale di maggior rilievo, che il registro annota quale consegna alla Fase 5, è la posizione del Sudafrica dell'apartheid quale nodo a massima intermediazione dell'intero dossier internazionale, il punto di passaggio che connette i teatri africani, le reti dei fuoriusciti europei e i circuiti della cooperazione tra regimi assediati. Il registro certifica al Livello A l'esistenza documentale delle proiezioni extraeuropee quale dato delle carte, mantiene la certificazione dei singoli teatri ai livelli graduati che le monografie hanno stabilito, e trascrive la regola comparativa che l'esercizio ha confermato: la densità documentale decresce con la distanza dal centro sequestrato, e il registro misura l'attenzione dei documenti, non l'intensità storica dei fatti, secondo l'effetto lampione che la metodologia dell'opera ha elevato a cautela permanente.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Aginter-Guérin-Sérac-polizia politica portoghese, è il triangolo costitutivo della centrale, certificato al Livello A dalle carte sequestrate. La seconda, Aginter-eversione nera italiana, è il triangolo della proiezione, certificato al Livello B quanto ai collegamenti e mantenuto al Livello C quanto all'operatività in eventi specifici. La terza, Aginter-Hyperion, è il triangolo comparativo dell'isomorfismo senza connessione, certificato al Livello A nei suoi 2 termini, la somiglianza strutturale e l'assenza di collegamento operativo documentato. Sul piano dei pattern, il nodo è la sede propria del Pattern 11 e attiva altresì il Pattern 10, l'analisi della convergenza spaziale, giacché Lisbona si aggiunge alle capitali iberiche quale zona di addensamento dell'eversione internazionale che i capitoli successivi, con le latitanze spagnole, confermeranno.</w:t>
      </w:r>
    </w:p>
    <w:p>
      <w:pPr>
        <w:spacing w:after="120" w:line="276"/>
        <w:jc w:val="both"/>
      </w:pPr>
      <w:r>
        <w:rPr>
          <w:rFonts w:ascii="Barlow Semi Condensed" w:cs="Barlow Semi Condensed" w:eastAsia="Barlow Semi Condensed" w:hAnsi="Barlow Semi Condensed"/>
          <w:sz w:val="24"/>
          <w:szCs w:val="24"/>
        </w:rPr>
        <w:t xml:space="preserve">Attorno al direttore, le carte sequestrate censiscono il nucleo ristretto dei formatori e degli operativi, con biografie che costituiscono esse stesse un reperto sociologico: uomini di provenienza analoga alla sua, reduci del collaborazionismo bellico e delle guerre coloniali perdute, tra i quali il francese Robert Leroy, impiegati nella formazione alla guerriglia ed alla contro-guerriglia, nelle tecniche di sabotaggio e nella comunicazione clandestina che i materiali interni documentano quale repertorio didattico della centrale, Livello A quanto alle identità, alle provenienze ed al repertorio documentati dagli archivi. La composizione del nucleo consegna all'analisi la genealogia professionale dell'internazionale nera: non una generazione ideologica nuova, ma il riciclo organizzato delle competenze operative maturate nei conflitti perduti del ventennio precedente, dall'Europa occupata all'Algeria, secondo quella continuità di uomini e di tecniche che fa della centrale di Lisbona il punto di raccordo tra 2 epoche della sovversione, ed il precedente diretto della merce apolide, la competenza militante quale servizio esportabile, che il capitolo successivo ritroverà nella biografia del militante globale.</w:t>
      </w:r>
    </w:p>
    <w:p>
      <w:pPr>
        <w:spacing w:after="120" w:line="276"/>
        <w:jc w:val="both"/>
      </w:pPr>
      <w:r>
        <w:rPr>
          <w:rFonts w:ascii="Barlow Semi Condensed" w:cs="Barlow Semi Condensed" w:eastAsia="Barlow Semi Condensed" w:hAnsi="Barlow Semi Condensed"/>
          <w:sz w:val="24"/>
          <w:szCs w:val="24"/>
        </w:rPr>
        <w:t xml:space="preserve">Quanto al destino giudiziario della centrale, il registro censisce l'asimmetria che lo definisce: gli atti istruttori italiani raggiunsero la struttura ed i suoi uomini con mandati ed imputazioni, ma nessun processo poté mai celebrarsi nei confronti del suo direttore, che si rese irreperibile dopo la caduta del regime portoghese e le cui tracce si perdono nei decenni successivi senza che un accertamento pubblico ne abbia mai fissato la sorte, Livello A quanto alla mancata sottoposizione a giudizio, Livello C quanto ad ogni ricostruzione del dopo. La centrale meglio documentata della stagione è così, ad un tempo, la meno giudicata: paradosso soltanto apparente, giacché la documentazione fu resa possibile dalla caduta di uno Stato straniero e la giudicabilità avrebbe richiesto la cooperazione di molti, e la fase consegna alla Fase 5 questa forbice tra il sapere degli archivi ed il potere delle giurisdizioni quale variabile strutturale di ogni contabilità internazionale.</w:t>
      </w:r>
    </w:p>
    <w:p>
      <w:pPr>
        <w:spacing w:after="120" w:line="276"/>
        <w:jc w:val="both"/>
      </w:pPr>
      <w:r>
        <w:rPr>
          <w:rFonts w:ascii="Barlow Semi Condensed" w:cs="Barlow Semi Condensed" w:eastAsia="Barlow Semi Condensed" w:hAnsi="Barlow Semi Condensed"/>
          <w:sz w:val="24"/>
          <w:szCs w:val="24"/>
        </w:rPr>
        <w:t xml:space="preserve">Il rapporto della centrale con lo Stato ospitante va infine documentato nella sua materialità, perché esso distingue Aginter da ogni struttura semplicemente tollerata: le carte sequestrate comprendono la corrispondenza operativa con la polizia politica del regime, attestante scambi informativi, coperture documentali e cooperazioni di servizio che configurano la centrale non quale ospite ma quale appaltatore, un organismo privato integrato nel dispositivo di sicurezza dello Stato salazarista e da esso impiegato sui teatri, africani ed europei, dove la mano ufficiale non poteva mostrarsi, Livello A quanto ai rapporti documentati dalle carte. È la configurazione che la Nota metodologica denomina simbiosi ospite-apparato: qui essa giace agli atti nella forma più nuda, il carteggio tra il covo e la questura, e vale quale pietra di paragone per l'intera fase, il caso in cui l'accoppiamento tra il Dominio 3 ed il Dominio 7, altrove inferito dai comportamenti, è scritto dalle parti stesse. Che un simile grado di integrazione sia divenuto conoscibile solo per il collasso rivoluzionario dello Stato protettore chiude il ragionamento sul metodo: la simbiosi è per costruzione invisibile finché il protettore vive, e la statistica delle nostre conoscenze sui santuari è perciò una statistica dei regimi caduti, con le distorsioni prospettiche che il capitolo 9 della Fase 5 misurerà sotto il nome di effetto lampione.</w:t>
      </w:r>
    </w:p>
    <w:p>
      <w:pPr>
        <w:spacing w:after="120" w:line="276"/>
        <w:jc w:val="both"/>
      </w:pPr>
      <w:r>
        <w:rPr>
          <w:rFonts w:ascii="Barlow Semi Condensed" w:cs="Barlow Semi Condensed" w:eastAsia="Barlow Semi Condensed" w:hAnsi="Barlow Semi Condensed"/>
          <w:sz w:val="24"/>
          <w:szCs w:val="24"/>
        </w:rPr>
        <w:t xml:space="preserve">Il profilo del direttore merita la scheda biografica che le carte sequestrate e la storiografia convergente consentono, perché la centrale fu, in misura rara, l'estensione organizzativa di un solo percorso individuale. Yves Guillou, in religione operativa Guérin-Sérac, ufficiale francese formatosi nei teatri di Corea e d'Algeria, approdato all'Organisation Armée Secrète nella stagione terminale dell'Algeria francese e quindi, dopo la sconfitta, all'esilio iberico, congiunse in sé le 3 componenti che la struttura di Lisbona avrebbe istituzionalizzato: la competenza militare nella guerra non convenzionale, l'integralismo cattolico di crociata quale orizzonte dottrinale, e la disponibilità del santuario portoghese quale base territoriale, Livello A quanto al percorso documentato dalle carte e dalle fonti convergenti. Il registro ne trae la definizione morfologica del nodo: Aginter non fu una filiale di apparati altrui ma una impresa ideologica in proprio, che vendette servizi, formazione, informazione, copertura, a committenti di volta in volta diversi, e questa natura mercenaria su base dottrinale, apparentemente contraddittoria, è la chiave che spiega la trasversalità delle sue proiezioni certificate.</w:t>
      </w:r>
    </w:p>
    <w:p>
      <w:pPr>
        <w:spacing w:after="120" w:line="276"/>
        <w:jc w:val="both"/>
      </w:pPr>
      <w:r>
        <w:rPr>
          <w:rFonts w:ascii="Barlow Semi Condensed" w:cs="Barlow Semi Condensed" w:eastAsia="Barlow Semi Condensed" w:hAnsi="Barlow Semi Condensed"/>
          <w:sz w:val="24"/>
          <w:szCs w:val="24"/>
        </w:rPr>
        <w:t xml:space="preserve">Dalla medesima natura discende il metodo, che i documenti interni sequestrati consegnano con una franchezza senza equivalenti nel registro: i corsi di formazione impartiti nella base portoghese contemplavano, accanto all'addestramento tecnico, la dottrina dell'infiltrazione negli ambienti dell'estrema sinistra e della provocazione sotto falsa bandiera, l'azione compiuta in modo da essere attribuita all'avversario, teorizzata nei materiali dottrinali della centrale quale strumento ordinario della guerra rivoluzionaria rovesciata, Livello A quanto al contenuto dei documenti sequestrati. Il registro sottolinea la portata epistemologica del reperto: la falsa bandiera, che nella pubblicistica è categoria inflazionata sino all'inservibilità, esiste qui non quale ipotesi ricostruttiva ma quale voce di programma didattico scritta dagli stessi operatori, e questa autodescrizione documentale, come già il Piano di Rinascita per la loggia, vale quale certificazione della grammatica delle intenzioni, ferma restando, per ogni singolo evento italiano, la necessità del riscontro specifico che la Regola Ferrea impone. All'opposto estremo dello spettro probatorio, il corpus di verifica ha sottoposto a stress-test documentale anche la più suggestiva delle connessioni evocate dalla pubblicistica internazionale attorno alla centrale, quella con i vertici della diplomazia atlantica dell'epoca: l'esito, uno Stato Zero pieno, nessun documento, nessun atto, nessuna convergenza che sostenga il collegamento, è consegnato al registro con il medesimo rilievo delle presenze, a dimostrazione operante che il metodo qui praticato cerca le connessioni per trovarle quando esistono e per escluderle quando non esistono, e che la seconda operazione non è meno feconda della prima.</w:t>
      </w:r>
    </w:p>
    <w:p>
      <w:pPr>
        <w:spacing w:after="120" w:line="276"/>
        <w:jc w:val="both"/>
      </w:pPr>
      <w:r>
        <w:rPr>
          <w:rFonts w:ascii="Barlow Semi Condensed" w:cs="Barlow Semi Condensed" w:eastAsia="Barlow Semi Condensed" w:hAnsi="Barlow Semi Condensed"/>
          <w:sz w:val="24"/>
          <w:szCs w:val="24"/>
        </w:rPr>
        <w:t xml:space="preserve">Alla copertura giornalistica della centrale va riconosciuta la sua funzione operativa specifica, che le carte sequestrate documentano nel dettaglio: l'agenzia rilasciava ai propri operativi tesserini di corrispondente, credenziali di stampa che valevano quali lasciapassare universali negli scenari di crisi, consentendo movimenti, accessi e permanenze che nessuna copertura commerciale avrebbe garantito, e la rete dei corrispondenti dichiarati coincideva, in misura documentata, con la rete degli agenti e dei formatori, Livello A quanto al sistema delle credenziali ed alla coincidenza censita nelle carte. Il registro eleva il dettaglio a teorema del Dominio 8: la stampa non fu, per la centrale, un travestimento ma un'infrastruttura, giacché lo statuto del giornalista, nato per proteggere l'osservatore, è convertibile senza residui nella protezione dell'operatore, ed il tesserino che apre le linee del fronte all'inviato le apre, identico, all'infiltrato. La fase consegna il teorema alla Fase 4, dove la figura del giornalista quale terminale di flussi riservati tornerà al centro della scena con il caso Pecorelli: mutati i teatri, la convertibilità dello statuto resta, e con essa il problema, che il registro può censire ma non risolvere, di un dominio la cui funzione costituzionale, osservare il potere, è strutturalmente esposta alla cattura da parte dell'osservato.</w:t>
      </w:r>
    </w:p>
    <w:p>
      <w:pPr>
        <w:spacing w:after="120" w:line="276"/>
        <w:jc w:val="both"/>
      </w:pPr>
      <w:r>
        <w:rPr>
          <w:rFonts w:ascii="Barlow Semi Condensed" w:cs="Barlow Semi Condensed" w:eastAsia="Barlow Semi Condensed" w:hAnsi="Barlow Semi Condensed"/>
          <w:sz w:val="24"/>
          <w:szCs w:val="24"/>
        </w:rPr>
        <w:t xml:space="preserve">Il fascicolo italiano dell'agenzia si apre con le missioni documentate dalle carte di Lisbona, che il registro censisce quale contatto fisico tra la centrale e il teatro: tra il 1967 ed il 1968 l'archivio attesta viaggi in Italia di uomini della struttura, con il luogotenente censito nel capitolo quale principale operatore delle trasferte, incontri con esponenti degli ambienti dell'estrema destra italiana che la fase terza ha processualmente ricostruito, e relazioni di missione conservate nel fondo portoghese che documentano la mappatura dei gruppi, dei referenti e delle possibilità operative della penisola, Livello A quanto ai viaggi ed alle relazioni risultanti dalle carte, Livello B quanto alla portata operativa dei contatti quale ricostruita dalle istruttorie italiane. Il registro fissa il valore cronologico del reperto, che è il suo vero contenuto: le missioni italiane dell'agenzia precedono di mesi la stagione inaugurata il 12 dicembre 1969, collocando il contatto tra la centrale lisboeta e gli ambienti italiani prima e non dopo l'inizio della campagna, e questa priorità temporale, certificata da un archivio straniero indipendente dalle fonti italiane, è uno dei pochissimi punti dell'intero corpus internazionale in cui la sequenza contatto-evento è documentalmente ordinata nel verso che le ipotesi di preparazione richiedono, con la disciplina che il registro ribadisce: l'ordine temporale rende possibile l'inferenza, non la compie, e ciò che le carte provano è che gli uomini si conobbero prima delle bombe, non che le bombe nacquero da quella conoscenza.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Press è certificato al Livello A, sul fondamento eccezionale dei suoi archivi sequestrati nel 1974, quale centrale clandestina anticomunista operante a Lisbona dal 1966 sotto copertura di agenzia di stampa, diretta da Yves Guérin-Sérac e raccordata alla polizia politica portoghese; i collegamenti con gli ambienti dell'eversione nera italiana sono certificati al Livello B, mentre l'attribuzione di un ruolo operativo in specifici eventi stragisti resta al Livello C, non essendo mai stata giudizialmente accertata; l'isomorfismo strutturale con Hyperion, in assenza di ogni connessione operativa documentata, è recepito quale reperto comparativo di Livello A e rinviato per la trattazione alla Fase 4; la collocazione integralmente occidentale e anticomunista della struttura milita, ancora una volta, contro l'ipotesi H1.</w:t>
      </w:r>
    </w:p>
    <w:p>
      <w:pPr>
        <w:pStyle w:val="Heading3"/>
        <w:spacing w:after="80" w:before="160"/>
      </w:pPr>
      <w:r>
        <w:rPr>
          <w:rFonts w:ascii="Barlow Semi Condensed" w:cs="Barlow Semi Condensed" w:eastAsia="Barlow Semi Condensed" w:hAnsi="Barlow Semi Condensed"/>
          <w:sz w:val="24"/>
          <w:szCs w:val="24"/>
        </w:rPr>
        <w:t xml:space="preserve">Capitolo 5 — ▶ Stefano Delle Chiaie. Il militante globale e la disciplina delle assoluzioni</w:t>
      </w:r>
    </w:p>
    <w:p>
      <w:pPr>
        <w:spacing w:after="120" w:line="276"/>
        <w:jc w:val="both"/>
      </w:pPr>
      <w:r>
        <w:rPr>
          <w:rFonts w:ascii="Barlow Semi Condensed" w:cs="Barlow Semi Condensed" w:eastAsia="Barlow Semi Condensed" w:hAnsi="Barlow Semi Condensed"/>
          <w:sz w:val="24"/>
          <w:szCs w:val="24"/>
        </w:rPr>
        <w:t xml:space="preserve">Stefano Delle Chiaie, nato a Caserta il 13 settembre 1936 e morto a Roma il 10 settembre 2019, fondatore di Avanguardia Nazionale, è il nodo che riceve in questa fase la trattazione propria che le fasi precedenti gli avevano promesso, e che il registro affronta quale caso limite della propria disciplina: il militante più frequentemente nominato dell'intero corpus, presente in ogni snodo della stagione eversiva e in 3 continenti, e al contempo mai condannato per alcuna strage, assolto in via definitiva in ogni processo che lo ha visto imputato per i grandi eventi. La scansione del corpus lo registra 997 volte in 46 documenti, la massima frequenza individuale del versante eversivo. Il nodo salda il Dominio 7 alla sua proiezione internazionale, e costituisce il ponte biografico verso la Fase 5, giacché la sua traiettoria attraversa la Spagna franchista, il Cile di Pinochet e la Bolivia dei regimi militari.</w:t>
      </w:r>
    </w:p>
    <w:p>
      <w:pPr>
        <w:spacing w:after="120" w:line="276"/>
        <w:jc w:val="both"/>
      </w:pPr>
      <w:r>
        <w:rPr>
          <w:rFonts w:ascii="Barlow Semi Condensed" w:cs="Barlow Semi Condensed" w:eastAsia="Barlow Semi Condensed" w:hAnsi="Barlow Semi Condensed"/>
          <w:sz w:val="24"/>
          <w:szCs w:val="24"/>
        </w:rPr>
        <w:t xml:space="preserve">La ricostruzione biografica muove dalla fondazione di Avanguardia Nazionale, l'organizzazione della destra radicale costituita da Delle Chiaie a Roma nel 1960 e divenuta, accanto a Ordine Nuovo, il secondo polo dell'eversione nera; anche Avanguardia Nazionale fu colpita dalla normativa contro la ricostituzione del partito fascista, con condanne dei suoi dirigenti e scioglimento disposto con decreto ministeriale nel giugno 1976. Il registro certifica al Livello A la fondazione, la natura e lo scioglimento dell'organizzazione, e certifica parimenti al Livello A, quale fatto già esposto nella Fase 2, la partecipazione dell'area di Avanguardia Nazionale, con il suo fondatore quale figura di riferimento, alla notte del tentativo Borghese del dicembre 1970, nel settore operativo che avrebbe dovuto occupare il Ministero dell'interno; quanto alla posizione personale di Delle Chiaie in quel procedimento, l'esito fu assolutorio, come per la generalità degli imputati nella sentenza d'appello del 1984, e il registro lo riporta per esteso, mantenendo al Livello B la sua partecipazione materiale all'azione della notte, quale dato convergente delle ricostruzioni dibattimentali non consacrato da condanna.</w:t>
      </w:r>
    </w:p>
    <w:p>
      <w:pPr>
        <w:spacing w:after="120" w:line="276"/>
        <w:jc w:val="both"/>
      </w:pPr>
      <w:r>
        <w:rPr>
          <w:rFonts w:ascii="Barlow Semi Condensed" w:cs="Barlow Semi Condensed" w:eastAsia="Barlow Semi Condensed" w:hAnsi="Barlow Semi Condensed"/>
          <w:sz w:val="24"/>
          <w:szCs w:val="24"/>
        </w:rPr>
        <w:t xml:space="preserve">Il primo pilastro probatorio è la latitanza intercontinentale, che il registro certifica al Livello A nei suoi fatti e assume quale mappa vivente della geografia internazionale dell'eversione. Espatriato clandestinamente dopo il dicembre 1970, Delle Chiaie visse latitante per 17 anni: dapprima nella Spagna franchista, dove l'area dei fuoriusciti italiani trovò accoglienza sino alla morte di Francisco Franco nel 1975 e oltre; quindi in America Latina, con presenza documentata nel Cile del regime di Pinochet, in rapporto con ambienti della polizia segreta di quel regime, e successivamente nella Bolivia dei governi militari, negli anni del golpe del 1980, in un contesto nel quale operavano reduci e criminali di guerra della diaspora nazista. Fu arrestato a Caracas, in Venezuela, il 27 marzo 1987 ed estradato in Italia. Il registro certifica al Livello A la sequenza della latitanza, dell'arresto e dell'estradizione, quali fatti documentati; certifica al Livello B, sul fondamento delle convergenti risultanze istruttorie e documentali internazionali, i rapporti dell'area di Delle Chiaie con ambienti degli apparati cileni e con il contesto boliviano dei primi anni Ottanta; e rinvia alla Fase 5 la trattazione propria di quel teatro, limitandosi qui ad annotare che la traiettoria del nodo disegna, da sola, la rotta strutturale che collega l'eversione europea ai regimi autoritari iberici e latinoamericani, la medesima rotta che la Fase 5 percorrerà con il Pattern 4 dell'analisi dei flussi.</w:t>
      </w:r>
    </w:p>
    <w:p>
      <w:pPr>
        <w:spacing w:after="120" w:line="276"/>
        <w:jc w:val="both"/>
      </w:pPr>
      <w:r>
        <w:rPr>
          <w:rFonts w:ascii="Barlow Semi Condensed" w:cs="Barlow Semi Condensed" w:eastAsia="Barlow Semi Condensed" w:hAnsi="Barlow Semi Condensed"/>
          <w:sz w:val="24"/>
          <w:szCs w:val="24"/>
        </w:rPr>
        <w:t xml:space="preserve">Il secondo pilastro è la sequenza integrale delle assoluzioni, che il registro espone per esteso quale adempimento del suo obbligo più severo. Estradato, Delle Chiaie fu processato per la strage di piazza Fontana nel troncone catanzarese e ne fu assolto dalla Corte d'assise di Catanzaro il 20 febbraio 1989, con pronuncia divenuta definitiva; per il tentativo Borghese, la sua posizione si era chiusa con l'esito assolutorio della sentenza d'appello del 1984; per la strage di Bologna non fu mai rinviato a giudizio. Egli è dunque morto, nel settembre 2019, senza aver riportato alcuna condanna per fatti di strage, e questa è la sua condizione giuridica perpetua, che il registro certifica al Livello A e antepone a ogni considerazione. Il registro dichiara qui, con la nettezza che il caso impone, la funzione metodologica del nodo: Delle Chiaie è il banco di prova della disciplina delle assoluzioni, perché nessun altro nome del versante eversivo è stato tanto insistentemente associato, nella pubblicistica e in parte degli atti, alla regia occulta della stagione; e nessun altro nome presenta un divario altrettanto ampio tra la densità del sospetto e l'esito dei giudizi. Il registro rappresenta entrambi i termini: la centralità documentale del nodo, che è un fatto misurabile, e l'integralità delle assoluzioni, che è un fatto giuridico; e vieta a sé stesso di colmare il divario in una delle 2 direzioni, né trattando la centralità quale prova di colpevolezza sfuggita ai giudici, né trattando le assoluzioni quale prova di estraneità storica a un ambiente nel quale la presenza del nodo è documentata al massimo livello.</w:t>
      </w:r>
    </w:p>
    <w:p>
      <w:pPr>
        <w:spacing w:after="120" w:line="276"/>
        <w:jc w:val="both"/>
      </w:pPr>
      <w:r>
        <w:rPr>
          <w:rFonts w:ascii="Barlow Semi Condensed" w:cs="Barlow Semi Condensed" w:eastAsia="Barlow Semi Condensed" w:hAnsi="Barlow Semi Condensed"/>
          <w:sz w:val="24"/>
          <w:szCs w:val="24"/>
        </w:rPr>
        <w:t xml:space="preserve">Il terzo pilastro è il rapporto con Aginter Press, che il capitolo precedente ha introdotto e che la monografia dedicata del corpus ha vagliato. Gli atti istruttori e parte della documentazione internazionale collocano Delle Chiaie in contatto con la centrale di Lisbona e con il suo direttore, nel quadro della circolazione di uomini e materiali tra gli ambienti dell'eversione anticomunista europea; la qualificazione di tale rapporto, quale collaborazione organica ovvero quale contiguità di ambiente, è rimasta controversa negli stessi atti. Il registro certifica al Livello B l'esistenza di contatti tra Delle Chiaie e l'orbita di Aginter Press, e mantiene al Livello C ogni qualificazione organica del rapporto, in conformità alle conclusioni della verifica monografica.</w:t>
      </w:r>
    </w:p>
    <w:p>
      <w:pPr>
        <w:spacing w:after="120" w:line="276"/>
        <w:jc w:val="both"/>
      </w:pPr>
      <w:r>
        <w:rPr>
          <w:rFonts w:ascii="Barlow Semi Condensed" w:cs="Barlow Semi Condensed" w:eastAsia="Barlow Semi Condensed" w:hAnsi="Barlow Semi Condensed"/>
          <w:sz w:val="24"/>
          <w:szCs w:val="24"/>
        </w:rPr>
        <w:t xml:space="preserve">Il quarto pilastro è l'apparato dichiarativo del nodo, che il registro sottopone alla disciplina dell'Indice di Contaminazione della Fonte. Rientrato in Italia e definite le proprie vicende processuali, Delle Chiaie fu ripetutamente audito dalle commissioni parlamentari d'inchiesta, e sino alla morte rese dichiarazioni pubbliche, interviste e memorie nelle quali rivendicò la propria estraneità alle stragi, denunciò l'uso strumentale del suo nome quale capro espiatorio della stagione, e offrì ricostruzioni degli ambienti e degli eventi che attraversò. Il registro tratta questo apparato con la graduazione che il metodo impone. Le dichiarazioni contra se sono pressoché assenti, giacché il dichiarante ha costantemente negato ogni responsabilità, e la loro assenza priva l'apparato del suo ancoraggio di massimo valore; le dichiarazioni su terzi e sul sistema provengono da un dichiarante che fu parte in causa dell'intera stagione, portatore di un interesse difensivo e narrativo permanente, e il registro le assume quali fonti di Livello C, utilizzabili soltanto ove trovino riscontro autonomo, secondo la regola che vieta di elevare la voce di un protagonista a fonte della propria vicenda. Il registro annota nondimeno un dato che la disciplina non cancella: la coerenza pluridecennale della protesta di innocenza di un uomo che, avendo affrontato i processi dopo 17 anni di latitanza, ne uscì integralmente assolto, appartiene ai fatti del nodo al pari della densità dei sospetti che lo circondarono; e la compresenza dei 2 dati, la protesta assolta e il sospetto documentale, è la sostanza stessa del caso limite che il capitolo ha dichiarato in apertura, e che il registro consegna alla riflessione senza scioglierla in una direzione che le fonti non autorizzano.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Chiaie-Avanguardia Nazionale-tentativo Borghese, è il triangolo nazionale, certificato al Livello A quanto all'organizzazione e al fatto storico del tentativo, al Livello B quanto alla partecipazione materiale personale, con l'esito assolutorio riportato. La seconda, Delle Chiaie-Spagna-America Latina, è il triangolo della latitanza intercontinentale, certificato al Livello A nei fatti e al Livello B nei rapporti con gli apparati dei regimi ospitanti, ponte dichiarato verso la Fase 5. La terza, Delle Chiaie-Aginter Press-Guérin-Sérac, è il triangolo internazionale europeo, certificato al Livello B quanto ai contatti e al Livello C quanto all'organicità. Sul piano dei pattern, il nodo presenta la più alta betweenness del versante eversivo, quale intermediario documentato tra l'eversione italiana, quella iberica e quella latinoamericana, secondo il Pattern 1; e attiva il Pattern 7 nella variante geografica delle migrazioni tra giurisdizioni, di cui costituisce il caso più esteso dell'opera.</w:t>
      </w:r>
    </w:p>
    <w:p>
      <w:pPr>
        <w:spacing w:after="120" w:line="276"/>
        <w:jc w:val="both"/>
      </w:pPr>
      <w:r>
        <w:rPr>
          <w:rFonts w:ascii="Barlow Semi Condensed" w:cs="Barlow Semi Condensed" w:eastAsia="Barlow Semi Condensed" w:hAnsi="Barlow Semi Condensed"/>
          <w:sz w:val="24"/>
          <w:szCs w:val="24"/>
        </w:rPr>
        <w:t xml:space="preserve">La geografia della latitanza merita le sue stazioni documentate, perché i 17 anni di fuga costituiscono la più estesa mappa individuale della protezione internazionale che il registro possieda. La prima stazione fu la Spagna dell'ultimo franchismo, approdo comune dell'eversione continentale, dove il fondatore di Avanguardia Nazionale operò nel reticolo degli esuli che i capitoli precedenti hanno censito; la seconda fu il Cono Sur della stagione dei regimi militari, con la presenza documentata negli ambienti operativi cileni successivi al golpe del 1973, secondo quanto emerso dagli atti istruttori italiani e dalle carte delle giurisdizioni latinoamericane, Livello A quanto ai soggiorni, Livello B quanto ai singoli contenuti operativi, ciascuno rinviato ai rispettivi accertamenti; la terza fu l'area andina, sino alla Bolivia della svolta autoritaria del 1980, teatro nel quale le ricostruzioni collocano la sua orbita tra gli apparati del nuovo regime, Livello B. La parabola si chiuse a Caracas, con l'arresto del marzo 1987 e l'estradizione in Italia, che aprì la stagione processuale domestica il cui esito integralmente assolutorio il capitolo ha già riportato per esteso, Livello A quanto ad arresto, estradizione ed esiti. Il registro consegna la mappa alla sua funzione analitica: le 4 stazioni coincidono, una per una, con gli hub della geografia internazionale che la Fase 5 certificherà, e la biografia del latitante vale perciò quale carotaggio vivente del sistema dei santuari, l'itinerario individuale che disegna, percorrendola, la rete.</w:t>
      </w:r>
    </w:p>
    <w:p>
      <w:pPr>
        <w:spacing w:after="120" w:line="276"/>
        <w:jc w:val="both"/>
      </w:pPr>
      <w:r>
        <w:rPr>
          <w:rFonts w:ascii="Barlow Semi Condensed" w:cs="Barlow Semi Condensed" w:eastAsia="Barlow Semi Condensed" w:hAnsi="Barlow Semi Condensed"/>
          <w:sz w:val="24"/>
          <w:szCs w:val="24"/>
        </w:rPr>
        <w:t xml:space="preserve">Alla stagione del rientro appartiene infine l'ultimo strato dichiarativo, che il registro sottopone alla propria disciplina della fonte. Definite le proprie pendenze con la sequenza di assoluzioni censita, Delle Chiaie divenne negli anni 90 un deponente ricorrente delle sedi parlamentari, audito dalla Commissione stragi, e un intervistato assiduo della pubblicistica, consegnando una autonarrazione nella quale rivendicava l'autonomia dell'eversione nazionale da ogni regia di apparato e respingeva ogni addebito stragista: materiale che il registro classifica al Livello C quale fonte di parte massimamente interessata, annotando il paradosso metodologico che essa incarna. L'uomo che la giustizia non è riuscita a condannare è divenuto, negli ultimi decenni, una delle fonti orali più citate sulla stagione che lo vide imputato: sicché la memoria pubblica del periodo si è in parte costruita sulla voce del suo protagonista più controverso, ed il registro, che a quella voce non concede promozioni di livello, ne censisce tuttavia l'esistenza quale dato sociologico, l'assolto quale storico di sé stesso, ultima e più raffinata forma della centralità che la rete gli aveva assegnato.</w:t>
      </w:r>
    </w:p>
    <w:p>
      <w:pPr>
        <w:spacing w:after="120" w:line="276"/>
        <w:jc w:val="both"/>
      </w:pPr>
      <w:r>
        <w:rPr>
          <w:rFonts w:ascii="Barlow Semi Condensed" w:cs="Barlow Semi Condensed" w:eastAsia="Barlow Semi Condensed" w:hAnsi="Barlow Semi Condensed"/>
          <w:sz w:val="24"/>
          <w:szCs w:val="24"/>
        </w:rPr>
        <w:t xml:space="preserve">La parabola dell'organizzazione fondata dal nodo va chiusa con il suo atto formale terminale, che replica in fotocopia la meccanica censita per Ordine Nuovo: nel giugno 1976 il Tribunale di Roma condannò il gruppo dirigente di Avanguardia Nazionale per ricostituzione del disciolto partito fascista, ed il ministro dell'interno ne decretò contestualmente lo scioglimento con confisca dei beni, secondo il doppio atto, giudiziario ed amministrativo, che 3 anni prima aveva chiuso la parabola formale del movimento gemello, Livello A quanto alla sequenza. La duplicazione della procedura sui 2 rami maggiori della destra radicale extraparlamentare consegna al registro un dato comparativo netto: la Repubblica applicò 2 volte, nell'arco di un triennio, lo strumento massimo della dissoluzione, e 2 volte lo strumento colpì organizzazioni la cui stagione operativa era già trascolorata nella clandestinità carsica, sicché l'ordinamento dimostrò di saper sciogliere ciò che era già liquido. Il registro annota la conclusione senza sarcasmo, perché essa contiene una verità istituzionale seria: gli strumenti della democrazia protetta operano sui corpi formali, e la loro efficacia si esaurisce esattamente sulla soglia oltre la quale l'avversario rinuncia alla forma, il che definisce, in negativo, il perimetro entro cui la repressione legale può giungere e oltre il quale devono lavorare, soli, l'investigazione ed il tempo.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Delle Chiaie è certificato al Livello A quale fondatore di Avanguardia Nazionale e quale figura a massima frequenza documentale del versante eversivo, con latitanza intercontinentale di 17 anni attraverso Spagna, Cile e Bolivia conclusa dall'arresto di Caracas del 27 marzo 1987; la sua condizione giuridica, certificata al Livello A e riportata per esteso, è l'assoluzione definitiva da ogni accusa di strage, da piazza Fontana nel 1989 all'esito assolutorio del procedimento Borghese, senza alcuna condanna per gli eventi della stagione; i rapporti con gli apparati dei regimi latinoamericani e con l'orbita di Aginter Press sono certificati al Livello B; il nodo è consegnato alla Fase 5 quale ponte biografico verso il teatro internazionale.</w:t>
      </w:r>
    </w:p>
    <w:p>
      <w:pPr>
        <w:pStyle w:val="Heading3"/>
        <w:spacing w:after="80" w:before="160"/>
      </w:pPr>
      <w:r>
        <w:rPr>
          <w:rFonts w:ascii="Barlow Semi Condensed" w:cs="Barlow Semi Condensed" w:eastAsia="Barlow Semi Condensed" w:hAnsi="Barlow Semi Condensed"/>
          <w:sz w:val="24"/>
          <w:szCs w:val="24"/>
        </w:rPr>
        <w:t xml:space="preserve">Capitolo 6 — ■ Peteano. La strage confessata, il depistaggio condannato e la strada verso Gladio</w:t>
      </w:r>
    </w:p>
    <w:p>
      <w:pPr>
        <w:spacing w:after="120" w:line="276"/>
        <w:jc w:val="both"/>
      </w:pPr>
      <w:r>
        <w:rPr>
          <w:rFonts w:ascii="Barlow Semi Condensed" w:cs="Barlow Semi Condensed" w:eastAsia="Barlow Semi Condensed" w:hAnsi="Barlow Semi Condensed"/>
          <w:sz w:val="24"/>
          <w:szCs w:val="24"/>
        </w:rPr>
        <w:t xml:space="preserve">La strage di Peteano, consumata il 31 maggio 1972 nella frazione di Sagrado, in provincia di Gorizia, è il nodo-evento attraverso il quale il registro certifica la configurazione probatoria più completa dell'intera stagione: l'unica strage della sequenza ad avere, congiuntamente, un esecutore reo confesso condannato in via definitiva, un depistaggio accertato con condanne di appartenenti alle forze dell'ordine e di un perito, e una filiazione istruttoria diretta verso la rivelazione della rete Gladio. La scansione del corpus registra Peteano 272 volte in 35 documenti e il nome di Vincenzo Vinciguerra 321 volte in 34. La sera del 31 maggio 1972 una telefonata anonima segnalò ai carabinieri di Gorizia una Fiat 500 abbandonata con fori di proiettile sul parabrezza; 3 militari giunti sul posto, il brigadiere Antonio Ferraro e i carabinieri Donato Poveromo e Franco Dongiovanni, furono uccisi dall'esplosione dell'ordigno collegato al cofano, e altri 2 rimasero feriti.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il depistaggio, che il registro certifica al Livello A quale caso di scuola dell'ostruzione con condanne. Le indagini furono indirizzate dapprima verso una pista di delinquenza comune locale, che condusse all'incriminazione di 6 giovani goriziani, poi prosciolti, e furono viziate da una perizia sull'esplosivo che ne occultò la natura, redatta da un consulente, Marco Morin, che era egli stesso esponente dell'area ordinovista veneta e che fu successivamente condannato per falsa perizia; per le condotte di favoreggiamento e di inquinamento dell'accertamento riportarono condanna anche ufficiali dell'Arma dei carabinieri, tra i quali il colonnello Dino Mingarelli. Il registro certifica al Livello A, sul fondamento dei giudicati, il complesso del depistaggio di Peteano nelle sue 2 componenti, la falsa pista verso innocenti e la perizia falsata, e ne trae la qualificazione tipologica: il caso appartiene alla specie dell'ostruzione tecnico-istituzionale, nella quale l'inquinamento passa per l'atto peritale e per la condotta di appartenenti all'istituzione investigante, e la circostanza che il perito depistante provenisse dal medesimo ambiente della matrice costituisce l'anello di congiunzione, giudizialmente accertato, tra l'ambiente autore e l'apparato inquinante.</w:t>
      </w:r>
    </w:p>
    <w:p>
      <w:pPr>
        <w:spacing w:after="120" w:line="276"/>
        <w:jc w:val="both"/>
      </w:pPr>
      <w:r>
        <w:rPr>
          <w:rFonts w:ascii="Barlow Semi Condensed" w:cs="Barlow Semi Condensed" w:eastAsia="Barlow Semi Condensed" w:hAnsi="Barlow Semi Condensed"/>
          <w:sz w:val="24"/>
          <w:szCs w:val="24"/>
        </w:rPr>
        <w:t xml:space="preserve">Il secondo pilastro è la confessione e la condanna dell'esecutore. Nel 1984, nel quadro dell'istruttoria condotta dal giudice istruttore di Venezia Felice Casson, che aveva riaperto il caso rilevando le anomalie della prima inchiesta, Vincenzo Vinciguerra, militante ordinovista friulano transitato per Avanguardia Nazionale, rivendicò la strage assumendone la piena e solitaria responsabilità esecutiva, qualificandola quale atto di guerra contro lo Stato e rifiutando ogni beneficio premiale; fu condannato all'ergastolo con sentenza divenuta irrevocabile, e da allora sconta la pena senza aver mai chiesto misure alternative. Il registro certifica al Livello A, sul fondamento della confessione riscontrata e del giudicato, la responsabilità esecutiva di Vinciguerra, e tratta il suo apparato dichiarativo secondo la disciplina differenziata che l'Indice di Contaminazione della Fonte impone: le dichiarazioni contra se, culminate nella confessione, possiedono il massimo valore probatorio e sono certificate; le dichiarazioni su terzi e sul sistema, nelle quali Vinciguerra ha sostenuto per decenni che gli esecutori della stagione stragista furono protetti da una struttura di sicurezza atlantica annidata negli apparati, sono dichiarazioni di un condannato coerente ma non riscontrate nella loro estensione sistemica, e il registro le mantiene al Livello B ove convergano con accertamenti autonomi, come per la protezione di cui l'ambiente ordinovista friulano godette, e al Livello C ove restino affermazione generale non riscontrata.</w:t>
      </w:r>
    </w:p>
    <w:p>
      <w:pPr>
        <w:spacing w:after="120" w:line="276"/>
        <w:jc w:val="both"/>
      </w:pPr>
      <w:r>
        <w:rPr>
          <w:rFonts w:ascii="Barlow Semi Condensed" w:cs="Barlow Semi Condensed" w:eastAsia="Barlow Semi Condensed" w:hAnsi="Barlow Semi Condensed"/>
          <w:sz w:val="24"/>
          <w:szCs w:val="24"/>
        </w:rPr>
        <w:t xml:space="preserve">Il terzo pilastro è la filiazione istruttoria verso Gladio, che salda il nodo alla Fase 2 e costituisce uno dei reperti di connessione più netti dell'intera opera. Fu l'istruttoria Casson su Peteano che, seguendo la pista dell'esplosivo e dei depositi, giunse nel 1990 a chiedere e ottenere l'accesso agli archivi del servizio militare, e fu da quel percorso istruttorio che scaturì, il 24 ottobre 1990, la rivelazione ufficiale dell'esistenza della rete stay-behind da parte del presidente del Consiglio Andreotti, certificata nella Fase 2. Il registro certifica al Livello A la sequenza istruttoria che dal caso Peteano condusse alla rivelazione di Gladio, quale fatto storico documentato; e ne precisa i limiti con il rigore consueto: la sequenza certifica che l'indagine su una strage condusse alla scoperta della rete clandestina, non che la rete clandestina eseguì o ordinò la strage, la cui responsabilità esecutiva è attribuita dal giudicato al solo Vinciguerra; il rapporto tra la strage e la rete resta definito dai materiali, l'esplosivo e l'ambiente, e dalla protezione goduta, non da un mandato accertato, e la distinzione tra la connessione materiale-ambientale, documentata, e la connessione di mandato, non provata, è l'ultima applicazione della Regola Ferrea che il capitolo consegna.</w:t>
      </w:r>
    </w:p>
    <w:p>
      <w:pPr>
        <w:spacing w:after="120" w:line="276"/>
        <w:jc w:val="both"/>
      </w:pPr>
      <w:r>
        <w:rPr>
          <w:rFonts w:ascii="Barlow Semi Condensed" w:cs="Barlow Semi Condensed" w:eastAsia="Barlow Semi Condensed" w:hAnsi="Barlow Semi Condensed"/>
          <w:sz w:val="24"/>
          <w:szCs w:val="24"/>
        </w:rPr>
        <w:t xml:space="preserve">Il quarto pilastro è la pista dell'esplosivo, che costituisce il segmento tecnico della riapertura e la cerniera materiale tra il nodo e la scoperta della rete clandestina. La perizia falsata del primo procedimento aveva occultato la natura dell'esplosivo impiegato; la riapertura istruttoria degli anni Ottanta ripartì precisamente da lì, dalla rideterminazione tecnica del materiale esplodente e dalla ricerca della sua provenienza, e fu seguendo la catena dell'esplosivo, dei detonatori e dei depositi occultati sul territorio nordorientale che l'istruttoria veneziana giunse a interrogarsi sull'esistenza di strutture clandestine dotate di depositi di armi ed esplosivi, sino alla richiesta di accesso agli archivi del servizio militare che produsse la rivelazione dell'ottobre 1990. Il registro certifica al Livello A la sequenza tecnico-istruttoria, quale percorso documentato negli atti, e ne dichiara il valore metodologico: è l'applicazione più compiuta, nell'intera opera, del paradigma indiziario assunto a fondamento della metodologia, giacché fu il dettaglio materiale, l'incongruenza di una perizia su un composto esplodente, a costituire la traccia dalla quale l'accertamento risalì, attraverso la catena delle provenienze, sino a una struttura dello Stato rimasta occulta per 4 decenni; la traiettoria dalla traccia alla struttura, compiuta in 18 anni di lavoro istruttorio, è la dimostrazione empirica che il metodo delle tracce, applicato con ostinazione, penetra anche gli occultamenti istituzionalmente presidiati. Il registro ribadisce, a chiusura del pilastro, la delimitazione già posta: la catena materiale documenta la contiguità di ambienti e di depositi, non trasferisce il mandato della strage dalla persona del condannato alla struttura scoperta, e l'inferenza resta vietata.</w:t>
      </w:r>
    </w:p>
    <w:p>
      <w:pPr>
        <w:spacing w:after="120" w:line="276"/>
        <w:jc w:val="both"/>
      </w:pPr>
      <w:r>
        <w:rPr>
          <w:rFonts w:ascii="Barlow Semi Condensed" w:cs="Barlow Semi Condensed" w:eastAsia="Barlow Semi Condensed" w:hAnsi="Barlow Semi Condensed"/>
          <w:sz w:val="24"/>
          <w:szCs w:val="24"/>
        </w:rPr>
        <w:t xml:space="preserve">Il quinto pilastro è la latitanza spagnola di Vinciguerra, che salda il nodo al capitolo precedente e completa la mappa della protezione. Dopo la strage, Vinciguerra riparò all'estero e trascorse parte della latitanza nella Spagna degli anni Settanta, nell'ambiente dei fuoriusciti dell'eversione italiana che gravitava attorno alle figure già censite, prima di essere arrestato e di rientrare nel circuito giudiziario italiano; ed è lo stesso Vinciguerra ad aver dichiarato, nel proprio apparato dichiarativo, che la protezione goduta in quegli anni dall'ambiente dei latitanti costituiva la prova vivente dell'esistenza di una rete di copertura. Il registro certifica al Livello A il fatto della latitanza estera e della sua collocazione nell'ambiente dei fuoriusciti, quale dato documentato; certifica al Livello B la protezione ambientale goduta dai latitanti dell'area nella Spagna dell'epoca, quale dato convergente di una pluralità di fonti e di vicende, ivi compresa quella di Delle Chiaie esposta nel capitolo precedente; e mantiene la qualificazione della protezione quale prova di una rete istituzionale unitaria al livello delle dichiarazioni del suo assertore, secondo la graduazione già stabilita. L'annotazione reticolare è tuttavia dovuta: la ricorrenza della medesima destinazione iberica nelle traiettorie di latitanza dei nodi della fase, da Delle Chiaie a Vinciguerra, e prima ancora nella rotta del finanziamento franchista censito nella Fase 2 sul nodo Borghese, qualifica la Spagna dell'ultimo franchismo quale zona di convergenza spaziale del Pattern 10, il territorio nel quale l'eversione italiana trovò rifugio, ambiente e retrovia; la certificazione della zona è di Livello A quanto alla ricorrenza dei fatti, e la Fase 5 ne farà uno dei propri teatri.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Peteano-falsa pista-perizia Morin, è il triangolo del depistaggio condannato, certificato al Livello A dai giudicati a carico del perito e degli ufficiali. La seconda, Peteano-Vinciguerra-confessione, è il triangolo della responsabilità esecutiva, certificato al Livello A dalla confessione riscontrata e dal giudicato. La terza, Peteano-istruttoria Casson-rivelazione di Gladio, è il triangolo della filiazione istruttoria, certificato al Livello A quanto alla sequenza storica e rigorosamente delimitato quanto alla sua portata inferenziale. Sul piano dei pattern, il nodo attiva il Pattern 5, l'analisi dei buchi strutturali, nella sua accezione investigativa: fu l'anomalia, la perizia incongrua e la pista implausibile, a costituire il varco attraverso il quale la riapertura del caso penetrò l'intera architettura dell'occultamento, secondo il paradigma indiziario che la Nota metodologica pone a fondamento dell'opera.</w:t>
      </w:r>
    </w:p>
    <w:p>
      <w:pPr>
        <w:spacing w:after="120" w:line="276"/>
        <w:jc w:val="both"/>
      </w:pPr>
      <w:r>
        <w:rPr>
          <w:rFonts w:ascii="Barlow Semi Condensed" w:cs="Barlow Semi Condensed" w:eastAsia="Barlow Semi Condensed" w:hAnsi="Barlow Semi Condensed"/>
          <w:sz w:val="24"/>
          <w:szCs w:val="24"/>
        </w:rPr>
        <w:t xml:space="preserve">Alla coppia degli esecutori il registro aggiunge la scheda del correo, che completa la mappa della protezione già censita: Carlo Cicuttini, condannato in via definitiva quale concorrente nella strage, condusse nella Spagna che questa fase ha già censito quale santuario una latitanza protrattasi per un quarto di secolo, sino alla cattura sul finire degli anni 90 ed alla consegna alla giustizia italiana, nelle cui carceri morì nel 2010, Livello A quanto alla condanna, alla latitanza ed alla cattura. La coppia degli esecutori consegna così al registro, condensata in 2 biografie divergenti, l'intera fenomenologia dei rapporti tra l'eversione ed i suoi rifugi: il confesso che rifiutò ogni protezione e scontò per intero, ed il correo che la protezione internazionale sottrasse per 25 anni all'esecuzione della pena, sicché la medesima sentenza produsse, sui 2 condannati, effetti separati da un quarto di secolo, e la distanza tra le 2 espiazioni è la misura, ancora una volta, del peso della variabile estera nella contabilità della giustizia domestica.</w:t>
      </w:r>
    </w:p>
    <w:p>
      <w:pPr>
        <w:spacing w:after="120" w:line="276"/>
        <w:jc w:val="both"/>
      </w:pPr>
      <w:r>
        <w:rPr>
          <w:rFonts w:ascii="Barlow Semi Condensed" w:cs="Barlow Semi Condensed" w:eastAsia="Barlow Semi Condensed" w:hAnsi="Barlow Semi Condensed"/>
          <w:sz w:val="24"/>
          <w:szCs w:val="24"/>
        </w:rPr>
        <w:t xml:space="preserve">Il profilo del confesso merita l'annotazione epistemologica che lo distingue da ogni altra fonte del registro: Vincenzo Vinciguerra non negoziò. La confessione del 1984 non fu accompagnata da richiesta di benefici, dissociazione premiale o collaborazione retribuita; l'esecutore rivendicò l'atto quale gesto di guerra rivoluzionaria contro lo Stato ed i suoi apparati, rifiutò lo statuto del pentito e scontò da allora, ininterrottamente, l'ergastolo divenuto irrevocabile, Livello A quanto alla condotta processuale ed al regime detentivo. Nella disciplina dell'Indice di Contaminazione della Fonte, che il registro applica ad ogni dichiarante, questa condizione colloca Vinciguerra all'estremo puro dello spettro: una fonte priva di contropartite e perciò priva del movente ordinario della fabbricazione, il cui racconto va tuttavia maneggiato con l'avvertenza speculare, che l'assenza di interesse premiale non equivale ad assenza di interesse ideologico, giacché il confesso consegna la propria verità dentro una cornice dottrinale che seleziona ciò che illumina. Il registro ne ha tratto la regola che applica all'intero suo apparato dichiarativo: la purezza negoziale della fonte ne accresce l'attendibilità sul fatto proprio e non la estende automaticamente alle chiamate in correità ed alle ricostruzioni di sistema, che restano soggette al riscontro come ogni altra.</w:t>
      </w:r>
    </w:p>
    <w:p>
      <w:pPr>
        <w:spacing w:after="120" w:line="276"/>
        <w:jc w:val="both"/>
      </w:pPr>
      <w:r>
        <w:rPr>
          <w:rFonts w:ascii="Barlow Semi Condensed" w:cs="Barlow Semi Condensed" w:eastAsia="Barlow Semi Condensed" w:hAnsi="Barlow Semi Condensed"/>
          <w:sz w:val="24"/>
          <w:szCs w:val="24"/>
        </w:rPr>
        <w:t xml:space="preserve">Resta la morfologia del bersaglio, che fa di Peteano un unicum nella serie e che l'analisi comparata deve dichiarare: tutte le stragi della stagione colpirono civili inermi in luoghi civili, la banca, la piazza, il treno, la stazione, mentre Peteano colpì, con l'esca della telefonata e dell'auto imbottita, uomini dello Stato in uniforme, carabinieri attirati in servizio. La deviazione dal modello non è un dettaglio ma una firma: essa dichiara un'azione concepita non per produrre terrore indiscriminato da attribuire all'avversario, secondo la grammatica della provocazione che il capitolo 4 ha documentato, ma per punire l'apparato stesso, secondo una logica di ritorsione interna al campo che la confessione del 1984 avrebbe poi esplicitato. Il registro consegna la differenza al Pattern 11 quale caso di anti-isomorfismo diagnostico: nella serie delle stragi, l'evento che rompe la forma è quello che, rompendola, rivela il codice della forma stessa, e non è privo di significato che proprio dalla strage anomala, la sola che aggredì lo Stato invece di servirlo, sia germinata l'istruttoria che avrebbe disvelato la rete clandestina censita nella Fase 2.</w:t>
      </w:r>
    </w:p>
    <w:p>
      <w:pPr>
        <w:spacing w:after="120" w:line="276"/>
        <w:jc w:val="both"/>
      </w:pPr>
      <w:r>
        <w:rPr>
          <w:rFonts w:ascii="Barlow Semi Condensed" w:cs="Barlow Semi Condensed" w:eastAsia="Barlow Semi Condensed" w:hAnsi="Barlow Semi Condensed"/>
          <w:sz w:val="24"/>
          <w:szCs w:val="24"/>
        </w:rPr>
        <w:t xml:space="preserve">La scheda del nodo si completa con il secondo condannato, che il registro censisce nella sua parabola integrale: Carlo Cicuttini, l'uomo della telefonata-esca identificato anche attraverso la perizia fonica sulla voce registrata, riparò in Spagna già nel 1972 e vi trascorse 26 anni di latitanza protetta nel santuario iberico censito da quest'opera, sino alla cattura del 1998, all'estradizione ed alla condanna definitiva all'ergastolo, spegnendosi detenuto nel 2010, Livello A quanto all'identificazione, alla latitanza, agli esiti ed alla morte. Il registro affianca la traiettoria a quella del complice reo confesso censito nel capitolo: i 2 uomini di Peteano percorsero le 2 strade esattamente speculari che il corpus conosce, l'uno la confessione totale senza sconti e la detenzione perpetua rivendicata, l'altro il quarto di secolo di protezione straniera e la resa finale alla giustizia soltanto per cattura, e la circostanza che entrambe le strade siano finite nello stesso punto, l'ergastolo, con 15 anni di distanza e 2 dignità documentali opposte, consegna al registro la comparazione più nitida del corpus sul valore conoscitivo delle scelte individuali: dalla strada di Vinciguerra l'opera ha ricavato un archivio, da quella di Cicuttini soltanto un casellario, e la differenza tra i 2 lasciti misura quanto della verità storica di questa fase sia dipeso non dalle istituzioni ma dalla decisione solitaria di un uomo di parlare.</w:t>
      </w:r>
    </w:p>
    <w:p>
      <w:pPr>
        <w:spacing w:after="120" w:line="276"/>
        <w:jc w:val="both"/>
      </w:pPr>
      <w:r>
        <w:rPr>
          <w:rFonts w:ascii="Barlow Semi Condensed" w:cs="Barlow Semi Condensed" w:eastAsia="Barlow Semi Condensed" w:hAnsi="Barlow Semi Condensed"/>
          <w:sz w:val="24"/>
          <w:szCs w:val="24"/>
        </w:rPr>
        <w:t xml:space="preserve">Il caso di Peteano esige infine la dichiarazione del proprio statuto eccezionale, che il registro formula quale misura dell'intera fase: la strage del 1972 è l'unica, nell'intero corpus stragista, integralmente risolta in ogni sua componente, con gli esecutori condannati in via definitiva su confessione riscontrata, il movente accertato in sentenza, la matrice ideologica dichiarata dal suo autore, ed i depistatori istituzionali processati e condannati per esteso, sicché il caso realizza, solo, la configurazione che tutte le altre stragi hanno raggiunto in forma parziale o nulla, Livello A su ogni segmento della catena. Il registro consegna l'eccezione alla sua funzione di metro: Peteano dimostra che la soluzione integrale di una strage italiana era possibile, e le condizioni che la resero possibile, la confessione volontaria di un esecutore sottrattosi ad ogni protezione, un'istruttoria condotta fuori dai circuiti inquinati, la dimensione contenuta dell'evento che non mobilitò le coperture riservate ai grandi snodi, compongono in negativo la diagnosi delle altre, perché ciò che a Peteano ci fu ed altrove mancò, la rottura interna del campo degli autori e l'assenza di interessi superiori alla verità, è esattamente l'elenco di ciò che il corpus ha censito quale meccanica dell'impunità, sicché l'unica strage risolta non è un'anomalia consolatoria, è il gruppo di controllo dell'esperimento italiano, il caso che mostra come sarebbero potute finire tutte, e perché non finirono così.</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Peteano è certificato al Livello A quale strage dalla configurazione probatoria più completa della stagione, con le 3 vittime dell'Arma nominate, l'esecutore reo confesso Vincenzo Vinciguerra condannato all'ergastolo in via definitiva, il depistaggio accertato con condanne del perito ordinovista Morin e di ufficiali dell'Arma tra cui il colonnello Mingarelli, e la filiazione istruttoria documentata dell'inchiesta Casson verso la rivelazione della rete Gladio dell'ottobre 1990; le dichiarazioni sistemiche di Vinciguerra sulla protezione atlantica degli esecutori restano graduate tra il Livello B e il Livello C secondo il riscontro, e la connessione di mandato tra la rete e la strage non è provata e non è affermata.</w:t>
      </w:r>
    </w:p>
    <w:p>
      <w:pPr>
        <w:pStyle w:val="Heading3"/>
        <w:spacing w:after="80" w:before="160"/>
      </w:pPr>
      <w:r>
        <w:rPr>
          <w:rFonts w:ascii="Barlow Semi Condensed" w:cs="Barlow Semi Condensed" w:eastAsia="Barlow Semi Condensed" w:hAnsi="Barlow Semi Condensed"/>
          <w:sz w:val="24"/>
          <w:szCs w:val="24"/>
        </w:rPr>
        <w:t xml:space="preserve">Capitolo 7 — ■ Piazza della Loggia. La strage giudicata e la fonte condannata</w:t>
      </w:r>
    </w:p>
    <w:p>
      <w:pPr>
        <w:spacing w:after="120" w:line="276"/>
        <w:jc w:val="both"/>
      </w:pPr>
      <w:r>
        <w:rPr>
          <w:rFonts w:ascii="Barlow Semi Condensed" w:cs="Barlow Semi Condensed" w:eastAsia="Barlow Semi Condensed" w:hAnsi="Barlow Semi Condensed"/>
          <w:sz w:val="24"/>
          <w:szCs w:val="24"/>
        </w:rPr>
        <w:t xml:space="preserve">La strage di piazza della Loggia, consumata a Brescia il 28 maggio 1974 durante una manifestazione antifascista indetta dai sindacati e dal comitato unitario permanente, è il nodo-evento attraverso il quale il registro certifica il risultato giudiziario più compiuto dell'intera stagione stragista: l'unica strage della sequenza politica ad avere mandanti e concorrenti condannati in via definitiva, e, tra essi, una fonte retribuita del servizio segreto militare, sicché l'arco tra il Dominio 3 e il Dominio 7 raggiunge in questo nodo la certificazione a giudicato nella sua forma più diretta. La scansione del corpus registra il sintagma della piazza 226 volte in oltre 20 documenti e il nome di Brescia 402 volte in 38. La bomba, collocata in un cestino portarifiuti sotto i portici, esplose alle 10:12 mentre dal palco parlava un sindacalista: uccise 8 persone, Giulietta Banzi Bazoli, Livia Bottardi Milani, Clementina Calzari Trebeschi, Alberto Trebeschi, Euplo Natali, Luigi Pinto, Bartolomeo Talenti e Vittorio Zambarda, e ne ferì oltre 100.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l'inquinamento immediato della scena, che il registro certifica al Livello A quale reperto di ostruzione originaria. Poche ore dopo l'esplosione, per disposizione delle autorità locali, la piazza fu lavata con gli idranti, con la conseguente dispersione irreversibile dei reperti: un fatto pacifico, richiamato in ogni successiva ricostruzione giudiziaria quale menomazione irrimediabile del quadro probatorio. Il registro lo certifica al Livello A e lo iscrive nella tipologia dell'ostruzione quale specie della distruzione della scena sotto veste di ripristino, annotando che, come per il brillamento dell'ordigno inesploso del dicembre 1969, la menomazione del compendio probatorio avvenne per mano istituzionale nelle ore immediatamente successive all'evento, prima di ogni depistaggio deliberato: la sequenza dei 2 casi fonda la regolarità per cui l'accertamento delle stragi nacque, in entrambi gli eventi capitali del quinquennio, già amputato dei suoi reperti primari.</w:t>
      </w:r>
    </w:p>
    <w:p>
      <w:pPr>
        <w:spacing w:after="120" w:line="276"/>
        <w:jc w:val="both"/>
      </w:pPr>
      <w:r>
        <w:rPr>
          <w:rFonts w:ascii="Barlow Semi Condensed" w:cs="Barlow Semi Condensed" w:eastAsia="Barlow Semi Condensed" w:hAnsi="Barlow Semi Condensed"/>
          <w:sz w:val="24"/>
          <w:szCs w:val="24"/>
        </w:rPr>
        <w:t xml:space="preserve">Il secondo pilastro è il quarantennale ciclo processuale, che il registro espone nelle sue 3 stagioni con la disciplina integrale delle assoluzioni. La prima stagione ruotò attorno a Ermanno Buzzi, esponente della manovalanza neofascista bresciana, condannato all'ergastolo in primo grado nel 1979: trasferito nel carcere di Novara, fu strangolato il 13 aprile 1981 da Pierluigi Concutelli e Mario Tuti alla vigilia del processo d'appello, e l'appello, celebrato senza di lui, assolse gli altri imputati; il registro certifica al Livello A l'eliminazione dell'imputato quale fatto giudicato a carico degli autori, già annotato nel capitolo su Ordine Nuovo quale specie radicale dell'ostruzione, la soppressione della fonte prima della sua deposizione d'appello. La seconda stagione, incentrata su un diverso gruppo di imputati dell'area, si chiuse anch'essa con assoluzioni definitive tra la fine degli anni Ottanta e i primi Novanta. La terza stagione, aperta dalle nuove indagini degli anni Duemila sul versante ordinovista veneto, vide imputati Carlo Maria Maggi, Maurizio Tramonte, Delfo Zorzi e Pino Rauti: assolti tutti in primo grado nel 2010 e in appello nel 2012, la Cassazione, il 21 febbraio 2014, rese definitiva l'assoluzione di Zorzi, che il registro riporta per esteso unitamente a quella, già esposta, di Rauti, e annullò con rinvio quanto a Maggi e Tramonte; la Corte d'assise d'appello di Milano, in sede di rinvio, li condannò entrambi all'ergastolo il 22 luglio 2015, e la Corte di cassazione, il 20 giugno 2017, rese irrevocabili le condanne. Il registro certifica al Livello A, sul fondamento del giudicato del 2017, la responsabilità di Carlo Maria Maggi, medico veneziano e ispettore di Ordine Nuovo per il Triveneto, quale organizzatore e mandante, e di Maurizio Tramonte quale concorrente nella strage; Maggi è morto nel dicembre 2018, Tramonte, riparato in Portogallo, fu estradato nel 2017 e sconta la pena. Un ulteriore filone, a carico di soggetti all'epoca minorenni, ha prodotto in anni recentissimi una pronuncia di condanna in sede di merito, allo stato non irrevocabile per quanto consta al registro, che ne recepirà l'esito al consolidamento.</w:t>
      </w:r>
    </w:p>
    <w:p>
      <w:pPr>
        <w:spacing w:after="120" w:line="276"/>
        <w:jc w:val="both"/>
      </w:pPr>
      <w:r>
        <w:rPr>
          <w:rFonts w:ascii="Barlow Semi Condensed" w:cs="Barlow Semi Condensed" w:eastAsia="Barlow Semi Condensed" w:hAnsi="Barlow Semi Condensed"/>
          <w:sz w:val="24"/>
          <w:szCs w:val="24"/>
        </w:rPr>
        <w:t xml:space="preserve">Il terzo pilastro è la qualità soggettiva di Maurizio Tramonte, che costituisce il reperto capitale del nodo e dell'intera fase. Tramonte, militante dell'area ordinovista padovana, era, negli anni della strage, fonte informativa retribuita del Servizio informazioni difesa, registrata con il nome in codice Tritone: le sue veline del 1974, acquisite agli atti, riferivano al servizio notizie provenienti dall'interno degli ambienti ordinovisti, anche in connessione con la campagna stragista in corso; ed è il medesimo uomo che il giudicato del 2017 ha condannato quale concorrente nella strage. Il registro certifica al Livello A, sul fondamento congiunto della documentazione del servizio e del giudicato, la doppia qualità di Tramonte, fonte del SID e concorrente condannato nella strage di piazza della Loggia, e ne dichiara la portata sistemica con la precisione che il caso esige. Nella progressione degli accertamenti che il registro ha censito, questo è il punto d'arrivo: la Fase 2 aveva certificato, con Giannettini, che il servizio disponeva di una fonte negli ambienti della matrice e la sottrasse all'accertamento; il presente nodo certifica che una fonte del servizio, contestualmente attiva e retribuita, fu essa stessa concorrente in una strage. Il salto probatorio è di specie, non di grado: l'arco tra il Dominio 3 e il Dominio 7 non è più soltanto l'arco dell'ostruzione successiva, ma incorpora, nella persona della fonte, la compresenza documentata dell'apparato informativo dentro l'ambiente esecutore al momento del fatto. Il registro delimita immediatamente l'inferenza, come la Regola Ferrea impone: la condanna di Tramonte certifica la responsabilità del singolo e la sua qualità di fonte, non certifica che il servizio, quale istituzione, abbia ordinato o conosciuto preventivamente la strage; il giudicato accerta la compresenza, non il mandato, e la distanza tra le 2 proposizioni, per quanto la prima renda la seconda oggetto legittimo di ipotesi, resta probatoriamente incolmata. L'ipotesi del mandato o della scienza preventiva istituzionale resta al Livello C.</w:t>
      </w:r>
    </w:p>
    <w:p>
      <w:pPr>
        <w:spacing w:after="120" w:line="276"/>
        <w:jc w:val="both"/>
      </w:pPr>
      <w:r>
        <w:rPr>
          <w:rFonts w:ascii="Barlow Semi Condensed" w:cs="Barlow Semi Condensed" w:eastAsia="Barlow Semi Condensed" w:hAnsi="Barlow Semi Condensed"/>
          <w:sz w:val="24"/>
          <w:szCs w:val="24"/>
        </w:rPr>
        <w:t xml:space="preserve">Il quarto pilastro è il contenuto documentale delle veline della fonte Tritone, che il registro espone quale corpo del reperto capitale enunciato al pilastro precedente. Le informative trasmesse da Tramonte al centro di controspionaggio competente nella primavera e nell'estate del 1974, acquisite agli atti e valorizzate nel giudicato, riferivano dall'interno dell'ambiente ordinovista veneto notizie su riunioni operative dell'area, sugli orientamenti verso la prosecuzione della campagna eversiva e su propositi attentatori, con una velina successiva alla strage che riferiva elementi sugli ambienti e sulle responsabilità: il servizio disponeva dunque, in tempo reale, di un flusso informativo proveniente dall'interno della comunità cui il giudicato avrebbe attribuito la strage, trasmesso da un uomo che il medesimo giudicato avrebbe riconosciuto concorrente nel fatto. Il registro certifica al Livello A l'esistenza, la collocazione temporale e la provenienza delle veline, quali dati documentali acquisiti, e la loro valorizzazione nel giudicato del 2017; e dichiara la conseguenza analitica con la precisione che il punto esige. Il flusso documentale certifica che l'informazione sull'ambiente della matrice raggiunse l'apparato prima, durante e dopo l'evento: ciò che l'apparato fece di quell'informazione, e ciò che i suoi vertici ne sapessero, è questione distinta, che i giudizi hanno esplorato senza produrre condanne di appartenenti al servizio per la strage, e che il registro mantiene al livello dell'ipotesi; ma la disponibilità del flusso è un fatto, e la sua certificazione sposta definitivamente il confine del negabile, giacché dopo il giudicato del 2017 non è più sostenibile che gli apparati fossero ciechi rispetto all'ambiente bresciano, essendo provato che vi possedevano dentro una fonte retribuita, e la questione storica si è spostata, per sempre, dalla conoscenza alla condotta.</w:t>
      </w:r>
    </w:p>
    <w:p>
      <w:pPr>
        <w:spacing w:after="120" w:line="276"/>
        <w:jc w:val="both"/>
      </w:pPr>
      <w:r>
        <w:rPr>
          <w:rFonts w:ascii="Barlow Semi Condensed" w:cs="Barlow Semi Condensed" w:eastAsia="Barlow Semi Condensed" w:hAnsi="Barlow Semi Condensed"/>
          <w:sz w:val="24"/>
          <w:szCs w:val="24"/>
        </w:rPr>
        <w:t xml:space="preserve">Il quinto pilastro è il significato processuale del giudicato del 2017 nella serie complessiva, che il registro dichiara quale reperto sulla possibilità stessa dell'accertamento. La condanna irrevocabile per piazza della Loggia giunse 43 anni dopo il fatto, all'esito di 3 stagioni processuali, di 2 assoluzioni di merito nel medesimo ultimo ciclo e di un annullamento con rinvio: è l'unico caso della serie politica in cui la macchina giudiziaria, ripartendo dopo decenni su materiale in parte nuovo, le veline della fonte, le acquisizioni dell'istruttoria milanese, le dichiarazioni maturate nel tempo, è pervenuta a un giudicato di condanna per mandato e concorso. Il registro certifica al Livello A questa unicità e ne trae 2 annotazioni comparate. La prima: il caso dimostra che l'esito assolutorio dei cicli coevi non equivaleva all'inaccertabilità del vero, ma alla insufficienza del materiale allora disponibile, e che l'accertamento tardivo fu reso possibile dalla congiunzione di 3 fattori documentati, la persistenza della parte civile e della comunità bresciana, la desecretazione progressiva dei materiali degli apparati, e la maturazione delle fonti dichiarative; nessuno dei 3 fattori era nella disponibilità dei giudici degli anni Settanta e Ottanta, e la comparazione tra le stagioni misura non la diversa qualità dei giudici ma la diversa apertura degli archivi, confermando la regolarità che il registro ha elevato a legge empirica del campo. La seconda annotazione delimita: l'unicità del giudicato bresciano non autorizza a trasferirne le conclusioni agli altri eventi della serie, ciascuno dei quali conserva il proprio statuto probatorio, e l'operazione, corrente nella vulgata, di estendere la matrice giudicata di Brescia all'intera sequenza quale verità dimostrata viola la disciplina che il registro applica evento per evento.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della Loggia-idranti-menomazione probatoria, è il triangolo dell'ostruzione originaria, certificato al Livello A. La seconda, piazza della Loggia-Maggi-ordinovismo triveneto, è il triangolo della matrice giudicata, certificato al Livello A dal giudicato del 20 giugno 2017, che consegna alla sequenza stragista 1969-1974 la sua unica condanna definitiva di mandante. La terza, piazza della Loggia-Tramonte-SID, è il triangolo della fonte condannata, certificato al Livello A nella doppia qualità e mantenuto al Livello C quanto al mandato istituzionale. Sul piano dei pattern, il nodo compie il Pattern 3, chiudendo la finestra critica 1969-1974 con l'evento che ne condivide la matrice accertata con l'evento inaugurale; e attiva il Pattern 2, giacché la comunità ordinovista triveneta risulta, all'esito dei giudicati, la comunità funzionale cui sono riconducibili, in sede storica per piazza Fontana e in sede di condanna per piazza della Loggia, i 2 eccidi maggiori del quinquennio.</w:t>
      </w:r>
    </w:p>
    <w:p>
      <w:pPr>
        <w:spacing w:after="120" w:line="276"/>
        <w:jc w:val="both"/>
      </w:pPr>
      <w:r>
        <w:rPr>
          <w:rFonts w:ascii="Barlow Semi Condensed" w:cs="Barlow Semi Condensed" w:eastAsia="Barlow Semi Condensed" w:hAnsi="Barlow Semi Condensed"/>
          <w:sz w:val="24"/>
          <w:szCs w:val="24"/>
        </w:rPr>
        <w:t xml:space="preserve">La stagione intermedia del ciclo processuale esige il completamento che la disciplina delle assoluzioni impone. Tra la caduta della prima costruzione accusatoria e l'apertura dell'ultima, l'istruttoria esplorò negli anni 80 la pista dell'ambiente neofascista milanese, imperniata sulla posizione di Cesare Ferri, rinviato a giudizio quale esecutore sul fondamento di riconoscimenti e dichiarazioni: il dibattimento si concluse con l'assoluzione, divenuta irrevocabile sul finire del decennio, che il registro riporta per esteso quale ulteriore esito liberatorio della serie bresciana, Livello A. Con essa la contabilità del quarantennio assume la sua forma finale: 3 costruzioni accusatorie successive, le prime 2 dissolte in assoluzioni irrevocabili, la terza approdata alle condanne definitive che il capitolo ha certificato; e la circostanza che la costruzione vincente sia stata quella fondata non su testimoni oculari né su confessioni, ma sull'incrocio documentale tra le informative d'epoca e le acquisizioni dibattimentali, conferma alla metodologia dell'opera che, nella lunga durata, l'archivio prevale sul ricordo, ed il paradigma indiziario, che sugli archivi lavora, non è un ripiego rispetto alla prova dichiarativa ma il suo superamento, l'unico strumento che il tempo affila invece di corrompere.</w:t>
      </w:r>
    </w:p>
    <w:p>
      <w:pPr>
        <w:spacing w:after="120" w:line="276"/>
        <w:jc w:val="both"/>
      </w:pPr>
      <w:r>
        <w:rPr>
          <w:rFonts w:ascii="Barlow Semi Condensed" w:cs="Barlow Semi Condensed" w:eastAsia="Barlow Semi Condensed" w:hAnsi="Barlow Semi Condensed"/>
          <w:sz w:val="24"/>
          <w:szCs w:val="24"/>
        </w:rPr>
        <w:t xml:space="preserve">La terza stagione processuale esige la sua cronologia integrale, perché la sua parabola, dall'assoluzione generale alla condanna definitiva, è unica nella storia dello stragismo e va consegnata data per data. Rinviati a giudizio gli imputati del versante ordinovista all'esito delle nuove indagini, la Corte d'Assise di Brescia li assolse tutti il 16 novembre 2010, e la Corte d'Assise d'appello confermò le assoluzioni nell'aprile 2012; la Corte di cassazione, nel febbraio 2014, annullò con rinvio le sole posizioni di Carlo Maria Maggi e di Maurizio Tramonte, rigettando nel contempo le impugnazioni contro le assoluzioni di Delfo Zorzi e di Pino Rauti, che divennero con ciò irrevocabili e che il registro riporta per esteso in ossequio alla propria regola; il giudizio di rinvio dinanzi alla Corte d'Assise d'appello di Milano si chiuse il 22 luglio 2015 con la condanna all'ergastolo di Maggi quale organizzatore e di Tramonte quale concorrente, e la Corte di cassazione rese irrevocabili le condanne il 20 giugno 2017, Livello A sull'intera scansione. Quarantatré anni separano la piazza dal giudicato: ed il registro annota che la condanna definitiva maturò quando l'organizzatore era ultraottantenne ed infermo, sicché la pena, ancora una volta, raggiunse la verità assai più dell'uomo, secondo la forbice che la Fase 2 ha già misurato sul caso Maletti.</w:t>
      </w:r>
    </w:p>
    <w:p>
      <w:pPr>
        <w:spacing w:after="120" w:line="276"/>
        <w:jc w:val="both"/>
      </w:pPr>
      <w:r>
        <w:rPr>
          <w:rFonts w:ascii="Barlow Semi Condensed" w:cs="Barlow Semi Condensed" w:eastAsia="Barlow Semi Condensed" w:hAnsi="Barlow Semi Condensed"/>
          <w:sz w:val="24"/>
          <w:szCs w:val="24"/>
        </w:rPr>
        <w:t xml:space="preserve">Il valore sistemico della scansione sta però nel suo motore, che il registro isola quale lezione di metodo: la riapertura degli anni 2000 non nacque da una nuova fonte dichiarativa ma dal riesame integrale del già noto, la digitalizzazione ed il riordino delle carte, l'incrocio delle veline della fonte Tritone con i movimenti documentati degli uomini, la rilettura filologica di materiale che giaceva agli atti da decenni. Brescia dimostra così, in sede giudiziaria, il teorema che il capitolo 9 della Fase 2 ha enunciato in sede archivistica: il sapere che giace non è sapere perduto, e la distanza tra un'assoluzione del 2012 ed una condanna del 2017, a parità sostanziale di giacimento documentale, misura non un mutamento delle carte ma un mutamento dello sguardo. È la vittoria postuma, se così può dirsi con la sobrietà che il registro impone, del paradigma indiziario sulla rassegnazione: l'archivio attese 40 anni il proprio lettore, e quando lo trovò, la piazza ebbe il suo giudicato.</w:t>
      </w:r>
    </w:p>
    <w:p>
      <w:pPr>
        <w:spacing w:after="120" w:line="276"/>
        <w:jc w:val="both"/>
      </w:pPr>
      <w:r>
        <w:rPr>
          <w:rFonts w:ascii="Barlow Semi Condensed" w:cs="Barlow Semi Condensed" w:eastAsia="Barlow Semi Condensed" w:hAnsi="Barlow Semi Condensed"/>
          <w:sz w:val="24"/>
          <w:szCs w:val="24"/>
        </w:rPr>
        <w:t xml:space="preserve">Alla persistenza processuale del nodo corrisponde una persistenza civile che il registro censisce quale dato di lungo periodo: la comunità bresciana costruì attorno alla piazza una delle infrastrutture memoriali più solide del Paese, con l'associazione dei familiari attiva sin dai giorni successivi alla strage e, dal 2000, la Casa della Memoria, l'istituzione cittadina che raccoglie, ordina e rende consultabile l'intero giacimento documentale e processuale dell'evento, Livello A quanto all'esistenza ed alla funzione delle istituzioni memoriali. Il nesso tra questa persistenza e l'esito giudiziario del 2017 non è certificabile quale rapporto causale, ed il registro non lo certifica; è però censibile quale correlazione di sistema: dei nodi-evento della fase, quello approdato a condanna definitiva è anche quello attorno al quale la società civile mantenne, per 4 decenni, la più continua pressione documentale e conoscitiva, alimentando le riaperture con la custodia attiva delle carte. La memoria organizzata, suggerisce il caso bresciano, non è un supplemento consolatorio dell'accertamento ma una sua condizione ambientale: gli archivi attendono i lettori, come il capitolo ha detto, ma i lettori arrivano dove qualcuno ha tenuto accesa la luce.</w:t>
      </w:r>
    </w:p>
    <w:p>
      <w:pPr>
        <w:spacing w:after="120" w:line="276"/>
        <w:jc w:val="both"/>
      </w:pPr>
      <w:r>
        <w:rPr>
          <w:rFonts w:ascii="Barlow Semi Condensed" w:cs="Barlow Semi Condensed" w:eastAsia="Barlow Semi Condensed" w:hAnsi="Barlow Semi Condensed"/>
          <w:sz w:val="24"/>
          <w:szCs w:val="24"/>
        </w:rPr>
        <w:t xml:space="preserve">L'architrave testimoniale della terza stagione esige la sua scheda, che il registro censisce con lo statuto più complesso dell'intera fase: Carlo Digilio, l'armiere dell'area ordinovista veneta rientrato coattivamente da Santo Domingo all'inizio degli anni Novanta, divenne da collaboratore la fonte interna maggiore dell'istruttoria milanese e dei dibattimenti conseguenti, con dichiarazioni che coprivano la logistica degli esplosivi, le riunioni preparatorie e la catena veneta dei 2 stragi maggiori, e con la posizione personale definita dalla dichiarazione di prescrizione del concorso in strage per effetto delle attenuanti della collaborazione, esito che ne fa, paradosso documentale supremo del corpus, l'unico uomo formalmente riconosciuto concorrente nella strage di piazza Fontana da una statuizione divenuta definitiva, Livello A quanto alla parabola personale ed all'esito prescrittivo. La sorte dibattimentale delle sue dichiarazioni misura la linea di faglia delle 2 stagioni: valorizzate dall'istruttoria e dai primi gradi milanesi, ridimensionate dalla sentenza di legittimità del 2005 che ne censurò l'affidabilità su snodi decisivi, tornarono architrave, per la parte riscontrata, nel giudizio bresciano concluso con le condanne del 2015-2017, sicché il medesimo dichiarante fu insufficiente per una strage e determinante per l'altra, Livello A quanto agli esiti divergenti nei giudicati. Il registro trae dalla parabola la lezione di metodo che consegna alla fase: la fonte Digilio, morta nel 2005 prima del proprio raccolto bresciano, dimostra che nell'economia probatoria delle stragi il valore di un collaboratore non è una proprietà della persona ma della rete dei riscontri che ciascun processo riesce a costruirle attorno, e la sua doppia sorte giudiziaria, respinto a Milano e accolto a Brescia sui medesimi ambienti, è la dimostrazione sperimentale che a decidere non fu mai la voce, ma l'orecchio.</w:t>
      </w:r>
    </w:p>
    <w:p>
      <w:pPr>
        <w:spacing w:after="120" w:line="276"/>
        <w:jc w:val="both"/>
      </w:pPr>
      <w:r>
        <w:rPr>
          <w:rFonts w:ascii="Barlow Semi Condensed" w:cs="Barlow Semi Condensed" w:eastAsia="Barlow Semi Condensed" w:hAnsi="Barlow Semi Condensed"/>
          <w:sz w:val="24"/>
          <w:szCs w:val="24"/>
        </w:rPr>
        <w:t xml:space="preserve">Il 28 maggio bresciano possiede un reperto che nessun'altra strage del corpus possiede, ed il registro lo censisce quale unicum documentale assoluto: l'esplosione fu registrata, perché l'impianto di amplificazione della manifestazione sindacale incideva su nastro il comizio in corso, e la bobina conservò la voce dell'oratore, il boato, i secondi di silenzio e le prime grida, consegnando alla storia ed ai processi l'unico documento sonoro autentico di una strage italiana nel suo istante, Livello A quanto all'esistenza ed all'autenticità della registrazione acquisita agli atti. Il registro assegna al nastro la sua doppia funzione: sul piano probatorio, la registrazione ha fornito ai dibattimenti la cronologia acustica esatta dell'evento, sottraendo l'istante della deflagrazione alla plasticità della memoria testimoniale che il corpus ha imparato a temere; sul piano della memoria civile, essa ha fatto di piazza della Loggia la sola strage che il Paese può ascoltare e non soltanto ricostruire, e questa udibilità perpetua, custodita e riproposta dalla liturgia memoriale bresciana, spiega in parte la qualità particolare che la vicenda ha mantenuto nella coscienza pubblica: le altre stragi sono racconti, Brescia è un suono, e contro un suono la negazione e la rimozione, che sul racconto lavorano da sempre, non hanno mai avuto strumenti.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della Loggia è certificato al Livello A quale unica strage politica della stagione con giudicato di condanna, divenuto irrevocabile il 20 giugno 2017 a carico di Carlo Maria Maggi quale organizzatore e di Maurizio Tramonte quale concorrente; la qualità di Tramonte quale fonte retribuita Tritone del SID, contestuale alla partecipazione alla strage, è certificata al Livello A e costituisce la forma più diretta mai giudicata dell'arco Dominio 3-Dominio 7, ferma l'ipoteticità di Livello C del mandato istituzionale; il lavaggio della piazza con gli idranti e l'eliminazione in carcere dell'imputato Buzzi sono certificati al Livello A quali specie dell'ostruzione; le assoluzioni definitive di Zorzi e di Rauti sono riportate per esteso, e gli 8 nomi delle vittime sono trascritti nel registro.</w:t>
      </w:r>
    </w:p>
    <w:p>
      <w:pPr>
        <w:pStyle w:val="Heading3"/>
        <w:spacing w:after="80" w:before="160"/>
      </w:pPr>
      <w:r>
        <w:rPr>
          <w:rFonts w:ascii="Barlow Semi Condensed" w:cs="Barlow Semi Condensed" w:eastAsia="Barlow Semi Condensed" w:hAnsi="Barlow Semi Condensed"/>
          <w:sz w:val="24"/>
          <w:szCs w:val="24"/>
        </w:rPr>
        <w:t xml:space="preserve">Capitolo 8 — ■ L'Italicus. La strage senza colpevoli e l'ombra censita dalla Commissione</w:t>
      </w:r>
    </w:p>
    <w:p>
      <w:pPr>
        <w:spacing w:after="120" w:line="276"/>
        <w:jc w:val="both"/>
      </w:pPr>
      <w:r>
        <w:rPr>
          <w:rFonts w:ascii="Barlow Semi Condensed" w:cs="Barlow Semi Condensed" w:eastAsia="Barlow Semi Condensed" w:hAnsi="Barlow Semi Condensed"/>
          <w:sz w:val="24"/>
          <w:szCs w:val="24"/>
        </w:rPr>
        <w:t xml:space="preserve">La strage dell'espresso Italicus, consumata alle 1:23 del 4 agosto 1974 all'uscita della grande galleria dell'Appennino, presso San Benedetto Val di Sambro, è il nodo-evento attraverso il quale il registro affronta la figura speculare a quella del capitolo precedente: la strage rimasta, all'esito di ogni grado di giudizio, integralmente priva di condannati, e tuttavia accompagnata da una valutazione parlamentare di altissimo profilo che ne collegò l'ombra alla loggia P2, saldando il nodo al quadrilatero della Fase 1. La scansione del corpus registra Italicus 224 volte in 30 documenti. L'ordigno, collocato nella quinta vettura del treno Roma-Brennero, esplose mentre il convoglio usciva dalla galleria: uccise 12 persone e ne ferì 48; tra le vittime, il ferroviere Silver Sirotti, morto nel tentativo di soccorrere i passeggeri tra le fiamme e insignito della medaglia d'oro al valor civile, il cui nome il registro trascrive per tutti.</w:t>
      </w:r>
    </w:p>
    <w:p>
      <w:pPr>
        <w:spacing w:after="120" w:line="276"/>
        <w:jc w:val="both"/>
      </w:pPr>
      <w:r>
        <w:rPr>
          <w:rFonts w:ascii="Barlow Semi Condensed" w:cs="Barlow Semi Condensed" w:eastAsia="Barlow Semi Condensed" w:hAnsi="Barlow Semi Condensed"/>
          <w:sz w:val="24"/>
          <w:szCs w:val="24"/>
        </w:rPr>
        <w:t xml:space="preserve">Il primo pilastro probatorio è il ciclo processuale integralmente assolutorio, che il registro riporta per esteso quale sua ossatura. Le indagini si indirizzarono verso l'ambiente dell'eversione neofascista toscana, e segnatamente verso il Fronte Nazionale Rivoluzionario: Mario Tuti e Luciano Franci furono condannati all'ergastolo in primo grado dalla Corte d'assise di Bologna nel 1983, assolti in appello nel 1986, e, dopo l'annullamento con rinvio disposto dalla Cassazione, nuovamente assolti nel giudizio di rinvio; la Corte di cassazione, il 24 marzo 1992, rese irrevocabile l'assoluzione. Il registro certifica al Livello A e riporta per esteso l'assoluzione definitiva di Tuti e Franci dall'accusa di strage, e certifica conseguentemente che la strage dell'Italicus non ha, a oggi, alcun condannato, né quale esecutore né quale mandante: è, nella sistematica del registro, il caso puro della strage senza verità giudiziaria di condanna, e la sua iscrizione nel registro con questo statuto è essa stessa un dato di prima classe, che vieta ogni attribuzione assertiva e impone il linguaggio dell'ipotesi graduata. Il registro annota che Mario Tuti, condannato in via definitiva per altri gravissimi fatti, tra cui il duplice omicidio di agenti a Empoli del gennaio 1975 e l'omicidio in carcere di Ermanno Buzzi, sconta l'ergastolo per quei titoli, e che la sua posizione rispetto all'Italicus resta quella dell'assoluzione irrevocabile: la distinzione tra i titoli è obbligata e il registro la trascrive.</w:t>
      </w:r>
    </w:p>
    <w:p>
      <w:pPr>
        <w:spacing w:after="120" w:line="276"/>
        <w:jc w:val="both"/>
      </w:pPr>
      <w:r>
        <w:rPr>
          <w:rFonts w:ascii="Barlow Semi Condensed" w:cs="Barlow Semi Condensed" w:eastAsia="Barlow Semi Condensed" w:hAnsi="Barlow Semi Condensed"/>
          <w:sz w:val="24"/>
          <w:szCs w:val="24"/>
        </w:rPr>
        <w:t xml:space="preserve">Il secondo pilastro è la valutazione della Commissione parlamentare d'inchiesta sulla loggia P2, che costituisce il collegamento del nodo al quadrilatero della Fase 1 e che il registro recepisce con la qualificazione esatta della sua natura. La relazione conclusiva della Commissione presieduta da Tina Anselmi, approvata nel 1984, affrontando il capitolo delle trame eversive, formulò sulla strage dell'Italicus una valutazione di eccezionale gravità: la strage era ascrivibile agli ambienti dell'eversione di destra operanti in Toscana, e la loggia massonica P2 doveva ritenersi coinvolta quale ambiente di istigazione e di possibile sostegno, anche finanziario, di quegli ambienti, nel quadro dei rapporti tra la loggia e l'eversione che la Commissione aveva ricostruito. Il registro certifica al Livello B questa valutazione, quale pronuncia di una fonte parlamentare di alta affidabilità, e ne dichiara con la massima nettezza lo statuto: essa è una valutazione politico-parlamentare fondata sull'istruttoria della Commissione, non un accertamento penale, e non è mai stata tradotta in giudicato; la sua recezione al Livello B misura esattamente questa natura, collocandola sopra l'ipotesi ma sotto la certificazione, e il registro vieta a sé stesso di elevarla a Livello A per la suggestione della fonte, come di degradarla a mero sospetto per l'assenza di condanne. Il nodo Italicus diviene così, nella rete dell'opera, il punto in cui l'ombra della loggia sul terreno stragista è censita da una fonte istituzionale massima senza essere giudizialmente provata: un arco Dominio 4-Dominio 7 di Livello B, che si affianca, senza confondersi, all'arco di Livello A che la condanna di Gelli per il depistaggio di Bologna ha certificato sul diverso terreno dell'ostruzione.</w:t>
      </w:r>
    </w:p>
    <w:p>
      <w:pPr>
        <w:spacing w:after="120" w:line="276"/>
        <w:jc w:val="both"/>
      </w:pPr>
      <w:r>
        <w:rPr>
          <w:rFonts w:ascii="Barlow Semi Condensed" w:cs="Barlow Semi Condensed" w:eastAsia="Barlow Semi Condensed" w:hAnsi="Barlow Semi Condensed"/>
          <w:sz w:val="24"/>
          <w:szCs w:val="24"/>
        </w:rPr>
        <w:t xml:space="preserve">Il terzo pilastro è il contrappunto del rapido 904, che il registro richiama dalla Fase 1 per completare la lettura del teatro appenninico. Sulla medesima direttrice ferroviaria, 10 anni dopo, la strage del rapido 904 del 23 dicembre 1984 avrebbe trovato, a differenza dell'Italicus, i suoi condannati definitivi, e tra essi Giuseppe Calò, il cassiere di Cosa Nostra certificato nella Fase 1: il registro accosta i 2 eventi quale coppia comparativa di massimo valore analitico, giacché la medesima tecnica, l'ordigno sul treno nel medesimo tratto appenninico, riceve dai giudicati 2 matrici diverse, non accertata e neofascista nell'ipotesi per l'Italicus, mafiosa con concorso di ambienti camorristici e contigui per il 904; la comparazione certifica che la tecnica non identifica la matrice, e costituisce un monito metodologico permanente contro l'inferenza dalla morfologia dell'evento alla sua paternità, che il Pattern 11 disciplina e che la vulgata ha sistematicamente violato.</w:t>
      </w:r>
    </w:p>
    <w:p>
      <w:pPr>
        <w:spacing w:after="120" w:line="276"/>
        <w:jc w:val="both"/>
      </w:pPr>
      <w:r>
        <w:rPr>
          <w:rFonts w:ascii="Barlow Semi Condensed" w:cs="Barlow Semi Condensed" w:eastAsia="Barlow Semi Condensed" w:hAnsi="Barlow Semi Condensed"/>
          <w:sz w:val="24"/>
          <w:szCs w:val="24"/>
        </w:rPr>
        <w:t xml:space="preserve">Il quarto pilastro è la collocazione dell'evento nella finestra critica del 1974, che l'analisi temporale del registro qualifica quale culmine e insieme quale chiusura della prima stagione stragista. Tra la strage di piazza della Loggia del 28 maggio e quella dell'Italicus del 4 agosto corrono 68 giorni: la concentrazione di 2 stragi in un'estate, entro l'anno successivo allo scioglimento di Ordine Nuovo e nel pieno della campagna delle sigle clandestine, segna il massimo di densità della serie; e dopo l'agosto 1974 la sequenza delle stragi politiche si interrompe per 6 anni, sino al 1980. Il registro certifica al Livello A la scansione temporale quale dato oggettivo della serie, e ne trae, con la cautela che il metodo impone, 2 annotazioni. La prima è statistica e negativa: la sola densità temporale non autorizza inferenze di regia unitaria, e il registro rammenta che la propria verifica preregistrata sulla correlazione tra la serie stragista e le scadenze del processo di integrazione europea, condotta con modello nullo, restituì un esito non significativo, imponendo l'abbandono della tesi della densità quale prova; la finestra del 1974 si spiega, ai livelli certificabili, con le dinamiche interne documentate, la clandestinizzazione post-scioglimento e il precipitare dello scontro politico nazionale attorno al referendum di quella primavera, senza necessità di postulare cabine di regia non documentate. La seconda annotazione è comparativa: il lungo silenzio 1974-1980, seguito dalla ripresa con Bologna a opera di una generazione eversiva diversa, suggerisce che la serie stragista non fu un continuum unitario ma una successione di onde distinte, con matrici, uomini e contesti differenti, e la periodizzazione a onde, che i giudicati confermano nella diversità degli autori accertati tra le 2 finestre, è assunta dal registro quale struttura temporale dell'intero dominio, contro la vulgata del disegno unico ininterrotto.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Italicus-Tuti e Franci-assoluzione, è il triangolo del ciclo processuale, certificato al Livello A nel suo esito integralmente assolutorio riportato per esteso. La seconda, Italicus-Commissione Anselmi-loggia P2, è il triangolo dell'ombra censita, certificato al Livello B quale valutazione parlamentare non tradotta in giudicato. La terza, Italicus-rapido 904, è il triangolo comparativo delle matrici divergenti a tecnica identica, certificato al Livello A nei suoi 2 termini giudiziari e assunto quale monito del Pattern 11. Sul piano dei pattern, il nodo attiva altresì il Pattern 10, la convergenza spaziale, giacché il tratto appenninico tra Firenze e Bologna si qualifica, con l'Italicus, il 904 e la successiva memoria della galleria, quale zona di massima densità stragista ferroviaria del Paese, la cui selezione ripetuta interroga l'analisi spaziale.</w:t>
      </w:r>
    </w:p>
    <w:p>
      <w:pPr>
        <w:spacing w:after="120" w:line="276"/>
        <w:jc w:val="both"/>
      </w:pPr>
      <w:r>
        <w:rPr>
          <w:rFonts w:ascii="Barlow Semi Condensed" w:cs="Barlow Semi Condensed" w:eastAsia="Barlow Semi Condensed" w:hAnsi="Barlow Semi Condensed"/>
          <w:sz w:val="24"/>
          <w:szCs w:val="24"/>
        </w:rPr>
        <w:t xml:space="preserve">Al nome di Silver Sirotti, che il capitolo ha trascritto per tutti, il registro affianca ora, a completamento dell'atto dovuto, l'elenco intero: le 12 vittime della strage furono Nicola Buffi, Maria Santina Carraro, Elena Celli, Elena Donatini, Tsugufumi Fukuda, Raffaella Garosi, Wilhelmus Jacobus Hanema, Herbert Kontriner, Antidio Medaglia, Marco Russin, Nunzio Russo e Silver Sirotti, italiani e stranieri di 4 nazionalità sorpresi nel sonno delle carrozze o investiti dall'incendio, Livello A quanto all'elenco. La composizione internazionale del bilancio, unica nella serie sino ad allora, appartiene alla natura stessa del bersaglio, il treno a lunga percorrenza quale campione casuale d'Europa in transito sulla dorsale appenninica: e la figura del ferroviere caduto nel soccorso, che il capitolo ha già consegnato alla memoria, appartiene alla stessa classe morfologica che la Fase 1 ha nominato in Ambrosoli, quella dell'anticorpo, l'uomo comune che, posto dal caso sul punto esatto della catastrofe, sceglie la funzione contro la salvezza: figura che ricorre accanto ad ogni strage della serie, il ferroviere, il vigile, il soccorritore, e che il registro annota qui una volta per tutte, a valere per l'intera fase.</w:t>
      </w:r>
    </w:p>
    <w:p>
      <w:pPr>
        <w:spacing w:after="120" w:line="276"/>
        <w:jc w:val="both"/>
      </w:pPr>
      <w:r>
        <w:rPr>
          <w:rFonts w:ascii="Barlow Semi Condensed" w:cs="Barlow Semi Condensed" w:eastAsia="Barlow Semi Condensed" w:hAnsi="Barlow Semi Condensed"/>
          <w:sz w:val="24"/>
          <w:szCs w:val="24"/>
        </w:rPr>
        <w:t xml:space="preserve">La materialità dell'evento va fissata nei suoi elementi periziali accertati: l'ordigno a tempo, collocato nella quinta vettura del convoglio, esplose all'1:23 quando il treno, transitato per la grande galleria dell'Appennino, ne stava varcando l'uscita presso San Benedetto Val di Sambro, e la circostanza che la deflagrazione mancasse di pochi secondi il ventre della montagna fu unanimemente letta, negli atti, quale scampato aggravamento di proporzioni catastrofiche, giacché l'esplosione in galleria avrebbe moltiplicato le vittime per asfissia ed impossibilità di soccorso, Livello A quanto alla dinamica periziale. La rivendicazione giunse con volantini a firma Ordine Nero, la sigla del carsismo post-scioglimento censito nel capitolo 2, che salutavano la strage quale atto di guerra, Livello A quanto al repertamento della rivendicazione, Livello B quanto alla sua genuinità attributiva, mai consacrata da condanna. Appartiene infine al nodo una tradizione memorialistica che il registro censisce al livello che le compete: la circostanza, riferita da fonti familiari e ripresa dalla pubblicistica, secondo cui Aldo Moro avrebbe dovuto viaggiare quella notte su quel convoglio e ne sarebbe stato fatto scendere per ragioni d'ufficio poco prima della partenza, Livello C quale tradizione priva di riscontro documentale autonomo, che il registro trasmette alla Fase 4 non quale fatto ma quale esemplare della forza gravitazionale che il nodo Moro esercita, retrospettivamente, su ogni evento della stagione: la vicenda del presidente attrae le narrazioni come i grandi corpi attraggono la luce, e distinguere l'orbita documentata dalla suggestione è, precisamente, il mestiere di questo registro.</w:t>
      </w:r>
    </w:p>
    <w:p>
      <w:pPr>
        <w:spacing w:after="120" w:line="276"/>
        <w:jc w:val="both"/>
      </w:pPr>
      <w:r>
        <w:rPr>
          <w:rFonts w:ascii="Barlow Semi Condensed" w:cs="Barlow Semi Condensed" w:eastAsia="Barlow Semi Condensed" w:hAnsi="Barlow Semi Condensed"/>
          <w:sz w:val="24"/>
          <w:szCs w:val="24"/>
        </w:rPr>
        <w:t xml:space="preserve">Resta la sociologia del bersaglio, che una digressione sorvegliata può nominare. L'Italicus viaggiava nella notte tra il 3 ed il 4 agosto, gremito del popolo delle ferie e dei rientri, famiglie meridionali, emigranti, ferrovieri: la seconda classe d'agosto, l'Italia in movimento tra le 2 Italie. La strage ferroviaria d'estate, che il rapido 904 avrebbe replicato 10 anni dopo nella simmetria natalizia già censita, colpisce per costruzione il segmento più indifeso ed interclassista della popolazione, e questa scelta, che nessuna rivendicazione ha mai dovuto spiegare perché il terrore indiscriminato è la spiegazione, consegna alla serie il suo tratto più propriamente eversivo: non l'attacco al nemico, ma l'attacco al quotidiano, la dimostrazione che nessun gesto ordinario, un viaggio, una banca, una piazza, una sala d'aspetto, è al riparo. Il ferroviere Silver Sirotti, che morì rientrando nel vagone in fiamme con l'estintore, medaglia d'oro al valor civile, resta il contrappunto esatto di quella logica: nella notte in cui il quotidiano fu trasformato in bersaglio, il quotidiano rispose con il proprio eroismo di servizio, e la fase, che ha bandito la retorica, si limita a registrare che entrambe le grandezze, il terrore e il soccorso, abitarono lo stesso minuto della stessa galleria.</w:t>
      </w:r>
    </w:p>
    <w:p>
      <w:pPr>
        <w:spacing w:after="120" w:line="276"/>
        <w:jc w:val="both"/>
      </w:pPr>
      <w:r>
        <w:rPr>
          <w:rFonts w:ascii="Barlow Semi Condensed" w:cs="Barlow Semi Condensed" w:eastAsia="Barlow Semi Condensed" w:hAnsi="Barlow Semi Condensed"/>
          <w:sz w:val="24"/>
          <w:szCs w:val="24"/>
        </w:rPr>
        <w:t xml:space="preserve">Il maggio 1974 consegna al registro la sua costellazione armata, che la disciplina temporale del Pattern 3 impone di censire nella sua sequenza esatta: il 9 maggio 1974 fu arrestato in Valtellina Carlo Fumagalli, capo del Movimento di Azione Rivoluzionaria, la formazione armata che le condanne definitive avrebbero accertato quale struttura eversiva dedita ad attentati ed alla predisposizione insurrezionale, Livello A; il 28 maggio la bomba di piazza della Loggia; il 30 maggio, a 2 giorni dalla strage, il militante milanese Giancarlo Esposti cadde in conflitto a fuoco con le forze dell'ordine presso il campo armato di Pian del Rascino, sull'Appennino reatino, dove si addestrava con altri estremisti, Livello A quanto ai fatti ed alle date. La concentrazione in 3 settimane di un arresto di vertice, di una strage e di un campo armato scoperto disegna la finestra critica che il registro misura senza sovrainterpretare: le istruttorie esplorarono per decenni i possibili raccordi tra la costellazione del maggio e l'ordigno bresciano, tra le armi del MAR, gli ambienti di Esposti e la matrice poi giudicata, e questi raccordi specifici, mai consolidati in giudicato, restano al Livello B nelle convergenze istruttorie ed al Livello C nelle ricostruzioni di rete più ampie. Ciò che resta al livello del certo è la densità stessa: nel maggio 1974 l'Italia settentrionale ospitava simultaneamente una formazione armata in smantellamento, un campo paramilitare attivo ed una campagna stragista al culmine, e la compresenza documentata di 3 apparati della medesima area ideologica in armi, quale che ne fosse il coordinamento, è essa stessa il dato strutturale che il capitolo consegna alla fase: la strategia della tensione non fu un ambiente metaforico, fu un territorio fisicamente armato, di cui il maggio bresciano costituisce il rilievo cartografico più fitto.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Italicus è certificato al Livello A quale strage priva, all'esito dell'assoluzione irrevocabile di Tuti e Franci del 24 marzo 1992, riportata per esteso, di qualsiasi condannato; la valutazione della Commissione Anselmi, che ascrisse la strage agli ambienti dell'eversione toscana con la loggia P2 quale ambiente di istigazione e possibile sostegno finanziario, è recepita al Livello B quale pronuncia parlamentare di alta affidabilità non tradotta in giudicato, e costituisce l'arco Dominio 4-Dominio 7 nella sua forma censita ma non provata; la comparazione con il rapido 904 certifica che la tecnica identica ricevette matrici giudiziarie diverse, a monito permanente contro l'inferenza morfologica; il nome di Silver Sirotti è trascritto per tutte le 12 vittime.</w:t>
      </w:r>
    </w:p>
    <w:p>
      <w:pPr>
        <w:pStyle w:val="Heading3"/>
        <w:spacing w:after="80" w:before="160"/>
      </w:pPr>
      <w:r>
        <w:rPr>
          <w:rFonts w:ascii="Barlow Semi Condensed" w:cs="Barlow Semi Condensed" w:eastAsia="Barlow Semi Condensed" w:hAnsi="Barlow Semi Condensed"/>
          <w:sz w:val="24"/>
          <w:szCs w:val="24"/>
        </w:rPr>
        <w:t xml:space="preserve">Capitolo 9 — ■ La strage di Bologna. Gli esecutori giudicati, il depistaggio piduista e il quadro dei mandanti</w:t>
      </w:r>
    </w:p>
    <w:p>
      <w:pPr>
        <w:spacing w:after="120" w:line="276"/>
        <w:jc w:val="both"/>
      </w:pPr>
      <w:r>
        <w:rPr>
          <w:rFonts w:ascii="Barlow Semi Condensed" w:cs="Barlow Semi Condensed" w:eastAsia="Barlow Semi Condensed" w:hAnsi="Barlow Semi Condensed"/>
          <w:sz w:val="24"/>
          <w:szCs w:val="24"/>
        </w:rPr>
        <w:t xml:space="preserve">La strage della stazione di Bologna, consumata alle 10:25 del 2 agosto 1980 nella sala d'aspetto di seconda classe, è il nodo-evento terminale della fase e il più grave eccidio della storia repubblicana: 85 morti e oltre 200 feriti. La scansione del corpus registra il sintagma della strage 212 volte in 33 documenti, il nome della città 1.120 volte in 81, la sigla dei Nuclei Armati Rivoluzionari 953 volte in 33, e i nomi di Valerio Fioravanti e Francesca Mambro rispettivamente 171 volte in 21 e 113 volte in 12 documenti. Il nodo è quello sul quale converge il maggior numero di archi già certificati nelle fasi precedenti, il depistaggio di Gelli dalla Fase 1 e quello degli uomini del SISMI dalla Fase 2, e la sua trattazione unitaria consente al registro di comporre, per la prima volta, l'intero quadro probatorio dell'evento nei suoi 3 strati: gli esecutori, l'ostruzione, i mandanti.</w:t>
      </w:r>
    </w:p>
    <w:p>
      <w:pPr>
        <w:spacing w:after="120" w:line="276"/>
        <w:jc w:val="both"/>
      </w:pPr>
      <w:r>
        <w:rPr>
          <w:rFonts w:ascii="Barlow Semi Condensed" w:cs="Barlow Semi Condensed" w:eastAsia="Barlow Semi Condensed" w:hAnsi="Barlow Semi Condensed"/>
          <w:sz w:val="24"/>
          <w:szCs w:val="24"/>
        </w:rPr>
        <w:t xml:space="preserve">Il primo pilastro probatorio è lo strato degli esecutori, certificato al Livello A da una sequenza di giudicati che si è estesa lungo 4 decenni. Valerio Fioravanti e Francesca Mambro, esponenti di vertice dei Nuclei Armati Rivoluzionari, la formazione dello spontaneismo armato neofascista romano, furono condannati all'ergastolo quali esecutori, con sentenza resa irrevocabile dalla Corte di cassazione il 23 novembre 1995; Luigi Ciavardini, minorenne all'epoca dei fatti, fu condannato a 30 anni con sentenza divenuta definitiva nel 2007; Gilberto Cavallini fu condannato all'ergastolo quale ulteriore concorrente, con sentenza di primo grado del gennaio 2020 divenuta irrevocabile all'esito del giudizio di legittimità; e Paolo Bellini, figura proveniente dall'area di Avanguardia Nazionale, è stato condannato all'ergastolo quale ulteriore concorrente con sentenza di primo grado dell'aprile 2022, confermata in appello nel luglio 2024, dell'esito del cui giudizio di legittimità il registro darà atto in sede di aggiornamento; il processo relativo a quest'ultima posizione è documentato nel corpus da uno studio dedicato. Il registro certifica al Livello A le condanne irrevocabili di Fioravanti, Mambro, Ciavardini e Cavallini, registra la posizione di Bellini allo stato dei gradi di merito, e annota il dato che la vulgata più trascura: gli esecutori giudicati della strage hanno sempre negato, e negano, la propria responsabilità, sicché il giudicato si è formato contro la loro protesta di innocenza, sulla forza del compendio probatorio; il registro, che riporta per esteso le assoluzioni, riporta con eguale fedeltà questa protesta quale fatto, senza attribuirle valore revocatorio che l'ordinamento non le riconosce.</w:t>
      </w:r>
    </w:p>
    <w:p>
      <w:pPr>
        <w:spacing w:after="120" w:line="276"/>
        <w:jc w:val="both"/>
      </w:pPr>
      <w:r>
        <w:rPr>
          <w:rFonts w:ascii="Barlow Semi Condensed" w:cs="Barlow Semi Condensed" w:eastAsia="Barlow Semi Condensed" w:hAnsi="Barlow Semi Condensed"/>
          <w:sz w:val="24"/>
          <w:szCs w:val="24"/>
        </w:rPr>
        <w:t xml:space="preserve">Il secondo pilastro è lo strato dell'ostruzione, che le fasi precedenti hanno certificato e che qui si ricompone nella sua unità. Per il depistaggio delle indagini, consistito nella costruzione della falsa pista internazionale mediante la collocazione di una valigia di esplosivo e materiali su un treno, furono condannati in via definitiva Licio Gelli, Venerabile della loggia P2, Francesco Pazienza, faccendiere del SISMI, e gli ufficiali del medesimo servizio Pietro Musumeci e Giuseppe Belmonte: il registro, che ha certificato l'accertamento al Livello A nella Fase 1 dal lato della loggia e nella Fase 2 dal lato degli apparati, lo richiama qui quale secondo strato del nodo, e ne ribadisce la qualificazione: l'ostruzione fu opera congiunta del vertice della loggia coperta e di uomini del servizio militare diretto dal piduista Santovito, e costituisce la saldatura giudicata dei Domini 3 e 4 sul terreno del Dominio 7; la Regola Ferrea, per l'ultima volta enunciata su questo evento, vieta di inferire dal depistaggio il mandato, e ciò che oltrepassa questo limite appartiene allo strato successivo, con il suo diverso statuto probatorio.</w:t>
      </w:r>
    </w:p>
    <w:p>
      <w:pPr>
        <w:spacing w:after="120" w:line="276"/>
        <w:jc w:val="both"/>
      </w:pPr>
      <w:r>
        <w:rPr>
          <w:rFonts w:ascii="Barlow Semi Condensed" w:cs="Barlow Semi Condensed" w:eastAsia="Barlow Semi Condensed" w:hAnsi="Barlow Semi Condensed"/>
          <w:sz w:val="24"/>
          <w:szCs w:val="24"/>
        </w:rPr>
        <w:t xml:space="preserve">Il terzo pilastro è lo strato dei mandanti, che il registro affronta con la qualificazione più sorvegliata dell'intera opera, trattandosi dell'evoluzione più recente e più delicata dell'accertamento. Le motivazioni delle sentenze di merito dell'ultimo ciclo processuale, formate nei giudizi a carico di Cavallini e di Bellini, hanno ricostruito, sul fondamento tra l'altro di un appunto contabile sequestrato a Licio Gelli recante l'intestazione Bologna e la registrazione di ingenti movimenti in dollari, il quadro del finanziamento dell'operazione, indicando quali mandanti, finanziatori e organizzatori della strage Licio Gelli, Umberto Ortolani, Federico Umberto D'Amato e Mario Tedeschi, senatore e direttore di una testata dell'area: tutti defunti, e mai sottoposti in vita a giudizio per tale titolo. Il registro recepisce questa ricostruzione al Livello B, quale contenuto di motivazioni giudiziarie di merito recenti, fonte di alta affidabilità, concernente soggetti che nessun dispositivo ha condannato per quel titolo né potrà più giudicare; e dichiara le 2 conseguenze sistematiche della recezione. La prima riguarda la coerenza interna del registro: il nodo D'Amato, che la Fase 2 aveva certificato mantenendo al Livello C ogni ipotesi di regia sugli eventi stragisti, riceve dall'evoluzione giudiziaria un aggiornamento specifico, giacché quanto alla sola strage di Bologna l'indicazione del suo nome tra i mandanti ascende al Livello B in forza della fonte giudiziaria sopravvenuta, ferma restando per ogni altro evento la classificazione precedente: il registro documenta così, in atto, il proprio funzionamento quale sistema revisionabile, nel quale i livelli si muovono al mutare delle fonti e ogni movimento è dichiarato. La seconda conseguenza riguarda il quadrilatero della Fase 1: l'indicazione congiunta di Gelli e Ortolani quali mandanti-finanziatori colloca il vertice della loggia, già condannato in via definitiva per l'ostruzione, anche nello strato del mandato secondo la fonte di Livello B, e la presenza di un direttore di testata tra i soggetti indicati proietta l'evento verso il Dominio 8, che il registro annota quale filo da sviluppare. Resta infine da censire, quale ipotesi respinta, la cosiddetta pista alternativa internazionale, nelle sue varie formulazioni: il registro dà atto che le sentenze dell'ultimo ciclo l'hanno espressamente esaminata ed esclusa, sicché essa è, allo stato, un'ipotesi giudizialmente disattesa, e la sua iscrizione al Livello C reca questa qualificazione aggravata.</w:t>
      </w:r>
    </w:p>
    <w:p>
      <w:pPr>
        <w:spacing w:after="120" w:line="276"/>
        <w:jc w:val="both"/>
      </w:pPr>
      <w:r>
        <w:rPr>
          <w:rFonts w:ascii="Barlow Semi Condensed" w:cs="Barlow Semi Condensed" w:eastAsia="Barlow Semi Condensed" w:hAnsi="Barlow Semi Condensed"/>
          <w:sz w:val="24"/>
          <w:szCs w:val="24"/>
        </w:rPr>
        <w:t xml:space="preserve">Il quarto pilastro è l'antecedente immediato dell'omicidio del giudice Mario Amato, che il registro certifica al Livello A e colloca quale cerniera tra la campagna dei Nuclei Armati Rivoluzionari e la strage. Il 23 giugno 1980, 40 giorni prima della strage, il sostituto procuratore Mario Amato, che conduceva a Roma, in condizioni di isolamento istituzionale da lui stesso denunciate, le indagini sull'eversione di destra romana, fu assassinato con un colpo alla nuca a una fermata dell'autobus; l'omicidio fu opera dei Nuclei Armati Rivoluzionari, e per esso riportarono condanna definitiva esponenti dell'organizzazione, tra i quali Gilberto Cavallini. Il registro certifica al Livello A, sul fondamento del giudicato, l'omicidio di Amato quale eliminazione deliberata del magistrato che indagava sull'organizzazione, e ne dichiara il triplice rilievo per il nodo. In primo luogo, esso costituisce il secondo arco estremo tra il Dominio 7 e il Dominio 10 della fase, dopo l'omicidio Occorsio, e la reiterazione a 4 anni di distanza certifica che l'eliminazione del magistrato inquirente fu una tecnica ricorrente dell'eversione nera, non un episodio isolato. In secondo luogo, la denuncia di isolamento resa da Amato poco prima della morte davanti agli organi di autogoverno, documentata agli atti, è recepita dal registro quale reperto di Livello A sull'inadeguatezza della protezione istituzionale accordata a chi indagava su quell'ambiente in quella stagione, senza estensioni inferenziali sulla sua intenzionalità. In terzo luogo, la sequenza Amato-Bologna, con il medesimo ambiente organizzativo certificato dai giudicati su entrambi gli eventi e con la continuità personale nella figura di Cavallini, disegna l'escalation della seconda finestra critica nella sua forma più compressa: dall'eliminazione dell'inquirente all'eccidio indiscriminato in 40 giorni, la progressione che il Pattern 3 registra quale firma temporale del biennio.</w:t>
      </w:r>
    </w:p>
    <w:p>
      <w:pPr>
        <w:spacing w:after="120" w:line="276"/>
        <w:jc w:val="both"/>
      </w:pPr>
      <w:r>
        <w:rPr>
          <w:rFonts w:ascii="Barlow Semi Condensed" w:cs="Barlow Semi Condensed" w:eastAsia="Barlow Semi Condensed" w:hAnsi="Barlow Semi Condensed"/>
          <w:sz w:val="24"/>
          <w:szCs w:val="24"/>
        </w:rPr>
        <w:t xml:space="preserve">Il quinto pilastro, conclusivo, riguarda la memoria processuale e civile dell'evento, che il registro annota quale dato di lungo periodo: l'associazione dei familiari delle vittime, costituitasi nel 1981, ha operato per oltre 4 decenni quale motore civile dell'accertamento, costituendosi parte civile in ogni ciclo processuale e sostenendo la prosecuzione delle indagini sino alle sentenze più recenti; il registro certifica al Livello A questo ruolo, documentato in ogni atto dei procedimenti, e vi riconosce un reperto strutturale che l'intera opera registra in controluce: nella serie stragista italiana, la persistenza dell'accertamento oltre i depistaggi e le prescrizioni fu garantita in misura decisiva dalla parte civile organizzata, ossia da un attore esterno tanto agli apparati quanto alla politica, e la circostanza conferma la regolarità comparativa, già codificata dal registro, per cui gli archivi e le verità di questo dominio non si sono mai aperti spontaneamente.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Bologna-Nuclei Armati Rivoluzionari-esecutori, è il triangolo delle condanne irrevocabili di Fioravanti, Mambro, Ciavardini e Cavallini, certificato al Livello A. La seconda, Bologna-Gelli-uomini del SISMI, è il triangolo dell'ostruzione, certificato al Livello A dai giudicati e saldato alle Fasi 1 e 2. La terza, Bologna-appunto contabile-quadro dei mandanti, è il triangolo dello strato più recente, recepito al Livello B con la qualificazione integrale della sua natura. Sul piano dei pattern, il nodo attiva il Pattern 4, l'analisi dei flussi, nella ricostruzione contabile del finanziamento che le motivazioni recenti hanno operato, prima applicazione giudiziaria compiuta, nell'intera stagione, del principio per cui il denaro disegna la mappa che gli uomini occultano; e chiude il Pattern 3 della fase, segnando la seconda finestra critica, quella del biennio 1980, che le fasi precedenti hanno già popolato con la direzione piduista dei servizi.</w:t>
      </w:r>
    </w:p>
    <w:p>
      <w:pPr>
        <w:spacing w:after="120" w:line="276"/>
        <w:jc w:val="both"/>
      </w:pPr>
      <w:r>
        <w:rPr>
          <w:rFonts w:ascii="Barlow Semi Condensed" w:cs="Barlow Semi Condensed" w:eastAsia="Barlow Semi Condensed" w:hAnsi="Barlow Semi Condensed"/>
          <w:sz w:val="24"/>
          <w:szCs w:val="24"/>
        </w:rPr>
        <w:t xml:space="preserve">Alla contabilità delle 85 vittime, che il registro assume nella sua interezza dagli atti e dalla liturgia civile che ogni 2 agosto ne scandisce i nomi dalla piazza della stazione, appartengono gli estremi anagrafici che la memoria pubblica ha consegnato quale misura dell'indiscriminatezza: la più giovane, Angela Fresu, aveva 3 anni, ed il ventaglio delle età si stendeva da lei sino agli ottuagenari, attraversando ogni condizione, viaggiatori, ferrovieri, lavoratori della stazione, turisti stranieri, Livello A quanto alla composizione, consegnata agli atti ed al monumento. Il registro censisce il dato non quale cornice emotiva ma quale reperto morfologico terminale della serie: la sala d'aspetto di seconda classe di una stazione di snodo, in un sabato d'esodo estivo, è il bersaglio a massima entropia sociale concepibile, il punto in cui la selezione della vittima è affidata per intero al caso, e la progressione che la fase ha misurato, dalla clientela di una banca al pubblico di una manifestazione sino alla folla indistinta di agosto, tocca qui il proprio limite matematico, oltre il quale non esiste ulteriore grado di indiscriminatezza: la strage di Bologna è, in questo senso tecnico e terribile, l'evento terminale non solo della cronologia ma della logica della stagione.</w:t>
      </w:r>
    </w:p>
    <w:p>
      <w:pPr>
        <w:spacing w:after="120" w:line="276"/>
        <w:jc w:val="both"/>
      </w:pPr>
      <w:r>
        <w:rPr>
          <w:rFonts w:ascii="Barlow Semi Condensed" w:cs="Barlow Semi Condensed" w:eastAsia="Barlow Semi Condensed" w:hAnsi="Barlow Semi Condensed"/>
          <w:sz w:val="24"/>
          <w:szCs w:val="24"/>
        </w:rPr>
        <w:t xml:space="preserve">Alla persistenza civile censita dal quinto pilastro va aggiunto il suo precipitato normativo, che il registro annota quale esito di lungo periodo dell'intera stagione: la legislazione organica in favore delle vittime del terrorismo e delle stragi, approdata nella legge del 2004 sulle provvidenze e costruita nell'arco di 3 decenni sotto la pressione costante delle famiglie, con il riconoscimento di benefici, pensioni ed onorificenze che trasformarono la condizione di vittima da fatto privato in status pubblico, Livello A quanto all'impianto normativo. Il registro vi legge il compimento di un rovesciamento di lungo periodo: nella prima stagione le vittime furono, processualmente e pubblicamente, comparse dell'evento, nomi in calce alle perizie; nell'ultima esse sono divenute parte attiva dell'accertamento, motore di costituzioni di parte civile, di istanze di desecretazione, di campagne per l'accesso agli archivi, sino a costituire, nel lessico di questa opera, il primo ed unico nodo collettivo della rete che operi esclusivamente nel codice della verità: non parte in causa dell'analisi, ma condizione di possibilità della documentazione su cui l'analisi lavora, giacché una quota rilevante degli atti che questo registro cita esiste perché qualcuno, per 40 anni, non ha smesso di chiederli.</w:t>
      </w:r>
    </w:p>
    <w:p>
      <w:pPr>
        <w:spacing w:after="120" w:line="276"/>
        <w:jc w:val="both"/>
      </w:pPr>
      <w:r>
        <w:rPr>
          <w:rFonts w:ascii="Barlow Semi Condensed" w:cs="Barlow Semi Condensed" w:eastAsia="Barlow Semi Condensed" w:hAnsi="Barlow Semi Condensed"/>
          <w:sz w:val="24"/>
          <w:szCs w:val="24"/>
        </w:rPr>
        <w:t xml:space="preserve">La sequenza dei giudicati sugli esecutori va restituita nella sua interezza, perché la sua stessa tortuosità è un reperto sulla resistenza dell'accertamento: condanne in primo grado nel luglio 1988, assoluzioni per la strage nel giudizio d'appello del luglio 1990, annullamento con rinvio pronunciato dalla Corte di cassazione nel febbraio 1992, nuove condanne nel giudizio di rinvio del maggio 1994 ed irrevocabilità il 23 novembre 1995, Livello A sull'intera scansione. Sette anni e 5 pronunce separano il primo dispositivo dal giudicato, ed il punto di massima torsione, l'assoluzione d'appello del 1990 travolta dall'annullamento del 1992, consegna al registro la misura della contendibilità che il processo conobbe sino all'ultimo grado. Alla stabilità successiva del giudicato appartiene infine un dato che la disciplina della pari evidenza impone di censire: le istanze di revisione ripetutamente proposte negli anni dai condannati principali sono state dichiarate inammissibili o rigettate dalle corti competenti, sicché il giudicato del 1995 ha superato, oltre ai gradi ordinari, anche il vaglio straordinario cui i condannati lo hanno sottoposto, Livello A quanto agli esiti delle revisioni. Il registro consegna il dato nella sua doppia valenza: la richiesta di revisione è l'esercizio di un diritto e la sua reiterazione non è un indizio contro chi la propone, ma la tenuta del giudicato dinanzi ad ogni verifica sollecitata è, simmetricamente, un fatto processuale compiuto, e la contabilità del nodo deve registrare entrambi i piatti della bilancia, il diritto esercitato e l'esito costante.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infine la risposta della città, che il registro censisce quale reperto civile di pari dignità documentale: nelle ore successive alle 10:25 la macchina spontanea dei soccorsi, viaggiatori, ferrovieri, tassisti, cittadini accorsi a mani nude tra le macerie della sala d'aspetto, affiancò e in parte precedette quella istituzionale, in una mobilitazione che la documentazione fotografica e testimoniale dell'agosto 1980 ha consegnato alla memoria nazionale quale contro-immagine esatta della strage, Livello A quanto alla mobilitazione documentata. Il registro annota il dato non per concessione alla retorica, che il suo statuto vieta, ma per la sua funzione analitica precisa: la strategia che colpisce il quotidiano, censita nel capitolo 8, incontrò a Bologna la sua confutazione pratica nel quotidiano stesso che si organizzava, e la velocità della risposta civile, misurabile in minuti, contrasta punto per punto con la lentezza pluridecennale dell'accertamento, misurabile in lustri. Tra questi 2 tempi, il tempo del soccorso ed il tempo della giustizia, si distende l'intera fenomenologia che la fase ha censito: ed il registro, chiudendo il penultimo nodo, consegna la forbice alla riflessione istituzionale cui compete, annotando soltanto che una Repubblica capace del primo tempo non era condannata per natura alla durata del secondo.</w:t>
      </w:r>
    </w:p>
    <w:p>
      <w:pPr>
        <w:spacing w:after="120" w:line="276"/>
        <w:jc w:val="both"/>
      </w:pPr>
      <w:r>
        <w:rPr>
          <w:rFonts w:ascii="Barlow Semi Condensed" w:cs="Barlow Semi Condensed" w:eastAsia="Barlow Semi Condensed" w:hAnsi="Barlow Semi Condensed"/>
          <w:sz w:val="24"/>
          <w:szCs w:val="24"/>
        </w:rPr>
        <w:t xml:space="preserve">Accanto al binario penale ed a quello memoriale, il caso bolognese ha costruito il terzo pilastro della risposta civile, che il registro censisce quale lascito istituzionale della strage: sul versante associativo, la costituzione permanente dell'Associazione tra i familiari delle vittime della strage alla stazione di Bologna, che dal 1981 ha operato quale parte civile organizzata in ogni grado di ogni filone processuale, motore ininterrotto di impulso giudiziario attraverso 4 decenni, modello poi replicato dalle associazioni delle altre stragi del corpus, Livello A quanto all'esistenza, alla continuità ed al ruolo processuale documentato; sul versante legislativo, il binario riparatorio culminato nella legge 3 agosto 2004 numero 206 sulle nuove norme in favore delle vittime del terrorismo e delle stragi, che consolidò elargizioni, benefici previdenziali ed assistenziali per le vittime e per i superstiti dell'intera stagione, Livello A quanto allo strumento normativo. Il registro assegna al doppio pilastro la sua funzione sistemica: la riparazione economica e l'organizzazione permanente dei familiari sono le 2 forme con cui la Repubblica ha riconosciuto in via generale ciò che le aule hanno accertato solo in parte, ed il paradosso contabile che ne deriva, uno Stato che indennizza per legge tutte le vittime di stragi delle quali non ha giudizialmente individuato tutti i responsabili, non è un'incoerenza ma la fotografia esatta della forbice che l'intera fase misura, tra la certezza dei corpi e l'incompiutezza delle catene di comando, con l'annotazione finale che l'opera deve al caso bolognese: dove lo Stato ha camminato più lentamente, i familiari organizzati hanno camminato per lui, e la stagione dei mandanti censita nel capitolo è, in misura documentabile dagli atti, il prodotto della loro ostinazione processuale prima ancora che dell'iniziativa pubblica.</w:t>
      </w:r>
    </w:p>
    <w:p>
      <w:pPr>
        <w:spacing w:after="120" w:line="276"/>
        <w:jc w:val="both"/>
      </w:pPr>
      <w:r>
        <w:rPr>
          <w:rFonts w:ascii="Barlow Semi Condensed" w:cs="Barlow Semi Condensed" w:eastAsia="Barlow Semi Condensed" w:hAnsi="Barlow Semi Condensed"/>
          <w:sz w:val="24"/>
          <w:szCs w:val="24"/>
        </w:rPr>
        <w:t xml:space="preserve">Il fascicolo bolognese impone infine il censimento della sua controipotesi maggiore, che il registro riporta con la disciplina del Pattern 6: la tesi della matrice palestinese, la lettura che riconduce l'ordigno del 2 agosto ad una rappresaglia collegata alla rottura degli equilibri riservati mediterranei censiti nella fase quinta, riproposta in più stagioni processuali e pubblicistiche quale alternativa alla matrice neofascista giudicata, è stata esaminata e motivatamente respinta dalle sentenze dell'ultima stagione, che ne hanno vagliato gli elementi dichiarativi e documentali concludendo per la loro inidoneità a scalfire il quadro probatorio consolidato, Livello A quanto all'esistenza della controipotesi, al suo esame giudiziario ed al suo rigetto motivato nei giudicati. Il registro consegna il punto al suo statuto esatto, contro le 2 tentazioni speculari: la controipotesi non è stata ignorata, come lamenta la sua pubblicistica, ma processata e respinta nel contraddittorio, il che la colloca tra le ipotesi falsificate e non tra quelle censurate; e simmetricamente il suo ritorno ciclico ad ogni stagione, documentabile nella cronologia del caso, appartiene esso stesso ai fenomeni che il corpus studia, la persistenza delle letture alternative quale funzione del bisogno di senso più che della forza degli elementi, con l'annotazione di metodo che chiude il punto: in un caso con esecutori condannati in via definitiva e mandanti giudicati, l'onere di ogni tesi sostitutiva non è di essere suggestiva ma di spiegare meglio l'intero corpo dei fatti accertati, e questo onere, ad oggi, nessuna controipotesi bolognese lo ha assolto davanti ad un giudice.</w:t>
      </w:r>
    </w:p>
    <w:p>
      <w:pPr>
        <w:spacing w:after="120" w:line="276"/>
        <w:jc w:val="both"/>
      </w:pPr>
      <w:r>
        <w:rPr>
          <w:rFonts w:ascii="Barlow Semi Condensed" w:cs="Barlow Semi Condensed" w:eastAsia="Barlow Semi Condensed" w:hAnsi="Barlow Semi Condensed"/>
          <w:sz w:val="24"/>
          <w:szCs w:val="24"/>
        </w:rPr>
        <w:t xml:space="preserve">Il lutto bolognese ebbe infine la sua liturgia divisa, che il registro censisce quale primo verdetto della piazza: alle esequie solenni celebrate in San Petronio nei giorni successivi alla strage, davanti ad una moltitudine che gremiva la piazza, la folla riservò contestazioni e fischi ai rappresentanti del governo e delle istituzioni di partito, mentre tributò al presidente della Repubblica Pertini, giunto tra i feriti e le bare sin dalle prime ore, un'accoglienza di segno opposto, in una scena documentata da ogni cronaca e rimasta nella memoria civile quale spartiacque del rapporto tra il Paese e lo Stato dopo l'ultima strage, Livello A quanto ai fatti ed alla loro documentazione. Il registro consegna la scena alla sua funzione di reperto: la piazza del 1980 distinse pubblicamente, dentro il medesimo Stato, le istituzioni percepite quali garanti da quelle percepite quali inadempienti, emettendo a caldo, con lo strumento primitivo del fischio e dell'applauso, il medesimo giudizio differenziale che 4 decenni di processi avrebbero poi faticosamente istruito, e questa anticipazione popolare della distinzione che governa l'intera opera, lo Stato che protegge e lo Stato che manca, non è un dato folclorico ma il segno che la coscienza civile del Paese aveva già letto, nell'agosto 1980, la struttura duale che il corpus documenta, con l'annotazione che chiude il capitolo: le stragi non riuscirono mai a produrre il panico eversivo per cui erano concepite, produssero piazze che fischiavano, e la differenza tra questi 2 esiti è la ragione ultima per cui la strategia censita da questa fase, pur avendo vinto quasi tutti i suoi processi, ha perso la sua guerra.</w:t>
      </w:r>
    </w:p>
    <w:p>
      <w:pPr>
        <w:spacing w:after="120" w:line="276"/>
        <w:jc w:val="both"/>
      </w:pPr>
      <w:r>
        <w:rPr>
          <w:rFonts w:ascii="Barlow Semi Condensed" w:cs="Barlow Semi Condensed" w:eastAsia="Barlow Semi Condensed" w:hAnsi="Barlow Semi Condensed"/>
          <w:sz w:val="24"/>
          <w:szCs w:val="24"/>
        </w:rPr>
        <w:t xml:space="preserve">La stazione conserva infine la sua reliquia laica, che il registro censisce a chiusura del versante memoriale: l'orologio della facciata, fermato dalla deflagrazione sull'ora della strage, fu in seguito riparato, e quindi nuovamente arrestato per scelta memoriale sulle 10:25, l'ora che il capitolo ha censito, divenendo il segno permanente che accoglie chiunque transiti per il piazzale, Livello A quanto alla vicenda dell'oggetto ed alla sua funzione attuale. Il registro consegna la reliquia alla sua lezione: la decisione di rifermare un orologio funzionante, di sacrificare cioè l'utilità del meccanismo alla verità del segno, è l'atto memoriale più radicale del corpus, perché non aggiunge un monumento alla città ma sottrae per sempre un servizio alla stazione, imponendo alla vita quotidiana una piccola disfunzione perpetua in cambio della memoria, e questa scelta, deliberata e mantenuta, dice della strage di Bologna ciò che nessuna lapide potrebbe: che la città ha voluto un tempo pubblico spezzato in permanenza, un quadrante che dà a tutti l'ora sbagliata perché nessuno possa avere, su quel piazzale, l'ora senza la storia.</w:t>
      </w:r>
    </w:p>
    <w:p>
      <w:pPr>
        <w:spacing w:after="120" w:line="276"/>
        <w:jc w:val="both"/>
      </w:pPr>
      <w:r>
        <w:rPr>
          <w:rFonts w:ascii="Barlow Semi Condensed" w:cs="Barlow Semi Condensed" w:eastAsia="Barlow Semi Condensed" w:hAnsi="Barlow Semi Condensed"/>
          <w:sz w:val="24"/>
          <w:szCs w:val="24"/>
        </w:rPr>
        <w:t xml:space="preserve">La stagione parlamentare sulle stragi ebbe il suo presidente-simbolo, che il registro censisce a completamento del versante istituzionale: il senatore Libero Gualtieri guidò la Commissione stragi dal 1988 al 1994, gli anni delle svolte censite dall'opera, la rivelazione della rete clandestina, la riapertura dei fascicoli orientali, le grandi audizioni, imprimendo ai lavori l'impostazione documentale che le relazioni di quella stagione testimoniano e che fece della commissione, in quel sessennio, il principale motore civile di declassificazione della Repubblica, Livello A quanto alla presidenza ed agli atti prodotti. Il registro consegna la figura alla tipologia che l'opera ha costruito attraverso le fasi: accanto ai magistrati istruttori ed agli archivisti volontari, il corpus registra la funzione del presidente d'inchiesta quale terza figura della conoscenza possibile, l'uomo che non può condannare né conservare ma può costringere lo Stato a rispondere in verbale, e la stagione Gualtieri, con i suoi atti che questa fase ha citato in ogni capitolo, dimostra la resa massima dello strumento parlamentare quando smette di cercare colpevoli, che non può raggiungere, e si dedica a ciò che solo esso può fare, trasformare il segreto in atto pubblico una domanda alla volta.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Bologna è certificato nei suoi 3 strati: al Livello A le condanne irrevocabili degli esecutori Fioravanti, Mambro, Ciavardini e Cavallini, con la posizione di Bellini registrata allo stato dei gradi di merito; al Livello A il depistaggio congiunto di Gelli, Pazienza, Musumeci e Belmonte, saldatura giudicata dei Domini 3 e 4 sul terreno del Dominio 7; al Livello B il quadro dei mandanti Gelli, Ortolani, D'Amato e Tedeschi ricostruito dalle motivazioni recenti sul fondamento dell'appunto contabile, con l'aggiornamento dichiarato della posizione di D'Amato rispetto alla Fase 2 e la proiezione verso il Dominio 8; la pista alternativa internazionale è censita quale ipotesi espressamente disattesa dai giudicati.</w:t>
      </w:r>
    </w:p>
    <w:p>
      <w:pPr>
        <w:pStyle w:val="Heading3"/>
        <w:spacing w:after="80" w:before="160"/>
      </w:pPr>
      <w:r>
        <w:rPr>
          <w:rFonts w:ascii="Barlow Semi Condensed" w:cs="Barlow Semi Condensed" w:eastAsia="Barlow Semi Condensed" w:hAnsi="Barlow Semi Condensed"/>
          <w:sz w:val="24"/>
          <w:szCs w:val="24"/>
        </w:rPr>
        <w:t xml:space="preserve">Capitolo 10 — ■ L'omicidio di Piersanti Mattarella. Il mandato giudicato e l'esecuzione irrisolta</w:t>
      </w:r>
    </w:p>
    <w:p>
      <w:pPr>
        <w:spacing w:after="120" w:line="276"/>
        <w:jc w:val="both"/>
      </w:pPr>
      <w:r>
        <w:rPr>
          <w:rFonts w:ascii="Barlow Semi Condensed" w:cs="Barlow Semi Condensed" w:eastAsia="Barlow Semi Condensed" w:hAnsi="Barlow Semi Condensed"/>
          <w:sz w:val="24"/>
          <w:szCs w:val="24"/>
        </w:rPr>
        <w:t xml:space="preserve">L'omicidio di Piersanti Mattarella, presidente della Regione Siciliana, assassinato a Palermo il 6 gennaio 1980 mentre, senza scorta, si recava a messa con la famiglia, è il nodo che chiude la fase perché in esso si concentra, allo stato più puro, la questione che la Fase 1 aveva formalmente lasciato aperta e consegnato alle fasi successive: la convergenza tra il Dominio 1, la mafia, e il Dominio 7, l'eversione nera, nella stagione a cavallo del 1980. La scansione del corpus registra Mattarella 226 volte in 19 documenti. Il nodo è altresì, tra tutti quelli dell'opera, il più esigente sul piano della disciplina, giacché in esso coesistono un giudicato pieno sul mandato e un vuoto integrale, presidiato da un'assoluzione irrevocabile, sull'esecuzione.</w:t>
      </w:r>
    </w:p>
    <w:p>
      <w:pPr>
        <w:spacing w:after="120" w:line="276"/>
        <w:jc w:val="both"/>
      </w:pPr>
      <w:r>
        <w:rPr>
          <w:rFonts w:ascii="Barlow Semi Condensed" w:cs="Barlow Semi Condensed" w:eastAsia="Barlow Semi Condensed" w:hAnsi="Barlow Semi Condensed"/>
          <w:sz w:val="24"/>
          <w:szCs w:val="24"/>
        </w:rPr>
        <w:t xml:space="preserve">La ricostruzione dell'evento e del suo contesto è il primo fondamento. Piersanti Mattarella, esponente della corrente morotea della Democrazia Cristiana siciliana, conduceva da presidente della Regione una politica dichiarata di rottura del sistema degli appalti e di risanamento amministrativo, in aperto conflitto con gli interessi mafiosi e con gli equilibri interni al suo stesso partito che la Fase 1 ha documentato nel nodo Lima-Ciancimino; il suo assassinio si inserì nella sequenza degli omicidi politici palermitani che eliminò, tra il 1979 e il 1982, il segretario provinciale democristiano Michele Reina, lo stesso Mattarella e il segretario regionale comunista Pio La Torre. Il registro certifica al Livello A l'evento, il contesto politico-amministrativo del conflitto sugli appalti e l'appartenenza dell'omicidio alla sequenza politica palermitana.</w:t>
      </w:r>
    </w:p>
    <w:p>
      <w:pPr>
        <w:spacing w:after="120" w:line="276"/>
        <w:jc w:val="both"/>
      </w:pPr>
      <w:r>
        <w:rPr>
          <w:rFonts w:ascii="Barlow Semi Condensed" w:cs="Barlow Semi Condensed" w:eastAsia="Barlow Semi Condensed" w:hAnsi="Barlow Semi Condensed"/>
          <w:sz w:val="24"/>
          <w:szCs w:val="24"/>
        </w:rPr>
        <w:t xml:space="preserve">Il primo pilastro probatorio è il giudicato sul mandato, che il registro certifica al Livello A. Il processo per gli omicidi politici palermitani si concluse con la condanna all'ergastolo, quali mandanti, dei componenti della commissione provinciale di Cosa Nostra, tra cui Salvatore Riina e Giuseppe Calò, con sentenza della Corte d'assise di Palermo dell'aprile 1995 divenuta irrevocabile all'esito dei gradi successivi: il vertice dell'organizzazione mafiosa deliberò ed ordinò l'eliminazione del presidente della Regione, quale risposta alla sua politica di rottura. Il registro certifica al Livello A il mandato mafioso dell'omicidio Mattarella, e annota il richiamo interno che ne deriva: tra i mandanti condannati figura Giuseppe Calò, il nodo che la Fase 1 aveva certificato quale cassiere dell'organizzazione e quale condannato per la strage del rapido 904, sicché il medesimo uomo salda, nella propria posizione giudiziaria definitiva, il mandato dell'omicidio politico del 1980 e la strage ferroviaria del 1984: un arco interno al Dominio 1 che attraversa il Dominio 7 e che il registro iscrive quale conferma della capacità deliberativa unitaria del vertice mafioso sull'intero spettro della violenza politica.</w:t>
      </w:r>
    </w:p>
    <w:p>
      <w:pPr>
        <w:spacing w:after="120" w:line="276"/>
        <w:jc w:val="both"/>
      </w:pPr>
      <w:r>
        <w:rPr>
          <w:rFonts w:ascii="Barlow Semi Condensed" w:cs="Barlow Semi Condensed" w:eastAsia="Barlow Semi Condensed" w:hAnsi="Barlow Semi Condensed"/>
          <w:sz w:val="24"/>
          <w:szCs w:val="24"/>
        </w:rPr>
        <w:t xml:space="preserve">Il secondo pilastro è la questione degli esecutori, che il registro espone nella sua integralità formale. L'istruttoria e il dibattimento esplorarono, sul fondamento di dichiarazioni di collaboratori e di un riconoscimento fotografico, l'ipotesi che l'esecuzione materiale fosse stata affidata, in una convergenza operativa senza precedenti, a killer provenienti dall'eversione nera romana, e segnatamente a Valerio Fioravanti e Gilberto Cavallini, i medesimi nomi che il capitolo precedente ha certificato quali condannati per la strage di Bologna: la Corte d'assise di Palermo, nella sentenza dell'aprile 1995, li assolse dall'accusa di essere gli esecutori dell'omicidio Mattarella, e l'assoluzione è divenuta irrevocabile nei gradi successivi. Il registro la riporta per esteso e certifica al Livello A che l'identità degli esecutori materiali dell'omicidio Mattarella resta, all'esito di ogni giudizio, non accertata: la strage di Stato regionale, come fu definita, ha mandanti giudicati e mani ignote. L'ipotesi della convergenza esecutiva tra mafia ed eversione nera, che la Fase 1 aveva registrato al Livello C, resta al Livello C, con la qualificazione aggravata che il registro riserva alle ipotesi processate e non provate: essa fu portata in giudizio e il giudizio non la consacrò, sicché la sua permanenza nel registro è quella dell'ipotesi vagliata e rimasta tale, distinta tanto dall'ipotesi mai vagliata quanto dall'ipotesi esclusa; il registro annota che la questione ha continuato a formare oggetto di attenzione investigativa e storiografica, e che ogni suo sviluppo sarà recepito al maturare di fonti nuove.</w:t>
      </w:r>
    </w:p>
    <w:p>
      <w:pPr>
        <w:spacing w:after="120" w:line="276"/>
        <w:jc w:val="both"/>
      </w:pPr>
      <w:r>
        <w:rPr>
          <w:rFonts w:ascii="Barlow Semi Condensed" w:cs="Barlow Semi Condensed" w:eastAsia="Barlow Semi Condensed" w:hAnsi="Barlow Semi Condensed"/>
          <w:sz w:val="24"/>
          <w:szCs w:val="24"/>
        </w:rPr>
        <w:t xml:space="preserve">Il terzo pilastro è la funzione sistemica del nodo nella chiusura della fase, che il registro dichiara. L'omicidio Mattarella è il punto in cui i 2 versanti dell'opera, il quadrilatero mafioso-affaristico della Fase 1 e il versante eversivo della presente fase, si toccano nel medesimo evento senza che il contatto sia mai stato provato: il mandato appartiene con certezza giudiziaria al primo versante, l'ipotesi esecutiva evocò il secondo, e il giudizio lasciò i 2 versanti giustapposti, non congiunti. Il registro eleva questa configurazione a paradigma: la convergenza tra i domini della violenza, che la vulgata assume quale sistema permanente, è nel registro una questione empirica da accertare evento per evento, e il nodo Mattarella dimostra che essa può essere, in un medesimo evento, giudizialmente fondata quanto a un versante e giudizialmente infondata quanto all'altro; nessun altro caso dell'opera incarna con eguale purezza la differenza tra la rete certificata e la rete congetturata, ed è per questo che il nodo sigilla la fase.</w:t>
      </w:r>
    </w:p>
    <w:p>
      <w:pPr>
        <w:spacing w:after="120" w:line="276"/>
        <w:jc w:val="both"/>
      </w:pPr>
      <w:r>
        <w:rPr>
          <w:rFonts w:ascii="Barlow Semi Condensed" w:cs="Barlow Semi Condensed" w:eastAsia="Barlow Semi Condensed" w:hAnsi="Barlow Semi Condensed"/>
          <w:sz w:val="24"/>
          <w:szCs w:val="24"/>
        </w:rPr>
        <w:t xml:space="preserve">Il quarto pilastro è la sequenza unitaria degli omicidi politici palermitani, che il registro certifica al Livello A quale contesto giudicato dell'evento e quale reperto sulla capacità deliberativa del vertice mafioso. Il medesimo ciclo processuale che giudicò l'omicidio Mattarella giudicò, con esiti convergenti, l'omicidio di Michele Reina, segretario provinciale della Democrazia Cristiana palermitana, ucciso il 9 marzo 1979, e quello di Pio La Torre, segretario regionale del Partito comunista e primo firmatario della legge che avrebbe introdotto il delitto di associazione mafiosa e la confisca dei patrimoni, ucciso con il suo collaboratore Rosario Di Salvo il 30 aprile 1982: per entrambi, la condanna definitiva dei componenti della commissione provinciale di Cosa Nostra quali mandanti. Il registro certifica al Livello A l'unitarietà del giudicato sulla sequenza, e ne trae l'annotazione strutturale: nell'arco di 3 anni il vertice mafioso deliberò l'eliminazione del segretario provinciale del partito di maggioranza, del presidente della Regione e del segretario regionale del partito di opposizione, colpendo l'intero spettro politico nel punto in cui ciascuna figura minacciava, per vie diverse, gli interessi dell'organizzazione, il controllo del partito-contenitore, il sistema degli appalti, il patrimonio; la trasversalità delle vittime certifica che l'organizzazione operava quale attore politico autonomo, capace di colpire maggioranza e opposizione secondo un proprio calcolo strategico, e non quale braccio armato di una parte, e questa autonomia deliberativa giudicata è il dato che il registro oppone a ogni lettura che riduca il Dominio 1 a strumento di altri domini. La legge voluta da La Torre, approvata dopo il suo assassinio e dopo quello del generale Dalla Chiesa nel settembre 1982, appartiene ai fili che la fase consegna: il registro la annota quale cerniera verso la trattazione del versante antimafia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Mattarella-commissione di Cosa Nostra-mandato, è il triangolo del giudicato, certificato al Livello A, con il richiamo interno al nodo Calò. La seconda, Mattarella-Fioravanti e Cavallini-ipotesi esecutiva, è il triangolo dell'ipotesi processata e non provata, con l'assoluzione irrevocabile riportata per esteso e la permanenza al Livello C nella qualificazione aggravata. La terza, Mattarella-politica degli appalti-nodo Lima-Ciancimino, è il triangolo del movente amministrativo, certificato al Livello A quanto al contesto e saldato al quadrilatero della Fase 1. Sul piano dei pattern, il nodo attiva il Pattern 6 nella sua espressione terminale, quale caso in cui la competizione tra le ipotesi sull'esecuzione resta formalmente aperta dopo il vaglio giudiziario; e il Pattern 5, giacché il vuoto sull'identità degli esecutori è il buco strutturale più significativo dell'intera rete della fase, un'assenza che, secondo il metodo, vale quanto una presenza e orienta la ricerca futura.</w:t>
      </w:r>
    </w:p>
    <w:p>
      <w:pPr>
        <w:spacing w:after="120" w:line="276"/>
        <w:jc w:val="both"/>
      </w:pPr>
      <w:r>
        <w:rPr>
          <w:rFonts w:ascii="Barlow Semi Condensed" w:cs="Barlow Semi Condensed" w:eastAsia="Barlow Semi Condensed" w:hAnsi="Barlow Semi Condensed"/>
          <w:sz w:val="24"/>
          <w:szCs w:val="24"/>
        </w:rPr>
        <w:t xml:space="preserve">Sul piano esecutivo, il registro completa l'esposizione con il reperto testimoniale che l'istruttoria consegnò: la moglie del presidente, presente al momento dell'agguato, fornì dell'esecutore una descrizione circostanziata, che orientò le esplorazioni dibattimentali senza mai approdare ad un riconoscimento capace di reggere il vaglio, sicché l'identità della mano resta, all'esito delle assoluzioni irrevocabili pronunciate sulle piste esplorate, giudizialmente indeterminata, Livello A quanto all'esistenza ed al ruolo processuale della testimonianza, Livello C quanto ad ogni attribuzione ulteriore. È la configurazione che fa del nodo il sigillo perfetto della fase: il mandato certificato al massimo livello, l'esecuzione consegnata allo Stato Zero, e tra i 2 piani quella zona di sovrapposizione tra il Dominio 1 ed il Dominio 7 che le fonti dibattimentali illuminarono senza che il giudicato potesse fissarla, la terra di mezzo tra la mafia che delibera e la manovalanza che spara, sulla quale il registro, fedele alla propria legge, scrive la parola che il diritto vi ha scritto, non provato, e la consegna, intatta ed aperta, alla storia.</w:t>
      </w:r>
    </w:p>
    <w:p>
      <w:pPr>
        <w:spacing w:after="120" w:line="276"/>
        <w:jc w:val="both"/>
      </w:pPr>
      <w:r>
        <w:rPr>
          <w:rFonts w:ascii="Barlow Semi Condensed" w:cs="Barlow Semi Condensed" w:eastAsia="Barlow Semi Condensed" w:hAnsi="Barlow Semi Condensed"/>
          <w:sz w:val="24"/>
          <w:szCs w:val="24"/>
        </w:rPr>
        <w:t xml:space="preserve">La questione esecutiva esige il completamento formale che la disciplina delle assoluzioni impone. Sul fondamento delle convergenze dichiarative che indicavano nell'agguato una mano estranea alla manovalanza mafiosa ordinaria, fu processato quale esecutore materiale Valerio Fioravanti, condannato in primo grado nel 1995 e quindi assolto nel giudizio d'appello, con pronuncia divenuta irrevocabile; parimenti assolto in via definitiva fu Gilberto Cavallini, Livello A quanto agli esiti, che il registro riporta per esteso. Ne risulta la configurazione che rende il nodo speculare e complementare a quello bolognese, ed il chiasmo va dichiarato perché è la chiave analitica della chiusura di fase: a Bologna il giudicato ha consegnato gli esecutori ed ha lasciato al piano ulteriore la questione dei mandanti; a Palermo il giudicato ha consegnato i mandanti, la commissione provinciale di Cosa Nostra con le condanne irrevocabili censite, ed ha lasciato irrisolto il piano degli esecutori. Le 2 stragi terminali della stagione, il massimo eccidio e l'omicidio politico d'apice, si specchiano così l'una nell'altra come 2 metà di un medesimo teorema probatorio: ciascuna certifica esattamente il piano che l'altra non raggiunge, e la loro giustapposizione, che solo la lettura reticolare consente, disegna il perimetro completo di ciò che la giustizia repubblicana ha potuto e non potuto sui 2 versanti, l'eversivo ed il mafioso, del medesimo campo di violenza. Il registro consegna il chiasmo alla Fase 4, che del rapporto tra i piani, l'esecuzione certificata ed il mandato conteso, farà la propria architettura portante sul caso che li contiene tutti.</w:t>
      </w:r>
    </w:p>
    <w:p>
      <w:pPr>
        <w:spacing w:after="120" w:line="276"/>
        <w:jc w:val="both"/>
      </w:pPr>
      <w:r>
        <w:rPr>
          <w:rFonts w:ascii="Barlow Semi Condensed" w:cs="Barlow Semi Condensed" w:eastAsia="Barlow Semi Condensed" w:hAnsi="Barlow Semi Condensed"/>
          <w:sz w:val="24"/>
          <w:szCs w:val="24"/>
        </w:rPr>
        <w:t xml:space="preserve">Il movente amministrativo del delitto va corredato di un esempio concreto, perché la formula del risanamento rischia l'astrattezza che il registro rifugge: tra gli atti della presidenza Mattarella gli accertamenti censirono l'intervento diretto sul sistema degli appalti regionali, con il blocco ed il riesame di procedure viziate nel settore dell'edilizia scolastica, terreno storico della spartizione tra impresa protetta ed amministrazione compiacente, ed è su questo terreno, secondo le ricostruzioni consegnate agli atti parlamentari e giudiziari, che la presidenza riformatrice incise gli interessi consolidati del blocco affaristico-mafioso, Livello A quanto agli atti amministrativi, Livello B quanto alla loro selezione quale movente specifico, che le motivazioni collocano nel quadro complessivo dell'azione di governo della vittima. Il dettaglio restituisce al nodo la sua concretezza materiale: il presidente non fu ucciso per una postura ma per una condotta, atti d'ufficio con numero di protocollo, e la distanza tra il gesto amministrativo, un appalto riesaminato, e la sua sanzione, l'agguato del giorno dell'Epifania, misura il tasso di conversione tra i codici che il registro ha assunto quale sua unità di misura sin dal primo capitolo: nella Sicilia del 1980, la moneta con cui il Dominio 1 pagava l'interferenza del Dominio 2 nel proprio mercato era una sola, e Piersanti Mattarella ne conobbe il corso.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Mattarella è certificato al Livello A quanto al mandato mafioso dell'omicidio, deliberato dalla commissione provinciale di Cosa Nostra e giudicato con condanne irrevocabili tra cui quelle di Riina e di Calò, e quanto al contesto del conflitto sugli appalti che lo motivò; l'identità degli esecutori materiali resta giudizialmente non accertata, con l'assoluzione irrevocabile di Fioravanti e Cavallini riportata per esteso, e l'ipotesi della convergenza esecutiva tra mafia ed eversione nera permane al Livello C nella qualificazione aggravata dell'ipotesi processata e non provata; il nodo sigilla la fase quale paradigma della differenza tra la rete certificata e la rete congetturata, e riconsegna alla Fase 5 e agli aggiornamenti futuri il buco strutturale della mano ignota.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3</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per versanti, gli archi, le triangolazioni e gli esiti certificati nella fase, con la funzione di riferimento citabile che i repertori delle fasi precedenti hanno stabilito. La forma è quella della prosa inventariale, e ogni voce reca il livello di certificazione.</w:t>
      </w:r>
    </w:p>
    <w:p>
      <w:pPr>
        <w:spacing w:after="120" w:line="276"/>
        <w:jc w:val="both"/>
      </w:pPr>
      <w:r>
        <w:rPr>
          <w:rFonts w:ascii="Barlow Semi Condensed" w:cs="Barlow Semi Condensed" w:eastAsia="Barlow Semi Condensed" w:hAnsi="Barlow Semi Condensed"/>
          <w:sz w:val="24"/>
          <w:szCs w:val="24"/>
        </w:rPr>
        <w:t xml:space="preserve">Il primo versante è quello dell'evento inaugurale e della sua matrice. Vi appartengono: l'arco piazza Fontana-pista anarchica, certificato al Livello A quale primo depistaggio della stagione, con la morte di Pinelli e l'assoluzione definitiva di Valpreda quali esiti documentati; l'arco piazza Fontana-cellula ordinovista veneta, certificato al Livello A quale verità storica affermata nella motivazione della sentenza definitiva del 3 maggio 2005; l'arco piazza Fontana-Reparto D, certificato al Livello A dalla condanna definitiva di Maletti per il depistaggio, richiamata dalla Fase 2; e la duplice posizione di Freda e Ventura, condannati in via definitiva a 15 anni per la campagna di attentati del 1969 e irrevocabilmente assolti dall'accusa di strage nel 1987, con l'attribuzione storica in motivazione che con tale assoluzione coesiste quale paradosso del giudicato.</w:t>
      </w:r>
    </w:p>
    <w:p>
      <w:pPr>
        <w:spacing w:after="120" w:line="276"/>
        <w:jc w:val="both"/>
      </w:pPr>
      <w:r>
        <w:rPr>
          <w:rFonts w:ascii="Barlow Semi Condensed" w:cs="Barlow Semi Condensed" w:eastAsia="Barlow Semi Condensed" w:hAnsi="Barlow Semi Condensed"/>
          <w:sz w:val="24"/>
          <w:szCs w:val="24"/>
        </w:rPr>
        <w:t xml:space="preserve">Il secondo versante è quello della matrice organizzativa. Vi appartengono: l'arco Ordine Nuovo-scioglimento giudiziario, certificato al Livello A dalla sentenza del novembre 1973 e dal decreto Taviani; l'arco Ordine Nuovo-Occorsio-Concutelli, certificato al Livello A dal giudicato sull'omicidio del magistrato del 10 luglio 1976, arco estremo tra il Dominio 7 e il Dominio 10; l'arco Concutelli e Tuti-Buzzi, certificato al Livello A quale soppressione in carcere dell'imputato della strage di Brescia; e l'arco delle migrazioni tra il movimento e il partito legale, certificato al Livello A quanto ai fatti organizzativi e privo di ogni estensione di responsabilità al partito quale tale.</w:t>
      </w:r>
    </w:p>
    <w:p>
      <w:pPr>
        <w:spacing w:after="120" w:line="276"/>
        <w:jc w:val="both"/>
      </w:pPr>
      <w:r>
        <w:rPr>
          <w:rFonts w:ascii="Barlow Semi Condensed" w:cs="Barlow Semi Condensed" w:eastAsia="Barlow Semi Condensed" w:hAnsi="Barlow Semi Condensed"/>
          <w:sz w:val="24"/>
          <w:szCs w:val="24"/>
        </w:rPr>
        <w:t xml:space="preserve">Il terzo versante è quello della proiezione internazionale. Vi appartengono: la certificazione di Livello A di Aginter Press quale centrale anticomunista di Lisbona documentata dai propri archivi sequestrati nel 1974; l'arco Aginter-eversione nera italiana, certificato al Livello B quanto ai collegamenti e mantenuto al Livello C quanto all'operatività in eventi specifici; il reperto comparativo Aginter-Hyperion, certificato al Livello A nei suoi 2 termini, l'isomorfismo strutturale e l'assenza di connessione operativa documentata; la latitanza intercontinentale di Delle Chiaie, certificata al Livello A nei fatti, con i rapporti con gli apparati cileni e con il contesto boliviano al Livello B; e l'arco Delle Chiaie-Aginter, certificato al Livello B quanto ai contatti e al Livello C quanto all'organicità.</w:t>
      </w:r>
    </w:p>
    <w:p>
      <w:pPr>
        <w:spacing w:after="120" w:line="276"/>
        <w:jc w:val="both"/>
      </w:pPr>
      <w:r>
        <w:rPr>
          <w:rFonts w:ascii="Barlow Semi Condensed" w:cs="Barlow Semi Condensed" w:eastAsia="Barlow Semi Condensed" w:hAnsi="Barlow Semi Condensed"/>
          <w:sz w:val="24"/>
          <w:szCs w:val="24"/>
        </w:rPr>
        <w:t xml:space="preserve">Il quarto versante è quello di Peteano. Vi appartengono: la responsabilità esecutiva di Vinciguerra, certificata al Livello A dalla confessione riscontrata e dal giudicato; il depistaggio, certificato al Livello A dalle condanne del perito Morin e di ufficiali dell'Arma tra cui il colonnello Mingarelli; la filiazione istruttoria Casson-Gladio, certificata al Livello A quale sequenza storica che condusse alla rivelazione dell'ottobre 1990, con la connessione di mandato tra la rete e la strage non provata e non affermata; e la graduazione delle dichiarazioni sistemiche di Vinciguerra tra il Livello B e il Livello C secondo il riscontro.</w:t>
      </w:r>
    </w:p>
    <w:p>
      <w:pPr>
        <w:spacing w:after="120" w:line="276"/>
        <w:jc w:val="both"/>
      </w:pPr>
      <w:r>
        <w:rPr>
          <w:rFonts w:ascii="Barlow Semi Condensed" w:cs="Barlow Semi Condensed" w:eastAsia="Barlow Semi Condensed" w:hAnsi="Barlow Semi Condensed"/>
          <w:sz w:val="24"/>
          <w:szCs w:val="24"/>
        </w:rPr>
        <w:t xml:space="preserve">Il quinto versante è quello di Brescia. Vi appartengono: il giudicato del 20 giugno 2017, che certifica al Livello A la responsabilità di Maggi quale organizzatore e di Tramonte quale concorrente, unica condanna definitiva di mandante dell'intera sequenza politica; la doppia qualità di Tramonte, fonte Tritone del SID e concorrente condannato, certificata al Livello A quale forma più diretta mai giudicata dell'arco Dominio 3-Dominio 7, con il mandato istituzionale fermo al Livello C; l'ostruzione originaria del lavaggio della piazza, certificata al Livello A; e la posizione del filone a carico di soggetti all'epoca minorenni, registrata quale pendenza non irrevocabile.</w:t>
      </w:r>
    </w:p>
    <w:p>
      <w:pPr>
        <w:spacing w:after="120" w:line="276"/>
        <w:jc w:val="both"/>
      </w:pPr>
      <w:r>
        <w:rPr>
          <w:rFonts w:ascii="Barlow Semi Condensed" w:cs="Barlow Semi Condensed" w:eastAsia="Barlow Semi Condensed" w:hAnsi="Barlow Semi Condensed"/>
          <w:sz w:val="24"/>
          <w:szCs w:val="24"/>
        </w:rPr>
        <w:t xml:space="preserve">Il sesto versante è quello dell'Italicus. Vi appartengono: l'assoluzione irrevocabile di Tuti e Franci del 24 marzo 1992, certificata al Livello A e costitutiva dello statuto della strage senza condannati; la valutazione della Commissione Anselmi sull'istigazione e sul possibile sostegno finanziario della loggia P2, recepita al Livello B quale arco Dominio 4-Dominio 7 censito e non provato; e il triangolo comparativo con il rapido 904, certificato al Livello A nei 2 termini giudiziari quale monito contro l'inferenza morfologica.</w:t>
      </w:r>
    </w:p>
    <w:p>
      <w:pPr>
        <w:spacing w:after="120" w:line="276"/>
        <w:jc w:val="both"/>
      </w:pPr>
      <w:r>
        <w:rPr>
          <w:rFonts w:ascii="Barlow Semi Condensed" w:cs="Barlow Semi Condensed" w:eastAsia="Barlow Semi Condensed" w:hAnsi="Barlow Semi Condensed"/>
          <w:sz w:val="24"/>
          <w:szCs w:val="24"/>
        </w:rPr>
        <w:t xml:space="preserve">Il settimo versante è quello di Bologna, nei suoi 3 strati. Vi appartengono: le condanne irrevocabili degli esecutori Fioravanti, Mambro, Ciavardini e Cavallini, certificate al Livello A, con la posizione di Bellini registrata allo stato dei gradi di merito; il depistaggio di Gelli, Pazienza, Musumeci e Belmonte, certificato al Livello A e saldato alle Fasi 1 e 2; il quadro dei mandanti Gelli, Ortolani, D'Amato e Tedeschi, recepito al Livello B dalle motivazioni recenti sul fondamento dell'appunto contabile, con l'aggiornamento dichiarato della posizione di D'Amato rispetto alla Fase 2 e la proiezione verso il Dominio 8 nella persona del direttore di testata; e la pista alternativa internazionale, censita al Livello C nella qualificazione aggravata dell'ipotesi espressamente disattesa dai giudicati.</w:t>
      </w:r>
    </w:p>
    <w:p>
      <w:pPr>
        <w:spacing w:after="120" w:line="276"/>
        <w:jc w:val="both"/>
      </w:pPr>
      <w:r>
        <w:rPr>
          <w:rFonts w:ascii="Barlow Semi Condensed" w:cs="Barlow Semi Condensed" w:eastAsia="Barlow Semi Condensed" w:hAnsi="Barlow Semi Condensed"/>
          <w:sz w:val="24"/>
          <w:szCs w:val="24"/>
        </w:rPr>
        <w:t xml:space="preserve">L'ottavo versante è quello dell'omicidio Mattarella. Vi appartengono: il mandato della commissione provinciale di Cosa Nostra, certificato al Livello A dal giudicato, con il richiamo interno al nodo Calò; il vuoto sull'identità degli esecutori, certificato al Livello A quale esito di ogni giudizio; e l'ipotesi della convergenza esecutiva mafia-eversione, ferma al Livello C nella qualificazione aggravata dell'ipotesi processata e non provata, con l'assoluzione irrevocabile di Fioravanti e Cavallini riportata.</w:t>
      </w:r>
    </w:p>
    <w:p>
      <w:pPr>
        <w:spacing w:after="120" w:line="276"/>
        <w:jc w:val="both"/>
      </w:pPr>
      <w:r>
        <w:rPr>
          <w:rFonts w:ascii="Barlow Semi Condensed" w:cs="Barlow Semi Condensed" w:eastAsia="Barlow Semi Condensed" w:hAnsi="Barlow Semi Condensed"/>
          <w:sz w:val="24"/>
          <w:szCs w:val="24"/>
        </w:rPr>
        <w:t xml:space="preserve">Un versante trasversale, il nono, raccoglie gli omicidi satellite della stagione, gli eventi individuali che orbitano attorno alle stragi e ne certificano il campo di violenza: l'omicidio del commissario Calabresi del 17 maggio 1972, con le condanne definitive di Sofri, Pietrostefani e Bompressi su dichiarazioni del reo confesso Marino, certificato al Livello A con la protesta di innocenza dei condannati registrata quale fatto; l'omicidio del giudice Occorsio del 10 luglio 1976, certificato al Livello A nel giudicato a carico di Concutelli; l'omicidio del giudice Amato del 23 giugno 1980, certificato al Livello A nei giudicati a carico di esponenti dei Nuclei Armati Rivoluzionari tra cui Cavallini; e l'omicidio in carcere di Buzzi del 13 aprile 1981, certificato al Livello A. I 4 eventi, 2 magistrati, 1 funzionario di polizia e 1 imputato, disegnano il perimetro umano della stagione oltre le stragi, e i 2 omicidi di magistrati compongono l'arco Dominio 7-Dominio 10 nella sua serie completa.</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che la disciplina della fase impone di raccogliere in un solo luogo. Gli esiti assolutori definitivi riportati per esteso nella fase sono quelli di: Pietro Valpreda, per la strage di piazza Fontana; Franco Freda, Giovanni Ventura e Guido Giannettini, per la medesima strage, nel dispositivo irrevocabile del 1987; Delfo Zorzi e Carlo Maria Maggi, per la medesima strage, nel 2005; Delfo Zorzi, per la strage di piazza della Loggia, nel 2014; Pino Rauti, per la medesima strage, in via definitiva, senza alcuna condanna in vita per fatti di strage; Stefano Delle Chiaie, per la strage di piazza Fontana nel 1989 e nell'esito assolutorio del procedimento Borghese del 1984, senza alcuna condanna in vita per fatti di strage; Mario Tuti e Luciano Franci, per la strage dell'Italicus, nel 1992; Valerio Fioravanti e Gilberto Cavallini, per l'omicidio di Piersanti Mattarella. Le condanne irrevocabili certificate nella fase sono quelle di: Pierluigi Concutelli, per l'omicidio di Vittorio Occorsio; Concutelli e Mario Tuti, per l'omicidio in carcere di Ermanno Buzzi; Franco Freda e Giovanni Ventura, per l'associazione sovversiva e gli attentati del 1969; Vincenzo Vinciguerra, per la strage di Peteano; Marco Morin e gli ufficiali del depistaggio di Peteano; Carlo Maria Maggi e Maurizio Tramonte, per la strage di piazza della Loggia; Valerio Fioravanti, Francesca Mambro, Luigi Ciavardini e Gilberto Cavallini, per la strage di Bologna; Licio Gelli, Francesco Pazienza, Pietro Musumeci e Giuseppe Belmonte, per il relativo depistaggio; i componenti della commissione provinciale di Cosa Nostra, tra cui Riina e Calò, per il mandato dell'omicidio Mattarella. Le posizioni pendenti registrate sono 2: quella di Paolo Bellini, allo stato dei gradi di merito, e quella del filone bresciano a carico di soggetti all'epoca minorenni.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articolati in 8 versanti, con 14 posizioni assolutorie definitive riportate per esteso, 9 gruppi di condanne irrevocabili e 2 pendenze dichiarate; esso costituisce d'ora innanzi il riferimento citabile per ogni richiamo interno dell'opera al sottografo dello stragismo e della strategia della tensione.</w:t>
      </w:r>
    </w:p>
    <w:p>
      <w:pPr>
        <w:pStyle w:val="Heading3"/>
        <w:spacing w:after="80" w:before="160"/>
      </w:pPr>
      <w:r>
        <w:rPr>
          <w:rFonts w:ascii="Barlow Semi Condensed" w:cs="Barlow Semi Condensed" w:eastAsia="Barlow Semi Condensed" w:hAnsi="Barlow Semi Condensed"/>
          <w:sz w:val="24"/>
          <w:szCs w:val="24"/>
        </w:rPr>
        <w:t xml:space="preserve">Chiusura della Fase 3 — Lettura reticolare, tipologia dell'ostruzione e bilancio aggiornato dell'ipotesi H1</w:t>
      </w:r>
    </w:p>
    <w:p>
      <w:pPr>
        <w:spacing w:after="120" w:line="276"/>
        <w:jc w:val="both"/>
      </w:pPr>
      <w:r>
        <w:rPr>
          <w:rFonts w:ascii="Barlow Semi Condensed" w:cs="Barlow Semi Condensed" w:eastAsia="Barlow Semi Condensed" w:hAnsi="Barlow Semi Condensed"/>
          <w:sz w:val="24"/>
          <w:szCs w:val="24"/>
        </w:rPr>
        <w:t xml:space="preserve">La chiusura della fase compone i 10 nodi in una lettura reticolare unitaria e ne dichiara i risultati, secondo la funzione che le chiusure delle fasi precedenti hanno stabilito.</w:t>
      </w:r>
    </w:p>
    <w:p>
      <w:pPr>
        <w:spacing w:after="120" w:line="276"/>
        <w:jc w:val="both"/>
      </w:pPr>
      <w:r>
        <w:rPr>
          <w:rFonts w:ascii="Barlow Semi Condensed" w:cs="Barlow Semi Condensed" w:eastAsia="Barlow Semi Condensed" w:hAnsi="Barlow Semi Condensed"/>
          <w:sz w:val="24"/>
          <w:szCs w:val="24"/>
        </w:rPr>
        <w:t xml:space="preserve">Il primo risultato è l'identificazione della comunità centrale del primo stragismo. All'esito dei giudicati, la comunità funzionale cui sono riconducibili i 2 eccidi maggiori del quinquennio 1969-1974 è una sola: l'ordinovismo triveneto, cui la motivazione della sentenza definitiva del 2005 attribuisce, quale verità storica, la strage di piazza Fontana nella cellula padovana di Freda e Ventura, e cui il giudicato di condanna del 2017 attribuisce, quale responsabilità penale, la strage di piazza della Loggia nell'organizzazione di Carlo Maria Maggi con il concorso di Maurizio Tramonte. Il registro sottolinea la complementarità dei 2 titoli: per l'evento inaugurale la matrice è storica e non punitiva, per l'evento terminale della finestra è punitiva e irrevocabile, e la convergenza dei 2 accertamenti sul medesimo ambiente, raggiunta per vie processuali indipendenti a 12 anni di distanza, costituisce una consilienza che il metodo qualifica quale certificazione della comunità al massimo grado consentito dalla materia. Attorno a questa comunità centrale la fase ha censito la costellazione: la matrice organizzativa disciolta nel 1973 e rigenerata nel carsismo delle sigle, la proiezione internazionale di Lisbona, la figura a massima intermediazione di Delle Chiaie, integralmente assolto, e la manovalanza friulana e toscana dei nodi Peteano e Italicus, l'una giudicata nel suo esecutore confesso, l'altra rimasta senza colpevoli.</w:t>
      </w:r>
    </w:p>
    <w:p>
      <w:pPr>
        <w:spacing w:after="120" w:line="276"/>
        <w:jc w:val="both"/>
      </w:pPr>
      <w:r>
        <w:rPr>
          <w:rFonts w:ascii="Barlow Semi Condensed" w:cs="Barlow Semi Condensed" w:eastAsia="Barlow Semi Condensed" w:hAnsi="Barlow Semi Condensed"/>
          <w:sz w:val="24"/>
          <w:szCs w:val="24"/>
        </w:rPr>
        <w:t xml:space="preserve">Il secondo risultato è la progressione certificata dell'arco tra il Dominio 3 e il Dominio 7, che la fase consegna quale sua acquisizione probatoria più grave. La Fase 2 aveva certificato l'arco nella forma dell'ostruzione: il servizio che copre e sottrae la propria fonte, Giannettini, all'accertamento. La presente fase lo ha certificato nella forma della compresenza: la fonte retribuita del servizio, Tramonte, condannata in via definitiva quale concorrente nella strage di piazza della Loggia. La progressione dalla copertura successiva alla compresenza contestuale è un salto di specie nella qualità dell'accoppiamento documentato, e il registro la eleva a reperto strutturale della stagione, ribadendone per l'ultima volta il limite: in nessuno dei 2 casi il giudicato ha accertato il mandato istituzionale, e l'ipotesi che dall'uomo risalga all'apparato resta, in entrambi, al Livello C; ma la circostanza che, nei 2 soli casi in cui la giustizia ha potuto guardare dentro il rapporto tra una fonte del servizio e una strage, abbia trovato la prima volta la copertura e la seconda la partecipazione, è essa stessa un dato che il registro consegna, nudo, alla riflessione.</w:t>
      </w:r>
    </w:p>
    <w:p>
      <w:pPr>
        <w:spacing w:after="120" w:line="276"/>
        <w:jc w:val="both"/>
      </w:pPr>
      <w:r>
        <w:rPr>
          <w:rFonts w:ascii="Barlow Semi Condensed" w:cs="Barlow Semi Condensed" w:eastAsia="Barlow Semi Condensed" w:hAnsi="Barlow Semi Condensed"/>
          <w:sz w:val="24"/>
          <w:szCs w:val="24"/>
        </w:rPr>
        <w:t xml:space="preserve">Il terzo risultato è la tipologia consolidata dell'ostruzione, che la fase arricchisce sino a farne una tassonomia compiuta. Il registro ha censito, con certificazione di Livello A per ciascuna specie: la distruzione del reperto sotto veste tecnica, nel brillamento dell'ordigno inesploso del dicembre 1969; la distruzione della scena sotto veste di ripristino, nel lavaggio con gli idranti di piazza della Loggia; la costruzione della pista falsa verso innocenti, nella pista anarchica del 1969 e nella pista goriziana di Peteano; la falsificazione dell'atto peritale, nella perizia Morin; il favoreggiamento e la sottrazione della fonte, nell'espatrio di Giannettini; la soppressione fisica dell'imputato-testimone, nello strangolamento di Buzzi; e il depistaggio istituzionale organizzato, nella valigia di Bologna. Sette specie, tutte giudizialmente accertate, distribuite lungo 11 anni e 4 eventi: la tassonomia certifica che l'inquinamento dell'accertamento non fu un accidente ricorrente ma una costante strutturale della stagione, presente in ogni evento maggiore, e la sua sistematicità è il fatto che più di ogni altro distingue lo stragismo italiano dalle serie comparabili di altri ordinamenti. Il registro ribadisce, quale principio ormai consolidato attraverso 3 fasi, che questa costante prova la volontà diffusa di impedire l'accertamento e non prova, da sola, l'identità dei mandanti: l'ostruzione certifica sé stessa, e la Regola Ferrea presidia il confine.</w:t>
      </w:r>
    </w:p>
    <w:p>
      <w:pPr>
        <w:spacing w:after="120" w:line="276"/>
        <w:jc w:val="both"/>
      </w:pPr>
      <w:r>
        <w:rPr>
          <w:rFonts w:ascii="Barlow Semi Condensed" w:cs="Barlow Semi Condensed" w:eastAsia="Barlow Semi Condensed" w:hAnsi="Barlow Semi Condensed"/>
          <w:sz w:val="24"/>
          <w:szCs w:val="24"/>
        </w:rPr>
        <w:t xml:space="preserve">Il quarto risultato è il bilancio aggiornato dell'ipotesi H1, che la fase era chiamata a verificare sul terreno stragista. Il registro premette il richiamo del proprio precedente diagnostico: la verifica preregistrata della tesi della densità, che postulava l'addensamento statisticamente significativo degli eventi stragisti attorno alle scadenze del processo di integrazione europea, fu condotta con modello nullo di Poisson e restituì un valore di probabilità pari a 0,60, largamente superiore a ogni soglia di significatività, imponendo l'abbandono della tesi quale prova e la sua derubricazione a suggestione narrativa; la fase ha confermato quel verdetto sul piano qualitativo, mostrando che la periodizzazione a onde della serie stragista si spiega con le dinamiche interne documentate. Il bilancio si articola quindi in 3 constatazioni. La prima: la matrice accertata dello stragismo, tanto nella verità storica del 2005 quanto nei giudicati del 2017 e del 1995 bolognese, è interna, ordinovista prima e dello spontaneismo armato dei Nuclei Armati Rivoluzionari poi, e nessun giudicato ha accertato una regia straniera, di qualsivoglia campo, sugli eventi. La seconda: la dimensione internazionale documentata del fenomeno, dalla centrale di Lisbona alle latitanze iberiche e latinoamericane, si colloca integralmente sul versante occidentale e anticomunista del confronto bipolare, in continuità con quanto le Fasi 1 e 2 hanno accertato per la finanza e per gli apparati; anche in questa fase, nessun elemento di Livello A o di Livello B documenta un concorso del blocco orientale negli eventi censiti, e a fortiori nessuno documenta la convergenza dei 2 blocchi che H1 postula. La terza constatazione è il reperto di chiusura, che il registro considera il più eloquente: gli stessi atti parlamentari conclusivi sulla stagione, presenti nel corpus, contengono elaborati di segno opposto, l'uno che ricostruisce la dimensione sovranazionale della strategia della tensione in chiave atlantica, l'altro che ricostruisce l'ombra del blocco sovietico e dei suoi servizi sul terrorismo italiano; le 2 ricostruzioni, ciascuna espressione di una parte politica e nessuna consacrata da approvazione unanime né da giudicato, si escludono reciprocamente nell'attribuzione della regia, e nemmeno la più audace delle 2 ipotizza ciò che H1 richiede, ossia che i 2 blocchi abbiano agito in convergenza. Il registro ne trae la conclusione metodologica: l'ipotesi H1 esce dalla terza fase nella condizione di un'ipotesi che non solo non ha trovato riscontri, ma che non è sostenuta nemmeno dalle tesi di parte più estreme depositate negli atti dello Stato, le quali si limitano ad attribuire la regia all'uno o all'altro campo in alternativa; essa permane al Livello C quale ipotesi formalmente falsificabile e non falsificata, ma il peso cumulato di 3 fasi milita ormai uniformemente a favore del falsificatore concorrente, la lettura per cui furono le dinamiche interne, incardinate nel confronto bipolare ordinario, e non una convergenza straordinaria tra i blocchi, a produrre la stagione; la parola definitiva è rinviata, come il metodo impone, alle fasi mancanti.</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Nel sottografo della fase, la massima centralità di intermediazione del versante eversivo appartiene a Stefano Delle Chiaie, il nodo che connette l'eversione italiana, quella iberica e quella latinoamericana, e la sua condizione di assolto integrale rende la sua centralità il caso più puro di potere relazionale documentato senza responsabilità penale accertata; la massima centralità della finestra 1980 appartiene ai Nuclei Armati Rivoluzionari, i cui uomini compaiono, quali condannati a Bologna e quali assolti per Mattarella, su entrambi i versanti della violenza di quell'anno; e la saldatura complessiva con le fasi precedenti conferma la P2 quale nodo a massima intermediazione dell'intero grafo, presente ora anche nello strato dei mandanti di Bologna secondo la fonte di Livello B recepita.</w:t>
      </w:r>
    </w:p>
    <w:p>
      <w:pPr>
        <w:spacing w:after="120" w:line="276"/>
        <w:jc w:val="both"/>
      </w:pPr>
      <w:r>
        <w:rPr>
          <w:rFonts w:ascii="Barlow Semi Condensed" w:cs="Barlow Semi Condensed" w:eastAsia="Barlow Semi Condensed" w:hAnsi="Barlow Semi Condensed"/>
          <w:sz w:val="24"/>
          <w:szCs w:val="24"/>
        </w:rPr>
        <w:t xml:space="preserve">A questo censimento il registro aggiunge il raccordo con il grafo cumulato delle fasi precedenti. La saldatura dei 3 sottografi conferma e affina la topologia complessiva: la loggia P2 mantiene la massima intermediazione dell'intero grafo, presente ora su 3 terreni, il quadrilatero finanziario della Fase 1, la cattura degli apparati della Fase 2 e, per la strage di Bologna, tanto lo strato giudicato dell'ostruzione quanto lo strato recepito dei mandanti; il Dominio 3 si conferma il connettivo degli eventi, presente in ogni strage maggiore della fase attraverso le proprie fonti, Giannettini e Tramonte, o i propri depistaggi giudicati; e il versante eversivo esprime i propri intermediari specifici, Delle Chiaie verso l'estero e la comunità ordinovista triveneta all'interno, entrambi connessi al grafo cumulato attraverso gli ambienti, gli eventi e le protezioni censite. Emerge altresì, quale acquisizione della fase, la proiezione ricorrente verso il Dominio 8, il controllo dell'informazione: la copertura giornalistica di Aginter Press, la qualità di pubblicista della fonte Giannettini, la presenza di un direttore di testata nel quadro recepito dei mandanti di Bologna, e la funzione della falsa informazione in ogni depistaggio censito compongono un filo che attraversa la fase senza avervi ricevuto trattazione propria, e che il registro consegna formalmente all'economia complessiva dell'opera quale dominio da saldare.</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alle 2 fasi restanti. Alla Fase 4, dedicata al caso Moro, consegna: la struttura Hyperion, il cui isomorfismo con Aginter è stato certificato quale reperto comparativo e la cui trattazione propria appartiene al teatro moroteo; la metodologia della decomposizione per strati sperimentata su Bologna, che il caso Moro esigerà nella sua forma più rigorosa; e la figura della fonte dentro l'ambiente, che gli atti sul sequestro ripropongono in altra veste. Alla Fase 5, dedicata alla proiezione internazionale e alla sintesi reticolare, consegna: il teatro iberico e latinoamericano aperto dalla latitanza di Delle Chiaie e dalla centrale di Lisbona, con i regimi del Cile e della Bolivia e la rete continentale che li connette; il teatro sudafricano aperto dalla latitanza di Maletti; e il compito della composizione finale del grafo, con il calcolo conclusivo delle centralità e la verifica terminale delle ipotesi concorrenti.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3 certifica la comunità ordinovista triveneta quale matrice del primo stragismo, per consilienza tra la verità storica del giudicato del 2005 su piazza Fontana e la condanna irrevocabile del 2017 per piazza della Loggia; certifica la progressione dell'arco Dominio 3-Dominio 7 dalla copertura della fonte alla partecipazione della fonte, con il caso Tramonte quale forma più diretta mai giudicata; consolida la tassonomia in 7 specie dell'ostruzione, tutte accertate; registra il quadro dei mandanti di Bologna al Livello B con l'aggiornamento dichiarato del nodo D'Amato; sigilla sul nodo Mattarella la differenza tra rete certificata e rete congetturata; e consegna l'ipotesi H1, priva di sostegno tanto nei giudicati quanto negli elaborati di parte che si escludono a vicenda, al suo Livello C con bilancio cumulato di 3 fasi uniformemente contrario, rinviando alle Fasi 4 e 5 il completamento dell'opera.</w:t>
      </w:r>
    </w:p>
    <w:p>
      <w:pPr>
        <w:pStyle w:val="Heading2"/>
        <w:spacing w:after="100" w:before="200"/>
      </w:pPr>
      <w:r>
        <w:rPr>
          <w:rFonts w:ascii="Barlow Semi Condensed" w:cs="Barlow Semi Condensed" w:eastAsia="Barlow Semi Condensed" w:hAnsi="Barlow Semi Condensed"/>
          <w:sz w:val="24"/>
          <w:szCs w:val="24"/>
        </w:rPr>
        <w:t xml:space="preserve">FASE IV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caso Moro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quarto cerchio: i 55 giorni, i 3 piani e il divieto inferenziale</w:t>
      </w:r>
    </w:p>
    <w:p>
      <w:pPr>
        <w:pStyle w:val="Heading3"/>
        <w:spacing w:after="80" w:before="160"/>
      </w:pPr>
      <w:r>
        <w:rPr>
          <w:rFonts w:ascii="Barlow Semi Condensed" w:cs="Barlow Semi Condensed" w:eastAsia="Barlow Semi Condensed" w:hAnsi="Barlow Semi Condensed"/>
          <w:sz w:val="24"/>
          <w:szCs w:val="24"/>
        </w:rPr>
        <w:t xml:space="preserve">Avvertenza di fase, decomposizione in 3 piani e sospensione dichiarata della lente sistemica</w:t>
      </w:r>
    </w:p>
    <w:p>
      <w:pPr>
        <w:spacing w:after="120" w:line="276"/>
        <w:jc w:val="both"/>
      </w:pPr>
      <w:r>
        <w:rPr>
          <w:rFonts w:ascii="Barlow Semi Condensed" w:cs="Barlow Semi Condensed" w:eastAsia="Barlow Semi Condensed" w:hAnsi="Barlow Semi Condensed"/>
          <w:sz w:val="24"/>
          <w:szCs w:val="24"/>
        </w:rPr>
        <w:t xml:space="preserve">La Fase 4 è dedicata per intero a un solo caso: il sequestro e l'assassinio di Aldo Moro, dal 16 marzo al 9 maggio 1978. La concentrazione di una fase su un evento unico non è una sproporzione ma una necessità misurata dai dati: il nome di Moro ricorre nel corpus 3.428 volte in 113 documenti su 220, la massima frequenza assoluta dell'intera opera, superiore a quella di qualunque organizzazione, evento o istituzione censita; il caso è l'oggetto di 5 procedimenti giudiziari principali con esiti irrevocabili, di 3 commissioni parlamentari d'inchiesta dedicate o largamente dedicate, e di un corpus documentale, dalle lettere della prigionia al memoriale nei suoi successivi ritrovamenti, che non ha eguali nella storia repubblicana. Il caso Moro è, nella topologia dell'opera, il punto di massima densità dell'intero grafo, l'evento sul quale convergono più archi da più domini che su ogni altro; e la fase lo tratta con l'impianto consueto dei 10 nodi, applicandovi però 3 dispositivi metodologici propri, che questa avvertenza dichiara.</w:t>
      </w:r>
    </w:p>
    <w:p>
      <w:pPr>
        <w:spacing w:after="120" w:line="276"/>
        <w:jc w:val="both"/>
      </w:pPr>
      <w:r>
        <w:rPr>
          <w:rFonts w:ascii="Barlow Semi Condensed" w:cs="Barlow Semi Condensed" w:eastAsia="Barlow Semi Condensed" w:hAnsi="Barlow Semi Condensed"/>
          <w:sz w:val="24"/>
          <w:szCs w:val="24"/>
        </w:rPr>
        <w:t xml:space="preserve">Il primo dispositivo è la decomposizione in 3 piani, che la Fase 3 ha sperimentato sulla strage di Bologna e che il caso Moro esige nella forma più rigorosa. Il piano primo è quello degli esecutori e dei dirigenti dell'azione: chi rapì, custodì, interrogò e uccise Aldo Moro, e chi ne deliberò l'esecuzione all'interno dell'organizzazione. Su questo piano il registro dispone di giudicati irrevocabili formatisi in 5 procedimenti, e le certificazioni di Livello A abbondano. Il piano secondo è quello della condotta degli apparati e delle istituzioni durante i 55 giorni: le ricerche, le loro anomalie, le compresenze, i depistaggi. Su questo piano il registro dispone di accertamenti parlamentari e giudiziari di qualità disuguale, e le certificazioni si distribuiscono su tutti i livelli. Il piano terzo è quello del mandato o del condizionamento esterno: l'ipotesi che sopra o accanto all'organizzazione esecutrice abbiano operato volontà ulteriori. Su questo piano il registro non dispone di alcun giudicato, e le certificazioni non superano, salvo puntuali eccezioni dichiarate, il Livello C. Il divieto inferenziale che governa la fase è la proiezione della Regola Ferrea su questa decomposizione: nessun elemento del piano secondo, per quanto grave, trasferisce alcunché al piano terzo; le anomalie della condotta certificano sé stesse, e il passaggio dall'ostruzione al mandato resta vietato qui come in ogni fase, con l'aggravante che nel caso Moro la tentazione di quel passaggio è stata, per 4 decenni, la principale fabbrica di vulgata.</w:t>
      </w:r>
    </w:p>
    <w:p>
      <w:pPr>
        <w:spacing w:after="120" w:line="276"/>
        <w:jc w:val="both"/>
      </w:pPr>
      <w:r>
        <w:rPr>
          <w:rFonts w:ascii="Barlow Semi Condensed" w:cs="Barlow Semi Condensed" w:eastAsia="Barlow Semi Condensed" w:hAnsi="Barlow Semi Condensed"/>
          <w:sz w:val="24"/>
          <w:szCs w:val="24"/>
        </w:rPr>
        <w:t xml:space="preserve">Il secondo dispositivo è la sospensione dichiarata, per questa sola fase, della lente sistemica luhmanniana che la Nota metodologica assume quale quadro generale. La teoria dei sistemi legge i domini quali sfere operativamente chiuse che si osservano e si accoppiano; ma il materiale del caso Moro, e segnatamente il piano della condotta degli apparati, presenta una fenomenologia che quella lente non mette a fuoco: uomini delle istituzioni la cui condotta appare orientata simultaneamente da lealtà diverse, verso l'ordinamento costituzionale e verso vincoli ulteriori, di campo, di loggia o di alleanza. Per leggere questa fenomenologia il registro adotta, quale lente di fase e non quale certificazione, la categoria storiografica della doppia lealtà, elaborata dalla storiografia sul doppio Stato: non la postulazione di 2 apparati separati, che la Fase 2 ha espressamente ricusato e che resta ricusata, ma l'ipotesi di lavoro di una duplicità interna agli stessi uomini e alle stesse strutture, compatibile con tutti gli accertamenti sulla cattura piduista del vertice informativo che le fasi precedenti hanno certificato al Livello A. La sospensione è dichiarata, circoscritta e reversibile: è un cambio di lente, non un cambio di standard probatorio, e ogni certificazione della fase resta soggetta alla triangolazione consueta.</w:t>
      </w:r>
    </w:p>
    <w:p>
      <w:pPr>
        <w:spacing w:after="120" w:line="276"/>
        <w:jc w:val="both"/>
      </w:pPr>
      <w:r>
        <w:rPr>
          <w:rFonts w:ascii="Barlow Semi Condensed" w:cs="Barlow Semi Condensed" w:eastAsia="Barlow Semi Condensed" w:hAnsi="Barlow Semi Condensed"/>
          <w:sz w:val="24"/>
          <w:szCs w:val="24"/>
        </w:rPr>
        <w:t xml:space="preserve">Il terzo dispositivo è la disciplina delle dichiarazioni del prigioniero. Le lettere e il memoriale di Moro costituiscono una fonte senza analoghi: la voce di un uomo di Stato che scrive da una prigione clandestina, sotto costrizione, in un negoziato per la vita, e che al contempo conosce dall'interno, come pochi, la materia di cui scrive. Il registro le tratta secondo l'Indice di Contaminazione nella configurazione più complessa dell'opera: la costrizione impone cautela sulla spontaneità, la competenza dell'autore impone attenzione al contenuto, e la disciplina adottata, che i capitoli espliciteranno, distingue il fatto della scrittura e della consegna, certificabile, dal valore probatorio dei singoli enunciati, da vagliare uno a uno senza mai assumere né che il prigioniero mentisse perché costretto né che dicesse il vero perché morente.</w:t>
      </w:r>
    </w:p>
    <w:p>
      <w:pPr>
        <w:spacing w:after="120" w:line="276"/>
        <w:jc w:val="both"/>
      </w:pPr>
      <w:r>
        <w:rPr>
          <w:rFonts w:ascii="Barlow Semi Condensed" w:cs="Barlow Semi Condensed" w:eastAsia="Barlow Semi Condensed" w:hAnsi="Barlow Semi Condensed"/>
          <w:sz w:val="24"/>
          <w:szCs w:val="24"/>
        </w:rPr>
        <w:t xml:space="preserve">Anche questa fase prosegue la verifica dell'ipotesi H1, e lo fa sul terreno che la vulgata considera il più favorevole all'ipotesi: il progetto politico di Moro quale oggetto di avversione internazionale. La chiusura renderà il bilancio, anticipandone qui il perimetro: la fase certificherà ciò che è documentabile sulle contrarietà delle 2 superpotenze al progetto della solidarietà nazionale, distinguerà con il massimo rigore la convergenza oggettiva degli interessi dalla convergenza operativa delle condotte, e misurerà H1 su questa distinzione, che è esattamente quella che la tassonomia degli archi della Nota metodologica codifica nel quarto tipo, l'arco di convergenza. Una nota sulle fonti completa l'avvertenza. Il caso Moro è l'oggetto della più lunga stratificazione di inchieste parlamentari della storia repubblicana, e il registro ne usa i depositi distinguendone le stagioni: la prima Commissione, istituita nel 1979 e conclusa nel 1983, che operò a ridosso dei fatti, con il valore e i limiti della prossimità; la Commissione sulle stragi, che tornò sul caso negli anni Novanta entro il quadro generale della violenza politica, raccogliendo il materiale reso disponibile dalle dissociazioni e dai ritrovamenti del 1990; e la Commissione della XVII legislatura, operante dal 2014 al 2017, che ha condotto la ricognizione documentale e peritale più recente. Il registro tratta i 3 depositi quali fonti parlamentari di alta affidabilità, ciascuna figlia del proprio stato degli atti, e applica alla loro successione la medesima lezione che la Fase 3 ha tratto dal caso bresciano: le conclusioni delle stagioni successive non riflettono giudici o commissari migliori, ma archivi progressivamente più aperti, e la datazione di ogni acquisizione è parte della sua certificazione. Il corpus dell'opera comprende, accanto agli atti, i registri analitici specificamente dedicati al caso che il progetto ha stratificato in versioni successive, dei quali la presente fase costituisce la proiezione entro l'architettura dei 5 cerchi.</w:t>
      </w:r>
    </w:p>
    <w:p>
      <w:pPr>
        <w:spacing w:after="120" w:line="276"/>
        <w:jc w:val="both"/>
      </w:pPr>
      <w:r>
        <w:rPr>
          <w:rFonts w:ascii="Barlow Semi Condensed" w:cs="Barlow Semi Condensed" w:eastAsia="Barlow Semi Condensed" w:hAnsi="Barlow Semi Condensed"/>
          <w:sz w:val="24"/>
          <w:szCs w:val="24"/>
        </w:rPr>
        <w:t xml:space="preserve">Il fondamento documentale della fase merita una specificazione ulteriore, perché la sua composizione governa la qualità delle certificazioni. Il corpus comprende, per il caso Moro, 4 famiglie di fonti primarie: gli atti giudiziari dei 5 procedimenti, con le sentenze di ogni grado; gli atti delle 3 stagioni parlamentari, ivi compresi i resoconti stenografici delle audizioni, che il registro possiede in trascrizione analitica per la prima Commissione, con le deposizioni dei protagonisti istituzionali della gestione rese a ridosso dei fatti; l'edizione critica integrale delle lettere della prigionia, che consente il confronto filologico tra il recapitato, il trattenuto e l'emerso; e il corpus biografico e documentale sulla figura di Moro dal 1932 al 1978, che fonda il capitolo di apertura. A queste famiglie si aggiungono le fonti memorialistiche dei protagonisti di ogni versante, i condannati, i gestori istituzionali, i familiari, che il registro tratta uniformemente quali fonti di parte da riscontrare, e la letteratura di ricostruzione, utilizzata quale guida ai documenti e mai quale fonte autonoma di fatti. La regola di ingaggio è unica per tutte le famiglie: ogni certificazione della fase indica la natura della fonte che la sostiene, e la distanza temporale tra il fatto e la fonte è essa stessa un attributo registrato, giacché la fase maneggia dichiarazioni rese a distanze che vanno dal giorno stesso a 40 anni, e il tempo, in questa materia, non è neutro: accresce la libertà del dichiarante e insieme le occasioni di contaminazione, e il registro pesa entrambi gli effetti caso per caso.</w:t>
      </w:r>
    </w:p>
    <w:p>
      <w:pPr>
        <w:spacing w:after="120" w:line="276"/>
        <w:jc w:val="both"/>
      </w:pPr>
      <w:r>
        <w:rPr>
          <w:rFonts w:ascii="Barlow Semi Condensed" w:cs="Barlow Semi Condensed" w:eastAsia="Barlow Semi Condensed" w:hAnsi="Barlow Semi Condensed"/>
          <w:sz w:val="24"/>
          <w:szCs w:val="24"/>
        </w:rPr>
        <w:t xml:space="preserve">Sulla categoria della doppia lealtà, la cui adozione quale lente di fase è stata dichiarata, si impone la precisazione genealogica che la correttezza esige. La categoria proviene dalla storiografia italiana sul doppio Stato, e segnatamente dalla riflessione che, alla fine degli anni Ottanta, propose di leggere la storia repubblicana attraverso la compresenza, negli stessi apparati e talora negli stessi uomini, di una lealtà all'ordinamento costituzionale e di una lealtà ulteriore al vincolo di campo della guerra fredda, attivabile nelle emergenze: non 2 Stati separati, ma 1 Stato attraversato da 2 codici di fedeltà gerarchicamente ordinati dall'appartenenza al blocco. Il registro adotta la categoria in questa formulazione precisa, e ne dichiara i 3 pregi operativi per la fase: essa è compatibile con gli accertamenti delle fasi precedenti, che hanno documentato la cattura piduista degli apparati senza mai certificare un apparato parallelo separato; essa rende conto della fenomenologia tipica del piano secondo, condotte istituzionali formalmente regolari e sostanzialmente anomale, senza costringere a scegliere tra la lettura del tradimento e quella dell'errore; ed essa è, a differenza delle vulgate, falsificabile, giacché predice che le anomalie si addensino nei punti in cui il vincolo di campo era in tensione con il dovere d'ufficio, una predizione che i capitoli metteranno alla prova sui fatti certificati. Il limite, parimenti dichiarato, è che la categoria descrive e non prova: essa ordina i fatti del piano secondo, non li trasferisce al piano terzo, e ogni suo uso nella fase resta sotto il divieto inferenziale che governa l'insieme.</w:t>
      </w:r>
    </w:p>
    <w:p>
      <w:pPr>
        <w:spacing w:after="120" w:line="276"/>
        <w:jc w:val="both"/>
      </w:pPr>
      <w:r>
        <w:rPr>
          <w:rFonts w:ascii="Barlow Semi Condensed" w:cs="Barlow Semi Condensed" w:eastAsia="Barlow Semi Condensed" w:hAnsi="Barlow Semi Condensed"/>
          <w:sz w:val="24"/>
          <w:szCs w:val="24"/>
        </w:rPr>
        <w:t xml:space="preserve">Una disciplina particolare governa il trattamento delle persone viventi. Diversi protagonisti del caso, tra gli esecutori giudicati e i dirigenti dell'organizzazione, sono in vita nel momento in cui il registro è redatto, e alcuni hanno reso, nei decenni, dichiarazioni pubbliche, memorie e interviste che costituiscono esse stesse fonti. Il registro tratta costoro secondo una regola unica e dichiarata: riporta i fatti a loro carico accertati in via definitiva dai giudicati, riporta gli esiti processuali che li riguardano nella loro esattezza, comprese le assoluzioni, e riporta le loro dichiarazioni pubbliche quali documenti, senza aggiungervi inferenza associativa alcuna né attribuire loro condotte che il giudicato non abbia accertato. Il principio che il registro applica è che la persona vivente ha diritto a che di lei si affermi ciò che è stato provato e null'altro, e che la disciplina degli esiti, la quale segue il giudicato in ogni direzione, è insieme una regola di metodo e una regola di rispetto: il registro non costruisce, sul nome di chi è in vita, coerenze che i documenti non autorizzano, e mantiene su ogni lettura eccedente il livello ipotetico che le compete, con la stessa fermezza con cui certifica i fatti provati.</w:t>
      </w:r>
    </w:p>
    <w:p>
      <w:pPr>
        <w:spacing w:after="120" w:line="276"/>
        <w:jc w:val="both"/>
      </w:pPr>
      <w:r>
        <w:rPr>
          <w:rFonts w:ascii="Barlow Semi Condensed" w:cs="Barlow Semi Condensed" w:eastAsia="Barlow Semi Condensed" w:hAnsi="Barlow Semi Condensed"/>
          <w:sz w:val="24"/>
          <w:szCs w:val="24"/>
        </w:rPr>
        <w:t xml:space="preserve">Una nota sulle scelte terminologiche chiude l'avvertenza. Il registro adotta un lessico deliberatamente sobrio e giuridicamente cauto, che evita tanto l'enfasi commemorativa quanto la freddezza burocratica: designa l'organizzazione responsabile del sequestro quale organizzazione, senza gli aggettivi celebrativi o denigratori che la pubblicistica ha impiegato; designa Aldo Moro nei 55 giorni quale prigioniero, il termine che ne registra la condizione materiale senza pronunciarsi sulla qualificazione politica che l'organizzazione pretendeva; designa gli atti dell'organizzazione con i nomi che gli atti processuali hanno consacrato, sequestro, esecuzione, comunicati, senza adottare né il lessico rivendicativo dei carcerieri né quello puramente emotivo delle cronache. La scelta non è neutralità di comodo ma condizione del metodo: un registro che certifica fatti a livelli di prova deve adottare un lessico che non anticipi, con la connotazione delle parole, le conclusioni che spettano ai fatti, e ogni termine di questa avvertenza e dei capitoli che seguono è scelto per dire esattamente ciò che è provato, al grado in cui è provato, e nulla di più.</w:t>
      </w:r>
    </w:p>
    <w:p>
      <w:pPr>
        <w:spacing w:after="120" w:line="276"/>
        <w:jc w:val="both"/>
      </w:pPr>
      <w:r>
        <w:rPr>
          <w:rFonts w:ascii="Barlow Semi Condensed" w:cs="Barlow Semi Condensed" w:eastAsia="Barlow Semi Condensed" w:hAnsi="Barlow Semi Condensed"/>
          <w:sz w:val="24"/>
          <w:szCs w:val="24"/>
        </w:rPr>
        <w:t xml:space="preserve">Una nota di edizione precisa infine lo statuto del presente testo. La fase è qui consegnata nella propria edizione integrale, che porta l'apparato documentale del caso alla massima estensione compatibile con lo stato certificato degli atti: la struttura, l'avvertenza, i 10 capitoli nodali, il repertorio unitario e la chiusura reticolare, resta quella dell'impianto originario, e l'ampliamento ha investito esclusivamente la densità dei pilastri, portati a oltre 130, l'articolazione dei versanti del repertorio e il bilancio dei risultati, senza che un solo criterio, un solo livello o una sola regola siano stati modificati; ogni pilastro aggiunto risponde ai medesimi requisiti dei pilastri originari, il fatto datato, la fonte qualificata, il livello dichiarato, la separazione tra il certificato e l'ipotetico, e l'edizione integrale va perciò letta non quale revisione ma quale saturazione documentale della fase, l'adempimento del principio per cui il registro deve contenere tutto ciò che è certificabile e nulla che non lo sia, nella misura in cui lo stato degli atti alla data della redazione lo consente.</w:t>
      </w:r>
    </w:p>
    <w:p>
      <w:pPr>
        <w:spacing w:after="120" w:line="276"/>
        <w:jc w:val="both"/>
      </w:pPr>
      <w:r>
        <w:rPr>
          <w:rFonts w:ascii="Barlow Semi Condensed" w:cs="Barlow Semi Condensed" w:eastAsia="Barlow Semi Condensed" w:hAnsi="Barlow Semi Condensed"/>
          <w:sz w:val="24"/>
          <w:szCs w:val="24"/>
        </w:rPr>
        <w:t xml:space="preserve">L'ordine espositivo muove dall'uomo e dal progetto, attraversa l'evento, l'organizzazione esecutrice, i 55 giorni, il corpus documentale e l'epilogo, quindi i nodi satellite, Hyperion, Pecorelli e Dalla Chiesa, e si chiude sul piano del mandato con il sigillo del divieto inferenziale. Le vittime sono nominate, a cominciare dai 5 uomini della scorta, quale atto dovuto.</w:t>
      </w:r>
    </w:p>
    <w:p>
      <w:pPr>
        <w:pStyle w:val="Heading3"/>
        <w:spacing w:after="80" w:before="160"/>
      </w:pPr>
      <w:r>
        <w:rPr>
          <w:rFonts w:ascii="Barlow Semi Condensed" w:cs="Barlow Semi Condensed" w:eastAsia="Barlow Semi Condensed" w:hAnsi="Barlow Semi Condensed"/>
          <w:sz w:val="24"/>
          <w:szCs w:val="24"/>
        </w:rPr>
        <w:t xml:space="preserve">Capitolo 1 — ▶ Aldo Moro. L'uomo, il progetto e il movente politico</w:t>
      </w:r>
    </w:p>
    <w:p>
      <w:pPr>
        <w:spacing w:after="120" w:line="276"/>
        <w:jc w:val="both"/>
      </w:pPr>
      <w:r>
        <w:rPr>
          <w:rFonts w:ascii="Barlow Semi Condensed" w:cs="Barlow Semi Condensed" w:eastAsia="Barlow Semi Condensed" w:hAnsi="Barlow Semi Condensed"/>
          <w:sz w:val="24"/>
          <w:szCs w:val="24"/>
        </w:rPr>
        <w:t xml:space="preserve">Aldo Moro, nato a Maglie il 23 settembre 1916, giurista, 5 volte presidente del Consiglio, presidente della Democrazia Cristiana al momento del sequestro, è il nodo-persona attorno al quale l'intera fase si costruisce, e il registro apre da lui perché la comprensione dell'evento esige la comprensione preliminare del progetto politico che l'evento troncò. Il corpus dell'opera comprende una ricostruzione documentale integrale della sua biografia politica dal 1932 al 1978, dalla quale il registro attinge i tratti certificati.</w:t>
      </w:r>
    </w:p>
    <w:p>
      <w:pPr>
        <w:spacing w:after="120" w:line="276"/>
        <w:jc w:val="both"/>
      </w:pPr>
      <w:r>
        <w:rPr>
          <w:rFonts w:ascii="Barlow Semi Condensed" w:cs="Barlow Semi Condensed" w:eastAsia="Barlow Semi Condensed" w:hAnsi="Barlow Semi Condensed"/>
          <w:sz w:val="24"/>
          <w:szCs w:val="24"/>
        </w:rPr>
        <w:t xml:space="preserve">Il primo pilastro è il profilo del costruttore di equilibri, certificato al Livello A dalla documentazione biografica e istituzionale. Moro fu, lungo 3 decenni, l'artefice delle 2 grandi operazioni di allargamento della base dello Stato repubblicano: l'apertura a sinistra dei primi anni Sessanta, che portò il Partito socialista nell'area di governo, da lui guidata quale segretario del partito e poi quale presidente del Consiglio dei governi organici di centrosinistra; e la strategia dell'attenzione verso il Partito comunista, maturata negli anni Settanta e culminata nella stagione della solidarietà nazionale, con i governi sostenuti dall'astensione e poi dal voto favorevole comunista, il secondo dei quali avrebbe ottenuto la fiducia esattamente il 16 marzo 1978. Il registro certifica al Livello A la titolarità morotea di entrambe le operazioni e la circostanza, di portata simbolica misurabile, che il sequestro avvenne nelle ore in cui il Parlamento votava la fiducia al primo governo della Repubblica nato con il concorso determinante del Partito comunista: la coincidenza tra l'agguato e il voto è un fatto di calendario, certificato, e la sua lettura quale scelta deliberata di data appartiene alla dichiarata strategia comunicativa dell'organizzazione esecutrice, che rivendicò l'attacco al cuore dello Stato nel giorno del suo nuovo equilibrio.</w:t>
      </w:r>
    </w:p>
    <w:p>
      <w:pPr>
        <w:spacing w:after="120" w:line="276"/>
        <w:jc w:val="both"/>
      </w:pPr>
      <w:r>
        <w:rPr>
          <w:rFonts w:ascii="Barlow Semi Condensed" w:cs="Barlow Semi Condensed" w:eastAsia="Barlow Semi Condensed" w:hAnsi="Barlow Semi Condensed"/>
          <w:sz w:val="24"/>
          <w:szCs w:val="24"/>
        </w:rPr>
        <w:t xml:space="preserve">Il secondo pilastro è il sistema delle opposizioni al progetto, che il registro censisce su 3 cerchi con la graduazione dovuta. Il cerchio interno è quello delle resistenze dentro la Democrazia Cristiana e dentro il sistema politico italiano, documentate al Livello A dalla dialettica congressuale e parlamentare della stagione: la linea morotea non era la linea di tutto il partito, e la sua prevalenza fu il frutto di una mediazione permanente. Il cerchio intermedio è quello dell'avversione del terrorismo di entrambi i segni al compromesso in costruzione: per l'estrema sinistra armata, la solidarietà nazionale era il tradimento definitivo che consegnava il movimento operaio allo Stato borghese, e l'attacco a Moro fu rivendicato precisamente quale attacco alla mente di quel disegno; il registro lo certifica al Livello A sul fondamento della documentazione dell'organizzazione. Il cerchio esterno è quello delle contrarietà internazionali, che il registro tratta con la disciplina che l'avvertenza ha annunciato: la contrarietà degli Stati Uniti all'ingresso del Partito comunista nell'area di governo di un Paese fondatore dell'Alleanza atlantica è documentata da atti pubblici della diplomazia americana della stagione e da convergenti testimonianze dirette su avvertimenti ricevuti da Moro nei suoi viaggi transatlantici, che collaboratori del presidente riferirono in sede giudiziaria e parlamentare; il registro la certifica al Livello B, quale convergenza di fonti dirette e documentali. La contrarietà sovietica all'eurocomunismo e alla prospettiva di un partito comunista occidentale legittimato al governo fuori dal campo, erosiva del primato di Mosca sul movimento, è documentata dalle prese di posizione pubbliche della stampa di partito sovietica contro la linea eurocomunista; il registro la certifica al Livello B. La compresenza delle 2 contrarietà è dunque certificata; la loro natura, parallela o coordinata, è la questione che la chiusura di fase affronterà quale banco di prova terminale di H1, e che nessun capitolo anticipa.</w:t>
      </w:r>
    </w:p>
    <w:p>
      <w:pPr>
        <w:spacing w:after="120" w:line="276"/>
        <w:jc w:val="both"/>
      </w:pPr>
      <w:r>
        <w:rPr>
          <w:rFonts w:ascii="Barlow Semi Condensed" w:cs="Barlow Semi Condensed" w:eastAsia="Barlow Semi Condensed" w:hAnsi="Barlow Semi Condensed"/>
          <w:sz w:val="24"/>
          <w:szCs w:val="24"/>
        </w:rPr>
        <w:t xml:space="preserve">Il terzo pilastro è il movente politico dell'evento, che il registro formula nella sola forma certificabile: l'uomo sequestrato il 16 marzo 1978 era il costruttore e il garante dell'equilibrio politico più conteso della storia repubblicana, avversato dal terrorismo interno per ragioni dichiarate e sgradito, per ragioni opposte e speculari, a entrambe le superpotenze; la sua eliminazione produsse oggettivamente la fine di quel progetto, che non sopravvisse alla sua morte, e la certificazione di questo esito, al Livello A quale dato storico, non contiene né presuppone alcuna attribuzione di intenzione a soggetti diversi dagli esecutori giudicati, secondo il divieto che governa la fase.</w:t>
      </w:r>
    </w:p>
    <w:p>
      <w:pPr>
        <w:spacing w:after="120" w:line="276"/>
        <w:jc w:val="both"/>
      </w:pPr>
      <w:r>
        <w:rPr>
          <w:rFonts w:ascii="Barlow Semi Condensed" w:cs="Barlow Semi Condensed" w:eastAsia="Barlow Semi Condensed" w:hAnsi="Barlow Semi Condensed"/>
          <w:sz w:val="24"/>
          <w:szCs w:val="24"/>
        </w:rPr>
        <w:t xml:space="preserve">Il quarto pilastro è il fondamento documentale biografico, che il registro dichiara. Il corpus dell'opera comprende la ricostruzione integrale della traiettoria di Moro dal 1932 al 1978: la formazione nella Federazione universitaria cattolica, di cui fu presidente nazionale negli anni della guerra; l'elezione alla Costituente nel 1946 e il contributo, da giurista, alla scrittura della prima parte della Carta; la carriera di governo e di partito, dai ministeri della giustizia e dell'istruzione alla segreteria del 1959, sino alle 5 presidenze del Consiglio e alla presidenza del partito assunta nel 1976; e l'elaborazione dottrinale, consegnata ai discorsi congressuali, di una concezione della democrazia quale processo inclusivo per fasi, nella quale l'allargamento della base dello Stato ai partiti esclusi non era una tattica ma il compimento del disegno costituzionale. Il registro certifica al Livello A questa traiettoria, quale materia documentale, e ne trae l'annotazione che governa la fase: l'uomo sequestrato non era un mediatore occasionale ma il teorico e il pratico più coerente dell'inclusione democratica, e la continuità quarantennale del disegno, dalla Costituente alla solidarietà nazionale, è essa stessa un dato certificato che misura la posta dell'evento; chi colpì Moro colpì una funzione storica documentata, non una congiuntura. Il registro annota altresì, per l'economia delle fasi, che la biografia attraversa tutti gli snodi che l'opera ha censito: Moro fu presidente del Consiglio negli anni del Piano Solo, ministro degli esteri nella stagione della crisi mediterranea, e il suo nome ricorre negli atti di ogni commissione trattata; la sua posizione rispetto a tali snodi appartiene ai singoli accertamenti richiamati, e il registro la mantiene, per ciascuno, entro i livelli propri.</w:t>
      </w:r>
    </w:p>
    <w:p>
      <w:pPr>
        <w:spacing w:after="120" w:line="276"/>
        <w:jc w:val="both"/>
      </w:pPr>
      <w:r>
        <w:rPr>
          <w:rFonts w:ascii="Barlow Semi Condensed" w:cs="Barlow Semi Condensed" w:eastAsia="Barlow Semi Condensed" w:hAnsi="Barlow Semi Condensed"/>
          <w:sz w:val="24"/>
          <w:szCs w:val="24"/>
        </w:rPr>
        <w:t xml:space="preserve">Il quinto pilastro precisa le fonti del cerchio esterno, quale fondamento della certificazione di Livello B enunciata. Sul versante americano, gli avvertimenti a Moro sono documentati da una convergenza che il registro elenca: le testimonianze rese in sede giudiziaria e parlamentare da collaboratori diretti del presidente, tra cui Corrado Guerzoni, sul turbamento con cui Moro riferì le pressioni ricevute durante il viaggio negli Stati Uniti del settembre 1974, sino al proposito, poi rientrato, di ritirarsi dalla vita politica; i riferimenti dello stesso prigioniero, nel memoriale, alle rigidità del vincolo atlantico e ai richiami ricevuti; e il quadro documentale della diplomazia americana della stagione, ostile per atti pubblici all'ingresso comunista nei governi dell'Europa occidentale, dalla dottrina enunciata nei vertici alleati ai comunicati del Dipartimento di Stato del gennaio 1978, in piena crisi di governo italiana. Sul versante sovietico, la contrarietà è documentata dalla polemica pubblica del Partito comunista dell'Unione Sovietica contro l'eurocomunismo, condotta sugli organi ufficiali del partito negli anni 1976-1978 con attacchi diretti alle tesi dei partiti occidentali sulla democrazia pluralista, e dalla letteratura documentale sul gelo tra Mosca e la linea del segretario comunista italiano. Il registro, componendo le fonti, conferma la certificazione al Livello B di entrambe le contrarietà e la loro qualificazione quale coppia speculare: ciascuna potenza avversava il medesimo progetto per la ragione opposta, l'una perché portava i comunisti al governo, l'altra perché legittimava un comunismo fuori controllo; e questa specularità documentata, che la chiusura riprenderà, è il dato che vieta di trattare le 2 contrarietà quale fronte unico senza prova di coordinamento.</w:t>
      </w:r>
    </w:p>
    <w:p>
      <w:pPr>
        <w:spacing w:after="120" w:line="276"/>
        <w:jc w:val="both"/>
      </w:pPr>
      <w:r>
        <w:rPr>
          <w:rFonts w:ascii="Barlow Semi Condensed" w:cs="Barlow Semi Condensed" w:eastAsia="Barlow Semi Condensed" w:hAnsi="Barlow Semi Condensed"/>
          <w:sz w:val="24"/>
          <w:szCs w:val="24"/>
        </w:rPr>
        <w:t xml:space="preserve">Il sesto pilastro distende la traiettoria istituzionale nei suoi passaggi datati, quale ossatura documentale del profilo. Presidente nazionale della Federazione universitaria cattolica italiana dal 1939 al 1942, negli anni in cui assistente ecclesiastico dell'organizzazione era Giovanni Battista Montini, il futuro Paolo VI, con il quale strinse il legame personale che l'epilogo della vicenda renderà pubblico; eletto all'Assemblea Costituente nel 1946, a 29 anni, e attivo nella Commissione dei 75 sui principi fondamentali e sui rapporti civili, con contributi documentati alla formulazione della prima parte della Carta; sottosegretario agli esteri nel 1948, ministro della giustizia nel 1955, ministro della pubblica istruzione dal 1957 al 1959, con l'introduzione dell'educazione civica nelle scuole quale atto d'indirizzo rimasto associato al suo nome; segretario nazionale della Democrazia Cristiana dall'ottobre 1959 al gennaio 1964, l'arco nel quale condusse il partito all'apertura a sinistra attraverso i congressi di Firenze e di Napoli; presidente del Consiglio di 3 governi organici di centrosinistra dal dicembre 1963 al giugno 1968; ministro degli esteri, con brevi soluzioni di continuità, dal 1969 al 1974, la stagione della distensione, della firma dell'atto finale del processo di Helsinki e dell'apertura mediterranea della diplomazia italiana; nuovamente presidente del Consiglio dal novembre 1974 al luglio 1976, alla guida del quarto e del quinto governo del suo ciclo; presidente del Consiglio nazionale della Democrazia Cristiana dall'ottobre 1976, la carica che rivestiva al momento del sequestro. Il registro certifica al Livello A la sequenza, quale materia documentale non controversa, e ne evidenzia il dato strutturale: in 40 anni di vita pubblica, Moro attraversò tutte le stagioni della Repubblica occupando posizioni apicali in 3 domini dell'opera, il partito, il governo e la diplomazia, e la sua rete di relazioni personali, dalla Costituente al Quirinale, dal Vaticano alle cancellerie, era, alla data del 16 marzo 1978, tra le più estese del sistema: la centralità che il Pattern 1 gli assegna non è una metafora ma la descrizione di una posizione misurabile.</w:t>
      </w:r>
    </w:p>
    <w:p>
      <w:pPr>
        <w:spacing w:after="120" w:line="276"/>
        <w:jc w:val="both"/>
      </w:pPr>
      <w:r>
        <w:rPr>
          <w:rFonts w:ascii="Barlow Semi Condensed" w:cs="Barlow Semi Condensed" w:eastAsia="Barlow Semi Condensed" w:hAnsi="Barlow Semi Condensed"/>
          <w:sz w:val="24"/>
          <w:szCs w:val="24"/>
        </w:rPr>
        <w:t xml:space="preserve">Il settimo pilastro censisce il biennio terminale 1977-1978, il contesto immediato del sequestro, nei suoi 3 passaggi documentati. Il primo è la vicenda Lockheed: lo scandalo delle commissioni versate dalla società americana per le forniture aeronautiche investì il sistema politico italiano dal 1976, condusse alla messa in stato d'accusa di 2 ministri e lambì, nelle carte americane, un presidente del Consiglio designato con il nome in codice Antelope Cobbler, la cui identificazione fu oggetto di congetture pubbliche che coinvolsero anche il nome di Moro; il registro certifica al Livello A l'esistenza dello scandalo, dei procedimenti e della congettura, e certifica al medesimo livello che nessun accertamento, parlamentare o giudiziario, ha mai identificato Moro quale titolare di quel nome in codice né gli ha mai attribuito responsabilità nella vicenda, sicché la congettura è censita quale contaminazione documentata dell'ambiente e non quale addebito; in quel contesto Moro pronunciò alla Camera, il 9 marzo 1977, il discorso in difesa del partito dalla richiesta di processare la Democrazia Cristiana nelle piazze, uno dei testi politici più citati del suo ultimo periodo, che il registro certifica quale documento al Livello A. Il secondo passaggio è l'ultimo grande discorso, pronunciato il 28 febbraio 1978 all'assemblea dei gruppi parlamentari democristiani riuniti per decidere sulla formula di governo: un intervento non verbalizzato integralmente, ricostruito dagli appunti dei presenti e dalle cronache, nel quale Moro argomentò la necessità dell'accordo con il Partito comunista quale passaggio obbligato della fase, prefigurando tempi lunghi e insidie; il registro certifica al Livello A l'esistenza, la data e la funzione politica del discorso, e al Livello B la sua ricostruzione testuale, per la natura derivata delle fonti. Il terzo passaggio è la crisi di governo del gennaio-marzo 1978: la caduta del monocolore della non sfiducia, la trattativa condotta da Moro quale mediatore tra il proprio partito e la richiesta comunista di ingresso nella maggioranza, la soluzione del governo monocolore sostenuto dal voto favorevole comunista, e la composizione della lista dei ministri, accolta con delusione dallo stesso Partito comunista, che Moro si adoperò a ricomporre nei giorni immediatamente precedenti il 16 marzo; il registro certifica al Livello A la sequenza e la funzione di garanzia personale che Moro vi esercitò, quale contesto immediato che misura, ancora una volta, l'esatta posta dell'agguato: la mattina del sequestro, l'uomo era atteso alla Camera per il dibattito sulla fiducia al governo che egli solo aveva reso possibile.</w:t>
      </w:r>
    </w:p>
    <w:p>
      <w:pPr>
        <w:spacing w:after="120" w:line="276"/>
        <w:jc w:val="both"/>
      </w:pPr>
      <w:r>
        <w:rPr>
          <w:rFonts w:ascii="Barlow Semi Condensed" w:cs="Barlow Semi Condensed" w:eastAsia="Barlow Semi Condensed" w:hAnsi="Barlow Semi Condensed"/>
          <w:sz w:val="24"/>
          <w:szCs w:val="24"/>
        </w:rPr>
        <w:t xml:space="preserve">L'ottavo pilastro articola i livelli delle contrarietà internazionali, precisando la certificazione del secondo pilastro con la distinzione tra le manifestazioni pubbliche e quelle riservate, che i documenti impongono. Sul versante americano, la posizione ufficiale è consegnata a un atto pubblico datato: la dichiarazione del Dipartimento di Stato del 12 gennaio 1978, emessa nel pieno della crisi di governo italiana, con la quale gli Stati Uniti affermarono di non favorire la partecipazione comunista ai governi dell'Europa occidentale e di auspicarne la riduzione dell'influenza; il registro certifica al Livello A questa posizione pubblica, quale documento ufficiale della diplomazia americana, e mantiene al Livello B il versante riservato, gli avvertimenti personali ricevuti da Moro, documentati dalle testimonianze convergenti dei collaboratori sul viaggio del settembre 1974 e dai riferimenti dello stesso prigioniero nel memoriale, fonti dirette ma non documentali. Sul versante sovietico, la posizione pubblica è parimenti documentata da atti editoriali ufficiali: la polemica condotta dagli organi del Partito comunista dell'Unione Sovietica contro le tesi eurocomuniste tra il 1976 e il 1978, aperta all'indomani della conferenza dei partiti comunisti europei di Berlino Est del giugno 1976, nella quale i partiti occidentali avevano consacrato l'autonomia dal centro sovietico, e proseguita con attacchi diretti alle formulazioni dei dirigenti italiani sul pluralismo; il registro certifica al Livello A questa ostilità pubblica, quale dato della documentazione ufficiale di partito, e mantiene al Livello B ogni sua traduzione operativa. La composizione dei livelli è dunque la seguente, e la chiusura la recepirà: le 2 contrarietà, nelle loro manifestazioni pubbliche e ufficiali, sono certificate al Livello A; nelle loro componenti riservate e nelle loro eventuali traduzioni operative restano al Livello B; e la loro qualificazione congiunta quale convergenza oggettiva si colloca al Livello B, quale composizione prudente dei rami, con il coordinamento fermo, come sempre, al Livello C.</w:t>
      </w:r>
    </w:p>
    <w:p>
      <w:pPr>
        <w:spacing w:after="120" w:line="276"/>
        <w:jc w:val="both"/>
      </w:pPr>
      <w:r>
        <w:rPr>
          <w:rFonts w:ascii="Barlow Semi Condensed" w:cs="Barlow Semi Condensed" w:eastAsia="Barlow Semi Condensed" w:hAnsi="Barlow Semi Condensed"/>
          <w:sz w:val="24"/>
          <w:szCs w:val="24"/>
        </w:rPr>
        <w:t xml:space="preserve">Il nono pilastro espone la dottrina, il corpo di pensiero che il progetto traduceva. La riflessione morotea dell'ultimo decennio ruota attorno a 3 nuclei documentati nei discorsi e negli scritti: la lettura della società italiana quale società in trasformazione accelerata, cui il sistema politico doveva rispondere con l'allargamento e non con l'irrigidimento, consegnata alla formula dei tempi nuovi che si annunciano; la teoria della terza fase, la prospettiva, enunciata negli ultimi anni, di un approdo successivo tanto al centrismo quanto al centrosinistra, nel quale la democrazia italiana avrebbe raggiunto la propria compiutezza con la piena legittimazione reciproca di tutte le forze popolari, comunisti inclusi, e con la possibilità fisiologica dell'alternanza; e la distinzione, che il registro sottolinea per il suo rilievo analitico, tra la strategia morotea dell'attenzione e la proposta berlingueriana del compromesso storico, formulata dal segretario comunista negli articoli dell'autunno 1973 scritti alla luce del colpo di Stato cileno: il compromesso storico postulava un governo organico e durevole delle 2 grandi forze quale assicurazione contro l'eversione, la linea morotea configurava invece un percorso di legittimazione graduale che preservava la distinzione dei ruoli e preparava, nel tempo, la normalità democratica dell'alternanza. Il registro certifica al Livello A l'esistenza e il contenuto delle 2 elaborazioni, quali dati testuali, e la loro non coincidenza, documentata dagli stessi protagonisti; e ne trae l'annotazione che corregge una semplificazione della vulgata: l'uomo sequestrato non era l'artefice del compromesso storico, formula altrui, ma di un disegno più lungo e, negli esiti, più radicale, la piena omologazione democratica del maggiore partito comunista d'occidente; ed è questo disegno, non la contingenza di un governo, che le contrarietà internazionali censite avversavano, ciascuna leggendovi la propria minaccia, l'una lo scardinamento della disciplina di blocco in un Paese di frontiera, l'altra la nascita di un modello comunista occidentale sottratto al centro.</w:t>
      </w:r>
    </w:p>
    <w:p>
      <w:pPr>
        <w:spacing w:after="120" w:line="276"/>
        <w:jc w:val="both"/>
      </w:pPr>
      <w:r>
        <w:rPr>
          <w:rFonts w:ascii="Barlow Semi Condensed" w:cs="Barlow Semi Condensed" w:eastAsia="Barlow Semi Condensed" w:hAnsi="Barlow Semi Condensed"/>
          <w:sz w:val="24"/>
          <w:szCs w:val="24"/>
        </w:rPr>
        <w:t xml:space="preserve">Il decimo pilastro censisce il rapporto pregresso tra Moro e gli apparati, i precedenti che la biografia consegna alla fase. Il primo è la stagione del Piano Solo: Moro era presidente del Consiglio nell'estate 1964, quando maturò la vicenda che la Fase 2 ha certificato, e la gestione morotea della crisi, la mediazione che chiuse la partita politica senza rottura istituzionale e senza pubblicità, appartiene agli accertamenti di quella fase; il registro richiama il precedente quale primo incrocio documentato tra il nodo e il dominio degli apparati, annotando che Moro conobbe da presidente, 14 anni prima del sequestro, la realtà delle pressioni extracostituzionali sul sistema, e che il memoriale della prigionia sarebbe tornato su quella stagione con la competenza del testimone diretto. Il secondo precedente è la titolarità degli esteri negli anni 1969-1974, la stagione nella quale maturò la prassi di salvaguardia con le organizzazioni palestinesi che gli atti designano con il nome stesso del ministro, il lodo censito nel capitolo dell'organizzazione: il registro certifica al Livello A la titolarità del dicastero nella stagione della prassi e al Livello B, quale convergenza delle fonti già dichiarate, la riconducibilità dell'indirizzo alla politica mediterranea del ministro, annotando il paradosso storico che ne discende, e che la fase consegna senza scioglierlo: l'uomo che fu sequestrato con armi transitate per canali mediorientali era il titolare della politica che quei canali aveva regolato, e la circostanza, priva di ogni valenza probatoria sul sequestro, misura la densità delle interconnessioni del campo che l'opera studia. Il terzo precedente è il rapporto con il sistema dei servizi riformato nel 1977: la legge di riforma, approvata nella stagione della solidarietà nazionale, ridisegnò gli apparati nei 2 servizi e nel comitato di coordinamento, e gli uomini che ne assunsero i vertici, quelli che i capitoli della gestione censiscono, furono nominati in quella cornice; il registro certifica la sequenza quale contesto istituzionale, rinviando alla Fase 2 per la qualità piduista di quelle nomine.</w:t>
      </w:r>
    </w:p>
    <w:p>
      <w:pPr>
        <w:spacing w:after="120" w:line="276"/>
        <w:jc w:val="both"/>
      </w:pPr>
      <w:r>
        <w:rPr>
          <w:rFonts w:ascii="Barlow Semi Condensed" w:cs="Barlow Semi Condensed" w:eastAsia="Barlow Semi Condensed" w:hAnsi="Barlow Semi Condensed"/>
          <w:sz w:val="24"/>
          <w:szCs w:val="24"/>
        </w:rPr>
        <w:t xml:space="preserve">L'undicesimo pilastro censisce le opposizioni interne, il cerchio che il secondo pilastro ha enunciato e che qui riceve il suo dettaglio. La linea morotea prevalse nel partito attraverso una mediazione documentata e mai definitiva: le resistenze della destra interna e di parte dell'area dorotea alla legittimazione comunista attraversano gli atti congressuali e la pubblicistica del biennio, la storica competizione con Amintore Fanfani, l'altro grande leader della generazione, conobbe in quella stagione l'ennesima riconfigurazione, e la stessa composizione del governo del 16 marzo fu, come censito, il prodotto di una fatica di mediazione condotta sino alla vigilia; il registro certifica al Livello A l'esistenza e la documentazione del dissenso interno, quale dato della dialettica di partito, e ne dichiara la funzione nella fase: essa priva di fondamento la rappresentazione, corrente in entrambe le vulgate, di un partito unanime dietro il proprio presidente, e restituisce il dato reale, un leader che stava vincendo una partita interna non conclusa, la cui rimozione fisica risolse, quale effetto oggettivo certificato, anche quella partita; l'annotazione, come ogni enunciato di effetto, non contiene attribuzioni di intenzione, e il registro la consegna al piano dei fatti.</w:t>
      </w:r>
    </w:p>
    <w:p>
      <w:pPr>
        <w:spacing w:after="120" w:line="276"/>
        <w:jc w:val="both"/>
      </w:pPr>
      <w:r>
        <w:rPr>
          <w:rFonts w:ascii="Barlow Semi Condensed" w:cs="Barlow Semi Condensed" w:eastAsia="Barlow Semi Condensed" w:hAnsi="Barlow Semi Condensed"/>
          <w:sz w:val="24"/>
          <w:szCs w:val="24"/>
        </w:rPr>
        <w:t xml:space="preserve">Il dodicesimo pilastro censisce la fonte familiare, il canale attraverso cui il cerchio esterno entrò negli atti. Eleonora Chiavarelli Moro, deposta dinanzi alla prima Commissione parlamentare, riferì l'episodio che il marito le aveva confidato al ritorno dal viaggio americano del settembre 1974: l'ammonimento ricevuto da un altissimo esponente dell'amministrazione, nella formulazione riferita l'intimazione a desistere dal proprio disegno politico di collaborazione con tutte le forze del Paese, pena il pagamento di un prezzo elevato; la deposizione, resa sotto vincolo di verità in sede parlamentare, si aggiunse alle testimonianze convergenti dei collaboratori già censite, e costituisce il fondamento principale della certificazione del versante riservato americano. Il registro certifica al Livello A l'esistenza e il contenuto della deposizione, quale atto parlamentare, e mantiene al Livello B il fatto riferito, quale testimonianza de relato di elevata attendibilità soggettiva non consacrata da riscontro documentale; e annota la struttura probatoria del punto, che è la stessa dell'intero cerchio esterno: la conoscenza degli avvertimenti riposa interamente su una catena testimoniale familiare e fiduciaria, coerente, reiterata e mai smentita, ma priva del documento, e il registro la trascrive con questa esatta qualità, rifiutando tanto la degradazione a diceria quanto la promozione a prova.</w:t>
      </w:r>
    </w:p>
    <w:p>
      <w:pPr>
        <w:spacing w:after="120" w:line="276"/>
        <w:jc w:val="both"/>
      </w:pPr>
      <w:r>
        <w:rPr>
          <w:rFonts w:ascii="Barlow Semi Condensed" w:cs="Barlow Semi Condensed" w:eastAsia="Barlow Semi Condensed" w:hAnsi="Barlow Semi Condensed"/>
          <w:sz w:val="24"/>
          <w:szCs w:val="24"/>
        </w:rPr>
        <w:t xml:space="preserve">Il tredicesimo pilastro censisce la dimensione europea del profilo, la radice che salda il nodo alla verifica conclusiva dell'opera. La politica estera morotea, negli anni della titolarità della Farnesina e delle presidenze del Consiglio, si mosse lungo 2 direttrici documentate: la partecipazione attiva al processo di distensione paneuropea culminato nella firma italiana dell'atto finale di Helsinki nel 1975, con Moro presidente del Consiglio e firmatario, e l'apertura mediterranea, la costruzione di una proiezione italiana autonoma verso il mondo arabo, di cui la prassi censita quale lodo fu la declinazione riservata; a queste si aggiunge la costante europeista, la concezione, ricorrente nei discorsi, dell'integrazione comunitaria quale destino e quale spazio di autonomia del Paese entro il vincolo di campo. Il registro certifica al Livello A le direttrici, quali dati della documentazione diplomatica e dei testi, e ne dichiara il rilievo per l'architettura dell'opera: il progetto interno censito nei primi pilastri, la piena integrazione democratica del maggiore partito comunista occidentale, e la proiezione esterna qui censita, l'autonomia mediterranea ed europea entro l'alleanza, sono le 2 facce documentate di una medesima politica di allargamento dei margini nazionali, ed è questa politica composita, non una sua singola componente, l'oggetto delle contrarietà speculari certificate; la formalizzazione appartiene ai fatti e la fase la consegna, quale materiale già disciplinato, alla verifica delle macro-ipotesi.</w:t>
      </w:r>
    </w:p>
    <w:p>
      <w:pPr>
        <w:spacing w:after="120" w:line="276"/>
        <w:jc w:val="both"/>
      </w:pPr>
      <w:r>
        <w:rPr>
          <w:rFonts w:ascii="Barlow Semi Condensed" w:cs="Barlow Semi Condensed" w:eastAsia="Barlow Semi Condensed" w:hAnsi="Barlow Semi Condensed"/>
          <w:sz w:val="24"/>
          <w:szCs w:val="24"/>
        </w:rPr>
        <w:t xml:space="preserve">Il quattordicesimo pilastro registra il quadro continentale della settimana del sequestro, il contesto europeo che il Pattern 3 impone di censire. Il 16 marzo 1978 cade tra i 2 turni delle elezioni legislative francesi, il 12 e il 19 marzo, la consultazione nella quale l'unione delle sinistre, data in vantaggio per mesi, mancò la conquista della maggioranza dopo la rottura programmatica tra socialisti e comunisti; la contestualità tra la settimana in cui la Francia decideva dell'ingresso comunista nell'area di governo e il giorno in cui l'Italia vedeva rapito l'artefice dell'operazione parallela è un dato di calendario che la letteratura ha variamente caricato e che il registro tratta con la disciplina delle coincidenze: certifica al Livello A la contestualità, quale fatto cronologico, mantiene al Livello C ogni lettura di collegamento, nessun elemento documentando un nesso tra i 2 teatri, e annota il dato strutturale che la coincidenza comunque illumina: nella primavera del 1978 la questione dell'ingresso comunista al governo era aperta simultaneamente nei 2 maggiori Paesi latini dell'alleanza, l'attenzione dei campi su quel processo era, per gli atti pubblici censiti, massima, e l'Italia ne costituiva il caso più avanzato; il sequestro colpì dunque il punto più avanzato del processo più osservato del continente, e questa collocazione, che è un fatto e non una tesi, è la ragione per cui il caso appartiene di diritto al perimetro internazionale dell'opera e non alla sola cronaca nazionale.</w:t>
      </w:r>
    </w:p>
    <w:p>
      <w:pPr>
        <w:spacing w:after="120" w:line="276"/>
        <w:jc w:val="both"/>
      </w:pPr>
      <w:r>
        <w:rPr>
          <w:rFonts w:ascii="Barlow Semi Condensed" w:cs="Barlow Semi Condensed" w:eastAsia="Barlow Semi Condensed" w:hAnsi="Barlow Semi Condensed"/>
          <w:sz w:val="24"/>
          <w:szCs w:val="24"/>
        </w:rPr>
        <w:t xml:space="preserve">Il quindicesimo pilastro censisce la dimensione universitaria, il cerchio personale che la vicenda avrebbe drammaticamente convocato. Moro mantenne per l'intera carriera politica la cattedra romana di diritto e procedura penale, con la didattica del sabato mattina difesa contro ogni impegno di governo, il rapporto diretto con gli studenti attraversato indenne dagli anni della contestazione, che egli affrontò con l'ascolto e non con la rottura, e il cerchio degli assistenti e degli allievi quale sfera di lealtà personale distinta da quella politica; il registro certifica al Livello A questa dimensione, quale dato biografico documentato, e ne dichiara la pertinenza analitica, che non è ornamentale: fu a un allievo, Franco Tritto, che l'organizzazione indirizzò, per bocca di Morucci, la telefonata delle 12:13 del 9 maggio con l'indicazione di via Caetani, la scelta dell'interlocutore terminale cadendo non su un'istituzione ma sull'ultimo cerchio fiduciario dell'uomo, quello accademico; e la circostanza, certificata dagli atti, che l'annuncio della fine sia transitato per la sfera universitaria e familiare anziché per quella politica o istituzionale appartiene alla semantica documentata dell'operazione, l'organizzazione avendo negato sino all'ultimo gesto ogni interlocuzione con lo Stato e avendo scelto, quale destinatario della propria comunicazione finale, l'unico cerchio del prigioniero che essa non considerava nemico. Il registro trascrive il dato e la sua lettura interna documentata, e annota che la geografia dei cerchi di Moro, il partito, le istituzioni, la famiglia, l'università, è essa stessa una mappa che la vicenda ha percorso in senso inverso, dall'esterno politico verso l'intimo personale, sino a consegnare l'ultimo atto al più interno dei cerchi.</w:t>
      </w:r>
    </w:p>
    <w:p>
      <w:pPr>
        <w:spacing w:after="120" w:line="276"/>
        <w:jc w:val="both"/>
      </w:pPr>
      <w:r>
        <w:rPr>
          <w:rFonts w:ascii="Barlow Semi Condensed" w:cs="Barlow Semi Condensed" w:eastAsia="Barlow Semi Condensed" w:hAnsi="Barlow Semi Condensed"/>
          <w:sz w:val="24"/>
          <w:szCs w:val="24"/>
        </w:rPr>
        <w:t xml:space="preserve">Il sedicesimo pilastro censisce il cerchio familiare, il più interno dei cerchi e l'ultimo destinatario della vicenda. Aldo Moro aveva sposato nel 1945 Eleonora Chiavarelli, e dal matrimonio erano nati i 4 figli, Maria Fida, Agnese, Anna e Giovanni; al momento del sequestro la famiglia comprendeva il nipote Luca, il bambino che le lettere della prigionia avrebbero reso il destinatario più ricorrente dei pensieri del prigioniero; la casa di via del Forte Trionfale e il rifugio di Torrita Tiberina erano i 2 poli della geografia privata che la vicenda avrebbe trasformato, la prima nel luogo dell'attesa dei 55 giorni, il secondo nel luogo della sepoltura. Il registro certifica al Livello A la composizione del cerchio, quale dato biografico, e ne dichiara la funzione documentale nella fase, che è triplice: la famiglia fu la destinataria del corpus epistolare privato censito nel capitolo del memoriale; fu l'interlocutrice dell'unica comunicazione vocale dell'organizzazione, la telefonata del 30 aprile a Eleonora; e fu, dopo la morte, la custode e l'esecutrice delle disposizioni, con il rifiuto dei funerali di Stato, nonché la fonte delle testimonianze che le Commissioni avrebbero raccolto, la deposizione della vedova sull'avvertimento americano costituendo, come censito, il fondamento del versante riservato del cerchio esterno. Il registro annota il dato strutturale che questa triplice funzione consegna: nella vicenda Moro il cerchio familiare non è sfondo ma fonte, uno dei canali documentali primari della fase, e la circostanza che una parte rilevante della conoscenza del caso, dalle lettere alle testimonianze, sia transitata per la famiglia anziché per le istituzioni è essa stessa un dato certificato sulla dislocazione della fiducia dell'uomo negli ultimi 55 giorni della sua vita.</w:t>
      </w:r>
    </w:p>
    <w:p>
      <w:pPr>
        <w:spacing w:after="120" w:line="276"/>
        <w:jc w:val="both"/>
      </w:pPr>
      <w:r>
        <w:rPr>
          <w:rFonts w:ascii="Barlow Semi Condensed" w:cs="Barlow Semi Condensed" w:eastAsia="Barlow Semi Condensed" w:hAnsi="Barlow Semi Condensed"/>
          <w:sz w:val="24"/>
          <w:szCs w:val="24"/>
        </w:rPr>
        <w:t xml:space="preserve">Il diciassettesimo pilastro censisce il rapporto tra i 2 architetti, l'asse Moro-Berlinguer che sorresse la costruzione politica colpita. La maggioranza della solidarietà nazionale fu il prodotto della convergenza, documentata dagli atti e dalle memorie delle 2 parti, tra la strategia dell'attenzione morotea e la linea del segretario comunista, perseguita attraverso la stagione di incontri riservati e di mediazioni parlamentari del biennio 1976-1978 che preparò il passaggio del marzo; i 2 uomini, divisi dalla collocazione e dalle culture, condividevano per convergenza documentata la lettura della necessità storica dell'operazione e la consapevolezza delle sue resistenze interne e internazionali, e il rapporto personale tra loro, sobrio e non confidenziale, fu il canale fiduciario minimo su cui la costruzione poggiò. Il registro certifica al Livello A l'esistenza e la funzione dell'asse, quali dati della documentazione politica della stagione, e ne registra il destino, che appartiene ai fatti della fase: colpito l'uno il 16 marzo, l'altro sostenne per l'intera crisi la linea della fermezza nella forma più rigida, per le ragioni di affidabilità di Stato che il capitolo della gestione ha censito, e dopo il 9 maggio la costruzione comune si dissolse nei tempi certificati, sino all'uscita comunista dalla maggioranza del gennaio 1979 e alla successiva stagione della rottura; il registro annota il dato strutturale che la parabola consegna: l'operazione politica più ambiziosa della storia repubblicana riposava sull'asse personale di 2 uomini, e l'eliminazione di uno dei 2 fu sufficiente a dissolverla, una fragilità di architettura che la fase certifica quale fatto e che ogni lettura della razionalità dell'attacco, interna o eccedente, incorpora quale premessa: il sistema colpito nel marzo 1978 aveva un solo punto di rottura, e fu esattamente quello a essere colpito.</w:t>
      </w:r>
    </w:p>
    <w:p>
      <w:pPr>
        <w:spacing w:after="120" w:line="276"/>
        <w:jc w:val="both"/>
      </w:pPr>
      <w:r>
        <w:rPr>
          <w:rFonts w:ascii="Barlow Semi Condensed" w:cs="Barlow Semi Condensed" w:eastAsia="Barlow Semi Condensed" w:hAnsi="Barlow Semi Condensed"/>
          <w:sz w:val="24"/>
          <w:szCs w:val="24"/>
        </w:rPr>
        <w:t xml:space="preserve">Il diciottesimo pilastro censisce la fonte primaria del profilo, il corpus pubblico degli scritti e dei discorsi. La ricostruzione del progetto politico condotta nei pilastri precedenti poggia su un corpus documentale di prima mano che il registro dichiara: i discorsi parlamentari e congressuali dell'intera carriera, editi e citabili atto per atto, dalla Costituente all'ultimo intervento ai gruppi del 28 febbraio 1978; gli scritti giuridici e accademici della cattedra; gli articoli e gli interventi pubblici della stagione matura; e la documentazione diplomatica degli anni della Farnesina. Il registro certifica al Livello A l'esistenza, l'edizione e la citabilità di questo corpus, quale base documentale del capitolo, e ne dichiara la funzione metodologica terminale: il pensiero di Moro è ricostruibile integralmente da fonti pubbliche, datate e verificabili, prodotte dall'uomo libero lungo 3 decenni, e questa disponibilità distingue il primo capitolo della fase da tutti i successivi, giacché il profilo del progetto colpito non dipende in nulla dalle carte della prigionia, che documentano l'uomo sotto costrizione, né da testimonianze postume; la separazione tra le 2 fonti dell'uomo, il corpus libero del capitolo primo e il corpus della prigionia del capitolo quinto, è un'architettura deliberata del registro, che consente di misurare la continuità tra il pensiero libero e il pensiero prigioniero, la misura che la falsificazione della tesi della coartazione ha impiegato, e di fondare il bersaglio della fase, il progetto politico, esclusivamente su ciò che l'uomo disse e scrisse quando nessuno lo costringeva.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Moro-apertura a sinistra-solidarietà nazionale, è il triangolo del progetto, certificato al Livello A. La seconda, Moro-terrorismo-attacco al cuore dello Stato, è il triangolo del movente dichiarato dagli esecutori, certificato al Livello A dalla loro documentazione e dai giudicati. La terza, Moro-Washington-Mosca, è il triangolo delle contrarietà internazionali, certificato al Livello B in ciascuno dei 2 rami e consegnato alla chiusura per la qualificazione del loro rapporto. Sul piano dei pattern, il nodo attiva il Pattern 1 in una forma inversa e istruttiva: Moro possedeva la massima centralità del sistema politico legale, quale intermediario unico tra i 2 maggiori partiti, e la sua eliminazione fu la rimozione del broker nel senso più tecnico, l'atto che disconnesse i 2 blocchi che soltanto attraverso di lui comunicavano; l'analisi dei buchi strutturali del Pattern 5 registra nel dopo-Moro esattamente il vuoto che la teoria prevede.</w:t>
      </w:r>
    </w:p>
    <w:p>
      <w:pPr>
        <w:spacing w:after="120" w:line="276"/>
        <w:jc w:val="both"/>
      </w:pPr>
      <w:r>
        <w:rPr>
          <w:rFonts w:ascii="Barlow Semi Condensed" w:cs="Barlow Semi Condensed" w:eastAsia="Barlow Semi Condensed" w:hAnsi="Barlow Semi Condensed"/>
          <w:sz w:val="24"/>
          <w:szCs w:val="24"/>
        </w:rPr>
        <w:t xml:space="preserve">Il movente politico esige la sua genealogia testuale, che il registro fissa nei documenti fondativi delle 2 strategie convergenti. Sul versante comunista, la svolta porta una data editoriale: nelle settimane successive al golpe cileno dell'11 settembre 1973, Enrico Berlinguer pubblicò sul settimanale teorico del partito, in 3 puntate autunnali, le riflessioni sull'Italia dopo i fatti del Cile, nelle quali traeva dalla tragedia di Santiago la lezione che una sinistra al 51% non governa se il restante 49% le viene mobilitato contro, e ne deduceva la necessità della collaborazione tra le grandi forze popolari, comunista, socialista e cattolica: è l'atto di nascita pubblico della proposta che la vulgata avrebbe chiamato compromesso storico, Livello A quanto ai testi ed alla loro data. Sul versante democristiano, il registro deve al lettore una precisione che la pubblicistica trascura: Moro non fu il teorico del compromesso, formula che non gli appartenne e verso la quale mantenne riserve esplicite, ma l'architetto di un disegno proprio e più graduale, la strategia dell'attenzione prima e la prospettiva della terza fase poi, l'idea di un ampliamento della base dello Stato che passasse per l'emergenza della solidarietà nazionale senza consegnare al patto tra i 2 maggiori partiti la forma definitiva del sistema, Livello A quanto alla distinzione, documentata dai testi e dagli interventi del presidente democristiano. La distinzione non è erudizione: essa definisce l'esatto bersaglio politico che il sequestro colpì, non un'alleanza compiuta ma una mediazione in cammino, ed il mediatore, non il patto, era l'elemento insostituibile, come la storia successiva, che vide il disegno dissolversi con il suo artefice, avrebbe verificato per sottrazione.</w:t>
      </w:r>
    </w:p>
    <w:p>
      <w:pPr>
        <w:spacing w:after="120" w:line="276"/>
        <w:jc w:val="both"/>
      </w:pPr>
      <w:r>
        <w:rPr>
          <w:rFonts w:ascii="Barlow Semi Condensed" w:cs="Barlow Semi Condensed" w:eastAsia="Barlow Semi Condensed" w:hAnsi="Barlow Semi Condensed"/>
          <w:sz w:val="24"/>
          <w:szCs w:val="24"/>
        </w:rPr>
        <w:t xml:space="preserve">All'ultimo miglio della mediazione appartiene il documento orale conclusivo, che il registro censisce quale testamento politico involontario: l'intervento pronunciato da Moro il 28 febbraio 1978 dinanzi ai gruppi parlamentari democristiani riuniti, per persuadere il partito riluttante ad accettare l'appoggio esterno comunista al nuovo governo. In quel discorso, di cui restano i resoconti e le testimonianze convergenti dei presenti, Moro difese la scelta quale passaggio obbligato di un tempo nuovo, evocando la necessità di capire ciò che accade e di non farsi trovare fermi mentre la storia si muove, Livello A quanto all'intervento ed al suo tenore complessivo, secondo i resoconti coevi. Sedici giorni separano quell'aula da via Fani: ed il registro, che diffida delle coincidenze quanto le censisce, annota che l'agguato cadde nell'esatta finestra in cui la mediazione, vinte le resistenze interne, stava per tradursi in prassi parlamentare, il che colloca il movente politico non nella sfera delle intenzioni attribuite ma nella cronologia documentata dei fatti compiuti: chi colpì, colpì un processo in atto, alla sua ora più fecondа e perciò più vulnerabile.</w:t>
      </w:r>
    </w:p>
    <w:p>
      <w:pPr>
        <w:spacing w:after="120" w:line="276"/>
        <w:jc w:val="both"/>
      </w:pPr>
      <w:r>
        <w:rPr>
          <w:rFonts w:ascii="Barlow Semi Condensed" w:cs="Barlow Semi Condensed" w:eastAsia="Barlow Semi Condensed" w:hAnsi="Barlow Semi Condensed"/>
          <w:sz w:val="24"/>
          <w:szCs w:val="24"/>
        </w:rPr>
        <w:t xml:space="preserve">Alla vigilia dell'agguato appartiene infine il dossier della protezione, che gli atti parlamentari hanno ricostruito e che il registro fissa quale reperto sulle condizioni materiali del bersaglio: nei mesi precedenti il 16 marzo, a fronte di un quadro di minaccia che l'escalation brigatista contro uomini dello Stato rendeva conclamato, la dotazione della scorta di Moro rimase quella ordinaria, 5 uomini su 2 vetture prive di blindatura, e le sollecitazioni per l'assegnazione di un'auto protetta, documentate nelle testimonianze rese dai collaboratori e dagli uffici alle sedi d'inchiesta, non ebbero seguito prima dell'agguato, Livello A quanto alla dotazione effettiva ed alle sollecitazioni documentate, nei limiti delle rispettive fonti. Il registro consegna il dato alla sua funzione: esso non fonda, da solo, alcuna inferenza sulla volontarietà dell'esposizione, che nessun accertamento ha consacrato e che la Regola Ferrea vieta di dedurre dalla mera inadeguatezza, ma stabilisce la condizione materiale di partenza del piano primo, un obiettivo di primissimo rango protetto secondo standard che la minaccia coeva aveva già reso obsoleti, e questa forbice tra il rango del bersaglio ed il livello della protezione è il primo dei fatti non spiegati che il piano secondo censisce, certificato nella sua materialità e consegnato, quanto alle ragioni, al vaglio che le Commissioni hanno condotto senza chiuderlo.</w:t>
      </w:r>
    </w:p>
    <w:p>
      <w:pPr>
        <w:spacing w:after="120" w:line="276"/>
        <w:jc w:val="both"/>
      </w:pPr>
      <w:r>
        <w:rPr>
          <w:rFonts w:ascii="Barlow Semi Condensed" w:cs="Barlow Semi Condensed" w:eastAsia="Barlow Semi Condensed" w:hAnsi="Barlow Semi Condensed"/>
          <w:sz w:val="24"/>
          <w:szCs w:val="24"/>
        </w:rPr>
        <w:t xml:space="preserve">Attorno al presidente operava infine il cerchio dei collaboratori diretti, che il registro censisce quale fonte di prima prossimità sul clima della vigilia: il segretario amministrativo Sereno Freato, l'assistente Nicola Rana ed il portavoce Corrado Guerzoni, auditi ripetutamente nei cicli giudiziari e dinanzi alle Commissioni, consegnarono un quadro convergente sulla percezione del pericolo nell'ultimo Moro, fatta di segnali registrati, preoccupazioni espresse e cautele sollecitate, ivi comprese quelle sulla protezione che il capitolo ha già certificato, Livello A quanto alle audizioni ed alla convergenza dei racconti, Livello B quanto ai singoli episodi riferiti da fonte unica. Il registro assegna al cerchio la sua funzione documentale propria: i collaboratori furono, per il caso, ciò che gli archivi sono per le organizzazioni, la memoria esterna dell'uomo, e le loro testimonianze, attraversate negli anni da verifiche, riscontri ed anche da vicende personali distinte che non appartengono a questo nodo, restano il principale giacimento sulla dimensione privata della vigilia, quella in cui il mediatore misurava, insieme al peso della manovra politica, il prezzo che essa avrebbe potuto chiedergli. Che quella misura fosse presente all'uomo prima che al Paese è, all'esito delle convergenze censite, un dato: e la sua consapevolezza documentata è l'ultimo tratto del profilo che il capitolo consegna, il bersaglio che conosceva di esserlo.</w:t>
      </w:r>
    </w:p>
    <w:p>
      <w:pPr>
        <w:spacing w:after="120" w:line="276"/>
        <w:jc w:val="both"/>
      </w:pPr>
      <w:r>
        <w:rPr>
          <w:rFonts w:ascii="Barlow Semi Condensed" w:cs="Barlow Semi Condensed" w:eastAsia="Barlow Semi Condensed" w:hAnsi="Barlow Semi Condensed"/>
          <w:sz w:val="24"/>
          <w:szCs w:val="24"/>
        </w:rPr>
        <w:t xml:space="preserve">La giornata inaugurale va restituita anche nella sua cronaca parlamentare, perché l'aula fu il secondo teatro del 16 marzo e la sua sequenza oraria è un reperto istituzionale: la Camera era convocata per il dibattito sulla fiducia al nuovo governo quando, a metà mattina, la notizia dell'agguato raggiunse Montecitorio; la seduta fu sospesa nello sgomento, le direzioni dei partiti si riunirono in permanenza, e nel pomeriggio le Camere ripresero i lavori deliberando di procedere immediatamente, sicché entro la sera del giorno stesso il governo ottenne la fiducia con una maggioranza amplissima, nella quale il voto comunista si sommò per la prima volta dal 1947 a quello democristiano, Livello A quanto alla sequenza ed all'esito. Il registro fissa il paradosso documentale della giornata: l'operazione concepita per impedire l'approdo della mediazione lo accelerò nelle forme, consegnando in poche ore, sotto la spinta dell'emergenza, il risultato parlamentare che mesi di trattativa avevano preparato, e la solidarietà nazionale nacque così nel modo esattamente contrario al disegno del suo artefice, non quale esito maturo di un processo politico ma quale riflesso di autodifesa dello Stato aggredito. La distinzione non è oziosa: il voto del 16 marzo saldò il quadro politico e insieme lo svuotò della sua gradualità costitutiva, ed il registro consegna alla storiografia, senza deciderla, la domanda che ne discende, se la creatura nata quel pomeriggio sotto shock fosse ancora, in senso proprio, la creatura che il prigioniero aveva progettato, o già la sua maschera funeraria.</w:t>
      </w:r>
    </w:p>
    <w:p>
      <w:pPr>
        <w:spacing w:after="120" w:line="276"/>
        <w:jc w:val="both"/>
      </w:pPr>
      <w:r>
        <w:rPr>
          <w:rFonts w:ascii="Barlow Semi Condensed" w:cs="Barlow Semi Condensed" w:eastAsia="Barlow Semi Condensed" w:hAnsi="Barlow Semi Condensed"/>
          <w:sz w:val="24"/>
          <w:szCs w:val="24"/>
        </w:rPr>
        <w:t xml:space="preserve">Alla filologia del nodo appartiene infine l'apocrifo che ne è divenuto l'emblema: la formula delle convergenze parallele, universalmente attribuita a Moro quale cifra del suo metodo, non risulta rintracciabile, in quella esatta veste, negli scritti né nei discorsi del presidente democristiano, e la ricerca filologica ne ha ricostruito la genesi giornalistica, una sintesi redazionale coeva che condensò in ossimoro la strategia morotea della metà degli anni Sessanta e che l'uso pubblico saldò per sempre al suo presunto autore, Livello A quanto alla circolazione ed alla consolidata attribuzione, Livello C quanto alla paternità morotea diretta, mai documentata. Il registro censisce l'apocrifo perché esso è, in miniatura, la storia della ricezione dell'uomo: a Moro fu attribuita la formula che il linguaggio comune giudicava impossibile, 2 parallele che convergono, e l'attribuzione attecchì perché descriveva perfettamente ciò che il Paese vedeva, un politico che faceva incontrare ciò che la geometria del sistema dichiarava inconciliabile. Che la definizione più celebre del mediatore sia una frase che egli non pronunciò è il sigillo filologico del caso: anche sul piano delle parole, come su quello delle carte, il nodo Moro è consegnato alla storia attraverso testi di paternità incerta, e la disciplina che l'opera applica al memoriale vale, in scala minima, anche per le 2 parole che tutti gli attribuiscono.</w:t>
      </w:r>
    </w:p>
    <w:p>
      <w:pPr>
        <w:spacing w:after="120" w:line="276"/>
        <w:jc w:val="both"/>
      </w:pPr>
      <w:r>
        <w:rPr>
          <w:rFonts w:ascii="Barlow Semi Condensed" w:cs="Barlow Semi Condensed" w:eastAsia="Barlow Semi Condensed" w:hAnsi="Barlow Semi Condensed"/>
          <w:sz w:val="24"/>
          <w:szCs w:val="24"/>
        </w:rPr>
        <w:t xml:space="preserve">L'ultimo Moro pubblico consegna al registro il documento che smentisce in radice l'iconografia remissiva: il discorso pronunciato al seminario nazionale democristiano di Benevento il 18 novembre 1977, l'intervento programmatico estremo della sua elaborazione, nel quale il presidente del partito rivendicò la storia della DC contro la stagione dei processi mediatici, rifiutando che il partito si lasciasse processare nelle piazze e rilanciando la prospettiva della terza fase quale approdo di sistema, Livello A quanto al discorso, alla data ed ai contenuti editi. Il registro censisce il testo per la sua funzione correttiva: a 4 mesi da via Fani, l'uomo che la vulgata avrebbe consegnato alla storia quale mediatore crepuscolare parlava da capo politico in attacco, e la continuità documentale tra il combattente di Benevento, il negoziatore dottrinale della prigione censito nel quadrilatero epistolare e l'estensore lucido del memoriale è la spina dorsale biografica che il capitolo consegna alle fasi successive: il corpus moroteo dei suoi ultimi 6 mesi, dal palco alla cella, è l'opera di una sola intelligenza politica in piena funzione, e ogni lettura che ne frammenti la coerenza per neutralizzarne un segmento, il Moro di Benevento contro il Moro delle lettere, deve prima spiegare perché la scrittura non registri alcuna frattura.</w:t>
      </w:r>
    </w:p>
    <w:p>
      <w:pPr>
        <w:spacing w:after="120" w:line="276"/>
        <w:jc w:val="both"/>
      </w:pPr>
      <w:r>
        <w:rPr>
          <w:rFonts w:ascii="Barlow Semi Condensed" w:cs="Barlow Semi Condensed" w:eastAsia="Barlow Semi Condensed" w:hAnsi="Barlow Semi Condensed"/>
          <w:sz w:val="24"/>
          <w:szCs w:val="24"/>
        </w:rPr>
        <w:t xml:space="preserve">L'arco politico del nodo si chiude infine 21 mesi dopo via Caetani, con l'atto congressuale che il registro censisce quale certificato di morte della politica morotea: al congresso democristiano del febbraio 1980 l'approvazione del documento preambolare della maggioranza interna precluse formalmente la prosecuzione della solidarietà nazionale e la prospettiva di collaborazione con il partito comunista, riportando la DC all'alleanza preferenziale con i socialisti e chiudendo la stagione che il rapimento aveva colpito al suo primo giorno, Livello A quanto all'esito congressuale ed ai suoi effetti di sistema. Il registro consegna la data alla contabilità dell'opera: la politica per la quale Moro fu sequestrato sopravvisse al suo autore un tempo brevissimo e morì non per mano armata ma per voto di congresso, e questa doppia estinzione, l'uomo per esecuzione e la strategia per deliberazione, obbliga l'analisi alla distinzione che il capitolo consegna: l'attentato uccise il garante, ma fu il sistema politico, con i propri strumenti ordinari, a seppellire la garanzia, sicché la domanda storica corretta non è se il sequestro abbia fermato la terza fase, ma perché nessuno, dopo, abbia più potuto o voluto riprenderla, ed a questa seconda domanda le aule non erano competenti a rispondere.</w:t>
      </w:r>
    </w:p>
    <w:p>
      <w:pPr>
        <w:spacing w:after="120" w:line="276"/>
        <w:jc w:val="both"/>
      </w:pPr>
      <w:r>
        <w:rPr>
          <w:rFonts w:ascii="Barlow Semi Condensed" w:cs="Barlow Semi Condensed" w:eastAsia="Barlow Semi Condensed" w:hAnsi="Barlow Semi Condensed"/>
          <w:sz w:val="24"/>
          <w:szCs w:val="24"/>
        </w:rPr>
        <w:t xml:space="preserve">La cronologia politica della vigilia esige la misura della sua durata, che il registro fissa quale cornice temporale dell'intero disegno: la crisi apertasi il 16 gennaio 1978 con le dimissioni del terzo governo Andreotti si protrasse per 2 mesi esatti, la più laboriosa gestazione ministeriale del decennio, condotta da Moro attraverso la resistenza convergente delle ali interne ed esterne sino al giuramento dell'11 marzo ed al debutto parlamentare del 16, Livello A quanto alla scansione. Il registro consegna la durata alla sua funzione analitica: per 60 giorni l'intero Paese, e chiunque nel Paese pianificasse, conobbe pubblicamente l'esistenza, la posta e l'artefice della partita in corso, mentre la sua data terminale, il giorno della fiducia, si definì solo nell'ultima settimana, sicché l'agguato consumato nell'ora esatta del compimento presuppone un dispositivo tenuto in preallarme prolungato e attivabile con preavviso breve, ed è questa elasticità operativa, più ancora della precisione balistica censita nel capitolo seguente, la vera firma professionale del 16 marzo: non l'abilità di colpire, che si addestra, ma la capacità organizzativa di attendere armati per settimane una data altrui, che si finanzia, si copre e si comanda, e che il registro consegna ai capitoli processuali quale domanda sulla profondità logistica dell'organizzazione che i giudicati hanno misurato.</w:t>
      </w:r>
    </w:p>
    <w:p>
      <w:pPr>
        <w:spacing w:after="120" w:line="276"/>
        <w:jc w:val="both"/>
      </w:pPr>
      <w:r>
        <w:rPr>
          <w:rFonts w:ascii="Barlow Semi Condensed" w:cs="Barlow Semi Condensed" w:eastAsia="Barlow Semi Condensed" w:hAnsi="Barlow Semi Condensed"/>
          <w:sz w:val="24"/>
          <w:szCs w:val="24"/>
        </w:rPr>
        <w:t xml:space="preserve">Il ritratto del protagonista esige infine il suo registro civile meno noto, che l'opera censisce per completezza biografica: per l'intera carriera politica Moro mantenne la cattedra universitaria, ordinario di istituzioni di diritto e procedura penale nell'ateneo romano, e continuò a tenervi personalmente lezione, tra studenti e assistenti, sino alle ultime settimane prima del sequestro, unico caso tra i vertici della Repubblica di una docenza effettiva mai ridotta a titolo onorifico, Livello A quanto alla continuità dell'insegnamento. Il registro consegna il dato alla sua funzione ermeneutica: l'uomo che il corpus ha censito quale architetto delle mediazioni impossibili trascorreva le proprie mattine accademiche a spiegare ai ventenni le garanzie del processo penale, e questa doppia vita documentata, il potere e la cattedra, illumina retrospettivamente tanto la qualità giuridica delle lettere dalla prigione, scritte da un processualista che conosceva per mestiere la differenza tra giustizia e procedura, quanto la scelta brigatista di sottoporlo ad un simulacro di processo, che colpiva, con precisione forse inconsapevole, l'uomo nel punto esatto della sua competenza, costringendo il professore della procedura a subire la parodia della materia che insegnava.</w:t>
      </w:r>
    </w:p>
    <w:p>
      <w:pPr>
        <w:spacing w:after="120" w:line="276"/>
        <w:jc w:val="both"/>
      </w:pPr>
      <w:r>
        <w:rPr>
          <w:rFonts w:ascii="Barlow Semi Condensed" w:cs="Barlow Semi Condensed" w:eastAsia="Barlow Semi Condensed" w:hAnsi="Barlow Semi Condensed"/>
          <w:sz w:val="24"/>
          <w:szCs w:val="24"/>
        </w:rPr>
        <w:t xml:space="preserve">Il profilo istituzionale del protagonista esige la sua scheda di servizio, che il registro premette quale misura della posta: Aldo Moro guidò 5 governi della Repubblica, i 3 esecutivi organici di centrosinistra tra il 1963 ed il 1968 ed i 2 governi della metà degli anni Settanta, e tenne nei 3 decenni i dicasteri di vertice, la Giustizia, la Pubblica istruzione, gli Esteri per stagioni prolungate, oltre alla segreteria del partito negli anni della svolta e la presidenza del Consiglio nazionale democristiano sino al sequestro, curriculum che ne fa, per durata ed ampiezza cumulativa degli incarichi, uno dei 2 o 3 uomini di governo più longevi dell'intera storia repubblicana, Livello A quanto alla carriera istituzionale. Il registro consegna la scheda alla sua funzione nel capitolo: il 16 marzo 1978 non fu colpito un leader di partito ma un archivio vivente dello Stato, l'uomo che aveva attraversato da ministro o da premier ogni stagione critica del corpus, dal Piano Solo vissuto da presidente del Consiglio in carica alle gestioni riservate mediterranee dirette da ministro degli esteri, e questa densità biografica, unica tra i possibili bersagli dell'epoca, appartiene alla valutazione del bersaglio che ogni ipotesi sul caso, da quella giudicata a quelle concorrenti, deve incorporare: chiunque decise o lasciò decidere la sorte del prigioniero sapeva che nella prigione del popolo non c'era soltanto il garante di una maggioranza, c'era la memoria operativa di 30 anni di Repubblica, con tutto ciò che una memoria simile poteva, scrivendo, ricordare.</w:t>
      </w:r>
    </w:p>
    <w:p>
      <w:pPr>
        <w:spacing w:after="120" w:line="276"/>
        <w:jc w:val="both"/>
      </w:pPr>
      <w:r>
        <w:rPr>
          <w:rFonts w:ascii="Barlow Semi Condensed" w:cs="Barlow Semi Condensed" w:eastAsia="Barlow Semi Condensed" w:hAnsi="Barlow Semi Condensed"/>
          <w:sz w:val="24"/>
          <w:szCs w:val="24"/>
        </w:rPr>
        <w:t xml:space="preserve">Il capitolo della cornice politica esige il suo bilancio terminale, che il registro formula quale misura del prezzo pagato: la politica di solidarietà nazionale non sopravvisse al suo garante, poiché il partito comunista, logorato dal sostegno ad un governo che non lo compensava e privato dell'interlocutore che aveva costruito il percorso, uscì dalla maggioranza nel gennaio 1979, a 8 mesi da via Caetani, chiudendo per sempre la stagione dell'avvicinamento e riconsegnando il sistema politico alla contrapposizione che l'operazione di Moro aveva tentato di superare, Livello A quanto alla cronologia della rottura. Il registro consegna la sequenza alla sua lettura strutturale, che prescinde da ogni ipotesi sui mandanti e vale per tutte: qualunque cosa il sequestro fosse stato nelle intenzioni, nei risultati fu l'atto che uccise insieme l'uomo ed il suo disegno, perché la solidarietà nazionale, nata per gestire l'emergenza, si consumò nell'emergenza stessa, ed il sistema politico italiano tornò, dopo la parentesi, esattamente alla geometria bipolare bloccata che le 2 superpotenze censite nella fase quinta avevano sempre preferito, sicché il registro può formulare l'unico enunciato che la disciplina consente sul piano degli effetti: il 9 maggio 1978 non morì soltanto un uomo di Stato, morì l'unico esperimento di superamento della conventio ad excludendum che la Repubblica del corpus abbia mai condotto sino alla soglia del governo, e gli effetti, a differenza delle intenzioni, non sono un'ipotesi ma un calendario.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Moro è certificato al Livello A quale artefice delle 2 operazioni di allargamento della base dello Stato e quale intermediario a massima centralità del sistema politico, sequestrato il giorno della fiducia al primo governo della solidarietà nazionale; le contrarietà internazionali al suo progetto sono certificate al Livello B su entrambi i versanti, americano e sovietico, quali contrarietà documentate e speculari, con la qualificazione del loro rapporto rinviata alla chiusura; il movente politico dell'evento è certificato nella sola forma del dato oggettivo, la fine del progetto con la morte del suo garante, senza alcuna attribuzione eccedente i giudicati.</w:t>
      </w:r>
    </w:p>
    <w:p>
      <w:pPr>
        <w:pStyle w:val="Heading3"/>
        <w:spacing w:after="80" w:before="160"/>
      </w:pPr>
      <w:r>
        <w:rPr>
          <w:rFonts w:ascii="Barlow Semi Condensed" w:cs="Barlow Semi Condensed" w:eastAsia="Barlow Semi Condensed" w:hAnsi="Barlow Semi Condensed"/>
          <w:sz w:val="24"/>
          <w:szCs w:val="24"/>
        </w:rPr>
        <w:t xml:space="preserve">Capitolo 2 — ■ Via Fani, 16 marzo 1978. L'agguato, la scorta, i giudicati</w:t>
      </w:r>
    </w:p>
    <w:p>
      <w:pPr>
        <w:spacing w:after="120" w:line="276"/>
        <w:jc w:val="both"/>
      </w:pPr>
      <w:r>
        <w:rPr>
          <w:rFonts w:ascii="Barlow Semi Condensed" w:cs="Barlow Semi Condensed" w:eastAsia="Barlow Semi Condensed" w:hAnsi="Barlow Semi Condensed"/>
          <w:sz w:val="24"/>
          <w:szCs w:val="24"/>
        </w:rPr>
        <w:t xml:space="preserve">L'agguato di via Mario Fani, eseguito a Roma la mattina del 16 marzo 1978 poco dopo le 9, è il nodo-evento inaugurale della fase: 90 secondi di fuoco nei quali fu annientata la scorta di Aldo Moro e il presidente fu sequestrato. La scansione del corpus registra il toponimo 262 volte in 37 documenti. Caddero il maresciallo dei carabinieri Oreste Leonardi, capo scorta e ombra di Moro da 15 anni, l'appuntato dei carabinieri Domenico Ricci, alla guida della vettura del presidente, il vicebrigadiere di pubblica sicurezza Francesco Zizzi e le guardie Giulio Rivera e Raffaele Iozzino, sull'auto di scorta; Iozzino fu l'unico che riuscì a scendere e a esplodere colpi contro gli aggressori. Il registro ne trascrive i 5 nomi quale atto dovuto e primo contenuto del nodo.</w:t>
      </w:r>
    </w:p>
    <w:p>
      <w:pPr>
        <w:spacing w:after="120" w:line="276"/>
        <w:jc w:val="both"/>
      </w:pPr>
      <w:r>
        <w:rPr>
          <w:rFonts w:ascii="Barlow Semi Condensed" w:cs="Barlow Semi Condensed" w:eastAsia="Barlow Semi Condensed" w:hAnsi="Barlow Semi Condensed"/>
          <w:sz w:val="24"/>
          <w:szCs w:val="24"/>
        </w:rPr>
        <w:t xml:space="preserve">Il primo pilastro è la dinamica giudizialmente accertata, che il registro certifica al Livello A sul fondamento dei giudicati formatisi nei 5 procedimenti. L'azione fu eseguita da un commando delle Brigate Rosse secondo uno schema di blocco e fuoco incrociato: la vettura civetta che tagliò la strada al corteo all'incrocio con via Stresa, il gruppo di fuoco appostato in uniformi da personale di volo dell'Alitalia lungo la siepe, i ruoli di copertura e di recupero; il presidente fu trasbordato e portato via nel giro di pochi minuti attraverso un percorso di cambi d'auto. I giudicati hanno identificato e condannato in via irrevocabile i componenti del commando e i dirigenti dell'azione, nella composizione che il capitolo successivo espone nominativamente, e hanno ricostruito la pianificazione, i sopralluoghi e la catena di comando interna. Il registro certifica al Livello A la dinamica, la composizione giudicata del commando e la riferibilità dell'azione alla direzione strategica dell'organizzazione, quali contenuti dei giudicati; e registra al medesimo livello il dato quantitativo dell'azione, il volume di fuoco concentrato sulla scorta, rinviando alle tavole armiere di cui il registro dispone il censimento analitico delle armi accertate e dei bossoli repertati, con l'annotazione che la distribuzione dei colpi tra le armi, come accertata dalle perizie, attribuì a una sola arma automatica la maggioranza assoluta dei colpi esplosi: un dato tecnico certificato che ha alimentato, nei decenni, la questione della perizia esecutiva del tiratore principale, la quale, nei limiti in cui eccede il dato peritale, appartiene al piano delle ipotesi.</w:t>
      </w:r>
    </w:p>
    <w:p>
      <w:pPr>
        <w:spacing w:after="120" w:line="276"/>
        <w:jc w:val="both"/>
      </w:pPr>
      <w:r>
        <w:rPr>
          <w:rFonts w:ascii="Barlow Semi Condensed" w:cs="Barlow Semi Condensed" w:eastAsia="Barlow Semi Condensed" w:hAnsi="Barlow Semi Condensed"/>
          <w:sz w:val="24"/>
          <w:szCs w:val="24"/>
        </w:rPr>
        <w:t xml:space="preserve">Il secondo pilastro è il perimetro delle presenze, che il registro tratta con la decomposizione dei piani dichiarata in avvertenza. Il piano primo, quello giudicato, fissa le presenze condannate. Il piano secondo registra le presenze ulteriori accertate ma non appartenenti al commando: tra esse, il registro certifica al Livello A, quale fatto ammesso ed emerso negli anni Novanta, la presenza nelle immediate vicinanze del luogo e dell'ora dell'agguato di un ufficiale del servizio segreto militare, il colonnello Camillo Guglielmi, appartenente alla struttura addestrativa collegata alla rete clandestina certificata nella Fase 2; la spiegazione fornita, un invito a pranzo da un collega residente in zona, in orario mattutino, è agli atti, e la sua congruità è stata oggetto di valutazioni critiche nelle sedi parlamentari. Il registro certifica la presenza quale fatto e mantiene al Livello C ogni attribuzione di significato operativo, dichiarando che questo è il caso di scuola del divieto inferenziale: una presenza anomala certificata non è una partecipazione, e la distanza tra i 2 enunciati può essere colmata soltanto da prove che non esistono. Al medesimo piano appartengono le questioni delle presenze e dei veicoli non identificati discusse nelle perizie e nelle inchieste parlamentari successive, compresa la motocicletta segnalata da testimoni: il registro le censisce quali questioni aperte di Livello C, documentate quanto alla loro esistenza di questioni, non risolte quanto al loro contenuto.</w:t>
      </w:r>
    </w:p>
    <w:p>
      <w:pPr>
        <w:spacing w:after="120" w:line="276"/>
        <w:jc w:val="both"/>
      </w:pPr>
      <w:r>
        <w:rPr>
          <w:rFonts w:ascii="Barlow Semi Condensed" w:cs="Barlow Semi Condensed" w:eastAsia="Barlow Semi Condensed" w:hAnsi="Barlow Semi Condensed"/>
          <w:sz w:val="24"/>
          <w:szCs w:val="24"/>
        </w:rPr>
        <w:t xml:space="preserve">Il terzo pilastro è la qualificazione dell'evento nella serie dell'opera. Via Fani è, per tecnica ed esito, un'operazione militare urbana senza precedenti né repliche nella storia del terrorismo italiano: la combinazione di intelligence preparatoria, sincronizzazione e volume di fuoco la distingue da ogni altra azione della medesima organizzazione, e questa eccezionalità tecnica, certificata al Livello A quale dato comparativo interno alla serie delle azioni giudicate, è stata l'argomento ricorrente delle letture che postulano addestramenti o concorsi esterni; il registro registra l'argomento e lo qualifica: l'eccezionalità è un fatto, l'inferenza dall'eccezionalità al concorso esterno è un'ipotesi di Livello C, che i giudicati hanno escluso di poter elevare, avendo ritenuto l'azione interamente riferibile all'organizzazione, e che le inchieste parlamentari successive hanno riproposto senza poterla consolidare.</w:t>
      </w:r>
    </w:p>
    <w:p>
      <w:pPr>
        <w:spacing w:after="120" w:line="276"/>
        <w:jc w:val="both"/>
      </w:pPr>
      <w:r>
        <w:rPr>
          <w:rFonts w:ascii="Barlow Semi Condensed" w:cs="Barlow Semi Condensed" w:eastAsia="Barlow Semi Condensed" w:hAnsi="Barlow Semi Condensed"/>
          <w:sz w:val="24"/>
          <w:szCs w:val="24"/>
        </w:rPr>
        <w:t xml:space="preserve">Il quarto pilastro è il censimento armiero, che il registro espone quale contenuto tecnico proprio, disponendo di tavole dedicate all'armamento dell'agguato e dell'esecuzione. Le risultanze peritali consolidate nei giudicati fissano il quadro: sul luogo dell'agguato furono repertati 93 bossoli, la cui distribuzione tra le armi attribuì la maggioranza assoluta dei colpi, 49, a una sola mitraglietta FNAB-43, arma automatica di produzione italiana bellica e di provenienza clandestina, affiancata da altre armi lunghe automatiche in parte inceppatesi durante l'azione e dalle armi corte del commando; l'esecuzione del 9 maggio avvenne con la mitraglietta Skorpion munita di silenziatore e con arma corta, e le perizie sul corpo e sulla vettura ne fissarono modalità e colpi. Il registro certifica al Livello A il quadro peritale recepito nei giudicati, ivi compreso il dato della concentrazione del fuoco su una sola arma, e disciplina le 2 questioni che il dato ha alimentato. La prima è la questione della perizia esecutiva: la concentrazione dei colpi in un tiratore principale, unita alla gestione degli inceppamenti altrui, ha fondato la lettura del professionista esterno; il registro la mantiene al Livello C, annotando che i giudicati attribuirono il fuoco ai componenti condannati del commando e che il dato tecnico, di per sé, misura una distribuzione e non una provenienza. La seconda è la questione della provenienza delle armi: gli accertamenti collocarono le armi lunghe in circuiti clandestini di provenienza eterogenea, e il tema della filiera internazionale degli armamenti dell'organizzazione, che il capitolo successivo riprende, trova qui il suo aggancio materiale; il registro certifica al Livello A l'eterogeneità e la clandestinità della provenienza quale dato peritale, e rinvia la filiera al capitolo dell'organizzazione. L'annotazione metodologica chiude il pilastro: il registro tratta il dato balistico secondo il paradigma indiziario della Nota, quale traccia materiale a massimo valore discriminante, e precisamente per questo ne vieta l'uso suggestivo, giacché la traccia discrimina soltanto entro le ipotesi che è tecnicamente idonea a distinguere, e la distribuzione dei colpi non distingue il brigatista addestrato dal professionista esterno, come 4 decenni di perizie hanno confermato.</w:t>
      </w:r>
    </w:p>
    <w:p>
      <w:pPr>
        <w:spacing w:after="120" w:line="276"/>
        <w:jc w:val="both"/>
      </w:pPr>
      <w:r>
        <w:rPr>
          <w:rFonts w:ascii="Barlow Semi Condensed" w:cs="Barlow Semi Condensed" w:eastAsia="Barlow Semi Condensed" w:hAnsi="Barlow Semi Condensed"/>
          <w:sz w:val="24"/>
          <w:szCs w:val="24"/>
        </w:rPr>
        <w:t xml:space="preserve">Il registro annota infine, entro il pilastro, la questione della protezione: gli atti documentano che nella stagione precedente l'agguato la minaccia sulla persona di Moro era segnalata, che la richiesta di dotare il presidente di una vettura blindata era stata avanzata e non soddisfatta, e che la scorta operava con mezzi ordinari e senza equipaggiamento protettivo adeguato al livello della minaccia; il registro certifica al Livello A la sproporzione tra la minaccia segnalata e la protezione accordata, quale fatto documentale ricostruito dalle inchieste, e mantiene al Livello C, in forza del divieto, ogni lettura intenzionale della sproporzione, annotando che essa appartiene alla serie delle inadeguatezze certificate che il piano secondo cumula e che la comparazione con la protezione dei pari grado della stagione rende misurabile.</w:t>
      </w:r>
    </w:p>
    <w:p>
      <w:pPr>
        <w:spacing w:after="120" w:line="276"/>
        <w:jc w:val="both"/>
      </w:pPr>
      <w:r>
        <w:rPr>
          <w:rFonts w:ascii="Barlow Semi Condensed" w:cs="Barlow Semi Condensed" w:eastAsia="Barlow Semi Condensed" w:hAnsi="Barlow Semi Condensed"/>
          <w:sz w:val="24"/>
          <w:szCs w:val="24"/>
        </w:rPr>
        <w:t xml:space="preserve">Il quinto pilastro è il primo vuoto documentale della vicenda, le borse del presidente. Moro viaggiava, la mattina del 16 marzo, con le borse di lavoro contenenti documenti, appunti e materiali, in numero di 5 secondo le ricostruzioni consolidate: nessuna di esse fu rinvenuta sul luogo dell'agguato né mai recuperata, e il loro contenuto non è mai stato accertato, salvo che per le indicazioni frammentarie di fonti interne all'organizzazione sul prelievo e sulla sorte dei materiali. Il registro certifica al Livello A la scomparsa delle borse quale fatto, primo anello della catena dei vuoti documentali che accompagnerà l'intera vicenda, e mantiene al Livello C ogni ricostruzione del loro contenuto e della loro destinazione; l'annotazione è che la vicenda documentale del caso si apre nel suo stesso primo minuto, con la sottrazione contestuale all'agguato dell'archivio portatile della vittima, e che il registro censirà i vuoti successivi quale serie unitaria nella chiusura di fase.</w:t>
      </w:r>
    </w:p>
    <w:p>
      <w:pPr>
        <w:spacing w:after="120" w:line="276"/>
        <w:jc w:val="both"/>
      </w:pPr>
      <w:r>
        <w:rPr>
          <w:rFonts w:ascii="Barlow Semi Condensed" w:cs="Barlow Semi Condensed" w:eastAsia="Barlow Semi Condensed" w:hAnsi="Barlow Semi Condensed"/>
          <w:sz w:val="24"/>
          <w:szCs w:val="24"/>
        </w:rPr>
        <w:t xml:space="preserve">Il sesto pilastro ricostruisce la preparazione dell'azione e i suoi segni premonitori, quali gli accertamenti li hanno consegnati. La pianificazione, per le risultanze processuali, durò mesi: i pedinamenti del percorso quotidiano di Moro, dall'abitazione di via del Forte Trionfale alla chiesa di Santa Chiara, dove il presidente si fermava ogni mattina, sino a Montecitorio, iniziarono nell'autunno del 1977 e fissarono la scelta del punto, l'incrocio tra via Fani e via Stresa, dove il corteo rallentava per lo stop; l'organizzazione acquisì le vetture, tra cui la Fiat 128 bianca con targa del corpo diplomatico contraffatta che avrebbe tagliato la strada, predispose le uniformi dell'Alitalia quale copertura del gruppo di fuoco in attesa, e collaudò la sincronizzazione dei 3 gruppi, il blocco, il fuoco, il recupero. Il registro certifica al Livello A questa ricostruzione, quale contenuto dei giudicati e delle ammissioni riscontrate, e vi aggiunge il segno premonitore materiale che gli atti documentano: nella notte tra il 15 e il 16 marzo, gli pneumatici del furgone del fioraio Antonio Spiriticchio, che stazionava ogni mattina all'angolo dell'incrocio, furono squarciati, sicché l'unico osservatore fisso del punto fu rimosso dalla scena poche ore prima dell'azione; il registro certifica al Livello A il fatto, emerso sin dalle prime indagini, e lo qualifica quale indice della qualità professionale della preparazione, un dettaglio di bonifica preventiva del campo che le perizie comparate hanno registrato tra gli elementi distintivi dell'operazione. Alla medesima serie appartiene il dato, già annotato, della sproporzione tra la minaccia segnalata e la protezione accordata: il registro vi aggiunge la specificazione documentale che le armi lunghe in dotazione alla scorta, 2 mitra, viaggiavano custodite nel bagagliaio dell'Alfetta di scorta, secondo la prassi dell'epoca, e furono perciò inutilizzabili nei 90 secondi dell'azione; la circostanza, certificata al Livello A dagli atti, misura la distanza tra la minaccia effettiva e l'assetto difensivo, e appartiene alla serie delle inadeguatezze strutturali che il piano secondo cumula.</w:t>
      </w:r>
    </w:p>
    <w:p>
      <w:pPr>
        <w:spacing w:after="120" w:line="276"/>
        <w:jc w:val="both"/>
      </w:pPr>
      <w:r>
        <w:rPr>
          <w:rFonts w:ascii="Barlow Semi Condensed" w:cs="Barlow Semi Condensed" w:eastAsia="Barlow Semi Condensed" w:hAnsi="Barlow Semi Condensed"/>
          <w:sz w:val="24"/>
          <w:szCs w:val="24"/>
        </w:rPr>
        <w:t xml:space="preserve">Il settimo pilastro censisce la scena, i testimoni e le code materiali dell'azione. La testimonianza più discussa è quella dell'ingegner Alessandro Marini, che sopraggiunse in motorino sul luogo nei secondi dell'azione e riferì della presenza di una motocicletta Honda di grossa cilindrata con 2 uomini a bordo, 1 dei quali avrebbe esploso colpi verso di lui, infrangendo il parabrezza del motorino: la motocicletta non è mai stata identificata, la sua funzione non è mai stata chiarita, e le versioni del testimone hanno conosciuto oscillazioni nel tempo, sino alle revisioni tarde; il registro certifica al Livello A l'esistenza e il contenuto originario della testimonianza, quale atto documentale coevo, mantiene al Livello C l'identificazione e la funzione del mezzo, e registra la questione della motocicletta quale la più longeva delle code aperte della scena, oggetto di accertamenti sino all'ultima Commissione. La seconda coda materiale è la sorte delle vetture della fuga: le auto utilizzate dal commando furono rinvenute in via Licinio Calvo, una traversa a breve distanza dal luogo dell'agguato, in 3 riprese successive scaglionate tra il 16 marzo e il 13 aprile, con i rinvenimenti tardivi avvenuti in una strada già battuta dalle ricerche; il registro certifica al Livello A la sequenza dei rinvenimenti, quale dato di verbale, e censisce al Livello C le sue letture, dalla spola dei sequestratori sotto il dispositivo di ricerca alla ricollocazione tardiva dei mezzi, annotando che la sequenza appartiene, quale che ne sia la spiegazione, alla serie delle anomalie certificate della fase. La terza coda è l'esercizio commerciale all'angolo, il bar dell'incrocio, chiuso quella mattina, la cui titolarità e le cui frequentazioni sono state oggetto degli approfondimenti dell'ultima Commissione, con acquisizioni sulle cointeressenze della gestione che il registro recepisce al Livello B quanto ai fatti documentali e al Livello C quanto a ogni lettura funzionale, entro la disciplina già dichiarata per la zona di convergenza.</w:t>
      </w:r>
    </w:p>
    <w:p>
      <w:pPr>
        <w:spacing w:after="120" w:line="276"/>
        <w:jc w:val="both"/>
      </w:pPr>
      <w:r>
        <w:rPr>
          <w:rFonts w:ascii="Barlow Semi Condensed" w:cs="Barlow Semi Condensed" w:eastAsia="Barlow Semi Condensed" w:hAnsi="Barlow Semi Condensed"/>
          <w:sz w:val="24"/>
          <w:szCs w:val="24"/>
        </w:rPr>
        <w:t xml:space="preserve">L'ottavo pilastro completa il censimento armiero con i dati di contesto che le tavole del registro consegnano. La mitraglietta FNAB-43, l'arma cui le perizie attribuiscono 49 dei 93 colpi, è un'arma automatica italiana prodotta in serie limitata negli anni 1943-1944, circolante nei decenni successivi nei soli canali clandestini dei residuati e dei traffici: la sua presenza in via Fani, accanto ad altre armi automatiche di provenienza eterogenea, parte delle quali si inceppò durante l'azione, è certificata al Livello A dalle perizie, e la composizione dell'arsenale, armi datate, di provenienza irregolare, con difettosità manifestatesi nell'uso, è stata valorizzata nei giudizi quale indice della natura artigianale della logistica dell'organizzazione, in contrasto con la professionalità della pianificazione: il registro certifica al Livello A questa duplicità documentata, l'eccellenza tattica e la precarietà logistica, e la consegna quale dato alla competizione tra le ipotesi, annotando che essa è stata invocata da entrambe le letture, quale prova di autosufficienza dall'una e quale firma di un apporto esterno selettivo dall'altra, e che il dato, in sé, non discrimina. Le perizie disposte dall'ultima Commissione, con le tecniche di analisi contemporanee, hanno rimodulato la ricostruzione delle posizioni di tiro e della distribuzione dei colpi senza modificare le attribuzioni giudicate: il registro certifica al Livello A l'esito confermativo, quale dato peritale, e chiude il pilastro con la regola già enunciata, per cui la traccia balistica discrimina soltanto entro le ipotesi che è tecnicamente idonea a distinguere.</w:t>
      </w:r>
    </w:p>
    <w:p>
      <w:pPr>
        <w:spacing w:after="120" w:line="276"/>
        <w:jc w:val="both"/>
      </w:pPr>
      <w:r>
        <w:rPr>
          <w:rFonts w:ascii="Barlow Semi Condensed" w:cs="Barlow Semi Condensed" w:eastAsia="Barlow Semi Condensed" w:hAnsi="Barlow Semi Condensed"/>
          <w:sz w:val="24"/>
          <w:szCs w:val="24"/>
        </w:rPr>
        <w:t xml:space="preserve">Il nono pilastro restituisce i profili degli uomini della scorta, quale atto dovuto che la disciplina delle vittime impone e quale dato analitico sulla struttura della protezione. Il maresciallo Oreste Leonardi, capo della scorta, era al fianco di Moro da oltre 15 anni: non un assegnato di turno ma l'uomo di fiducia della famiglia, il custode delle abitudini e degli itinerari, la memoria vivente del dispositivo; l'appuntato Domenico Ricci, alla guida della berlina presidenziale, era l'autista personale di Moro da quasi 2 decenni, selezionato per perizia di guida e riservatezza; il vicebrigadiere di pubblica sicurezza Francesco Zizzi, capo equipaggio dell'auto di scorta, era al primo giorno di servizio in quella specifica assegnazione, la circostanza più citata della composizione di quella mattina; gli agenti Giulio Rivera, alla guida dell'Alfetta, e Raffaele Iozzino completavano l'equipaggio, e Iozzino fu, per le risultanze, l'unico che riuscì a scendere dal veicolo e a esplodere colpi con l'arma d'ordinanza prima di essere abbattuto. Il registro certifica al Livello A i profili e le circostanze, quali dati degli atti, e ne trae 2 annotazioni analitiche: la prima è che l'eliminazione di Leonardi e Ricci comportò la distruzione, nel primo minuto, della memoria operativa del dispositivo di protezione, gli unici 2 uomini che conoscevano integralmente consuetudini, percorsi e relazioni del protetto, una perdita informativa che gravò sulle indagini immediate; la seconda è che la composizione mista dell'equipaggio, carabinieri storici e agenti di pubblica sicurezza di recente o recentissima assegnazione, riflette l'assenza di una dottrina unitaria della protezione personale nell'Italia del 1978, un dato di sistema che la legislazione successiva avrebbe corretto e che il registro certifica quale contesto, non quale addebito.</w:t>
      </w:r>
    </w:p>
    <w:p>
      <w:pPr>
        <w:spacing w:after="120" w:line="276"/>
        <w:jc w:val="both"/>
      </w:pPr>
      <w:r>
        <w:rPr>
          <w:rFonts w:ascii="Barlow Semi Condensed" w:cs="Barlow Semi Condensed" w:eastAsia="Barlow Semi Condensed" w:hAnsi="Barlow Semi Condensed"/>
          <w:sz w:val="24"/>
          <w:szCs w:val="24"/>
        </w:rPr>
        <w:t xml:space="preserve">Il decimo pilastro registra la giornata del 16 marzo nel Paese, il contesto immediato della reazione. Nelle ore successive all'agguato, mentre scattava il dispositivo di ricerca, le confederazioni sindacali proclamarono lo sciopero generale e le piazze delle città maggiori si riempirono di manifestazioni unitarie; il Parlamento, convocato per il dibattito sulla fiducia al nuovo governo, votò la fiducia in giornata, con una accelerazione procedurale senza precedenti e con il discorso volutamente asciutto del presidente del Consiglio Andreotti, che chiese e ottenne il voto quale risposta istituzionale all'attacco; la maggioranza della non sfiducia divenne, nel fuoco dell'emergenza, maggioranza politica effettiva, e il governo che Moro aveva costruito nacque, per paradosso certificato dalla cronologia, nel giorno e per effetto del suo sequestro. Il registro certifica al Livello A la sequenza della giornata, quale materia documentale, e ne dichiara il rilievo per la competizione tra le ipotesi: l'effetto politico immediato dell'azione fu il consolidamento, non la rottura, della formula della solidarietà nazionale, un esito che la letteratura ha valorizzato in direzioni opposte, quale prova del fallimento politico dell'organizzazione ovvero quale primo tempo di una strategia di logoramento che avrebbe prodotto i suoi effetti disgregativi nei mesi successivi; il registro certifica l'effetto e data la sua inversione, giacché la formula di governo nata il 16 marzo 1978 si esaurì entro il gennaio 1979, quando il Partito comunista uscì dalla maggioranza, e la stagione della solidarietà nazionale si chiuse per sempre a 8 mesi dal ritrovamento di via Caetani: la sequenza sequestro-consolidamento-dissoluzione è il dato temporale certificato che ogni lettura del piano terzo deve spiegare.</w:t>
      </w:r>
    </w:p>
    <w:p>
      <w:pPr>
        <w:spacing w:after="120" w:line="276"/>
        <w:jc w:val="both"/>
      </w:pPr>
      <w:r>
        <w:rPr>
          <w:rFonts w:ascii="Barlow Semi Condensed" w:cs="Barlow Semi Condensed" w:eastAsia="Barlow Semi Condensed" w:hAnsi="Barlow Semi Condensed"/>
          <w:sz w:val="24"/>
          <w:szCs w:val="24"/>
        </w:rPr>
        <w:t xml:space="preserve">L'undicesimo pilastro censisce gli atti immediati dell'inchiesta e il dato del percorso. La direzione delle indagini fu assunta dalla procura di Roma con il coordinamento investigativo dei reparti territoriali e, dalla sera stessa, con l'attivazione dei comitati che il capitolo della gestione censisce; i rilievi sulla scena, condotti nelle condizioni di affollamento e concitazione che gli atti documentano, con la presenza simultanea di autorità, operatori e stampa sul perimetro non ancora integralmente delimitato, consegnarono il quadro dei bossoli, dei veicoli e delle tracce su cui le perizie di ogni stagione successiva hanno lavorato; il registro certifica al Livello A le condizioni documentate dei primi rilievi, quale dato degli atti e delle immagini coeve, e le registra tra i fattori che hanno reso necessarie le reiterate perizie integrative dei decenni seguenti. Al medesimo pilastro appartiene il dato strutturale della prevedibilità: gli accertamenti hanno documentato che il percorso mattutino del presidente non veniva variato, che la sosta quotidiana nella chiesa di Santa Chiara era abitudine nota e che la sequenza degli itinerari era, per un osservatore sistematico, integralmente ricostruibile; il registro certifica al Livello A la fissità documentata del percorso, la condizione che rese possibile la pianificazione censita nel sesto pilastro, e la registra, accanto alla mancata blindatura e alla custodia delle armi lunghe nel bagagliaio, quale terzo elemento della serie delle vulnerabilità strutturali certificate, la cui composizione descrive un obiettivo di massimo valore protetto secondo procedure ordinarie: il differenziale tra il valore e la protezione è il dato che il registro consegna, quale fatto, a ogni piano della decomposizione.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composizione giudicata del nucleo operativo e le sue code aperte. I giudicati hanno fissato in 9 i componenti accertati dell'azione di via Fani, distribuiti tra il blocco stradale, il gruppo di fuoco lungo la siepe, la copertura ai margini dell'incrocio e il recupero del prigioniero, con Moretti alla guida della vettura che tagliò la strada al corteo; la composizione emerse per stratificazioni successive, dalle prime identificazioni sino alle versioni interne del 1990, e 2 posizioni presentano la peculiarità che il registro trascrive: Alessio Casimirri, condannato in via definitiva per la partecipazione all'azione, riparò in Nicaragua, dove ha vissuto da allora senza che alcuna richiesta di estradizione sia mai giunta a esecuzione, e Alvaro Lojacono, parimenti condannato, si sottrasse all'esecuzione della pena avvalendosi della cittadinanza svizzera e dell'ordinamento elvetico; il registro certifica al Livello A le condanne, le latitanze e la loro perpetuità, quali dati processuali e di fatto, e ne dichiara il rilievo: i 2 uomini di via Fani mai raggiunti dall'esecuzione penale sono, per la letteratura del piano terzo, i 2 testimoni potenziali mai escussi in condizioni di libertà negoziale, e la geografia delle loro protezioni, l'America centrale sandinista per l'uno e la neutralità elvetica per l'altro, è un dato censito del Pattern 10 che la fase consegna, con gli altri fili internazionali, alla ricognizione conclusiva.</w:t>
      </w:r>
    </w:p>
    <w:p>
      <w:pPr>
        <w:spacing w:after="120" w:line="276"/>
        <w:jc w:val="both"/>
      </w:pPr>
      <w:r>
        <w:rPr>
          <w:rFonts w:ascii="Barlow Semi Condensed" w:cs="Barlow Semi Condensed" w:eastAsia="Barlow Semi Condensed" w:hAnsi="Barlow Semi Condensed"/>
          <w:sz w:val="24"/>
          <w:szCs w:val="24"/>
        </w:rPr>
        <w:t xml:space="preserve">Il tredicesimo pilastro registra il dato delle munizioni, il reperto tecnico minore che le perizie consegnano. Le analisi sui bossoli di via Fani accertarono che parte delle cartucce impiegate era stata ricaricata artigianalmente, con la sostituzione manuale di componenti su bossoli già esplosi, una pratica di economia di guerra tipica degli arsenali clandestini e incompatibile con un approvvigionamento di canale statale o industriale; il registro certifica al Livello A il dato peritale e ne dichiara la funzione nella competizione tra le ipotesi: la ricarica artigianale appartiene alla medesima serie della precarietà logistica censita nell'ottavo pilastro, le armi datate e gli inceppamenti, e costituisce uno degli elementi tecnici che la lettura dell'autosufficienza dell'organizzazione valorizza con maggiore fondamento, giacché un concorso esterno qualificato avrebbe reso superflua, per definizione, l'economia del bossolo ricaricato; il registro annota che il dato, come ogni elemento tecnico della scena, non chiude la questione ma la vincola, escludendo le varianti dell'ipotesi di concorso che postulano una fornitura esterna integrale e lasciando in piedi le sole varianti selettive, e che questa capacità di potatura delle ipotesi, propria dei reperti materiali, è la ragione del rilievo che il metodo dell'opera assegna alla balistica quale disciplina ausiliaria della storia.</w:t>
      </w:r>
    </w:p>
    <w:p>
      <w:pPr>
        <w:spacing w:after="120" w:line="276"/>
        <w:jc w:val="both"/>
      </w:pPr>
      <w:r>
        <w:rPr>
          <w:rFonts w:ascii="Barlow Semi Condensed" w:cs="Barlow Semi Condensed" w:eastAsia="Barlow Semi Condensed" w:hAnsi="Barlow Semi Condensed"/>
          <w:sz w:val="24"/>
          <w:szCs w:val="24"/>
        </w:rPr>
        <w:t xml:space="preserve">Il quattordicesimo pilastro censisce i veicoli del corteo e la questione della blindatura, il dato materiale della protezione. Il corteo del 16 marzo era composto dalla berlina Fiat 130 blu, con Moro sul sedile posteriore, Ricci alla guida e Leonardi al suo fianco, e dall'Alfetta bianca di scorta con Zizzi, Rivera e Iozzino: 2 vetture di serie, prive di qualsiasi protezione balistica, i cui cristalli e le cui lamiere non opposero resistenza alcuna al fuoco del commando, secondo quanto le perizie documentarono; e gli atti delle Commissioni hanno accertato che la questione della vettura blindata era stata posta prima dei fatti, con le segnalazioni del maresciallo Leonardi sull'accresciuto rischio e sulle esigenze del dispositivo, senza che l'assegnazione fosse mai disposta, nel quadro di una dotazione nazionale di veicoli protetti allora esigua e riservata a un novero ristretto di cariche. Il registro certifica al Livello A la composizione del corteo, l'assenza di protezione balistica e l'esistenza delle segnalazioni inevase, quali dati documentali, e compone il pilastro con la serie già certificata: la mancata blindatura si aggiunge alla custodia delle armi lunghe nel bagagliaio e alla fissità del percorso quale terzo termine della configurazione di vulnerabilità che il registro ha fissato, e il quadro complessivo, un obiettivo la cui esposizione era stata segnalata dal suo stesso dispositivo di protezione e la cui protezione non fu adeguata, è certificato quale fatto amministrativo documentato; il registro annota che la spiegazione ordinaria, la scarsità delle risorse e l'ordinarietà delle procedure di un'epoca che non aveva ancora conosciuto l'attacco a un presidente di partito, è documentata e sufficiente, che la lettura del piano terzo vi ha storicamente innestato l'ipotesi della predisposizione, priva di ogni elemento, e che la distanza tra le 2 letture del medesimo fatto amministrativo è, ancora una volta, l'esatta materia su cui il metodo dell'opera esercita la propria disciplina.</w:t>
      </w:r>
    </w:p>
    <w:p>
      <w:pPr>
        <w:spacing w:after="120" w:line="276"/>
        <w:jc w:val="both"/>
      </w:pPr>
      <w:r>
        <w:rPr>
          <w:rFonts w:ascii="Barlow Semi Condensed" w:cs="Barlow Semi Condensed" w:eastAsia="Barlow Semi Condensed" w:hAnsi="Barlow Semi Condensed"/>
          <w:sz w:val="24"/>
          <w:szCs w:val="24"/>
        </w:rPr>
        <w:t xml:space="preserve">Il quindicesimo pilastro censisce le perizie dell'ultima stagione sulla scena di via Fani. La Commissione della XVII legislatura dispose accertamenti tecnici integrativi sull'agguato, con la rilettura dei rilievi originari mediante gli strumenti contemporanei, la ricostruzione tridimensionale della scena, la revisione della distribuzione dei colpi tra le armi e dei punti di sparo, e l'esame dei reperti superstiti; gli esiti, documentati negli atti, confermarono l'impianto giudicato della dinamica, il blocco, il fuoco concentrato sui 2 veicoli, il prelevamento, precisando la distribuzione dei colpi tra le armi del commando rispetto alle sintesi delle prime perizie e sciogliendo alcune delle questioni tecniche che la letteratura aveva accumulato, senza introdurre elementi incompatibili con la ricostruzione processuale; il registro certifica al Livello A l'esistenza, gli strumenti e l'esito confermativo degli accertamenti, quali dati degli atti parlamentari, e ne trae la formalizzazione che vale per l'intera fase: la scena di via Fani, come quella di via Caetani, è stata sottoposta a revisione tecnica integrale a distanza di quasi 4 decenni con tecnologie non disponibili all'epoca, e la revisione ha restituito il nucleo giudicato, un esito che il registro trascrive quale certificazione di stabilità del piano primo, la più solida che il metodo conosca, giacché una ricostruzione che sopravvive al progresso degli strumenti ha superato la prova più severa cui una ricostruzione possa essere sottoposta; le code tecniche residue, censite nei pilastri della scena, restano censite, e il registro ribadisce per esse la regola già fissata, che la loro eventuale soluzione dovrà venire da fonti nuove e non da nuove letture del già noto.</w:t>
      </w:r>
    </w:p>
    <w:p>
      <w:pPr>
        <w:spacing w:after="120" w:line="276"/>
        <w:jc w:val="both"/>
      </w:pPr>
      <w:r>
        <w:rPr>
          <w:rFonts w:ascii="Barlow Semi Condensed" w:cs="Barlow Semi Condensed" w:eastAsia="Barlow Semi Condensed" w:hAnsi="Barlow Semi Condensed"/>
          <w:sz w:val="24"/>
          <w:szCs w:val="24"/>
        </w:rPr>
        <w:t xml:space="preserve">Il sedicesimo pilastro censisce la geografia dell'agguato, l'applicazione del Pattern 10 alla scena iniziale. L'incrocio tra via Mario Fani e via Stresa, nel quartiere residenziale della Camilluccia, apparteneva al tratto obbligato del percorso mattutino, a poche centinaia di metri dall'abitazione di via del Forte Trionfale e in prossimità della chiesa di Santa Chiara, la sosta quotidiana censita; la scelta del punto rispose, per le ricostruzioni giudicate, a criteri tecnici precisi: la discesa che rallentava i veicoli in avvicinamento all'incrocio, lo stop che imponeva l'arresto, la conformazione della strada che consentiva il posizionamento del gruppo di fuoco lungo la siepe del bar d'angolo e il blocco frontale con la vettura di traverso, e la molteplicità delle vie di deflusso verso la rete stradale collinare; il registro certifica al Livello A la topografia e i criteri della scelta, quali risultanze processuali, e ne trae le annotazioni del pattern. La prima è tattica: l'agguato fu costruito sul punto in cui la geografia stessa lavorava per l'attaccante, la pendenza, lo stop, la siepe, e la qualità della lettura del terreno documentata dalla scelta appartiene al quadro delle competenze militari dell'organizzazione che il dibattito sul concorso ha variamente pesato. La seconda è strutturale: l'intera vicenda romana del caso si svolse entro un perimetro urbano sorprendentemente compatto, l'agguato alla Camilluccia, le basi di via Gradoli e di via Montalcini sui quadranti nord e sud, l'epilogo nel centro storico, e la mappa complessiva, che il registro consegna al Pattern 10 dell'opera, documenta un'organizzazione capace di operare per 55 giorni dentro la capitale presidiata, spostando il prigioniero una sola volta, la mattina del prelevamento, e vivendo per il resto della crisi nella immobilità totale che la compartimentazione consentiva: la geografia del caso Moro è la geografia di un assedio rovesciato, nel quale l'assediato invisibile stava al centro e l'assediante impotente occupava tutto il resto della città.</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Fani-commando-direzione strategica, è il triangolo del piano primo, certificato al Livello A dai giudicati. La seconda, via Fani-presenze ulteriori-colonnello Guglielmi, è il triangolo del piano secondo, certificato al Livello A quanto alla presenza e fermo al Livello C quanto al significato. La terza, via Fani-eccezionalità tecnica-ipotesi di concorso, è il triangolo del piano terzo, integralmente di Livello C. Sul piano dei pattern, il nodo attiva il Pattern 10 nella scala minima: l'incrocio di via Fani con via Stresa, la chiesa, il bar all'angolo divenuto oggetto di approfondimenti parlamentari per la ricostruzione delle frequentazioni della zona, compongono la zona di convergenza spaziale più analizzata della storia giudiziaria italiana, sulla quale il registro mantiene la distinzione tra le frequentazioni documentate e i significati congetturati.</w:t>
      </w:r>
    </w:p>
    <w:p>
      <w:pPr>
        <w:spacing w:after="120" w:line="276"/>
        <w:jc w:val="both"/>
      </w:pPr>
      <w:r>
        <w:rPr>
          <w:rFonts w:ascii="Barlow Semi Condensed" w:cs="Barlow Semi Condensed" w:eastAsia="Barlow Semi Condensed" w:hAnsi="Barlow Semi Condensed"/>
          <w:sz w:val="24"/>
          <w:szCs w:val="24"/>
        </w:rPr>
        <w:t xml:space="preserve">Alla dinamica certificata il registro aggiunge la sua misura temporale, che le perizie e le testimonianze consegnano con approssimazione minima: l'azione si aprì alle 9:02 del mattino e si consumò in un arco stimato attorno ai 3 minuti, dal blocco della colonna all'allontanamento dei veicoli del commando con il prigioniero, Livello A quanto alla collocazione oraria ed alla durata stimata negli atti. Il dato temporale non è ornamento cronachistico ma reperto tecnico di prima grandezza: 3 minuti per neutralizzare 5 uomini armati, prelevare illeso l'obiettivo e disimpegnarsi nel traffico mattutino di un quartiere residenziale misurano un livello di pianificazione, sincronizzazione ed addestramento che le sentenze avrebbero assunto quale indice della lunga preparazione dell'agguato, con i sopralluoghi, le esercitazioni ed il pedinamento sistematico del percorso che l'istruttoria documentò, Livello A nei limiti dei giudicati. Il registro consegna la misura alla sua funzione comparativa: nella serie storica delle azioni brigatiste, via Fani rappresenta il massimo assoluto di complessità esecutiva riuscita, un salto di qualità che i processi attribuirono alla concentrazione in un solo punto delle migliori risorse operative dell'organizzazione, e che il piano terzo del capitolo 10 registrerà quale uno dei fatti-base attorno ai quali le ipotesi di concorso ulteriore si sono addensate, senza mai convertire, per il registro, l'eccellenza esecutiva in prova di mano esterna: l'abilità non è un indizio, è una constatazione.</w:t>
      </w:r>
    </w:p>
    <w:p>
      <w:pPr>
        <w:spacing w:after="120" w:line="276"/>
        <w:jc w:val="both"/>
      </w:pPr>
      <w:r>
        <w:rPr>
          <w:rFonts w:ascii="Barlow Semi Condensed" w:cs="Barlow Semi Condensed" w:eastAsia="Barlow Semi Condensed" w:hAnsi="Barlow Semi Condensed"/>
          <w:sz w:val="24"/>
          <w:szCs w:val="24"/>
        </w:rPr>
        <w:t xml:space="preserve">Ai 5 nomi trascritti il registro deve infine la persistenza: il luogo dell'eccidio è divenuto, nei decenni, uno spazio memoriale presidiato, con il cippo che reca i nomi di Oreste Leonardi, Domenico Ricci, Francesco Zizzi, Giulio Rivera e Raffaele Iozzino e la commemorazione che ogni 16 marzo vi si rinnova alla presenza delle istituzioni, mentre le famiglie dei caduti hanno mantenuto, attraverso le associazioni della memoria delle vittime del terrorismo, una presenza costante nei processi e nelle sedi parlamentari, costituendosi custodi di un punto che il registro fa proprio: la vicenda giudiziaria e storiografica del caso, con le sue vertigini interpretative, non può retrocedere i 5 uomini della scorta a comparse del dramma altrui, Livello A quanto alla persistenza memoriale documentata. Nella grammatica del registro essi sono vittime primarie alla pari, ed ogni economia narrativa che li comprima è una distorsione del reperto: via Fani fu, prima che l'inizio di un sequestro, il massacro di 5 servitori dello Stato, e l'ordine delle parole, insegna il metodo, è già un giudizio.</w:t>
      </w:r>
    </w:p>
    <w:p>
      <w:pPr>
        <w:spacing w:after="120" w:line="276"/>
        <w:jc w:val="both"/>
      </w:pPr>
      <w:r>
        <w:rPr>
          <w:rFonts w:ascii="Barlow Semi Condensed" w:cs="Barlow Semi Condensed" w:eastAsia="Barlow Semi Condensed" w:hAnsi="Barlow Semi Condensed"/>
          <w:sz w:val="24"/>
          <w:szCs w:val="24"/>
        </w:rPr>
        <w:t xml:space="preserve">Alla dinamica appartiene una posizione testimoniale che il registro censisce con la disciplina delle fonti oscillanti: quella dell'ingegnere che, a bordo del proprio motorino, sopraggiunse sulla scena nei secondi dell'azione e riferì della presenza di una motocicletta Honda con 2 uomini a bordo, dal cui passeggero sarebbero partiti colpi che attinsero il parabrezza del suo mezzo. La materialità del danneggiamento fu riscontrata, la presenza della moto trovò conferme parziali in altre testimonianze, ma la collocazione del mezzo dentro o fuori il perimetro del commando giudicato non fu mai risolta: i dissociati la negarono, i giudicati non la incorporarono, le dichiarazioni del teste conobbero nel tempo oscillazioni che le sedi d'inchiesta hanno verbalizzato, e la Commissione della XVII legislatura vi è tornata con nuovi accertamenti senza approdare a certificazione, Livello A quanto al danneggiamento riscontrato ed alle testimonianze quali fatti processuali, Livello C quanto ad ogni collocazione della moto nell'organigramma dell'azione. Il registro assume l'episodio quale esemplare della categoria che governa l'intero piano secondo: il fatto certificato senza spiegazione certificata, il reperto che non entra nel quadro giudicato e non ne esce, e che la disciplina impone di custodire in questo stato di sospensione dichiarata, senza la promozione a prova della presenza estranea che una parte della pubblicistica ne ha tratto e senza la degradazione a abbaglio che la lettura opposta preferirebbe: la moto Honda resta agli atti come vi restò il parabrezza, colpita e irrisolta.</w:t>
      </w:r>
    </w:p>
    <w:p>
      <w:pPr>
        <w:spacing w:after="120" w:line="276"/>
        <w:jc w:val="both"/>
      </w:pPr>
      <w:r>
        <w:rPr>
          <w:rFonts w:ascii="Barlow Semi Condensed" w:cs="Barlow Semi Condensed" w:eastAsia="Barlow Semi Condensed" w:hAnsi="Barlow Semi Condensed"/>
          <w:sz w:val="24"/>
          <w:szCs w:val="24"/>
        </w:rPr>
        <w:t xml:space="preserve">Alla contabilità della scena appartiene infine il reperto delle borse, che il registro fissa nella sua doppia componente: il presidente recava con sé, quella mattina, secondo le ricostruzioni convergenti dei collaboratori, 5 borse contenenti carte di lavoro, documenti riservati ed effetti personali, ed all'esito dell'agguato soltanto una parte di esse risultò rinvenuta sulle vetture, mentre le restanti, asportate dal commando con il prigioniero, non furono mai ritrovate né risultano tra i materiali dei covi successivamente scoperti, Livello A quanto alla presenza riferita ed al mancato ritrovamento, Livello B quanto all'esatto contenuto di ciascuna, noto solo per testimonianza. Il reperto inaugura la serie che attraversa l'intero caso e che il registro ha già incontrato sul memoriale: la catena delle carte mancanti, che da via Fani a via Monte Nevoso disegna una costante documentale senza eguali nella storia giudiziaria della Repubblica, il caso in cui ad ogni snodo la componente cartacea risulta sistematicamente più incompleta della componente umana. Gli uomini furono giudicati, le carte no: e questa asimmetria, che il piano secondo censisce quale suo filo conduttore, comincia esattamente qui, tra le lamiere di via Fani, con le borse che salirono su un'auto del commando ed uscirono, per sempre, dal perimetro dell'accertabile.</w:t>
      </w:r>
    </w:p>
    <w:p>
      <w:pPr>
        <w:spacing w:after="120" w:line="276"/>
        <w:jc w:val="both"/>
      </w:pPr>
      <w:r>
        <w:rPr>
          <w:rFonts w:ascii="Barlow Semi Condensed" w:cs="Barlow Semi Condensed" w:eastAsia="Barlow Semi Condensed" w:hAnsi="Barlow Semi Condensed"/>
          <w:sz w:val="24"/>
          <w:szCs w:val="24"/>
        </w:rPr>
        <w:t xml:space="preserve">Alla fisica dei primi minuti appartiene infine l'assenza che il registro censisce quale dato operativo autonomo: nessun mezzo aereo si levò sulla città nella prima ora, e la fuga del commando attraverso il reticolo urbano si svolse senza alcuna osservazione dall'alto, con i varchi di deflusso mai battuti in tempo utile, Livello A quanto al quadro operativo risultante dagli atti delle inchieste amministrative e parlamentari. Il registro consegna l'assenza alla sua misura: nel 1978 la capitale della Repubblica non disponeva di un protocollo di reazione immediata che integrasse la terza dimensione, e la circostanza che il più imponente apparato di sicurezza dell'Europa meridionale inseguisse al suolo, per radio e posti di blocco, un commando che si dissolse in 15 minuti, appartiene alla stessa contabilità del ritardo strutturale che il capitolo ha censito nella scorta disarmata rispetto alla minaccia: lo Stato del marzo 1978 era dimensionato sulla criminalità del decennio precedente, e l'agguato di via Fani fu anche, sul piano tecnico, l'incontro tra una guerriglia di terza generazione ed un ordine pubblico di seconda.</w:t>
      </w:r>
    </w:p>
    <w:p>
      <w:pPr>
        <w:spacing w:after="120" w:line="276"/>
        <w:jc w:val="both"/>
      </w:pPr>
      <w:r>
        <w:rPr>
          <w:rFonts w:ascii="Barlow Semi Condensed" w:cs="Barlow Semi Condensed" w:eastAsia="Barlow Semi Condensed" w:hAnsi="Barlow Semi Condensed"/>
          <w:sz w:val="24"/>
          <w:szCs w:val="24"/>
        </w:rPr>
        <w:t xml:space="preserve">Il fascicolo testimoniale dell'incrocio contiene infine il suo caso di scuola minore, che il registro censisce per il valore di metodo: sull'esercizio commerciale d'angolo affacciato sulla scena, il bar della via, gli atti registrano versioni divergenti e mai composte circa la sua stessa operatività in quella mattina, con dichiarazioni contrastanti sull'apertura, sulla presenza di avventori e su ciò che dall'interno si sarebbe potuto vedere, divergenza che le sedi d'inchiesta hanno documentato senza poterla sciogliere, Livello A quanto all'esistenza del contrasto testimoniale agli atti, Livello C quanto ad ogni ricostruzione che dal contrasto pretenda di inferire presenze, osservatori o funzioni della scena. Il registro consegna il micro-caso alla sua funzione epistemologica: a differenza dei reperti balistici e documentali che il capitolo ha censito, qui l'oggetto del contendere non è un fatto ma la cornice di un fatto, se un punto di osservazione fosse attivo, e l'incapacità quarantennale di stabilire una circostanza tanto elementare in una via di città alle 9 di mattina è la dimostrazione più economica che il corpus possieda di una legge che governa l'intera opera: la memoria testimoniale non è un archivio che si consulta ma un terreno che frana, e ogni ricostruzione che poggi su di essa sola, senza l'ancoraggio dei reperti, costruisce sull'orlo della frana, ragione per cui il metodo ha riservato alle testimonianze non riscontrate, per quanto suggestive, il livello più basso della propria scala e l'ultima parola a nessuna di esse.</w:t>
      </w:r>
    </w:p>
    <w:p>
      <w:pPr>
        <w:spacing w:after="120" w:line="276"/>
        <w:jc w:val="both"/>
      </w:pPr>
      <w:r>
        <w:rPr>
          <w:rFonts w:ascii="Barlow Semi Condensed" w:cs="Barlow Semi Condensed" w:eastAsia="Barlow Semi Condensed" w:hAnsi="Barlow Semi Condensed"/>
          <w:sz w:val="24"/>
          <w:szCs w:val="24"/>
        </w:rPr>
        <w:t xml:space="preserve">La preparazione della scorta esige il suo censimento negativo, che il registro riporta dagli accertamenti parlamentari: nessuno dei 5 uomini aveva ricevuto addestramento specifico di guida evasiva o di reazione ad imboscata, secondo gli standard che le unità di protezione estere andavano adottando dopo la stagione tedesca, né il servizio di protezione italiano dell'epoca prevedeva cicli addestrativi dedicati per le scorte dei politici, Livello A quanto al quadro formativo risultante dalle inchieste. Il registro salda il dato alla serie che il capitolo ha costruito: la blindata negata, l'assenza di copertura aerea, la scorta priva di addestramento anti-imboscata compongono il ritratto coerente di un sistema di protezione concepito contro la minaccia del decennio precedente, l'attentato individuale e il rapimento criminale, e mai aggiornato alla guerriglia urbana che il 1977 europeo aveva già dimostrato, sicché il giudizio tecnico complessivo che gli atti autorizzano non riguarda gli uomini, che fecero ciò che potevano nei 15 secondi che ebbero, ma l'istituzione che li mandò, per anni, a proteggere il bersaglio più politico d'Italia con la dottrina di un servizio d'onore, e la distanza tra i 90 colpi del commando ed i 2 colpi esplosi dalla scorta è la misura balistica di quel ritardo dottrinale, non del valore dei caduti.</w:t>
      </w:r>
    </w:p>
    <w:p>
      <w:pPr>
        <w:spacing w:after="120" w:line="276"/>
        <w:jc w:val="both"/>
      </w:pPr>
      <w:r>
        <w:rPr>
          <w:rFonts w:ascii="Barlow Semi Condensed" w:cs="Barlow Semi Condensed" w:eastAsia="Barlow Semi Condensed" w:hAnsi="Barlow Semi Condensed"/>
          <w:sz w:val="24"/>
          <w:szCs w:val="24"/>
        </w:rPr>
        <w:t xml:space="preserve">La scena di via Fani possiede infine la propria storia peritale, che il registro censisce quale meta-reperto: la ricostruzione tecnica dell'agguato è stata rifatta almeno 4 volte in 40 anni, dai rilievi e sopralluoghi del 1978, condotti con gli standard dell'epoca e gravati dalle contaminazioni della scena che gli atti documentano, alle perizie balistiche dei processi, sino alle ricostruzioni strumentali della seconda commissione, con rilievi laser e simulazioni tridimensionali del 2015-2016, che hanno rimisurato traiettorie e posizioni a distanza di 2 generazioni dai fatti, Livello A quanto alla sequenza delle campagne peritali ed ai loro esiti agli atti. Il registro consegna la stratigrafia alla sua lezione di metodo: ogni generazione tecnica ha interrogato la stessa scena con strumenti migliori ottenendo risposte più precise a domande sempre più vecchie, ed il guadagno reale, che il corpus registra senza enfasi, è consistito nel restringimento progressivo dei margini delle ipotesi, non nel loro capovolgimento, sicché via Fani è divenuta il laboratorio italiano della verità balistica postuma, il luogo dove si è dimostrato che la tecnica può raffinare per sempre la conoscenza di un evento senza mai, da sola, mutarne il significato, perché le traiettorie dicono da dove si sparò, e solo gli uomini, che le perizie non raggiungono, avrebbero potuto dire perché.</w:t>
      </w:r>
    </w:p>
    <w:p>
      <w:pPr>
        <w:spacing w:after="120" w:line="276"/>
        <w:jc w:val="both"/>
      </w:pPr>
      <w:r>
        <w:rPr>
          <w:rFonts w:ascii="Barlow Semi Condensed" w:cs="Barlow Semi Condensed" w:eastAsia="Barlow Semi Condensed" w:hAnsi="Barlow Semi Condensed"/>
          <w:sz w:val="24"/>
          <w:szCs w:val="24"/>
        </w:rPr>
        <w:t xml:space="preserve">Il capitolo dell'agguato registra infine il proprio riscontro parlamentare maggiore, che l'edizione definitiva recepisce dalla triangolazione compiuta: l'elaborato sul sequestro e sull'omicidio redatto per la Commissione stragi dal senatore Athos De Luca e datato 29 settembre 2000, con la sua cronologia essenziale e la sua ricostruzione documentale della dinamica, della protezione e delle prime ore, costituisce la fonte parlamentare di sintesi contro la quale gli enunciati di questo capitolo sono stati verificati voce per voce, senza che emergesse una sola divergenza fattuale, Livello A quale atto parlamentare e quale esito del riscontro. Il registro consegna il recepimento alla sua funzione di metodo: la convergenza tra la ricostruzione dell'opera, condotta sui giudicati, e l'elaborato del 2000, condotto sugli atti d'inchiesta, realizza la triangolazione tra fonti eterogenee indipendenti che lo standard probatorio esige, e la circostanza che 2 percorsi documentali distinti, a distanza di un quarto di secolo l'uno dall'altro, restituiscano la medesima scena senza attriti è la forma più solida di stabilità che un fatto storico possa raggiungere: non l'assenza di domande, che restano ai loro gradi, ma l'identità delle risposte su tutto ciò che è rispondibile.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Fani è certificato al Livello A nella dinamica, nella composizione giudicata del commando e nella riferibilità dell'azione alla direzione dell'organizzazione, con i nomi dei 5 caduti della scorta, Leonardi, Ricci, Zizzi, Rivera e Iozzino, trascritti nel registro; la presenza del colonnello Guglielmi nelle vicinanze è certificata al Livello A quale fatto ammesso, con significato fermo al Livello C quale caso di scuola del divieto inferenziale; le questioni delle presenze ulteriori e dell'inferenza dall'eccezionalità tecnica al concorso esterno sono censite al Livello C quali ipotesi documentate e non risolte.</w:t>
      </w:r>
    </w:p>
    <w:p>
      <w:pPr>
        <w:pStyle w:val="Heading3"/>
        <w:spacing w:after="80" w:before="160"/>
      </w:pPr>
      <w:r>
        <w:rPr>
          <w:rFonts w:ascii="Barlow Semi Condensed" w:cs="Barlow Semi Condensed" w:eastAsia="Barlow Semi Condensed" w:hAnsi="Barlow Semi Condensed"/>
          <w:sz w:val="24"/>
          <w:szCs w:val="24"/>
        </w:rPr>
        <w:t xml:space="preserve">Capitolo 3 — ◆ Le Brigate Rosse e la colonna romana. L'organizzazione esecutrice e i 5 giudicati</w:t>
      </w:r>
    </w:p>
    <w:p>
      <w:pPr>
        <w:spacing w:after="120" w:line="276"/>
        <w:jc w:val="both"/>
      </w:pPr>
      <w:r>
        <w:rPr>
          <w:rFonts w:ascii="Barlow Semi Condensed" w:cs="Barlow Semi Condensed" w:eastAsia="Barlow Semi Condensed" w:hAnsi="Barlow Semi Condensed"/>
          <w:sz w:val="24"/>
          <w:szCs w:val="24"/>
        </w:rPr>
        <w:t xml:space="preserve">Le Brigate Rosse, l'organizzazione armata della sinistra rivoluzionaria che rivendicò, condusse e concluse il sequestro, sono il nodo organizzativo del piano primo, e il registro le tratta nella configurazione specifica dell'operazione: la direzione strategica che deliberò, la colonna romana che eseguì, gli uomini e le donne che i giudicati hanno identificato. La scansione del corpus registra l'organizzazione 359 volte in 48 documenti e il nome di Mario Moretti 657 volte in 28, la seconda frequenza individuale della fase dopo quella della vittima.</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dei giudicati, che il registro espone quale ossatura del piano primo. Il caso Moro è stato giudicato in 5 procedimenti principali, celebrati tra il 1982 e la fine degli anni Novanta, i cui esiti irrevocabili hanno progressivamente completato il quadro delle responsabilità: il primo processo, concluso in primo grado nel gennaio 1983 con 32 condanne all'ergastolo, e i successivi, sino al procedimento degli anni Novanta che identificò l'ultimo custode della prigione. All'esito complessivo, il registro certifica al Livello A: la deliberazione dell'operazione da parte della direzione strategica dell'organizzazione; la direzione esecutiva di Mario Moretti, capo della colonna romana, condannato a plurimi ergastoli, unico brigatista che condusse gli interrogatori del prigioniero e che ne gestì la detenzione dall'inizio alla fine; la partecipazione all'agguato di via Fani del commando giudicato, nelle persone condannate in via irrevocabile tra cui Valerio Morucci, Raffaele Fiore, Franco Bonisoli, Prospero Gallinari, Bruno Seghetti, con i ruoli di copertura e supporto parimenti giudicati tra cui quelli di Adriana Faranda e Barbara Balzerani; la custodia del prigioniero nell'appartamento di via Camillo Montalcini 8, nella disponibilità di Anna Laura Braghetti, che vi risiedeva quale copertura, con Germano Maccari, il quarto uomo della prigione, identificato soltanto nel 1993 e condannato in via definitiva, morto in carcere nel 2001, e con Moretti e Gallinari quali presenze operative; e l'esecuzione finale, il 9 maggio, nella ricostruzione che il capitolo dedicato all'epilogo espone. Il registro annota che il quadro giudicato si è formato per strati successivi lungo 15 anni, con l'apporto decisivo delle dissociazioni e delle collaborazioni maturate nel tempo, e che la completezza attuale del piano primo è essa stessa un prodotto storico, non un dato originario.</w:t>
      </w:r>
    </w:p>
    <w:p>
      <w:pPr>
        <w:spacing w:after="120" w:line="276"/>
        <w:jc w:val="both"/>
      </w:pPr>
      <w:r>
        <w:rPr>
          <w:rFonts w:ascii="Barlow Semi Condensed" w:cs="Barlow Semi Condensed" w:eastAsia="Barlow Semi Condensed" w:hAnsi="Barlow Semi Condensed"/>
          <w:sz w:val="24"/>
          <w:szCs w:val="24"/>
        </w:rPr>
        <w:t xml:space="preserve">Il secondo pilastro è l'apparato dichiarativo dell'organizzazione, che il registro sottopone all'Indice di Contaminazione nella configurazione peculiare del caso. Gli esponenti condannati hanno prodotto, nei decenni, una vasta memorialistica e una lunga serie di dichiarazioni processuali e pubbliche, il cui nucleo costante è duplice: la rivendicazione integrale dell'operazione quale atto autonomo dell'organizzazione, e la negazione recisa di ogni eterodirezione, infiltrazione o concorso esterno, riassunta nella formula ricorrente per cui nessun burattinaio mosse i fili. Il registro tratta questo apparato con la disciplina differenziata: le dichiarazioni contra se, le ammissioni di responsabilità che hanno consolidato il piano primo, possiedono alto valore e sono state recepite dai giudicati; le dichiarazioni di esclusione, quelle che negano concorsi esterni, provengono da dichiaranti portatori di un interesse identitario permanente, giacché l'autonomia dell'azione è il patrimonio politico che i dichiaranti difendono, e il registro le assume quali fonti da riscontrare, non quali certificazioni: la circostanza che i giudicati abbiano ritenuto l'operazione riferibile all'organizzazione converge con quelle dichiarazioni, ma la convergenza certifica il perimetro del provato, non l'inesistenza del non provato, e il registro distingue, qui come sempre, tra l'assenza di prova del concorso esterno, che è un dato, e la prova dell'assenza, che non esiste.</w:t>
      </w:r>
    </w:p>
    <w:p>
      <w:pPr>
        <w:spacing w:after="120" w:line="276"/>
        <w:jc w:val="both"/>
      </w:pPr>
      <w:r>
        <w:rPr>
          <w:rFonts w:ascii="Barlow Semi Condensed" w:cs="Barlow Semi Condensed" w:eastAsia="Barlow Semi Condensed" w:hAnsi="Barlow Semi Condensed"/>
          <w:sz w:val="24"/>
          <w:szCs w:val="24"/>
        </w:rPr>
        <w:t xml:space="preserve">Il terzo pilastro è la genealogia dell'organizzazione, che il registro censisce per il rilievo che assume nel nodo successivo dedicato a Hyperion. Le Brigate Rosse nacquero all'inizio degli anni Settanta dalla confluenza di gruppi della sinistra extraparlamentare, tra cui il Collettivo politico metropolitano milanese e l'esperienza di Sinistra proletaria; da quell'ambiente originario si separò precocemente la componente facente capo a Corrado Simioni, che alcuni protagonisti della fase fondativa hanno descritto quale fautore di una struttura più compartimentata ed elitaria, e che si trasferì a Parigi dando vita alle iniziative da cui sarebbe nata la scuola di lingue Hyperion. Il registro certifica al Livello A la genealogia comune e la separazione precoce, quali fatti della storia dell'organizzazione documentati dalle fonti processuali e memorialistiche convergenti, e rinvia al capitolo dedicato ogni valutazione sul seguito parigino, annotando sin d'ora che la contiguità genetica tra l'organizzazione esecutrice e i fondatori della struttura parigina è un fatto certificato, mentre ogni ruolo di quest'ultima nell'operazione del 1978 appartiene a un livello diverso.</w:t>
      </w:r>
    </w:p>
    <w:p>
      <w:pPr>
        <w:spacing w:after="120" w:line="276"/>
        <w:jc w:val="both"/>
      </w:pPr>
      <w:r>
        <w:rPr>
          <w:rFonts w:ascii="Barlow Semi Condensed" w:cs="Barlow Semi Condensed" w:eastAsia="Barlow Semi Condensed" w:hAnsi="Barlow Semi Condensed"/>
          <w:sz w:val="24"/>
          <w:szCs w:val="24"/>
        </w:rPr>
        <w:t xml:space="preserve">Il quarto pilastro è la dimensione internazionale dell'organizzazione, che il registro censisce nei suoi elementi accertati per la rilevanza che assume tanto nel piano terzo quanto nel bilancio di fase. Gli accertamenti giudiziari e parlamentari documentarono, lungo la storia dell'organizzazione, canali internazionali di approvvigionamento e di relazione: la provenienza mediorientale di partite d'armi giunte all'organizzazione, accertata in procedimenti sui traffici, con il canale palestinese quale filiera documentata; i rapporti con organizzazioni armate europee, e in particolare con la Rote Armee Fraktion tedesca, documentati quanto ai contatti e alla solidarietà dichiarata; e la frequentazione, da parte di militanti dell'area, di campi di addestramento mediorientali, riferita da collaboratori e riscontrata in singole posizioni. Il registro certifica al Livello B questi elementi, quale convergenza di accertamenti giudiziari e parlamentari plurimi, e li distingue rigorosamente dalla questione del sequestro: la filiera internazionale documenta la logistica e le relazioni dell'organizzazione, non un concorso esterno nell'operazione del 1978, che nessun accertamento ha stabilito. In questo perimetro il registro censisce altresì, quale fatto di contesto certificato al Livello B dalle convergenti acquisizioni parlamentari e testimoniali, l'esistenza della prassi di non belligeranza tra apparati italiani e organizzazioni palestinesi, nota quale lodo, in forza della quale il territorio nazionale fu tenuto, per una stagione, fuori dal bersaglio in cambio di margini di transito: la prassi, il cui perimetro esatto resta discusso, appartiene alla storia degli apparati e non a quella del sequestro, e il registro la annota qui perché documenta, al livello certificabile, che il campo delle relazioni internazionali clandestine della stagione era popolato e regolato da intese inconfessate, il contesto entro cui ogni ipotesi del piano terzo va misurata senza esserne dedotta.</w:t>
      </w:r>
    </w:p>
    <w:p>
      <w:pPr>
        <w:spacing w:after="120" w:line="276"/>
        <w:jc w:val="both"/>
      </w:pPr>
      <w:r>
        <w:rPr>
          <w:rFonts w:ascii="Barlow Semi Condensed" w:cs="Barlow Semi Condensed" w:eastAsia="Barlow Semi Condensed" w:hAnsi="Barlow Semi Condensed"/>
          <w:sz w:val="24"/>
          <w:szCs w:val="24"/>
        </w:rPr>
        <w:t xml:space="preserve">Il quinto pilastro è la figura di Mario Moretti, che il registro tratta quale nodo individuale dentro il nodo organizzativo, per la posizione senza equivalenti che i giudicati gli assegnano. Marchigiano, formatosi tecnicamente e impiegato nell'industria milanese, Moretti aderì all'organizzazione dalle origini e ne assunse la direzione effettiva dopo gli arresti dei fondatori nel 1974-1975, guidandone la trasformazione nella macchina compartimentata della seconda metà del decennio; nell'operazione Moro fu, per giudicato, il pianificatore, il capo della colonna esecutrice, l'unico interlocutore del prigioniero negli interrogatori, il gestore dei comunicati e, da ultimo, l'esecutore materiale; fu arrestato a Milano il 4 aprile 1981, e sconta i plurimi ergastoli avendo fruito, nel tempo, del regime di semilibertà secondo l'ordinamento penitenziario. Il registro certifica al Livello A questa posizione integrale, quale risultanza dei giudicati, e ne dichiara il rilievo analitico: nella rete del caso, Moretti è il nodo per il quale passa ogni arco del piano primo, l'uomo che congiunse da solo la deliberazione, l'esecuzione, la custodia, l'interrogatorio e la conclusione, una concentrazione di funzioni che non ha eguali in alcun altro evento dell'opera e che spiega, in termini di teoria della rete, perché 4 decenni di ipotesi sul piano terzo si siano addensati attorno alla sua figura, ai suoi silenzi e alle sue parole: chi controlla tutti gli archi del piano provato è, inevitabilmente, il candidato di ogni congettura sul piano non provato. Il registro registra le sue dichiarazioni pubbliche, consegnate in particolare al libro-intervista del 1994, quale fonte primaria della versione interna, e le sottopone alla disciplina già enunciata per l'apparato dichiarativo dell'organizzazione, senza eccezioni per il rango del dichiarante.</w:t>
      </w:r>
    </w:p>
    <w:p>
      <w:pPr>
        <w:spacing w:after="120" w:line="276"/>
        <w:jc w:val="both"/>
      </w:pPr>
      <w:r>
        <w:rPr>
          <w:rFonts w:ascii="Barlow Semi Condensed" w:cs="Barlow Semi Condensed" w:eastAsia="Barlow Semi Condensed" w:hAnsi="Barlow Semi Condensed"/>
          <w:sz w:val="24"/>
          <w:szCs w:val="24"/>
        </w:rPr>
        <w:t xml:space="preserve">Il sesto pilastro distende la storia dell'organizzazione dal 1970 al 1977, quale contesto necessario del nodo. Le Brigate Rosse si costituirono tra il 1970 e il 1971 dall'ambiente milanese del Collettivo politico metropolitano e di Sinistra proletaria, con i fondatori Renato Curcio, Margherita Cagol e Alberto Franceschini, e attraversarono una prima stagione di propaganda armata, sabotaggi e sequestri dimostrativi; la prima disarticolazione giunse l'8 settembre 1974, con la cattura di Curcio e Franceschini a Pinerolo, resa possibile dall'infiltrazione di Silvano Girotto, l'ex religioso noto quale frate mitra, agente dei carabinieri del nucleo antiterrorismo costituito dal generale Dalla Chiesa: il registro certifica al Livello A l'operazione, quale primo incrocio documentato tra i 2 protagonisti che la fase riunisce, l'organizzazione e il generale, e ne annota la natura, un'infiltrazione riuscita che dimostrò la penetrabilità della prima struttura. Seguirono l'evasione di Curcio dal carcere di Casale Monferrato nel febbraio 1975, condotta da un commando guidato dalla Cagol, la morte della Cagol nel conflitto a fuoco della cascina Spiotta il 5 giugno 1975, la definitiva ricattura di Curcio nel gennaio 1976, e il passaggio della direzione effettiva a Mario Moretti, sotto il quale l'organizzazione operò la ristrutturazione che i documenti interni consegnano: la compartimentazione in colonne territoriali e fronti funzionali, il reclutamento selettivo, l'innalzamento del livello militare. L'escalation della violenza è scandita dai giudicati: l'8 giugno 1976, a Genova, l'uccisione del procuratore generale Francesco Coco con i 2 uomini della scorta, l'appuntato Giovanni Saponara e l'agente Antioco Deiana, primo omicidio deliberato dell'organizzazione e primo magistrato assassinato; il 16 novembre 1977, a Torino, il ferimento del vicedirettore della Stampa Carlo Casalegno, morto il 29 novembre, primo giornalista colpito a morte; e la serie dei ferimenti mirati contro dirigenti d'azienda, medici penitenziari e uomini dei partiti che preparò, nella dottrina dichiarata dell'attacco al cuore dello Stato, l'operazione del 1978. Il registro certifica al Livello A la sequenza, nomina le vittime quale atto dovuto, e ne trae il dato strutturale: l'organizzazione che rapì Moro non era quella penetrata nel 1974, ma il prodotto di una selezione darwiniana di 4 anni, compartimentata al punto che, come il capitolo dell'epilogo documenta, l'identità completa dei suoi uomini sarebbe rimasta ignota per 15 anni.</w:t>
      </w:r>
    </w:p>
    <w:p>
      <w:pPr>
        <w:spacing w:after="120" w:line="276"/>
        <w:jc w:val="both"/>
      </w:pPr>
      <w:r>
        <w:rPr>
          <w:rFonts w:ascii="Barlow Semi Condensed" w:cs="Barlow Semi Condensed" w:eastAsia="Barlow Semi Condensed" w:hAnsi="Barlow Semi Condensed"/>
          <w:sz w:val="24"/>
          <w:szCs w:val="24"/>
        </w:rPr>
        <w:t xml:space="preserve">Il settimo pilastro ricostruisce la deliberazione e la preparazione del sequestro, e la scansione dei 5 procedimenti che l'hanno giudicata. Per le risultanze convergenti dei giudicati e delle memorie riscontrate, la decisione di colpire il vertice della Democrazia Cristiana maturò nella direzione strategica tra il 1977 e l'inverno 1978, entro la campagna di primavera pianificata dall'organizzazione; le ricostruzioni memorialistiche dei protagonisti, recepite dagli atti parlamentari, riferiscono che la rosa iniziale degli obiettivi comprese anche Giulio Andreotti, presidente del Consiglio in carica, accantonato per la maggiore difficoltà del dispositivo di protezione, e che la scelta cadde su Moro per la combinazione di valore politico e accessibilità: il registro certifica al Livello B questa genesi della scelta, quale convergenza di fonti interne riscontrate, e al Livello A la pianificazione esecutiva quale accertata nei giudizi. La scansione processuale, che il registro fissa quale apparato della fase, è la seguente: il primo procedimento, celebrato dinanzi alla Corte d'assise di Roma dal 1982, si concluse in primo grado il 24 gennaio 1983 con 32 condanne all'ergastolo, confermate nei gradi successivi sino alla definitività del 1985; il secondo, negli anni 1986-1987, giudicò le posizioni emerse dalle successive identificazioni; il terzo, sul finire del decennio, consolidò il quadro della direzione con i plurimi ergastoli a Moretti; il quarto, nella prima metà degli anni Novanta, giudicò le posizioni residue alla luce delle dissociazioni; e il quinto, tra il 1996 e il 1998, giudicò Germano Maccari, il quarto uomo della prigione, con la condanna definitiva a 26 anni che chiuse, sul piano esecutivo, la vicenda. Il registro certifica al Livello A la scansione e la progressione, e ne ribadisce il senso già dichiarato: la verità del piano primo è una costruzione quindicennale, il cui ultimo mattone porta la data del 1998.</w:t>
      </w:r>
    </w:p>
    <w:p>
      <w:pPr>
        <w:spacing w:after="120" w:line="276"/>
        <w:jc w:val="both"/>
      </w:pPr>
      <w:r>
        <w:rPr>
          <w:rFonts w:ascii="Barlow Semi Condensed" w:cs="Barlow Semi Condensed" w:eastAsia="Barlow Semi Condensed" w:hAnsi="Barlow Semi Condensed"/>
          <w:sz w:val="24"/>
          <w:szCs w:val="24"/>
        </w:rPr>
        <w:t xml:space="preserve">L'ottavo pilastro specifica il canale internazionale con il caso documentale che lo certifica, la vicenda dei missili di Ortona. Il 7 novembre 1979, a Ortona, furono arrestati 3 esponenti dell'area dell'Autonomia romana, tra cui Daniele Pifano, e un cittadino giordano, sorpresi a trasportare 2 lanciamissili terra-aria di fabbricazione sovietica; nel procedimento che ne seguì, il Fronte popolare per la liberazione della Palestina rivendicò formalmente la proprietà dei missili chiedendone la restituzione, e la vicenda fece emergere, negli atti e nelle testimonianze, il ruolo del colonnello Stefano Giovannone, capocentro del servizio militare italiano a Beirut, quale terminale della relazione riservata tra gli apparati italiani e le organizzazioni palestinesi: la prassi di non belligeranza già censita quale lodo. Il registro certifica al Livello A i fatti processuali di Ortona, l'arresto, la rivendicazione di proprietà, le condanne, quali risultanze giudiziarie, e certifica al Livello B il quadro complessivo della relazione riservata gestita dal capocentro di Beirut, quale convergenza degli atti parlamentari che, sino all'ultima Commissione, hanno acquisito la documentazione del carteggio Giovannone; e delimita, ancora, il perimetro: il canale documenta il transito di armamenti mediorientali nell'area della sinistra armata italiana e l'esistenza della prassi di salvaguardia, non documenta alcun ruolo di quegli attori nel sequestro, e la sua funzione nella fase è di contesto certificato, non di spiegazione.</w:t>
      </w:r>
    </w:p>
    <w:p>
      <w:pPr>
        <w:spacing w:after="120" w:line="276"/>
        <w:jc w:val="both"/>
      </w:pPr>
      <w:r>
        <w:rPr>
          <w:rFonts w:ascii="Barlow Semi Condensed" w:cs="Barlow Semi Condensed" w:eastAsia="Barlow Semi Condensed" w:hAnsi="Barlow Semi Condensed"/>
          <w:sz w:val="24"/>
          <w:szCs w:val="24"/>
        </w:rPr>
        <w:t xml:space="preserve">Il nono pilastro censisce la prigione, quale i giudicati e le fonti interne la consegnano. L'appartamento di via Camillo Montalcini 8, al piano rialzato di un condominio della zona della Magliana amministrativa, era stato acquistato nel 1977 e intestato ad Anna Laura Braghetti, impiegata incensurata e militante clandestina non schedata, che vi abitava quale copertura, dalla primavera del 1978 in convivenza simulata con Prospero Gallinari; all'interno era stato ricavato, dietro una parete attrezzata, il vano insonorizzato nel quale il prigioniero fu custodito per l'intera durata del sequestro, secondo la ricostruzione giudicata che il quinto procedimento ha consolidato. Gli interrogatori del processo proletario furono condotti, per le convergenti risultanze, dal solo Moretti, in sedute delle quali le fonti interne hanno riferito l'esistenza di registrazioni su nastro: quelle bobine non sono mai state rinvenute, e la versione interna ne afferma la distruzione; il registro certifica al Livello A l'assetto della prigione e la conduzione unipersonale degli interrogatori, quali risultanze giudicate, certifica al Livello B l'esistenza delle registrazioni, quale convergenza di fonti interne su un fatto contro il proprio interesse, e registra la loro sparizione quale estensione del vuoto documentale già censito: al novero delle assenze della fase appartengono, in unica voce, gli originali manoscritti del memoriale e le registrazioni degli interrogatori, i 2 supporti primari della voce del prigioniero, entrambi riferiti ed entrambi mai emersi, sicché l'intera conoscenza di ciò che Moro disse nella prigione riposa su trascrizioni, fotocopie e memorie, mai su un supporto originale.</w:t>
      </w:r>
    </w:p>
    <w:p>
      <w:pPr>
        <w:spacing w:after="120" w:line="276"/>
        <w:jc w:val="both"/>
      </w:pPr>
      <w:r>
        <w:rPr>
          <w:rFonts w:ascii="Barlow Semi Condensed" w:cs="Barlow Semi Condensed" w:eastAsia="Barlow Semi Condensed" w:hAnsi="Barlow Semi Condensed"/>
          <w:sz w:val="24"/>
          <w:szCs w:val="24"/>
        </w:rPr>
        <w:t xml:space="preserve">Il decimo pilastro censisce la scissione interna e il caso documentale che vi si annida, il più rilevante arco orientale della fase. Valerio Morucci e Adriana Faranda, i due dirigenti della colonna romana contrari alla soluzione terminale, uscirono dall'organizzazione nei mesi successivi al 9 maggio, consumando la rottura politica sulla conduzione del sequestro; furono arrestati il 29 maggio 1979 a Roma, nell'appartamento di viale Giulio Cesare che li ospitava, la casa di Giuliana Conforto, e nell'occasione fu sequestrata, tra le armi, la mitraglietta Skorpion che le perizie balistiche identificarono quale arma dell'esecuzione di via Caetani: il registro certifica al Livello A l'arresto, il luogo e l'identificazione balistica, quali risultanze processuali. Il dato che eleva l'episodio a reperto della fase è l'identità del padrone di casa mediato: Giorgio Conforto, padre di Giuliana, risulta dalle carte dell'archivio orientale trasferite in occidente negli anni Novanta, il compendio noto quale dossier Impedian o archivio Mitrokhin, recepito dalla Commissione parlamentare dedicata, schedato quale agente di lungo corso del servizio sovietico, attivo per decenni con il nome in codice Dario; il registro certifica al Livello B questa qualità, quale risultanza di documentazione d'archivio di servizio recepita in sede parlamentare e non consacrata da giudicato, e mantiene al Livello C ogni lettura del nesso, dalla mera coincidenza abitativa alla rete di protezione consapevole, annotando la ragione per cui il reperto è censito con questo rilievo: esso è l'unico punto dell'intera fase in cui la variante orientale del piano terzo tocca un fatto materiale documentato, l'arma dell'esecuzione custodita sotto il tetto della figlia di un agente sovietico schedato, e la disciplina del registro consiste esattamente nel trascrivere il fatto con questa precisione e nel rifiutare il passo ulteriore che nessun documento sostiene.</w:t>
      </w:r>
    </w:p>
    <w:p>
      <w:pPr>
        <w:spacing w:after="120" w:line="276"/>
        <w:jc w:val="both"/>
      </w:pPr>
      <w:r>
        <w:rPr>
          <w:rFonts w:ascii="Barlow Semi Condensed" w:cs="Barlow Semi Condensed" w:eastAsia="Barlow Semi Condensed" w:hAnsi="Barlow Semi Condensed"/>
          <w:sz w:val="24"/>
          <w:szCs w:val="24"/>
        </w:rPr>
        <w:t xml:space="preserve">L'undicesimo pilastro censisce il documento programmatico che incornicia l'operazione, la Risoluzione della direzione strategica del febbraio 1978. Il testo, elaborato dal vertice dell'organizzazione e diffuso nelle settimane immediatamente precedenti il sequestro, costituisce la piattaforma dottrinale della campagna: vi si teorizza l'attacco al cuore dello Stato, si identifica nella Democrazia Cristiana il perno del regime e nello Stato imperialista delle multinazionali il quadro strutturale del nemico, e si annuncia l'innalzamento del livello dello scontro; il registro certifica al Livello A l'esistenza, la datazione e il contenuto del documento, quale testo acquisito agli atti e pubblicato prima dell'azione, e ne dichiara il duplice rilievo: sul piano probatorio, la Risoluzione documenta che l'operazione fu annunciata nella sua logica, se non nel suo obiettivo specifico, dal medesimo soggetto che l'avrebbe eseguita, un elemento che i giudizi hanno valorizzato quale riscontro della matrice; sul piano analitico, essa consegna il lessico con cui l'organizzazione lesse la propria azione, e il registro annota che l'intera produzione documentale interna, dalla Risoluzione ai comunicati, esibisce una coerenza dottrinale continua, senza fratture stilistiche o concettuali, un dato filologico che le perizie sui testi hanno confermato e che appartiene, quale fatto, alla competizione tra le ipotesi sulla direzione dell'operazione.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campagna contestuale, le azioni che l'organizzazione condusse durante i 55 giorni sugli altri fronti, e nomina le vittime quale atto dovuto. Il sequestro non sospese l'attività militare delle colonne: il 10 marzo 1978, 6 giorni prima di via Fani, era stato ucciso a Torino il maresciallo di pubblica sicurezza Rosario Berardi; l'11 aprile 1978, a Torino, fu assassinato l'agente di custodia Lorenzo Cutugno; il 20 aprile 1978, a Milano, il maresciallo degli agenti di custodia Francesco Di Cataldo; e la serie dei ferimenti proseguì nelle città delle colonne per l'intera durata della crisi. Il registro certifica al Livello A la sequenza, quale materia dei giudicati delle rispettive sedi, nomina Rosario Berardi, Lorenzo Cutugno e Francesco Di Cataldo tra le vittime collegate della fase, e ne trae il dato analitico: la campagna contestuale, condotta prevalentemente contro il personale dell'amministrazione penitenziaria negli stessi giorni in cui i comunicati ponevano la questione dei detenuti, documenta che l'organizzazione gestì il sequestro quale operazione centrale di un dispositivo a più fronti e non quale azione isolata, con una capacità di fuoco simultanea su 3 città che le stime sulla consistenza numerica dell'organizzazione, poche centinaia di militanti irregolari nel Paese, rendono il vero dato dimensionale della stagione: mai così pochi uomini tennero sotto pressione contemporanea un apparato statale di quelle dimensioni, e la sproporzione, certificata dai numeri di entrambi i lati, appartiene alla fisionomia storica del fenomeno.</w:t>
      </w:r>
    </w:p>
    <w:p>
      <w:pPr>
        <w:spacing w:after="120" w:line="276"/>
        <w:jc w:val="both"/>
      </w:pPr>
      <w:r>
        <w:rPr>
          <w:rFonts w:ascii="Barlow Semi Condensed" w:cs="Barlow Semi Condensed" w:eastAsia="Barlow Semi Condensed" w:hAnsi="Barlow Semi Condensed"/>
          <w:sz w:val="24"/>
          <w:szCs w:val="24"/>
        </w:rPr>
        <w:t xml:space="preserve">Il tredicesimo pilastro censisce l'elenco dei 13 e il processo parallelo, i 2 termini dello scambio negato. Il comunicato numero 8 del 24 aprile elencò nominativamente i 13 detenuti di cui l'organizzazione chiedeva la liberazione, con in testa Renato Curcio e gli altri capi storici allora a giudizio; e la richiesta cadde nel pieno della circostanza processuale che il registro certifica quale dato strutturale della crisi: il processo ai fondatori dell'organizzazione si stava celebrando in quelle stesse settimane dinanzi alla Corte d'assise di Torino, ripreso nel marzo 1978 dopo i rinvii degli anni precedenti, segnati dall'assassinio del presidente dell'ordine degli avvocati torinese e dalle difficoltà di composizione della giuria, e si sarebbe concluso con la sentenza del 23 giugno 1978, a 6 settimane da via Caetani, con le condanne dei capi storici. Il registro certifica al Livello A l'elenco, la contestualità processuale e la sequenza, quali dati documentali, e ne dichiara la funzione interpretativa certificabile: il sequestro si svolse mentre lo Stato processava la prima generazione dell'organizzazione, la richiesta di scambio investì esattamente gli imputati di quel processo, e la fermezza dello Stato si misurò, materialmente, sulla tenuta di quel dibattimento, che proseguì e si concluse; la saldatura tra i 2 teatri, l'aula di Torino e la prigione di Roma, è la struttura portante della cronologia della crisi, e il registro la fissa quale fatto, annotando che essa fornisce alla deliberazione del sequestro la sua cornice razionale interna documentata, l'operazione di massima pressione nel momento del massimo attacco giudiziario, senza necessità di postulare razionalità ulteriori.</w:t>
      </w:r>
    </w:p>
    <w:p>
      <w:pPr>
        <w:spacing w:after="120" w:line="276"/>
        <w:jc w:val="both"/>
      </w:pPr>
      <w:r>
        <w:rPr>
          <w:rFonts w:ascii="Barlow Semi Condensed" w:cs="Barlow Semi Condensed" w:eastAsia="Barlow Semi Condensed" w:hAnsi="Barlow Semi Condensed"/>
          <w:sz w:val="24"/>
          <w:szCs w:val="24"/>
        </w:rPr>
        <w:t xml:space="preserve">Il quattordicesimo pilastro censisce la struttura della colonna romana, lo strumento organizzativo dell'operazione. La colonna fu costituita a partire dal 1976 per decisione della direzione, che considerava la capitale il teatro obbligato del salto strategico e vi trasferì quadri sperimentati dalle colonne settentrionali, affiancandoli ai reclutamenti locali; alla vigilia del sequestro essa disponeva, per le ricostruzioni giudicate, di poche decine di militanti tra regolari clandestini e irregolari insospettabili, articolati in brigate di zona, di una rete di basi tra cui via Gradoli e via Montalcini, e di una compartimentazione che riservò la conoscenza dell'operazione a un nucleo ristretto sino all'esecuzione; il registro certifica al Livello A la genesi, la consistenza e l'articolazione della colonna, quali risultanze dei giudicati, e ne trae le 2 annotazioni che il metodo impone. La prima è dimensionale: l'operazione più devastante della storia repubblicana fu concepita e condotta da una struttura urbana di poche decine di persone, e la sproporzione tra la dimensione dell'organo e la dimensione dell'effetto, certificata dai numeri di entrambi i lati, è il dato che ogni teoria della necessità del concorso esterno deve preliminarmente superare, giacché essa dimostra che la scala dell'effetto non implica la scala dell'apparato. La seconda è strutturale: la colonna romana operò per l'intera crisi senza subire una sola perdita, un solo arresto, una sola identificazione, e questa tenuta, che i giudicati attribuiscono alla compartimentazione e alla qualità degli irregolari, le intestazioni pulite di Braghetti e degli altri insospettabili, è il fatto tecnico che spiega, dal lato dell'organizzazione, il fallimento delle ricerche che il capitolo della gestione ha censito dal lato dello Stato: il registro salda i 2 lati del medesimo fatto e lo consegna, quale spiegazione interna completa e documentata, al confronto con le letture eccedenti che il piano terzo custodisce.</w:t>
      </w:r>
    </w:p>
    <w:p>
      <w:pPr>
        <w:spacing w:after="120" w:line="276"/>
        <w:jc w:val="both"/>
      </w:pPr>
      <w:r>
        <w:rPr>
          <w:rFonts w:ascii="Barlow Semi Condensed" w:cs="Barlow Semi Condensed" w:eastAsia="Barlow Semi Condensed" w:hAnsi="Barlow Semi Condensed"/>
          <w:sz w:val="24"/>
          <w:szCs w:val="24"/>
        </w:rPr>
        <w:t xml:space="preserve">Il quindicesimo pilastro distende la parabola terminale dell'organizzazione, il dopo che chiude il profilo del soggetto esecutore. La stagione successiva al caso Moro fu, per l'organizzazione, quella del massimo sforzo e della dissoluzione: il sequestro del magistrato Giovanni D'Urso tra il dicembre 1980 e il gennaio 1981, concluso con la liberazione; il sequestro del generale americano James Lee Dozier, sottratto a Verona il 17 dicembre 1981 e liberato dal blitz dei reparti speciali a Padova il 28 gennaio 1982, la prima sconfitta operativa diretta, maturata per via di intelligence e irruzione, che dimostrò il rovesciamento del rapporto di forze; la frammentazione in tronconi rivali; e la coda lunga degli anni Ottanta, sino all'assassinio del professor Roberto Ruffilli, il costituzionalista consigliere della presidenza del Consiglio, ucciso a Forlì il 16 aprile 1988 dall'ultima sigla, il delitto che chiuse la serie ventennale degli omicidi dell'organizzazione e delle sue derivazioni. Il registro certifica al Livello A la sequenza, nomina Roberto Ruffilli tra le vittime collegate della fase quale termine finale della serie, e ne trae il bilancio strutturale che il capitolo deve al soggetto: l'organizzazione che nel 1978 aveva tenuto in scacco lo Stato fu militarmente sconfitta entro 4 anni, per effetto congiunto della legislazione premiale, delle dissociazioni e della ricostruita capacità investigativa censita nel capitolo nono, e la parabola completa, dalla fondazione del 1970 all'ultimo delitto del 1988, si chiuse senza che l'organizzazione avesse conseguito uno solo dei propri obiettivi strategici dichiarati; il registro trascrive l'esito quale fatto storico certificato e lo consegna alla competizione delle ipotesi con l'annotazione dovuta: la sconfitta integrale del soggetto esecutore è un dato che ogni lettura del piano terzo deve incorporare, giacché qualunque regia esterna si voglia ipotizzare avrebbe abbandonato il proprio strumento alla distruzione completa, e la circostanza, di per sé non probante in alcuna direzione, delimita nondimeno lo spazio logico delle ipotesi di strumentalizzazione durevole.</w:t>
      </w:r>
    </w:p>
    <w:p>
      <w:pPr>
        <w:spacing w:after="120" w:line="276"/>
        <w:jc w:val="both"/>
      </w:pPr>
      <w:r>
        <w:rPr>
          <w:rFonts w:ascii="Barlow Semi Condensed" w:cs="Barlow Semi Condensed" w:eastAsia="Barlow Semi Condensed" w:hAnsi="Barlow Semi Condensed"/>
          <w:sz w:val="24"/>
          <w:szCs w:val="24"/>
        </w:rPr>
        <w:t xml:space="preserve">Il sedicesimo pilastro censisce il finanziamento dell'operazione, il versante economico che i giudicati hanno ricostruito. L'organizzazione si finanziava per autosufficienza dichiarata e documentata, con le rapine di autofinanziamento e con i sequestri di persona a scopo estorsivo della prima stagione, e il capitolo economico dell'operazione Moro ha negli atti la propria fonte identificata: il riscatto del sequestro dell'armatore genovese Pietro Costa, condotto dall'organizzazione nel 1977, fornì la provvista che le ricostruzioni giudiziarie indicano quale copertura dei costi della campagna romana, ivi compreso l'acquisto dell'appartamento di via Montalcini, l'immobile della prigione, pagato con denaro riconducibile a quella provvista e intestato all'insospettabile Braghetti; il registro certifica al Livello A il sequestro Costa, il riscatto e la destinazione della provvista alla logistica romana, quali risultanze dei giudicati, e ne dichiara la funzione capitale nella competizione delle ipotesi: il capitolo economico dell'operazione più costosa della storia dell'organizzazione è integralmente ricostruito per via giudiziaria entro il perimetro dell'autofinanziamento criminale interno, senza che alcun flusso esterno sia mai emerso, e questa tracciabilità completa, rara nel campo studiato dall'opera, è uno degli argomenti più solidi della lettura dell'autosufficienza, giacché il denaro, il vettore che nelle altre fasi dell'opera ha rivelato le reti, qui documenta un circuito chiuso; il registro annota che l'assenza di flussi esterni documentati non prova l'assenza di apporti non monetari, informazioni, coperture, omissioni, che il piano terzo custodisce quali ipotesi, ma certifica che sul terreno dove il metodo dell'opera è più forte, il tracciamento dei flussi del Pattern 4, il caso Moro restituisce un esito univoco, e lo trascrive quale reperto del pattern con il rango che gli compete.</w:t>
      </w:r>
    </w:p>
    <w:p>
      <w:pPr>
        <w:spacing w:after="120" w:line="276"/>
        <w:jc w:val="both"/>
      </w:pPr>
      <w:r>
        <w:rPr>
          <w:rFonts w:ascii="Barlow Semi Condensed" w:cs="Barlow Semi Condensed" w:eastAsia="Barlow Semi Condensed" w:hAnsi="Barlow Semi Condensed"/>
          <w:sz w:val="24"/>
          <w:szCs w:val="24"/>
        </w:rPr>
        <w:t xml:space="preserve">Il diciassettesimo pilastro censisce l'organo deliberante, l'Esecutivo dell'organizzazione nella stagione del sequestro. Al vertice della struttura, sotto la direzione strategica quale organo allargato di elaborazione, operava l'Esecutivo, l'organismo ristretto di conduzione che nella primavera del 1978 risultava composto, per le risultanze giudiziarie, da Mario Moretti, Rocco Micaletto, Lauro Azzolini e Franco Bonisoli, i 4 dirigenti nei quali si concentrava la decisione operativa corrente; fu questo organo a governare la campagna, con Moretti distaccato sulla conduzione romana e gli altri sui fronti settentrionali, e fu la sua composizione a determinare la traiettoria successiva del materiale, giacché Azzolini e Bonisoli furono catturati nella base milanese di via Monte Nevoso il 1 ottobre 1978, nell'operazione che portò al primo ritrovamento delle carte, e Micaletto cadde nelle retate successive, sicché entro pochi anni l'intero Esecutivo del sequestro, Moretti ultimo con l'arresto del 4 aprile 1981, fu consegnato ai processi che avrebbero ricostruito la vicenda. Il registro certifica al Livello A la composizione dell'organo e le catture, quali risultanze dei giudicati, e ne trae l'annotazione strutturale: la concentrazione della decisione in 4 uomini, tutti catturati vivi e tutti processati, è la ragione tecnica per cui il piano primo del caso ha potuto raggiungere la saturazione che la fase certifica, l'organo deliberante essendo integralmente sopravvissuto alla propria sconfitta e avendo perciò potuto essere giudicato, a differenza di quanto l'opera ha documentato per altri teatri, dove l'eliminazione fisica dei detentori della decisione ha precluso per sempre l'accertamento; la comparazione tra i campi, il terrorismo rosso giudicabile perché catturato e altri mondi dell'opera inaccertabili perché falcidiati, è un dato di struttura che il registro consegna alla riflessione conclusiva sulla conoscibilità differenziale del proprio oggetto.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direzione strategica-colonna romana-via Montalcini, è il triangolo del piano primo, certificato al Livello A dai 5 giudicati. La seconda, organizzazione-apparato dichiarativo-autonomia rivendicata, è il triangolo della fonte interessata, con le ammissioni recepite e le esclusioni da riscontrare. La terza, Brigate Rosse-ambiente fondativo-componente Simioni, è il triangolo genealogico, certificato al Livello A quanto ai fatti e consegnato al capitolo su Hyperion. Sul piano dei pattern, il nodo attiva il Pattern 2 nella identificazione della colonna romana quale comunità operativa compartimentata, la cui azione coordinata è confermata dall'evento secondo il criterio di validazione; e il Pattern 7, nelle traiettorie dei militanti dalla militanza legale alla clandestinità, di cui la biografia di Moretti, operaio e tecnico transitato per l'ambiente milanese sino alla direzione militare, è l'esemplare più documentato.</w:t>
      </w:r>
    </w:p>
    <w:p>
      <w:pPr>
        <w:spacing w:after="120" w:line="276"/>
        <w:jc w:val="both"/>
      </w:pPr>
      <w:r>
        <w:rPr>
          <w:rFonts w:ascii="Barlow Semi Condensed" w:cs="Barlow Semi Condensed" w:eastAsia="Barlow Semi Condensed" w:hAnsi="Barlow Semi Condensed"/>
          <w:sz w:val="24"/>
          <w:szCs w:val="24"/>
        </w:rPr>
        <w:t xml:space="preserve">La formazione del quadro in 5 procedimenti irrevocabili, che la sintesi certifica, esige la fisionomia di ciascun ciclo, perché la serie non fu ripetizione ma stratificazione progressiva dell'accertamento. Il primo ciclo, chiuso in primo grado dalla Corte d'Assise di Roma il 24 gennaio 1983 con 32 ergastoli e decine di condanne ulteriori, fissò l'impianto: la dinamica di via Fani, la responsabilità della direzione dell'organizzazione, la riferibilità dell'esecuzione alla colonna romana rinforzata. Il secondo ciclo integrò il quadro giovandosi della stagione della dissociazione, ed in particolare della ricostruzione analitica consegnata da Valerio Morucci ed Adriana Faranda, che consentì di ridefinire ruoli e presenze con una granularità che il primo dibattimento non aveva raggiunto. Il terzo ciclo, culminato nella sentenza del 1988, aggredì la struttura larga, la rete logistica, le basi, le coperture ed il perimetro della colonna. I cicli successivi chiusero le posizioni residue, sino al quinto, che negli anni 90 raggiunse l'ultimo custode sino ad allora ignoto della prigione di via Montalcini, Germano Maccari, completando la mappa degli uomini del covo, Livello A sull'intera progressione, nei limiti dei rispettivi giudicati. Il registro consegna la serie alla sua lettura epistemologica: 5 cicli in 2 decenni non misurano l'incertezza dell'accertamento ma la sua profondità crescente, ed il piano primo del caso, l'esecuzione, risulta all'esito il fatto di terrorismo più compiutamente giudicato della storia repubblicana, il che rende tanto più nitido, per contrasto, il perimetro dei piani che i medesimi 2 decenni non hanno saturato.</w:t>
      </w:r>
    </w:p>
    <w:p>
      <w:pPr>
        <w:spacing w:after="120" w:line="276"/>
        <w:jc w:val="both"/>
      </w:pPr>
      <w:r>
        <w:rPr>
          <w:rFonts w:ascii="Barlow Semi Condensed" w:cs="Barlow Semi Condensed" w:eastAsia="Barlow Semi Condensed" w:hAnsi="Barlow Semi Condensed"/>
          <w:sz w:val="24"/>
          <w:szCs w:val="24"/>
        </w:rPr>
        <w:t xml:space="preserve">Alla coppia dei dissociati il registro dedica l'annotazione di metodo che il loro statuto impone. Morucci e Faranda, usciti dall'organizzazione nel dissenso sull'esito del sequestro e divenuti, dal carcere, la fonte interna più organica sulla meccanica dei 55 giorni, consegnarono una ricostruzione che i giudici sottoposero a riscontro e largamente recepirono, e che resta il principale reticolo dichiarativo interno sul caso: fonte preziosa e, per costruzione, perimetrata, giacché il dissociato attesta ciò che ha visto dal proprio segmento e la compartimentazione brigatista faceva del segmento la misura di ogni sguardo, Livello A quanto al recepimento giudiziale riscontrato, Livello B quanto alle porzioni di racconto non autonomamente riscontrate. Su questa perimetrazione il registro fonda la sua regola di lettura del caso: l'organizzazione fu processualmente trasparente sino al confine delle sue paratie interne, e ciò che le paratie separavano, chi decise cosa, chi sapeva quanto, resta materia in cui la voce dei protagonisti vale come reperto e non come mappa, secondo la disciplina della fonte che l'intera opera osserva.</w:t>
      </w:r>
    </w:p>
    <w:p>
      <w:pPr>
        <w:spacing w:after="120" w:line="276"/>
        <w:jc w:val="both"/>
      </w:pPr>
      <w:r>
        <w:rPr>
          <w:rFonts w:ascii="Barlow Semi Condensed" w:cs="Barlow Semi Condensed" w:eastAsia="Barlow Semi Condensed" w:hAnsi="Barlow Semi Condensed"/>
          <w:sz w:val="24"/>
          <w:szCs w:val="24"/>
        </w:rPr>
        <w:t xml:space="preserve">La parabola della direzione esecutiva si chiuse con una data che il registro fissa quale spartiacque della guerra brigatista: il 4 aprile 1981 Mario Moretti fu catturato a Milano, dopo 9 anni di latitanza ininterrotta che ne avevano fatto il più longevo dirigente clandestino dell'organizzazione, e con il suo arresto si spense la continuità di comando che aveva attraversato l'intera parabola, dalla fondazione della colonna milanese alla gestione diretta del sequestro e della prigione, Livello A quanto alla cattura ed alla sua collocazione. Sulle responsabilità, i cicli processuali censiti consegnarono al capo brigatista una pluralità di ergastoli irrevocabili, comprensivi della direzione dell'operazione di via Fani e dell'esecuzione materiale del 9 maggio che il capitolo 6 certifica, Livello A. Alla voce delle fonti appartiene infine la produzione memorialistica del prigioniero di lungo corso: il libro-intervista consegnato nei primi anni 90 a 2 interlocutrici della sinistra intellettuale, nel quale Moretti rivendicò l'integrale autonomia dell'operazione e dell'organizzazione da ogni regia o infiltrazione esterna, costituisce la controparte simmetrica delle narrazioni dei dissociati, e la disciplina dell'Indice di Contaminazione della Fonte gli assegna lo statuto che merita: fonte di parte massimamente interessata alla tesi dell'autosufficienza, il cui valore è documentale quanto alla posizione rivendicata e nullo quanto alla certificazione dei fatti negati, Livello C, giacché, come il registro ha già annotato per l'assolto divenuto storico di sé stesso, l'ultima parola del protagonista è un reperto sul protagonista, non sul mondo.</w:t>
      </w:r>
    </w:p>
    <w:p>
      <w:pPr>
        <w:spacing w:after="120" w:line="276"/>
        <w:jc w:val="both"/>
      </w:pPr>
      <w:r>
        <w:rPr>
          <w:rFonts w:ascii="Barlow Semi Condensed" w:cs="Barlow Semi Condensed" w:eastAsia="Barlow Semi Condensed" w:hAnsi="Barlow Semi Condensed"/>
          <w:sz w:val="24"/>
          <w:szCs w:val="24"/>
        </w:rPr>
        <w:t xml:space="preserve">La deliberazione va corredata del suo documento programmatico, che il registro censisce quale atto fondativo della campagna: la risoluzione della Direzione strategica approvata nel febbraio 1978, il testo dottrinale che l'organizzazione diffuse alla vigilia dell'operazione e che teorizzava l'attacco al cuore dello Stato, individuando nella Democrazia cristiana il perno del sistema da disarticolare e nella fase politica in corso, la solidarietà nazionale, il momento della massima vulnerabilità dell'avversario, Livello A quanto al documento, alla sua data ed al suo contenuto, acquisiti agli atti dei processi. Il registro sottolinea il valore probatorio che i giudicati assegnarono al testo: la risoluzione dimostra che la scelta del bersaglio discese da un'analisi politica formalizzata prima dell'azione, non da un'improvvisazione né da una commissione esterna documentata, e costituisce perciò uno dei pilastri della ricostruzione dell'autonomia deliberativa che il piano primo certifica, ferma restando, sui piani ulteriori, la distinzione che il capitolo 10 governa. Nella grammatica documentale del caso, il febbraio 1978 consegna così il suo chiasmo: mentre la Direzione strategica metteva per iscritto le ragioni dell'attacco alla mediazione, il mediatore metteva a punto, per l'aula del 28 febbraio, le ragioni della mediazione, e i 2 testi, la risoluzione ed il discorso, si fronteggiano negli archivi come i 2 programmi incompatibili di cui via Fani fu, 16 giorni dopo, il punto di collisione.</w:t>
      </w:r>
    </w:p>
    <w:p>
      <w:pPr>
        <w:spacing w:after="120" w:line="276"/>
        <w:jc w:val="both"/>
      </w:pPr>
      <w:r>
        <w:rPr>
          <w:rFonts w:ascii="Barlow Semi Condensed" w:cs="Barlow Semi Condensed" w:eastAsia="Barlow Semi Condensed" w:hAnsi="Barlow Semi Condensed"/>
          <w:sz w:val="24"/>
          <w:szCs w:val="24"/>
        </w:rPr>
        <w:t xml:space="preserve">Alla logistica dell'organizzazione appartiene il cedimento postumo che il registro data con precisione: il 17 maggio 1978, a 8 giorni da via Caetani, le indagini individuarono in via Pio Foà, a Roma, la tipografia clandestina che aveva stampato i comunicati della campagna, con il sequestro delle attrezzature e l'arresto del tipografo, primo squarcio nella struttura logistica romana cui seguirono, nelle settimane successive, ulteriori cadute di basi e copertura, Livello A quanto alla scoperta, alla data ed ai sequestri. La collocazione temporale è il dato analitico: la macchina investigativa che nei 55 giorni non aveva raggiunto un solo gangli della rete cominciò a smontarla a epilogo consumato, e questa asimmetria tra il prima ed il dopo, che il piano secondo registra senza spiegarla, alimentò già nei contemporanei la domanda che le Commissioni avrebbero formalizzato: se la penetrabilità dimostrata dal poi fosse la misura di una possibilità mancata nel durante, o se, al contrario, fosse stato proprio l'epilogo, con il rilassamento delle paratie e la dispersione degli uomini, a rendere penetrabile ciò che prima non lo era. Il registro custodisce la domanda nella sua forma aperta, che è l'unica certificabile, ed annota il solo teorema che i fatti autorizzano: la rete che resse 55 giorni non resse 55 giorni più 8.</w:t>
      </w:r>
    </w:p>
    <w:p>
      <w:pPr>
        <w:spacing w:after="120" w:line="276"/>
        <w:jc w:val="both"/>
      </w:pPr>
      <w:r>
        <w:rPr>
          <w:rFonts w:ascii="Barlow Semi Condensed" w:cs="Barlow Semi Condensed" w:eastAsia="Barlow Semi Condensed" w:hAnsi="Barlow Semi Condensed"/>
          <w:sz w:val="24"/>
          <w:szCs w:val="24"/>
        </w:rPr>
        <w:t xml:space="preserve">Alla contabilità giudiziaria della colonna appartiene infine la coda perpetua delle contumacie, che il registro censisce quale eccezione permanente all'esecuzione dei giudicati: tra i condannati in via definitiva per il sequestro e l'eccidio figurano Alessio Casimirri, riparato in Nicaragua prima della stagione degli arresti e mai raggiunto dall'esecuzione, protetto da uno status consolidato nel Paese centroamericano che ogni iniziativa estradizionale italiana ha trovato inespugnabile, ed Alvaro Lojacono, sottratto all'esecuzione italiana dalla cittadinanza elvetica e dalle regole di quell'ordinamento sulla non estradizione dei propri nazionali, Livello A quanto alle condanne definitive ed alla condizione di inesecuzione, nei limiti degli atti. Il registro consegna le 2 posizioni alla loro funzione sistemica: esse dimostrano che la geografia della protezione censita per il versante nero nella Fase 3, i santuari iberici e latinoamericani delle latitanze ordinoviste, ebbe il proprio speculare sul versante rosso, con approdi diversi e meccanica identica, la frontiera quale ultimo grado di giudizio, e che la mappa internazionale dell'impunità, cui la Fase 5 dedicherà il proprio teatro, è bipartisan per costruzione: i codici ideologici dividono gli uomini, i rifugi li accomunano.</w:t>
      </w:r>
    </w:p>
    <w:p>
      <w:pPr>
        <w:spacing w:after="120" w:line="276"/>
        <w:jc w:val="both"/>
      </w:pPr>
      <w:r>
        <w:rPr>
          <w:rFonts w:ascii="Barlow Semi Condensed" w:cs="Barlow Semi Condensed" w:eastAsia="Barlow Semi Condensed" w:hAnsi="Barlow Semi Condensed"/>
          <w:sz w:val="24"/>
          <w:szCs w:val="24"/>
        </w:rPr>
        <w:t xml:space="preserve">Alla contabilità dei giudicati appartiene, per completezza documentale, la loro esecuzione nel tempo, che il registro censisce quale dato di ordinamento: le condanne all'ergastolo irrevocabili per via Fani e per il sequestro sono transitate, nei decenni, attraverso gli istituti dell'esecuzione penale ordinaria, la liberazione condizionale, la semilibertà, i benefici della legislazione premiale e dell'ordinamento penitenziario riformato, sicché nessuno dei condannati del nucleo storico sconta oggi detenzione in forma piena, Livello A quanto al quadro complessivo degli esiti esecutivi, quale risulta dagli atti pubblici. Il registro riporta il dato spoglio di ogni valutazione, che non gli compete, e ne fissa la sola funzione analitica: la parabola esecutiva documenta che lo Stato applicò agli autori del fatto più grave della sua storia repubblicana l'ordinamento comune, senza regimi d'eccezione perpetui, e questa normalità dell'esecuzione, qualunque giudizio se ne dia, è essa stessa un reperto sul sistema, la controprova per fatti concludenti che la Repubblica uscita dai 55 giorni scelse di vincere la propria guerra dentro le regole che l'avversario aveva dichiarato di voler abbattere. La circostanza che i protagonisti liberi della vicenda ne siano divenuti, come i capitoli hanno censito, i narratori pubblici appartiene alla medesima parabola: il registro l'ha già disciplinata sul piano delle fonti, e qui la chiude sul piano dei fatti.</w:t>
      </w:r>
    </w:p>
    <w:p>
      <w:pPr>
        <w:spacing w:after="120" w:line="276"/>
        <w:jc w:val="both"/>
      </w:pPr>
      <w:r>
        <w:rPr>
          <w:rFonts w:ascii="Barlow Semi Condensed" w:cs="Barlow Semi Condensed" w:eastAsia="Barlow Semi Condensed" w:hAnsi="Barlow Semi Condensed"/>
          <w:sz w:val="24"/>
          <w:szCs w:val="24"/>
        </w:rPr>
        <w:t xml:space="preserve">La genealogia operativa dell'azione del 1978 ha il suo antecedente maggiore nel sequestro del giudice Mario Sossi, che il registro censisce quale matrice sperimentale di ogni grammatica successiva: il sostituto procuratore genovese fu sequestrato dall'organizzazione il 18 aprile 1974 e detenuto per 35 giorni, sottoposto al primo processo proletario della storia brigatista, con comunicati numerati, fotografia del prigioniero sotto l'insegna e richiesta di scambio con i detenuti di un gruppo armato genovese; la Corte d'appello concesse la libertà provvisoria richiesta, il procuratore generale Francesco Coco ne bloccò l'esecuzione con il ricorso, e l'organizzazione rilasciò unilateralmente il prigioniero il 23 maggio, incassando la dimostrazione politica e rinviando il conto, che 2 anni dopo, con l'agguato al medesimo procuratore generale già censito, avrebbe saldato nel sangue, Livello A sull'intera vicenda giudicata. Il registro fissa la funzione del precedente: il 1974 genovese contiene, in scala ridotta e con esito incruento per l'ostaggio, l'intero repertorio del 1978, il processo, i comunicati, la foto, lo scambio, la contesa tra i poteri dello Stato sulla trattabilità, e la distanza tra i 2 epiloghi, il rilascio di Sossi e via Caetani, misura esattamente il cammino compiuto dall'organizzazione nel quadriennio, dalla propaganda armata che restituisce l'ostaggio alla guerra dichiarata che lo giustizia.</w:t>
      </w:r>
    </w:p>
    <w:p>
      <w:pPr>
        <w:spacing w:after="120" w:line="276"/>
        <w:jc w:val="both"/>
      </w:pPr>
      <w:r>
        <w:rPr>
          <w:rFonts w:ascii="Barlow Semi Condensed" w:cs="Barlow Semi Condensed" w:eastAsia="Barlow Semi Condensed" w:hAnsi="Barlow Semi Condensed"/>
          <w:sz w:val="24"/>
          <w:szCs w:val="24"/>
        </w:rPr>
        <w:t xml:space="preserve">Al medesimo quadriennio appartiene il teatro giudiziario parallelo che accompagnò i 55 giorni e che il registro censisce quale loro specchio istituzionale: il processo al nucleo storico dell'organizzazione, apertosi a Torino dopo anni di rinvii imposti dall'intimidazione sistematica, l'uccisione nel 1977 del presidente dell'ordine degli avvocati torinesi Fulvio Croce, incaricato delle difese d'ufficio, e la renitenza di massa dei cittadini estratti quali giurati, si celebrò infine, in aula blindata, negli stessi mesi del sequestro, sicché la primavera del 1978 vide la Repubblica e l'organizzazione processarsi reciprocamente in simultanea, lo Stato a Torino con i fondatori alla sbarra, l'organizzazione nella prigione del popolo con il presidente della Democrazia cristiana, e la sentenza torinese di condanna giunse il 23 giugno 1978, a 45 giorni da via Caetani, Livello A quanto alla scansione ed agli esiti. Il registro consegna la simultaneità alla sua lettura documentale: il sequestro fu anche, per dichiarazione della stessa organizzazione nei comunicati censiti, la risposta di piazza al processo di Torino, ed il duello delle 2 aule, quella dello Stato e quella sedicente del popolo, con i loro 2 verdetti sfalsati di poche settimane, è la messa in scena più nitida che la stagione abbia prodotto del conflitto tra i 2 ordinamenti che si contendevano, nel 1978, il monopolio della giustizia.</w:t>
      </w:r>
    </w:p>
    <w:p>
      <w:pPr>
        <w:spacing w:after="120" w:line="276"/>
        <w:jc w:val="both"/>
      </w:pPr>
      <w:r>
        <w:rPr>
          <w:rFonts w:ascii="Barlow Semi Condensed" w:cs="Barlow Semi Condensed" w:eastAsia="Barlow Semi Condensed" w:hAnsi="Barlow Semi Condensed"/>
          <w:sz w:val="24"/>
          <w:szCs w:val="24"/>
        </w:rPr>
        <w:t xml:space="preserve">La campagna di avvicinamento al sequestro ebbe infine il suo bersaglio funzionale più eloquente, che il registro aggiunge ai caduti già censiti delle settimane precedenti: il 14 febbraio 1978, un mese e 2 giorni prima di via Fani, fu assassinato a Roma il magistrato Riccardo Palma, addetto alla direzione generale competente sull'edilizia penitenziaria, colpito quale responsabile tecnico del programma delle carceri speciali, Livello A quanto al fatto ed alla rivendicazione. La selezione del bersaglio è il reperto: l'organizzazione che si apprestava a catturare il massimo prigioniero politico della propria storia colpì, alla vigilia, l'uomo dello Stato che costruiva le prigioni destinate ai suoi militanti, in una simmetria carceraria che i documenti interni della campagna avrebbero reso esplicita e che il registro annota quale ulteriore prova della pianificazione lunga: la primavera del 1978 fu preparata colpendo, uno per uno, i gangli funzionali della risposta dello Stato, il maresciallo dell'antiterrorismo torinese, il magistrato delle carceri, secondo una progressione che i giudicati avrebbero ricostruito e che priva retrospettivamente l'agguato di via Fani di ogni carattere di fulmine a ciel sereno: il cielo era annunciato da mesi, e la contabilità dei caduti dell'inverno ne è l'archivio.</w:t>
      </w:r>
    </w:p>
    <w:p>
      <w:pPr>
        <w:spacing w:after="120" w:line="276"/>
        <w:jc w:val="both"/>
      </w:pPr>
      <w:r>
        <w:rPr>
          <w:rFonts w:ascii="Barlow Semi Condensed" w:cs="Barlow Semi Condensed" w:eastAsia="Barlow Semi Condensed" w:hAnsi="Barlow Semi Condensed"/>
          <w:sz w:val="24"/>
          <w:szCs w:val="24"/>
        </w:rPr>
        <w:t xml:space="preserve">Alla nomenclatura interna dell'operazione appartiene infine il reperto onomastico che la memorialistica dei protagonisti e le acquisizioni convergenti consegnano: nel lessico cifrato dell'organizzazione l'operazione ed il prigioniero furono designati con il nome in codice Fritz, l'etichetta che ricorre nelle ricostruzioni interne della gestione dei 55 giorni, Livello B quanto al dato, fondato sulla convergenza delle fonti dichiarative interne. Il registro censisce il nome per la sua funzione documentale minima e lo consegna senza sovrainterpretazioni: la scelta di un nome tedesco per il prigioniero italiano appartiene alla fenomenologia del gergo clandestino, che il metodo registra quale traccia e non decifra quale messaggio, e la sua utilità per l'opera sta altrove, nel fornire la chiave lessicale con cui riconoscere, nelle fonti interne citate lungo la fase, i riferimenti all'operazione quando i documenti evitano il nome vero.</w:t>
      </w:r>
    </w:p>
    <w:p>
      <w:pPr>
        <w:spacing w:after="120" w:line="276"/>
        <w:jc w:val="both"/>
      </w:pPr>
      <w:r>
        <w:rPr>
          <w:rFonts w:ascii="Barlow Semi Condensed" w:cs="Barlow Semi Condensed" w:eastAsia="Barlow Semi Condensed" w:hAnsi="Barlow Semi Condensed"/>
          <w:sz w:val="24"/>
          <w:szCs w:val="24"/>
        </w:rPr>
        <w:t xml:space="preserve">La dissoluzione dell'organizzazione ebbe infine il suo strumento decisivo, che il registro censisce quale contrappunto istituzionale dell'intera parabola: la legislazione premiale, inaugurata dal decreto antiterrorismo del dicembre 1979 convertito nella legge del febbraio 1980 e compiuta dalla legge del 29 maggio 1982 numero 304 sulla dissociazione e la collaborazione, che scambiò riduzioni di pena con la rottura del vincolo clandestino e produsse, nel triennio, l'emorragia di collaboratori che i processi censiti in questo capitolo incorporarono, Livello A quanto agli strumenti normativi ed ai loro effetti processuali documentati. Il registro fissa la lettura strutturale che la sequenza impone: l'organizzazione che aveva retto militarmente all'urto dei 55 giorni e delle stagioni successive fu dissolta non da un'operazione ma da un istituto giuridico, che ne aggredì il fondamento antropologico, l'irreversibilità della scelta clandestina, offrendo a ciascun militante un prezzo individuale per l'uscita; e la rapidità del crollo, misurabile nella progressione delle catture e dei covi caduti tra il 1980 ed il 1982 su indicazione dei collaboratori, dimostra che la compartimentazione censita quale forza dei 55 giorni era anche la debolezza speculare del sistema, poiché ogni nodo che si arrendeva consegnava per intero il proprio comparto. Nella contabilità della fase, la legge premiale è perciò la vera vincitrice del duello che il capitolo ha ricostruito: lo Stato che non aveva trovato la prigione di via Montalcini in 55 giorni di caccia smantellò l'intera organizzazione in 36 mesi di codice, e la sproporzione tra i 2 esiti è la misura esatta della differenza, che l'intera opera documenta, tra la forza degli apparati e la forza degli ordinamenti.</w:t>
      </w:r>
    </w:p>
    <w:p>
      <w:pPr>
        <w:spacing w:after="120" w:line="276"/>
        <w:jc w:val="both"/>
      </w:pPr>
      <w:r>
        <w:rPr>
          <w:rFonts w:ascii="Barlow Semi Condensed" w:cs="Barlow Semi Condensed" w:eastAsia="Barlow Semi Condensed" w:hAnsi="Barlow Semi Condensed"/>
          <w:sz w:val="24"/>
          <w:szCs w:val="24"/>
        </w:rPr>
        <w:t xml:space="preserve">La diaspora dei latitanti si chiude con l'ultima cattura, che il registro censisce quale sigillo cronologico della vicenda giudiziaria: Rita Algranati, presente sulla scena di via Fani secondo i giudicati e condannata in via definitiva all'ergastolo, fu arrestata al Cairo nel gennaio 2004 e consegnata all'Italia, ultima dei protagonisti dell'agguato ad essere ripresa, 26 anni dopo i fatti, Livello A quanto alla cattura, alla data ed al titolo esecutivo. Il registro annota la misura temporale che il caso consegna: tra il primo arresto della rete del sequestro e l'ultimo corrono oltre 25 anni, un quarto di secolo di esecuzione penale diluita che colloca il caso Moro, anche sotto questo profilo, nella fisiologia patologica dell'intero corpus, dove nessuna resa dei conti è mai stata simultanea e la giustizia ha raggiunto i responsabili per generazioni successive, con l'effetto strutturale che l'opera registra in ogni fase: quando l'ultimo esecutore entra in aula, i mandanti eventuali della prima ora sono ormai, nella migliore delle ipotesi, testimoni anziani, e nella peggiore, lapidi.</w:t>
      </w:r>
    </w:p>
    <w:p>
      <w:pPr>
        <w:spacing w:after="120" w:line="276"/>
        <w:jc w:val="both"/>
      </w:pPr>
      <w:r>
        <w:rPr>
          <w:rFonts w:ascii="Barlow Semi Condensed" w:cs="Barlow Semi Condensed" w:eastAsia="Barlow Semi Condensed" w:hAnsi="Barlow Semi Condensed"/>
          <w:sz w:val="24"/>
          <w:szCs w:val="24"/>
        </w:rPr>
        <w:t xml:space="preserve">La parabola dell'organizzazione esige la sua scheda genetica, che il registro premette ai giudicati: il nucleo fondativo si aggregò tra il 1969 ed il 1970 dalla confluenza tra il collettivo politico metropolitano milanese e l'area emiliana proveniente dalla dissidenza giovanile comunista, con il passaggio attraverso la formazione di Sinistra proletaria e l'adozione della sigla nel corso del 1970, quando le prime azioni firmate colpirono con sabotaggi ed incendi dimostrativi i quadri intermedi della Sit-Siemens e della Pirelli, le 2 fabbriche-laboratorio della militanza originaria, Livello A quanto alla genealogia ed alle prime azioni documentate. Il registro fissa la traiettoria che i giudicati avrebbero poi scandito: dalla propaganda armata di fabbrica del biennio 1970-72, ai sequestri dimostrativi brevi del 1972-74, al salto del 1974 con la prima uccisione e la campagna contro lo Stato, sino alla militarizzazione integrale del 1976-78 che il capitolo censisce, l'organizzazione percorse in 8 anni l'intera scala dell'escalation, e la lettura strutturale che il registro ne trae appartiene al metodo dell'opera: ogni gradino fu superato dopo che il precedente non aveva prodotto la repressione risolutiva, sicché la curva ascendente della violenza brigatista è anche, in negativo, la curva discendente della capacità di risposta tempestiva dello Stato, ed il 16 marzo 1978 sta in cima ad entrambe.</w:t>
      </w:r>
    </w:p>
    <w:p>
      <w:pPr>
        <w:spacing w:after="120" w:line="276"/>
        <w:jc w:val="both"/>
      </w:pPr>
      <w:r>
        <w:rPr>
          <w:rFonts w:ascii="Barlow Semi Condensed" w:cs="Barlow Semi Condensed" w:eastAsia="Barlow Semi Condensed" w:hAnsi="Barlow Semi Condensed"/>
          <w:sz w:val="24"/>
          <w:szCs w:val="24"/>
        </w:rPr>
        <w:t xml:space="preserve">La deliberazione dell'azione esige la mappa dell'organo che la assunse, ed il registro la censisce dai giudicati: al vertice operativo dell'organizzazione sedeva nel 1978 il Comitato esecutivo, l'organo ristretto di 4 membri, Moretti, Bonisoli, Azzolini e Micaletto, che deliberò e sovrintese la campagna di primavera, interfaccia tra la Direzione strategica, sede della linea politica già censita, e le colonne territoriali incaricate dell'esecuzione, Livello A quanto alla composizione ed alle attribuzioni accertate nei processi. Il registro annota la geometria che la mappa consegna alla storia giudiziaria del caso: dei 4 deliberanti, 2 furono catturati con il covo milanese dell'ottobre 1978 ed il terzo nel 1980, sicché a 30 mesi dall'agguato i 3 quarti dell'organo che lo aveva deciso erano detenuti, mentre il quarto, il capo, resse la clandestinità sino all'aprile 1981, e questa velocità di decapitazione, che contrasta con la durata generazionale delle latitanze dei gregari censita nel capitolo, rivela la struttura del prezzo pagato dall'organizzazione: la campagna del 1978 bruciò il vertice che l'aveva concepita nel giro di una stagione militare, e la storia successiva della sigla, le scissioni, la deriva, la dissoluzione premiale, è la storia di un corpo che sopravvisse 4 anni alla propria testa.</w:t>
      </w:r>
    </w:p>
    <w:p>
      <w:pPr>
        <w:spacing w:after="120" w:line="276"/>
        <w:jc w:val="both"/>
      </w:pPr>
      <w:r>
        <w:rPr>
          <w:rFonts w:ascii="Barlow Semi Condensed" w:cs="Barlow Semi Condensed" w:eastAsia="Barlow Semi Condensed" w:hAnsi="Barlow Semi Condensed"/>
          <w:sz w:val="24"/>
          <w:szCs w:val="24"/>
        </w:rPr>
        <w:t xml:space="preserve">La logistica romana dell'operazione esige la sua mappa unitaria, che il registro compone dai giudicati: la campagna poggiò su una costellazione di basi nella capitale, l'appartamento di via Gradoli quale covo direttivo della colonna, la prigione di via Montalcini, la tipografia di via Pio Foà quale officina dei comunicati, oltre agli appoggi minori censiti dalle istruttorie, una rete immobiliare acquisita e gestita con identità di copertura nei mesi e negli anni precedenti l'azione, Livello A quanto alla costellazione accertata nei processi. Il registro consegna la mappa alla sua lettura d'insieme, che le trattazioni per singolo indirizzo disperdono: la geografia delle basi disegna un dispositivo urbano completo, direzione, detenzione, comunicazione, distribuito su quadranti diversi della città e mai interamente caduto durante i 55 giorni, e la sua preesistenza documentata all'agguato, con acquisizioni immobiliari che risalgono a stagioni precedenti, è la prova materiale più solida che il corpus possieda della pianificazione lunga, perché le parole si improvvisano ed i contratti no, sicché la vera data d'inizio dell'operazione Fritz non è il 16 marzo 1978 ma il giorno, mesi ed anni prima, in cui l'organizzazione cominciò a comprare ed affittare la propria Roma parallela, ed è su quel calendario immobiliare, non su quello balistico, che si misura la profondità della decisione.</w:t>
      </w:r>
    </w:p>
    <w:p>
      <w:pPr>
        <w:spacing w:after="120" w:line="276"/>
        <w:jc w:val="both"/>
      </w:pPr>
      <w:r>
        <w:rPr>
          <w:rFonts w:ascii="Barlow Semi Condensed" w:cs="Barlow Semi Condensed" w:eastAsia="Barlow Semi Condensed" w:hAnsi="Barlow Semi Condensed"/>
          <w:sz w:val="24"/>
          <w:szCs w:val="24"/>
        </w:rPr>
        <w:t xml:space="preserve">La prosopografia della colonna esige il suo bilancio generazionale, che il registro formula sui dati anagrafici dei condannati: gli uomini e le donne che condussero l'operazione appartenevano quasi per intero alla generazione nata tra la fine della guerra ed i primi anni Cinquanta, giovani adulti tra i 25 ed i 35 anni al momento dei fatti, di estrazione mista operaia, impiegatizia e studentesca, formatisi politicamente nel decennio 1968-1977 e transitati alla clandestinità attraverso i percorsi che le sentenze ricostruiscono, Livello A quanto ai profili anagrafici dei giudicati. Il registro consegna il dato alla sua lettura storica: l'organizzazione che sequestrò l'uomo della generazione costituente era interamente composta dai figli dell'Italia repubblicana, nati dentro lo Stato che dichiaravano di combattere, e lo scarto anagrafico tra il prigioniero, classe 1916, formato nel regime e protagonista della Costituente, ed i suoi custodi, cresciuti nella democrazia che egli aveva contribuito a fondare, fa del sequestro anche un fatto generazionale estremo, il processo armato che una parte minuscola e perduta dei figli istruì al padre della Repubblica, e questa dimensione, che nessuna aula poteva giudicare, appartiene alla comprensione storica del caso quanto le traiettorie balistiche, perché spiega ciò che i processi non dovevano spiegare, la temperatura del decennio che rese pensabile l'impensabile.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Brigate Rosse è certificato al Livello A quanto alla deliberazione, alla direzione esecutiva di Moretti, alla composizione giudicata del commando di via Fani, alla custodia di via Montalcini con Braghetti, Maccari, Gallinari e Moretti, e alla formazione del quadro in 5 procedimenti irrevocabili lungo 15 anni; l'apparato dichiarativo dell'organizzazione è disciplinato distinguendo le ammissioni recepite dalle esclusioni da riscontrare, con la formula per cui l'assenza di prova del concorso esterno non è prova dell'assenza; la genealogia comune con la componente Simioni, poi parigina, è certificata al Livello A e consegnata al nodo Hyperion.</w:t>
      </w:r>
    </w:p>
    <w:p>
      <w:pPr>
        <w:pStyle w:val="Heading3"/>
        <w:spacing w:after="80" w:before="160"/>
      </w:pPr>
      <w:r>
        <w:rPr>
          <w:rFonts w:ascii="Barlow Semi Condensed" w:cs="Barlow Semi Condensed" w:eastAsia="Barlow Semi Condensed" w:hAnsi="Barlow Semi Condensed"/>
          <w:sz w:val="24"/>
          <w:szCs w:val="24"/>
        </w:rPr>
        <w:t xml:space="preserve">Capitolo 4 — ■ I 55 giorni. La condotta dello Stato, le anomalie e i depistaggi</w:t>
      </w:r>
    </w:p>
    <w:p>
      <w:pPr>
        <w:spacing w:after="120" w:line="276"/>
        <w:jc w:val="both"/>
      </w:pPr>
      <w:r>
        <w:rPr>
          <w:rFonts w:ascii="Barlow Semi Condensed" w:cs="Barlow Semi Condensed" w:eastAsia="Barlow Semi Condensed" w:hAnsi="Barlow Semi Condensed"/>
          <w:sz w:val="24"/>
          <w:szCs w:val="24"/>
        </w:rPr>
        <w:t xml:space="preserve">I 55 giorni tra l'agguato e il ritrovamento del corpo sono il nodo-evento del piano secondo: la condotta delle istituzioni e degli apparati durante il sequestro, che il registro ricostruisce nei suoi fatti certificati, nelle sue anomalie documentate e nei suoi depistaggi accertati, mantenendo su ogni elemento la decomposizione dei piani. Il quadro istituzionale è certificato al Livello A: il governo tenne la linea della fermezza, il rifiuto di ogni trattativa ufficiale con l'organizzazione, sostenuta dai 2 maggiori partiti e contrastata, nel sistema politico, dall'area socialista favorevole all'esplorazione umanitaria; presso il Ministero dell'interno, retto da Francesco Cossiga, operarono i comitati di crisi, tecnico-operativo e informativo, che coordinarono le ricerche; e le ricerche, condotte con uno spiegamento di forze senza precedenti, decine di migliaia di uomini, centinaia di migliaia di perquisizioni e controlli, non individuarono mai né la prigione né i sequestratori.</w:t>
      </w:r>
    </w:p>
    <w:p>
      <w:pPr>
        <w:spacing w:after="120" w:line="276"/>
        <w:jc w:val="both"/>
      </w:pPr>
      <w:r>
        <w:rPr>
          <w:rFonts w:ascii="Barlow Semi Condensed" w:cs="Barlow Semi Condensed" w:eastAsia="Barlow Semi Condensed" w:hAnsi="Barlow Semi Condensed"/>
          <w:sz w:val="24"/>
          <w:szCs w:val="24"/>
        </w:rPr>
        <w:t xml:space="preserve">Il primo pilastro è la compresenza piduista nei comitati di crisi, che il registro certifica al Livello A sul fondamento degli accertamenti della Commissione Anselmi e salda alle acquisizioni della Fase 2. I vertici dei servizi che sedevano negli organismi di gestione della crisi, il direttore del servizio militare Santovito, il direttore del servizio civile Grassini, il prefetto Pelosi al coordinamento, risulteranno iscritti alla loggia P2, come la Fase 2 ha certificato quale cattura del vertice informativo; e negli elenchi sequestrati nel 1981 figureranno ulteriori funzionari e ufficiali con ruoli nella stagione. Il registro certifica al Livello A la compresenza, quale fatto documentale incontrovertibile: gli organismi che gestirono la ricerca di Moro erano diretti, nelle loro componenti informative, da uomini appartenenti alla loggia coperta. E applica immediatamente il divieto: la compresenza certificata non prova che la loggia abbia orientato la gestione, né che l'esito delle ricerche sia stato deliberato; essa colloca la gestione della crisi dentro il perimetro della cattura piduista già certificata, e consegna al piano terzo, quale ipotesi, ogni lettura finalistica. La lente della doppia lealtà, dichiarata in avvertenza, trova qui il suo primo oggetto: la condotta di uomini simultaneamente vincolati all'istituzione e alla loggia è il fenomeno che quella lente mette a fuoco, senza per questo trasformare la messa a fuoco in prova.</w:t>
      </w:r>
    </w:p>
    <w:p>
      <w:pPr>
        <w:spacing w:after="120" w:line="276"/>
        <w:jc w:val="both"/>
      </w:pPr>
      <w:r>
        <w:rPr>
          <w:rFonts w:ascii="Barlow Semi Condensed" w:cs="Barlow Semi Condensed" w:eastAsia="Barlow Semi Condensed" w:hAnsi="Barlow Semi Condensed"/>
          <w:sz w:val="24"/>
          <w:szCs w:val="24"/>
        </w:rPr>
        <w:t xml:space="preserve">Il secondo pilastro è la sequenza delle anomalie documentate, che il registro censisce nelle 3 principali con la qualificazione propria di ciascuna. La prima è la vicenda di via Gradoli: il covo della colonna romana, base di Moretti e Balzerani, al civico 96 di via Gradoli a Roma, fu scoperto il 18 aprile per una perdita d'acqua segnalata dai vicini, dopo che, nelle settimane precedenti, il nome Gradoli era emerso in una circostanza tanto documentata quanto singolare, una seduta spiritica tenuta il 2 aprile presso docenti universitari bolognesi, a seguito della quale le verifiche si erano dirette sul comune di Gradoli nel Viterbese e non sulla via romana, che pure esisteva nello stradario; il registro certifica al Livello A l'intera sequenza fattuale, quale risultanza degli atti parlamentari, e la registra senza attribuirle significato ulteriore, annotando che essa documenta, quale che ne sia la spiegazione, la qualità della circolazione informativa attorno alle ricerche. La seconda anomalia è il falso comunicato del lago della Duchessa: il 18 aprile, lo stesso giorno della scoperta del covo, fu diffuso un falso comunicato numero 7 dell'organizzazione, che annunciava l'avvenuta esecuzione del prigioniero e l'occultamento del corpo nel lago della Duchessa, sull'Appennino reatino, innescando imponenti e vane operazioni di ricerca; le perizie e gli accertamenti successivi attribuirono la confezione del falso a Antonio Chichiarelli, falsario romano gravitante nell'orbita della banda della Magliana, mai processato per il fatto perché assassinato nel 1984. Il registro certifica al Livello A la falsità del comunicato e il suo effetto diversivo, e al Livello B l'attribuzione a Chichiarelli, quale convergenza di accertamenti tecnici non consacrata da giudicato; e dichiara il rilievo reticolare dell'attribuzione: essa introduce nel caso Moro, attraverso il falsario, l'orbita della banda della Magliana certificata nella Fase 1, e costituisce l'arco documentato tra il quadrilatero criminale romano e la gestione comunicativa del sequestro, la cui direzione e il cui scopo, depistaggio a beneficio di chi, restano al Livello C. La terza anomalia è il complesso delle segnalazioni non sviluppate, censite dalle commissioni: indicazioni pervenute durante i 55 giorni e non adeguatamente riscontrate, che il registro registra cumulativamente al Livello A quanto alla loro esistenza documentale e al Livello C quanto a ogni lettura intenzionale.</w:t>
      </w:r>
    </w:p>
    <w:p>
      <w:pPr>
        <w:spacing w:after="120" w:line="276"/>
        <w:jc w:val="both"/>
      </w:pPr>
      <w:r>
        <w:rPr>
          <w:rFonts w:ascii="Barlow Semi Condensed" w:cs="Barlow Semi Condensed" w:eastAsia="Barlow Semi Condensed" w:hAnsi="Barlow Semi Condensed"/>
          <w:sz w:val="24"/>
          <w:szCs w:val="24"/>
        </w:rPr>
        <w:t xml:space="preserve">Il terzo pilastro è la questione della trattativa e dei canali, che il registro tratta per la sua rilevanza sul piano della condotta. Accanto alla linea ufficiale della fermezza, gli atti documentano l'attivazione di canali non ufficiali: le esplorazioni dell'area socialista attraverso intermediari verso l'ambiente dell'organizzazione, documentate al Livello A dalle testimonianze convergenti dei protagonisti; e i sondaggi verso ambienti della criminalità organizzata per la localizzazione della prigione, riferiti da una pluralità di collaboratori di giustizia e di atti parlamentari, secondo cui esponenti della malavita romana e di organizzazioni meridionali furono interpellati, con esiti nulli o interrotti; il registro certifica al Livello B l'esistenza di tali sondaggi, quale convergenza di fonti dichiarative plurime di diversa provenienza, e mantiene al Livello C ogni ricostruzione dei loro sviluppi e delle ragioni della loro sterilità. L'annotazione sistemica è dovuta: la circostanza che lo Stato, nel suo momento di massima emergenza, abbia sondato il Dominio 1 quale possessore di capacità informativa territoriale superiore alla propria è, nei limiti della certificazione, un reperto sulla distribuzione reale della conoscenza del territorio che l'intera opera registra.</w:t>
      </w:r>
    </w:p>
    <w:p>
      <w:pPr>
        <w:spacing w:after="120" w:line="276"/>
        <w:jc w:val="both"/>
      </w:pPr>
      <w:r>
        <w:rPr>
          <w:rFonts w:ascii="Barlow Semi Condensed" w:cs="Barlow Semi Condensed" w:eastAsia="Barlow Semi Condensed" w:hAnsi="Barlow Semi Condensed"/>
          <w:sz w:val="24"/>
          <w:szCs w:val="24"/>
        </w:rPr>
        <w:t xml:space="preserve">Il registro chiude il quadro istituzionale con il dato della responsabilità politica assunta: la mattina del 9 maggio, alla notizia del ritrovamento del corpo, il ministro dell'interno Francesco Cossiga, titolare della gestione della crisi e dei comitati, rassegnò le dimissioni, motivandole con il fallimento dell'azione di ricerca e protezione; il registro certifica al Livello A le dimissioni quale unico atto formale di assunzione di responsabilità istituzionale dell'intera vicenda, e annota che il nome di Cossiga ricorre nel corpus 343 volte in 40 documenti, misura della centralità della sua posizione in ogni successiva ricostruzione dei 55 giorni, incluse le sue stesse dichiarazioni pubbliche dei decenni seguenti, che il registro tratta quale apparato di fonte protagonista, ricco, mutevole e da riscontrare enunciato per enunciato.</w:t>
      </w:r>
    </w:p>
    <w:p>
      <w:pPr>
        <w:spacing w:after="120" w:line="276"/>
        <w:jc w:val="both"/>
      </w:pPr>
      <w:r>
        <w:rPr>
          <w:rFonts w:ascii="Barlow Semi Condensed" w:cs="Barlow Semi Condensed" w:eastAsia="Barlow Semi Condensed" w:hAnsi="Barlow Semi Condensed"/>
          <w:sz w:val="24"/>
          <w:szCs w:val="24"/>
        </w:rPr>
        <w:t xml:space="preserve">Il quarto pilastro è la presenza del consulente americano, che il registro certifica nei fatti e disciplina nelle dichiarazioni. Nei primi giorni del sequestro giunse a Roma, su richiesta italiana al governo degli Stati Uniti, un esperto del Dipartimento di Stato in gestione di crisi e negoziazione, Steve Pieczenik, che operò per alcune settimane presso il Ministero dell'interno a supporto del comitato di crisi, ripartendo prima della conclusione della vicenda. Il registro certifica al Livello A la presenza, la collocazione e la durata della consulenza, quali fatti documentati negli atti parlamentari; e disciplina l'apparato dichiarativo successivo del consulente, che a distanza di decenni ha reso, in sedi giornalistiche e in audizioni, ricostruzioni del proprio ruolo di crescente drammaticità, sino ad attribuire alla gestione della crisi strategie deliberate di sacrificio dell'ostaggio: il registro le assume quali dichiarazioni tardive, mutevoli nelle versioni e prive di riscontro documentale coevo, e le mantiene al Livello C, certificando al Livello A soltanto ciò che la presenza documenta di per sé, l'esistenza di un canale consultivo diretto tra la gestione italiana della crisi e l'apparato della potenza alleata, attivo nelle settimane centrali del sequestro: un arco di Livello A tra il piano secondo e la dimensione atlantica, il cui contenuto operativo resta ai livelli inferiori.</w:t>
      </w:r>
    </w:p>
    <w:p>
      <w:pPr>
        <w:spacing w:after="120" w:line="276"/>
        <w:jc w:val="both"/>
      </w:pPr>
      <w:r>
        <w:rPr>
          <w:rFonts w:ascii="Barlow Semi Condensed" w:cs="Barlow Semi Condensed" w:eastAsia="Barlow Semi Condensed" w:hAnsi="Barlow Semi Condensed"/>
          <w:sz w:val="24"/>
          <w:szCs w:val="24"/>
        </w:rPr>
        <w:t xml:space="preserve">Il quinto pilastro è la questione delle intestazioni di via Gradoli, che completa il censimento delle anomalie. Le inchieste parlamentari accertarono che nello stabile del civico 96, e in immobili contigui della medesima strada, una quota cospicua di appartamenti risultava riconducibile, attraverso intestazioni societarie e fiduciarie, ad ambienti collegati ai servizi di sicurezza, che ne avevano fatto un'area di appoggi riservati; la base della colonna romana operò dunque, per mesi, in un contesto immobiliare frequentato dagli apparati. Il registro certifica al Livello B questa configurazione, quale risultanza delle ricognizioni parlamentari sulle intestazioni, e applica il divieto nella forma più stretta: la coabitazione topografica tra il covo e gli appoggi degli apparati è un dato di convergenza spaziale del Pattern 10, certificato quale configurazione; ogni inferenza di conoscenza o tolleranza resta al Livello C, e il registro annota che questo caso, la più stretta convergenza spaziale non spiegata dell'opera, è il luogo dove la distinzione tra il pattern e la prova va tenuta con la massima fermezza, giacché la suggestione topografica è qui al suo massimo e la documentazione del nesso al suo minimo.</w:t>
      </w:r>
    </w:p>
    <w:p>
      <w:pPr>
        <w:spacing w:after="120" w:line="276"/>
        <w:jc w:val="both"/>
      </w:pPr>
      <w:r>
        <w:rPr>
          <w:rFonts w:ascii="Barlow Semi Condensed" w:cs="Barlow Semi Condensed" w:eastAsia="Barlow Semi Condensed" w:hAnsi="Barlow Semi Condensed"/>
          <w:sz w:val="24"/>
          <w:szCs w:val="24"/>
        </w:rPr>
        <w:t xml:space="preserve">Il sesto pilastro scandisce la sequenza dei comunicati dell'organizzazione, l'ossatura comunicativa dei 55 giorni, che il registro fissa con le date quale apparato certificato al Livello A. Il comunicato numero 1, del 18 marzo, rivendicò l'azione e recò la prima fotografia del prigioniero davanti alla bandiera dell'organizzazione, annunciando il processo; il numero 2, del 25 marzo, e il numero 3, del 29 marzo, svilupparono la cornice del processo al regime, e con il terzo giunse la prima lettera, quella al ministro dell'interno; il numero 4, del 4 aprile, e il numero 5, del 10 aprile, proseguirono la scansione, respingendo le letture riduttive della prigionia; il numero 6, del 15 aprile, annunciò la conclusione del processo e la condanna a morte del prigioniero, portando la crisi alla soglia terminale; il 18 aprile circolò il falso comunicato numero 7, l'annuncio della morte al lago della Duchessa, cui l'organizzazione rispose il 20 aprile con il comunicato numero 7 autentico, accompagnato dalla fotografia del prigioniero con la prima pagina di un quotidiano del 19 aprile, prova di vita e smentita del falso, e con un ultimatum di 48 ore; il numero 8, del 24 aprile, formulò la richiesta di scambio nella sua forma esplicita, la liberazione di 13 detenuti nominativamente elencati; il numero 9, del 5 maggio, annunciò l'esecuzione della sentenza con la formula della conclusione della battaglia, cui seguirono, il 9 maggio, la telefonata e il ritrovamento. Il registro certifica la sequenza quale spina documentale della crisi e ne trae 2 annotazioni: la simmetria informativa rovesciata, per cui durante i 55 giorni l'organizzazione clandestina dettò i tempi della comunicazione pubblica mentre lo Stato inseguiva, è un dato strutturale della vicenda che il Dominio 8 dell'opera registra; e l'inserzione del falso comunicato esattamente tra l'annuncio della condanna e la prova di vita, nel punto di massima tensione della sequenza, misura la precisione chirurgica dell'operazione diversiva, quale che ne sia stata la regia.</w:t>
      </w:r>
    </w:p>
    <w:p>
      <w:pPr>
        <w:spacing w:after="120" w:line="276"/>
        <w:jc w:val="both"/>
      </w:pPr>
      <w:r>
        <w:rPr>
          <w:rFonts w:ascii="Barlow Semi Condensed" w:cs="Barlow Semi Condensed" w:eastAsia="Barlow Semi Condensed" w:hAnsi="Barlow Semi Condensed"/>
          <w:sz w:val="24"/>
          <w:szCs w:val="24"/>
        </w:rPr>
        <w:t xml:space="preserve">Il settimo pilastro ricostruisce la trama dei canali di trattativa, quale gli atti la consegnano. L'iniziativa più strutturata fu quella socialista: il segretario Bettino Craxi, con il coordinamento di Claudio Signorile, costruì un canale verso l'organizzazione attraverso intermediari dell'area dell'autonomia romana, Lanfranco Pace e Franco Piperno, in contatto con l'ala della colonna romana rappresentata da Valerio Morucci e Adriana Faranda, contraria alla soluzione terminale; l'obiettivo dichiarato era un atto autonomo di clemenza dello Stato, sganciato dallo scambio, e la candidata individuata fu la detenuta Paola Besuschio, la cui posizione giuridica avrebbe consentito una grazia, ipotesi che si arenò sugli ostacoli tecnici e sull'opposizione politica della maggioranza; il registro certifica al Livello A l'esistenza, gli attori e l'oggetto del canale, quali risultanze convergenti degli atti parlamentari e delle testimonianze dei protagonisti di ogni versante, e al Livello B la ricostruzione dei suoi passaggi interni. Parallelamente operarono gli appelli: quello pubblico del segretario generale delle Nazioni Unite Waldheim, quello del Pontefice del 21 aprile, censito nel capitolo dell'epilogo, e la posizione della famiglia, che dai comunicati e dalle lettere sollecitò lo Stato alla trattativa dissociandosi progressivamente dalla linea ufficiale, sino alla rottura consumata nelle disposizioni finali del prigioniero. L'ultimo movimento documentato è quello del 9 maggio: per convergenti testimonianze di dirigenti democristiani, la direzione del partito convocata per quella mattina avrebbe dovuto registrare l'apertura di Amintore Fanfani a un gesto umanitario, maturata nei giorni precedenti; la notizia del ritrovamento del corpo giunse prima che la riunione deliberasse. Il registro certifica al Livello B questa ricostruzione dell'ultimo giorno, quale convergenza testimoniale non consacrata da atti, e la registra senza inferenze sulla sequenza, annotando soltanto il dato cronologico certificato: l'esecuzione precedette di ore l'unico spiraglio politico documentato dell'intera crisi.</w:t>
      </w:r>
    </w:p>
    <w:p>
      <w:pPr>
        <w:spacing w:after="120" w:line="276"/>
        <w:jc w:val="both"/>
      </w:pPr>
      <w:r>
        <w:rPr>
          <w:rFonts w:ascii="Barlow Semi Condensed" w:cs="Barlow Semi Condensed" w:eastAsia="Barlow Semi Condensed" w:hAnsi="Barlow Semi Condensed"/>
          <w:sz w:val="24"/>
          <w:szCs w:val="24"/>
        </w:rPr>
        <w:t xml:space="preserve">L'ottavo pilastro censisce il comitato di esperti e ne integra la compresenza già certificata. Accanto ai comitati operativi, il ministro dell'interno istituì, nei primi giorni di aprile, un comitato di consulenza composto da specialisti di criminologia, psichiatria, analisi dei testi e gestione delle crisi, incaricato di valutare i comunicati, le lettere e lo stato del prigioniero: ne fecero parte, tra gli altri, il criminologo Franco Ferracuti e, quale consulente esterno, l'esperto americano già censito. Il registro certifica al Livello A l'istituzione, la composizione e la funzione del comitato, quali risultanze degli atti, e certifica al Livello A, sul fondamento degli elenchi sequestrati nel 1981 e degli accertamenti della Commissione Anselmi, che il nome di Ferracuti figura tra gli iscritti alla loggia P2: la compresenza piduista nella gestione della crisi, già certificata per i vertici dei servizi, si estende dunque, per documento, anche all'organo di consulenza, e il registro la registra quale ampliamento del medesimo reperto, sotto il medesimo divieto inferenziale. La funzione analitica del comitato, le cui valutazioni sulla condizione del prigioniero alimentarono la tesi pubblica della coartazione totale, appartiene alla vicenda delle lettere che il capitolo successivo disciplina, e il registro vi rinvia annotando sin d'ora il punto di saldatura: l'organo che certificò pubblicamente la non attendibilità della voce del prigioniero era, nella sua composizione, parte del sistema di compresenze che il piano secondo documenta.</w:t>
      </w:r>
    </w:p>
    <w:p>
      <w:pPr>
        <w:spacing w:after="120" w:line="276"/>
        <w:jc w:val="both"/>
      </w:pPr>
      <w:r>
        <w:rPr>
          <w:rFonts w:ascii="Barlow Semi Condensed" w:cs="Barlow Semi Condensed" w:eastAsia="Barlow Semi Condensed" w:hAnsi="Barlow Semi Condensed"/>
          <w:sz w:val="24"/>
          <w:szCs w:val="24"/>
        </w:rPr>
        <w:t xml:space="preserve">Il nono pilastro fissa i numeri della macchina delle ricerche, quali i consuntivi ministeriali riportati dagli atti parlamentari li consegnano. Nei 55 giorni furono effettuati oltre 72.000 posti di blocco, condotte circa 37.000 perquisizioni domiciliari, controllate oltre 6 milioni di persone e centinaia di migliaia di veicoli, con l'impiego quotidiano di decine di migliaia di uomini delle forze di polizia e, per i controlli del territorio, di reparti delle forze armate; il registro certifica al Livello A questi ordini di grandezza, quali dati ufficiali, e li compone con l'esito già certificato, la mancata individuazione della prigione, del prigioniero e di alcun componente dell'organizzazione per l'intera durata della crisi. La composizione produce il reperto quantitativo della fase: il più imponente dispiegamento di forze della storia repubblicana per un singolo obiettivo produsse un risultato investigativo nullo, e questa sproporzione certificata tra input e output è il fatto che ogni lettura del piano secondo deve spiegare; il registro annota le 2 spiegazioni compatibili con i dati, l'efficienza della compartimentazione avversaria unita all'inefficienza strutturale di un apparato privo di coordinamento e di intelligence sul terrorismo, documentata dagli atti sulla dissoluzione dei nuclei specializzati alla vigilia della crisi, e la lettura del condizionamento, che il divieto mantiene al suo livello, e osserva che la prima spiegazione, integralmente documentabile, è sufficiente a rendere conto del dato senza residui logici, il che non prova la sua verità ma misura, secondo il metodo delle ipotesi concorrenti, la non necessità della seconda.</w:t>
      </w:r>
    </w:p>
    <w:p>
      <w:pPr>
        <w:spacing w:after="120" w:line="276"/>
        <w:jc w:val="both"/>
      </w:pPr>
      <w:r>
        <w:rPr>
          <w:rFonts w:ascii="Barlow Semi Condensed" w:cs="Barlow Semi Condensed" w:eastAsia="Barlow Semi Condensed" w:hAnsi="Barlow Semi Condensed"/>
          <w:sz w:val="24"/>
          <w:szCs w:val="24"/>
        </w:rPr>
        <w:t xml:space="preserve">Il decimo pilastro censisce il quadro normativo e politico dei 55 giorni. Sul versante normativo, il governo rispose con la decretazione d'urgenza: il decreto-legge del 21 marzo 1978, convertito nelle settimane successive, ampliò i poteri di fermo e di perquisizione, introdusse la possibilità di interrogatorio urgente senza le garanzie ordinarie in casi di sequestro e autorizzò le intercettazioni preventive, disegnando la legislazione emergenziale che sarebbe rimasta, con gli sviluppi del 1979-1980, la cornice del decennio; il registro certifica al Livello A il provvedimento e i suoi contenuti, quale dato normativo. Sul versante politico, le posizioni dei partiti si distribuirono secondo la geometria documentata: la Democrazia Cristiana e il Partito comunista sostennero la linea della fermezza, il secondo con la rigidità maggiore, per la necessità, dichiarata dai suoi dirigenti, di certificare la propria affidabilità di Stato nel momento dell'ingresso in maggioranza; il Partito socialista assunse, dalla metà di aprile, la linea umanitaria censita nel pilastro dei canali; le forze minori si distribuirono tra i 2 poli; il registro certifica al Livello A la geometria, quale materia degli atti parlamentari e congressuali, e ne annota il portato strutturale: la fermezza fu la politica di una maggioranza reale, non di un apparato, e ogni ipotesi sul piano terzo che postuli una gestione contro la volontà politica deve misurarsi con il dato che la volontà politica documentata, maggioritaria e bipartisan, coincise con l'esito.</w:t>
      </w:r>
    </w:p>
    <w:p>
      <w:pPr>
        <w:spacing w:after="120" w:line="276"/>
        <w:jc w:val="both"/>
      </w:pPr>
      <w:r>
        <w:rPr>
          <w:rFonts w:ascii="Barlow Semi Condensed" w:cs="Barlow Semi Condensed" w:eastAsia="Barlow Semi Condensed" w:hAnsi="Barlow Semi Condensed"/>
          <w:sz w:val="24"/>
          <w:szCs w:val="24"/>
        </w:rPr>
        <w:t xml:space="preserve">L'undicesimo pilastro registra l'ultima interlocuzione diretta, la telefonata del 30 aprile 1978. Quel pomeriggio Mario Moretti chiamò l'abitazione di Moro e parlò a lungo con la moglie Eleonora: la conversazione, intercettata e registrata, è l'unico contatto vocale documentato tra il capo dell'operazione e la famiglia, e in essa Moretti, senza declinare la propria identità ma parlando quale portavoce dei carcerieri, rappresentò che soltanto un intervento immediato e pubblico della Democrazia Cristiana nel senso dello scambio avrebbe potuto salvare la vita del prigioniero, definendo esaurito ogni margine ulteriore; il registro certifica al Livello A l'esistenza, la data, la registrazione e il contenuto della telefonata, quale documento sonoro agli atti, e ne dichiara il rilievo duplice: essa è, sul piano primo, la prova diretta della gestione unipersonale della comunicazione da parte di Moretti sino alla soglia finale, e, sul piano della cronologia politica, essa fissa al 30 aprile la formulazione esplicita dell'alternativa che i 9 giorni successivi avrebbero sciolto nel senso certificato; il registro annota che la famiglia trasmise il contenuto ai vertici del partito, e che la sequenza documentata telefonata-comunicato finale-esecuzione-spiraglio fanfaniano compone il calendario terminale della crisi nella forma che il settimo pilastro ha fissato.</w:t>
      </w:r>
    </w:p>
    <w:p>
      <w:pPr>
        <w:spacing w:after="120" w:line="276"/>
        <w:jc w:val="both"/>
      </w:pPr>
      <w:r>
        <w:rPr>
          <w:rFonts w:ascii="Barlow Semi Condensed" w:cs="Barlow Semi Condensed" w:eastAsia="Barlow Semi Condensed" w:hAnsi="Barlow Semi Condensed"/>
          <w:sz w:val="24"/>
          <w:szCs w:val="24"/>
        </w:rPr>
        <w:t xml:space="preserve">Il dodicesimo pilastro censisce lo stato dell'apparato antiterrorismo alla vigilia, il dato istituzionale che governa la lettura dell'inefficienza. Nei mesi immediatamente precedenti il sequestro, nel quadro della riorganizzazione seguita alla riforma dei servizi del 1977, l'Ispettorato generale per la lotta al terrorismo diretto dal questore Emilio Santillo, la struttura specializzata che aveva condotto la stagione investigativa della metà del decennio, fu disciolto e il suo patrimonio di uomini, archivi e conoscenze disperso tra le nuove articolazioni, sicché il 16 marzo 1978 lo Stato affrontò la massima crisi terroristica della propria storia nell'esatto momento di minima capacità specialistica, con i nuclei antiterrorismo dell'Arma parimenti riassorbiti dal 1975 e i nuovi servizi operativi da poche settimane sotto i vertici che la fase ha censito; il registro certifica al Livello A lo scioglimento, la sua collocazione temporale e la dispersione delle competenze, quali dati ordinamentali documentati dagli atti parlamentari, e ne dichiara la funzione capitale nella competizione delle ipotesi: la sincronia tra lo smantellamento della capacità specialistica e l'attacco che quella capacità avrebbe dovuto fronteggiare è il fatto che la lettura dell'inefficienza strutturale pone a proprio fondamento, giacché documenta una causa sufficiente del fallimento delle ricerche interna all'ordinamento, e che la lettura del condizionamento rilegge quale predisposizione, al prezzo del divieto; il registro certifica la sincronia, quale fatto datato, e la consegna, con questa doppia valenza dichiarata, al piano delle ipotesi.</w:t>
      </w:r>
    </w:p>
    <w:p>
      <w:pPr>
        <w:spacing w:after="120" w:line="276"/>
        <w:jc w:val="both"/>
      </w:pPr>
      <w:r>
        <w:rPr>
          <w:rFonts w:ascii="Barlow Semi Condensed" w:cs="Barlow Semi Condensed" w:eastAsia="Barlow Semi Condensed" w:hAnsi="Barlow Semi Condensed"/>
          <w:sz w:val="24"/>
          <w:szCs w:val="24"/>
        </w:rPr>
        <w:t xml:space="preserve">Il tredicesimo pilastro distende il dettaglio di via Gradoli, la sequenza che il quinto pilastro ha censito nelle intestazioni e che qui riceve la sua meccanica. L'appartamento di via Gradoli 96, base operativa romana di Moretti e della Balzerani, condotto in locazione sotto il falso nome dell'ingegner Borghi, attraversò indenne le prime settimane delle ricerche: gli atti documentano che nei controlli a tappeto del condominio, nei giorni immediatamente successivi al sequestro, l'appartamento non fu aperto, non avendo gli operanti forzato l'uscio dinanzi al mancato riscontro, secondo la prassi allora seguita per le abitazioni senza elementi specifici; la scoperta giunse il 18 aprile per la via non investigativa che gli atti certificano, l'allagamento dell'appartamento sottostante provocato dal getto della doccia lasciato aperto contro una fessura della parete, l'intervento idraulico condominiale e l'apertura conseguente, che rivelò il covo abbandonato con armi, documenti e materiali; e la data della scoperta coincide, nel calendario certificato, con il giorno della diffusione del falso comunicato del lago della Duchessa. Il registro certifica al Livello A l'intera sequenza, la mancata apertura originaria, la meccanica idraulica della scoperta, il contenuto del covo e la coincidenza di calendario, quali dati di verbale; mantiene al Livello C ogni lettura unificante, dalla segnalazione occulta mascherata da guasto alla pura convergenza casuale, e annota che la giornata del 18 aprile 1978, con la compresenza certificata del più efficace depistaggio della crisi e della più anomala scoperta della crisi, è la finestra critica di massima densità dell'intero Pattern 3 della fase, il punto del calendario in cui il registro conta il maggior numero di fatti certificati non spiegati per unità di tempo.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condotta del sistema informativo, l'arco della fase verso il Dominio 8 nella sua dimensione strutturale. Durante i 55 giorni i quotidiani pubblicarono integralmente i comunicati dell'organizzazione e riprodussero le fotografie del prigioniero, trasformando ogni recapito in un evento informativo nazionale entro poche ore; il dibattito sull'opportunità di un contenimento informativo, il cosiddetto black-out, attraversò le redazioni e le sedi politiche senza mai tradursi in misure, e la crisi si svolse perciò in condizioni di amplificazione integrale, con l'organizzazione in grado di raggiungere l'intera opinione pubblica alla velocità della stampa; il registro certifica al Livello A la condotta del sistema e l'assenza di misure di contenimento, quali dati documentali della collezione giornalistica e degli atti, e ne trae la formalizzazione reticolare: nella struttura della crisi, il sistema informativo operò quale moltiplicatore involontario della strategia comunicativa dell'organizzazione, un ruolo funzionale certificato negli effetti e non nelle intenzioni, che si somma al monopolio iconografico censito nel capitolo dell'epilogo e completa il quadro del Dominio 8 nella fase: un dominio attraversato, nei 55 giorni, da 3 flussi distinti e certificati, l'amplificazione strutturale della stampa ordinaria, l'inquinamento mirato del falso comunicato e l'alimentazione riservata della testata censita nel capitolo ottavo, la compresenza dei quali in un unico teatro è, per il registro, il ritratto compiuto del sistema informativo italiano della stagione.</w:t>
      </w:r>
    </w:p>
    <w:p>
      <w:pPr>
        <w:spacing w:after="120" w:line="276"/>
        <w:jc w:val="both"/>
      </w:pPr>
      <w:r>
        <w:rPr>
          <w:rFonts w:ascii="Barlow Semi Condensed" w:cs="Barlow Semi Condensed" w:eastAsia="Barlow Semi Condensed" w:hAnsi="Barlow Semi Condensed"/>
          <w:sz w:val="24"/>
          <w:szCs w:val="24"/>
        </w:rPr>
        <w:t xml:space="preserve">Il quindicesimo pilastro censisce la questione dei verbali, l'ultima assenza documentale della gestione. Le Commissioni parlamentari hanno accertato che i comitati di crisi operanti al Viminale durante i 55 giorni, gli organismi nei quali sedettero i vertici degli apparati e i consulenti censiti, non produssero verbalizzazione sistematica delle proprie riunioni: delle sedute quotidiane della cabina della più grave crisi della storia repubblicana non esiste un corpus di verbali, ordini del giorno e decisioni tracciate, e la ricostruzione dell'attività dei comitati è dovuta procedere, nelle sedi parlamentari, per testimonianze postume dei partecipanti, spesso divergenti tra loro; il registro certifica al Livello A l'assenza di verbalizzazione sistematica, quale dato accertato dagli atti parlamentari, e la classifica con la precisione che la propria tassonomia consente: essa non appartiene alla serie dei 5 buchi strutturali del repertorio, che riguardano materiali esistiti e scomparsi o esistenti e inaccessibili, ma alla specie distinta della documentazione mai prodotta, l'assenza per omissione originaria e non per sottrazione successiva, che la Fase 3 ha già incontrato nelle prassi degli apparati e che qui raggiunge il vertice dell'ordinamento civile; e ne dichiara il portato analitico, che è severo per ogni lettura: per la lettura ordinaria, l'omessa verbalizzazione documenta l'improvvisazione amministrativa di un apparato senza dottrina della crisi, ed è essa stessa una spiegazione dell'inefficienza; per la lettura del condizionamento, essa è la condizione di possibilità di ogni condotta non tracciata, e il divieto inferenziale, che il registro ribadisce, vieta di derivarne alcunché oltre il fatto; per il metodo dell'opera, essa è la ragione per cui il piano secondo del caso Moro è destinato a restare, in parte, strutturalmente inaccertabile, giacché la storia di una gestione che non si è scritta può essere ricostruita soltanto per testimonianze, e le testimonianze, il registro lo ha documentato, divergono.</w:t>
      </w:r>
    </w:p>
    <w:p>
      <w:pPr>
        <w:spacing w:after="120" w:line="276"/>
        <w:jc w:val="both"/>
      </w:pPr>
      <w:r>
        <w:rPr>
          <w:rFonts w:ascii="Barlow Semi Condensed" w:cs="Barlow Semi Condensed" w:eastAsia="Barlow Semi Condensed" w:hAnsi="Barlow Semi Condensed"/>
          <w:sz w:val="24"/>
          <w:szCs w:val="24"/>
        </w:rPr>
        <w:t xml:space="preserve">Il sedicesimo pilastro censisce gli esiti amministrativi e disciplinari della gestione, il dato in negativo che chiude il capitolo. All'esito del fallimento certificato, il più grave della storia dell'ordine pubblico repubblicano, l'ordinamento non produsse alcuna sanzione: nessun dirigente degli apparati di sicurezza fu rimosso, sospeso o sottoposto a procedimento disciplinare per le condotte dei 55 giorni, nessuna inchiesta amministrativa interna approdò a rilievi individuali, e le carriere dei responsabili della gestione proseguirono nei percorsi ordinari, in taluni casi con avanzamenti, sino agli approdi che le vicende successive, dallo scandalo della loggia in poi, avrebbero autonomamente determinato; l'unico atto di responsabilità dell'intera vicenda restò quello politico e volontario, le dimissioni del ministro dell'interno la mattina del 9 maggio. Il registro certifica al Livello A l'assenza di sanzioni e di rilievi disciplinari, quale fatto amministrativo documentato dagli atti parlamentari che invano lo censirono, e ne dichiara il valore di reperto strutturale: la mancata attivazione di qualsiasi circuito di responsabilità amministrativa dopo il massimo fallimento operativo dello Stato è un dato che il registro trascrive senza inferenze e che ciascuna lettura del piano secondo incorpora nel proprio senso, l'inefficienza strutturale leggendovi la conferma dell'assenza di una cultura della responsabilità negli apparati dell'epoca, il condizionamento leggendovi la protezione degli esecutori di una gestione voluta; il registro annota che il dato, quale che ne sia la lettura, produsse una conseguenza certificata sulla storia successiva, la permanenza ai vertici, sino allo scandalo del 1981, degli uomini della gestione, sicché la stagione che va dal caso Moro alla scoperta degli elenchi di Castiglion Fibocchi fu amministrata, negli apparati, dalla medesima classe dirigente che il caso aveva visto all'opera, una continuità che la Fase 2 ha documentato dal proprio versante e che la fase qui certifica dal proprio.</w:t>
      </w:r>
    </w:p>
    <w:p>
      <w:pPr>
        <w:spacing w:after="120" w:line="276"/>
        <w:jc w:val="both"/>
      </w:pPr>
      <w:r>
        <w:rPr>
          <w:rFonts w:ascii="Barlow Semi Condensed" w:cs="Barlow Semi Condensed" w:eastAsia="Barlow Semi Condensed" w:hAnsi="Barlow Semi Condensed"/>
          <w:sz w:val="24"/>
          <w:szCs w:val="24"/>
        </w:rPr>
        <w:t xml:space="preserve">Il diciassettesimo pilastro censisce il canale telefonico dell'organizzazione, l'ultimo versante tecnico della gestione. I comunicati furono recapitati per l'intera crisi con la tecnica documentata delle telefonate brevissime alle redazioni dei quotidiani, che annunciavano il luogo del deposito, cabine pubbliche e cestini della città, con conversazioni di durata calcolatamente inferiore ai tempi tecnici di localizzazione dell'epoca; il sistema funzionò senza fallo per 9 comunicati e sino alla telefonata finale del 9 maggio, e nessuna delle chiamate fu mai tracciata in tempo utile né ricondotta a un'utenza identificata, con la sola eccezione documentale della telefonata del 30 aprile alla famiglia, registrata in entrata sull'utenza sorvegliata di via del Forte Trionfale ma parimenti non localizzata in partenza; il registro certifica al Livello A la tecnica, la sua costanza e il suo integrale successo, quali dati degli atti, e ne trae la doppia annotazione che il metodo impone. Sul piano del soggetto, la disciplina telefonica dell'organizzazione, mai una chiamata di troppo, mai un secondo di troppo, appartiene alla serie delle competenze di sicurezza che la fase ha censito, la compartimentazione, le intestazioni pulite, l'immobilità del prigioniero, e compone il ritratto tecnico di un avversario che non commise, in 55 giorni, un solo errore di comunicazione. Sul piano dello Stato, il fallimento integrale del tracciamento documenta il divario tecnologico e organizzativo dell'apparato del 1978, privo delle capacità di intercettazione dinamica che la stagione successiva avrebbe costruito, e la circostanza che la prima e unica registrazione utile sia venuta dalla sorveglianza statica dell'utenza familiare, non dalla ricerca attiva del chiamante, è la misura esatta di quel divario; il registro salda i 2 piani nel dato unico che essi compongono, l'asimmetria tecnica integrale tra le 2 parti della crisi, e lo consegna quale ulteriore fondamento documentato della spiegazione ordinaria del fallimento delle ricerche.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comitati di crisi-vertici dei servizi-loggia P2, è il triangolo della compresenza, certificato al Livello A con divieto inferenziale dichiarato. La seconda, Gradoli-lago della Duchessa-Chichiarelli, è il triangolo delle anomalie e del depistaggio, certificato al Livello A nei fatti, al Livello B nell'attribuzione del falso, al Livello C nella direzione. La terza, fermezza-canali non ufficiali-sondaggi verso la criminalità, è il triangolo della condotta duale, certificato al Livello A e al Livello B secondo i rami. Sul piano dei pattern, il nodo attiva il Pattern 8 nella sua forma istituzionale, la crisi quale evento che rese porosi i confini tra i domini, con lo Stato che si rivolge alla criminalità e la loggia dentro i comitati; e il Pattern 5, giacché il fallimento integrale di ricerche di quella scala è, esso stesso, il buco strutturale del piano secondo, un'assenza che il registro certifica quale fatto e consegna, quanto alla spiegazione, alla competizione tra le ipotesi, l'efficienza della compartimentazione brigatista contro ogni lettura ulteriore, che il metodo mantiene aperta.</w:t>
      </w:r>
    </w:p>
    <w:p>
      <w:pPr>
        <w:spacing w:after="120" w:line="276"/>
        <w:jc w:val="both"/>
      </w:pPr>
      <w:r>
        <w:rPr>
          <w:rFonts w:ascii="Barlow Semi Condensed" w:cs="Barlow Semi Condensed" w:eastAsia="Barlow Semi Condensed" w:hAnsi="Barlow Semi Condensed"/>
          <w:sz w:val="24"/>
          <w:szCs w:val="24"/>
        </w:rPr>
        <w:t xml:space="preserve">Tra le anomalie della caccia il registro deve censire, con la disciplina che il suo statuto impone alle fonti aberranti, l'episodio del 2 aprile 1978: la seduta spiritica tenutasi in una casa di campagna del Bolognese, alla presenza di un gruppo di docenti universitari, nel corso della quale, secondo le testimonianze poi rese anche in sede parlamentare, il piattino compose tra gli altri il nome Gradoli; la segnalazione, trasmessa per canali accademici ed istituzionali, orientò una perquisizione nel comune di Gradoli, nel Viterbese, condotta il 6 aprile con esito negativo, mentre la via Gradoli di Roma, dove l'appartamento brigatista era operativo, rimase estranea a quella verifica sino alla scoperta del 18 aprile per la via idraulica che il capitolo ha certificato, Livello A quanto alla materialità dell'episodio, delle testimonianze e della perquisizione, Livello C quale valore conoscitivo della fonte medianica in sé, che il registro esclude per statuto. L'episodio vale, nella contabilità del nodo, quale reperto doppio: sulla qualità del setaccio, che processò una segnalazione paranormale con maggior sollecitudine di quanta ne ricevettero convergenze ordinarie agli atti, e sulla sociologia della disperazione istituzionale, che nella terza settimana del sequestro accoglieva ogni voce. Il registro, che non pratica l'ironia, si limita a fissare la geometria: tra il tavolino e il tubo dell'acqua, i 2 canali che condussero il nome e il luogo, non figura, negli atti, il canale che avrebbe dovuto, l'investigazione ordinaria, ed è questa assenza, non la stranezza degli altri 2, il dato che la fase consegna.</w:t>
      </w:r>
    </w:p>
    <w:p>
      <w:pPr>
        <w:spacing w:after="120" w:line="276"/>
        <w:jc w:val="both"/>
      </w:pPr>
      <w:r>
        <w:rPr>
          <w:rFonts w:ascii="Barlow Semi Condensed" w:cs="Barlow Semi Condensed" w:eastAsia="Barlow Semi Condensed" w:hAnsi="Barlow Semi Condensed"/>
          <w:sz w:val="24"/>
          <w:szCs w:val="24"/>
        </w:rPr>
        <w:t xml:space="preserve">Al perimetro dei comitati appartiene infine la componente consulenziale esterna, che il registro censisce nella sua materialità documentata: nelle prime settimane operò a Roma, su richiesta del Ministero dell'interno, un esperto di gestione delle crisi e di guerra psicologica proveniente dal Dipartimento di Stato americano, Steve Pieczenik, la cui presenza nei circuiti della gestione è attestata dagli atti e dalle ricostruzioni parlamentari, e la cui consulenza si interruppe prima dell'epilogo, Livello A quanto alla presenza ed alla sua finestra temporale. Le narrazioni che il consulente avrebbe consegnato a distanza di decenni, in interviste e memorie, circa gli orientamenti maturati nei comitati, appartengono al genere della fonte tardiva di parte e restano al Livello C, prive di riscontro documentale autonomo: il registro le censisce per completezza e le sigilla, annotando il paradosso ormai familiare, l'esperto di guerra psicologica divenuto, a babbo morto, il narratore più citato della guerra psicologica altrui. Quanto al fronte politico interno, il quadro della fermezza già certificato va integrato con la sua eccezione organizzata: il Partito socialista assunse, dalla metà di aprile, una linea di iniziativa umanitaria esplorando canali verso l'area dell'autonomia e della dissidenza brigatista, per sondare uno scambio limitato che non ebbe esito, Livello A quanto all'iniziativa politica dichiarata e documentata, Livello B quanto alla consistenza operativa dei singoli canali, e questa asimmetria tra i 2 maggiori azionisti della solidarietà nazionale, la fermezza democristiano-comunista e l'esplorazione socialista, appartiene alla mappa politica dei 55 giorni quale suo terzo lato, meno illuminato e non meno documentato.</w:t>
      </w:r>
    </w:p>
    <w:p>
      <w:pPr>
        <w:spacing w:after="120" w:line="276"/>
        <w:jc w:val="both"/>
      </w:pPr>
      <w:r>
        <w:rPr>
          <w:rFonts w:ascii="Barlow Semi Condensed" w:cs="Barlow Semi Condensed" w:eastAsia="Barlow Semi Condensed" w:hAnsi="Barlow Semi Condensed"/>
          <w:sz w:val="24"/>
          <w:szCs w:val="24"/>
        </w:rPr>
        <w:t xml:space="preserve">La caccia va infine misurata nei suoi ordini di grandezza, che gli atti parlamentari consegnano e che il registro riporta quale reperto sulla forma dello sforzo: nei 55 giorni furono eseguiti, secondo le rendicontazioni acquisite dalla prima Commissione, decine di migliaia di posti di blocco, nell'ordine delle 70.000 unità, e decine di migliaia di perquisizioni domiciliari, nell'ordine delle 37.000, con l'impiego cumulato di centinaia di migliaia di uomini delle forze dell'ordine e dell'esercito nel più imponente dispositivo di ricerca della storia repubblicana, Livello A quanto agli ordini di grandezza rendicontati. Il registro giustappone al volume l'esito, che è il dato analitico: il dispositivo non individuò la prigione, non intercettò un solo trasferimento, non produsse un solo arresto risolutivo, e la sproporzione tra la massa dello sforzo e la nullità del risultato costituisce, nella lettura del piano secondo, un reperto a doppia faccia, leggibile tanto quale misura dell'efficienza della compartimentazione brigatista quanto quale sintomo di una macchina che setacciava in estensione ciò che andava cercato in profondità. La scelta tra le 2 letture, o la loro composizione, non appartiene al registro, che si limita a fissare il teorema quantitativo: 55 giorni, 70.000 sbarramenti, nessun varco, e la prigione a 4 chilometri dal luogo dell'agguato, dentro il perimetro che ogni cerchio concentrico della caccia aveva, per costruzione, già attraversato.</w:t>
      </w:r>
    </w:p>
    <w:p>
      <w:pPr>
        <w:spacing w:after="120" w:line="276"/>
        <w:jc w:val="both"/>
      </w:pPr>
      <w:r>
        <w:rPr>
          <w:rFonts w:ascii="Barlow Semi Condensed" w:cs="Barlow Semi Condensed" w:eastAsia="Barlow Semi Condensed" w:hAnsi="Barlow Semi Condensed"/>
          <w:sz w:val="24"/>
          <w:szCs w:val="24"/>
        </w:rPr>
        <w:t xml:space="preserve">Ai fronti censiti il registro aggiunge quello intellettuale, che appartiene al Dominio 8 e che i 55 giorni videro schierarsi con una nettezza senza precedenti: il dibattito pubblico sulla linea da tenere attraversò i giornali e le firme maggiori del Paese, contrapponendo gli argomenti della fermezza, sostenuti dalla gran parte della stampa d'opinione quale difesa dello Stato democratico, alle voci che sollevarono la questione del primato della vita, e la vicenda produsse, già nell'anno stesso, una letteratura di riflessione il cui esemplare capitale resta il saggio che Leonardo Sciascia dedicò all'affaire, lettura filologica delle lettere e requisitoria contro la rimozione in atto, Livello A quanto all'esistenza ed alla fisionomia del dibattito coevo, Livello C quanto alle singole ricostruzioni saggistiche in esso prodotte, che il registro censisce quali fonti interpretative e non documentali. Il reperto ha per la fase un valore preciso: i 55 giorni furono anche il primo grande caso italiano in cui la linea di condotta dello Stato si formò in diretta sotto osservazione mediatica totale, e la compattezza del fronte giornalistico della fermezza, misurabile nelle collezioni dei quotidiani, costituisce un dato di sistema del Dominio 8 che il piano secondo registra accanto agli altri: non quale prova di direzione occulta, che nessun accertamento ha consacrato, ma quale condizione ambientale documentata entro cui ogni decisione dei comitati venne assunta, il clima che non ordina e tuttavia orienta, la cornice che non è mai imputabile e non è mai neutra.</w:t>
      </w:r>
    </w:p>
    <w:p>
      <w:pPr>
        <w:spacing w:after="120" w:line="276"/>
        <w:jc w:val="both"/>
      </w:pPr>
      <w:r>
        <w:rPr>
          <w:rFonts w:ascii="Barlow Semi Condensed" w:cs="Barlow Semi Condensed" w:eastAsia="Barlow Semi Condensed" w:hAnsi="Barlow Semi Condensed"/>
          <w:sz w:val="24"/>
          <w:szCs w:val="24"/>
        </w:rPr>
        <w:t xml:space="preserve">La voce pubblica dell'organizzazione nei 55 giorni fu la serie dei comunicati, che il registro scandisce quale corpus unitario nella sua architettura a 3 movimenti, Livello A quanto a date, recapiti e contenuti documentali dell'intera serie. Il primo movimento è quello del processo: il comunicato numero 1, diffuso il 18 marzo con la prima fotografia del prigioniero sotto l'insegna dell'organizzazione, rivendicò l'operazione ed annunciò il processo politico al presidente democristiano dinanzi al tribunale del popolo; i comunicati numero 2 del 25 marzo e numero 3 del 29 marzo, quest'ultimo accompagnato dalla prima lettera a Cossiga, svilupparono la requisitoria contro il regime democristiano dichiarando che l'interrogatorio procedeva; il numero 4 del 4 aprile ed il numero 5 del 10 aprile proseguirono la narrazione processuale respingendo le letture della stampa sul prigioniero condizionato; il numero 6 del 15 aprile chiuse il movimento annunciando che il processo era concluso e che Aldo Moro era stato condannato a morte. Il secondo movimento è quello della verifica, aperto dal diversivo del 18 aprile che il capitolo ha già certificato nella sua falsità e chiuso dal comunicato numero 7 autentico del 20 aprile, con la seconda fotografia ed il quotidiano del giorno precedente quale prova di vita, e con l'ultimatum delle 48 ore che trasformò la condanna annunciata in negoziato a termine. Il terzo movimento è quello dello scambio negato: il comunicato numero 8 del 24 aprile formalizzò la richiesta, la liberazione di 13 detenuti indicati nominativamente, ponendo lo Stato dinanzi alla scelta binaria che la linea della fermezza aveva già sciolto in anticipo, ed il comunicato numero 9 del 5 maggio dichiarò conclusa la battaglia iniziata il 16 marzo annunciando l'esecuzione della sentenza, cui i 4 giorni successivi diedero adempimento.</w:t>
      </w:r>
    </w:p>
    <w:p>
      <w:pPr>
        <w:spacing w:after="120" w:line="276"/>
        <w:jc w:val="both"/>
      </w:pPr>
      <w:r>
        <w:rPr>
          <w:rFonts w:ascii="Barlow Semi Condensed" w:cs="Barlow Semi Condensed" w:eastAsia="Barlow Semi Condensed" w:hAnsi="Barlow Semi Condensed"/>
          <w:sz w:val="24"/>
          <w:szCs w:val="24"/>
        </w:rPr>
        <w:t xml:space="preserve">Il registro consegna la serie alla sua lettura strutturale, che la scansione rende possibile: i 9 comunicati non furono un bollettino ma una drammaturgia, costruita sulla forma-processo con la sua sequenza canonica, istruttoria, requisitoria, sentenza, esecuzione, ed il calco della liturgia giudiziaria dello Stato, rovesciata in tribunale del popolo, costituisce il reperto semiotico maggiore della campagna: l'organizzazione che negava la legittimità dello Stato ne mimava, per legittimarsi, esattamente le forme. Dentro questa architettura, la funzione di ciascun movimento è leggibile a posteriori con nettezza documentale: il primo costruì il tempo, dilatando in un mese la finzione istruttoria per capitalizzare l'attesa; il secondo verificò il mercato, saggiando con il diversivo e con l'ultimatum la disponibilità reale della controparte; il terzo chiuse i conti, scaricando sulla controparte immobile la responsabilità formale dell'esito. Che questa macchina retorica perfettamente coerente non abbia prodotto il risultato politico perseguito, il riconoscimento, lo scambio, la spaccatura del fronte, è il paradosso terminale che il registro annota: la campagna di comunicazione più studiata della storia del terrorismo europeo vinse tutte le proprie battaglie formali e perse la guerra, e l'organizzazione uscì dai 55 giorni militarmente intatta e politicamente avviata alla sconfitta che i capitoli della repressione successiva certificano.</w:t>
      </w:r>
    </w:p>
    <w:p>
      <w:pPr>
        <w:spacing w:after="120" w:line="276"/>
        <w:jc w:val="both"/>
      </w:pPr>
      <w:r>
        <w:rPr>
          <w:rFonts w:ascii="Barlow Semi Condensed" w:cs="Barlow Semi Condensed" w:eastAsia="Barlow Semi Condensed" w:hAnsi="Barlow Semi Condensed"/>
          <w:sz w:val="24"/>
          <w:szCs w:val="24"/>
        </w:rPr>
        <w:t xml:space="preserve">Il setaccio va infine misurato anche nella sua età istituzionale, che il registro certifica quale condizione strutturale della caccia: gli apparati informativi che affrontarono il sequestro erano, alla lettera, neonati, riformati dalla legge del 24 ottobre 1977 numero 801 che aveva soppresso il SID sostituendolo con i 2 nuovi servizi, militare e civile, sotto il coordinamento del comitato esecutivo, con i vertici insediati nel gennaio 1978 nelle persone che la Fase 2 ha censito, mentre sul versante della polizia l'ufficio centrale per le investigazioni generali e le operazioni speciali era stato istituito nelle medesime settimane, sicché l'intera architettura della sicurezza interna contava, al 16 marzo, poche settimane o pochi mesi di vita operativa, Livello A quanto alla cronologia istituzionale. Il registro consegna il dato alla sua doppia lettura, entrambe compatibili con i fatti e nessuna certificabile quale spiegazione esclusiva: la lettura funzionale, per cui la macchina fallì anche perché era in rodaggio, con gli archivi in trasloco, le competenze in ridefinizione e le catene di comando non collaudate, e la lettura strutturale, che la Fase 2 ha documentato, per cui il rodaggio avveniva sotto vertici la cui appartenenza alla loggia coperta è certificata, sicché l'inefficienza e l'inquinamento coabitarono nella medesima stagione senza che gli accertamenti abbiano mai separato, con forza di giudicato, il contributo dell'una da quello dell'altro. La finestra critica 1978-1981, che l'analisi temporale dell'opera ha isolato, trova qui la sua descrizione istituzionale compiuta: il sequestro cadde nell'esatto minimo storico di maturità del sistema informativo repubblicano, e questa coincidenza tra la massima prova e la minima preparazione resta, nel piano secondo, un fatto certificato in attesa di una spiegazione che lo sia altrettanto.</w:t>
      </w:r>
    </w:p>
    <w:p>
      <w:pPr>
        <w:spacing w:after="120" w:line="276"/>
        <w:jc w:val="both"/>
      </w:pPr>
      <w:r>
        <w:rPr>
          <w:rFonts w:ascii="Barlow Semi Condensed" w:cs="Barlow Semi Condensed" w:eastAsia="Barlow Semi Condensed" w:hAnsi="Barlow Semi Condensed"/>
          <w:sz w:val="24"/>
          <w:szCs w:val="24"/>
        </w:rPr>
        <w:t xml:space="preserve">Al patrimonio tecnico dei covi appartiene infine il reperto dattiloscopico irrisolto, che il registro censisce nel suo doppio strato: i rilievi eseguiti negli appartamenti della logistica romana, da via Gradoli a via Montalcini, consegnarono agli atti un numero cospicuo di frammenti di impronte, dei quali una parte fu attribuita nei decenni ai militanti identificati mentre una quota residua rimase priva di attribuzione, e la Commissione della XVII legislatura dispose la ricomparazione integrale del materiale con le banche dati e le tecnologie sopravvenute, ottenendo alcune attribuzioni tardive a militanti già noti dell'organizzazione ed ereditando, per il resto, un residuo non identificato che gli atti registrano quale tale, Livello A quanto ai rilievi ed alle ricomparazioni, Livello B quanto ai singoli esiti attributivi della stagione recente. Il registro assegna al residuo lo statuto che il metodo impone: la traccia non attribuita è un fatto certificato privo di significato certificato, compatibile tanto con presenze estranee mai identificate quanto con la fisiologia di ogni rilievo dattiloscopico, che raccoglie inevitabilmente frammenti di terzi irrilevanti, e la scelta tra le 2 letture non appartiene al registro ma alla futura eventualità di una comparazione risolutiva. Sino ad allora, il residuo resta nella categoria che il piano secondo ha istituito per i suoi simili: materia aperta, né prova né nulla, l'inventario di ciò che i covi hanno detto senza che nessuno, per ora, sappia tradurlo.</w:t>
      </w:r>
    </w:p>
    <w:p>
      <w:pPr>
        <w:spacing w:after="120" w:line="276"/>
        <w:jc w:val="both"/>
      </w:pPr>
      <w:r>
        <w:rPr>
          <w:rFonts w:ascii="Barlow Semi Condensed" w:cs="Barlow Semi Condensed" w:eastAsia="Barlow Semi Condensed" w:hAnsi="Barlow Semi Condensed"/>
          <w:sz w:val="24"/>
          <w:szCs w:val="24"/>
        </w:rPr>
        <w:t xml:space="preserve">Alla contabilità della caccia appartiene infine il suo vuoto tecnologico, che il registro censisce quale reperto sulla forma della clandestinità matura: l'imponente dispositivo di intercettazione attivato nei 55 giorni sulle utenze della famiglia, dei collaboratori, degli ambienti politici e dell'area radicale non raggiunse mai l'organizzazione, che condusse l'intera operazione in silenzio elettronico, affidando le comunicazioni operative ai contatti fisici ed ai recapiti e riservando il telefono alle sole irruzioni comunicative unilaterali, le chiamate di annuncio dei comunicati e le telefonate alla famiglia che i capitoli censiscono, effettuate da apparecchi pubblici e concluse prima di ogni possibilità di localizzazione, Livello A quanto al quadro complessivo risultante dagli atti. Il registro fissa l'asimmetria che ne discende: lo Stato ascoltò per 55 giorni la superficie legale del Paese e l'organizzazione non vi transitò mai, sicché il più vasto sforzo di sorveglianza elettronica sino ad allora dispiegato produsse, quale unico raccolto, la voce dell'avversario nei soli momenti in cui l'avversario scelse di farsi ascoltare. La lezione tecnica appartiene alla storia delle clandestinità: la compartimentazione brigatista fu anche, e forse soprattutto, disciplina delle comunicazioni, e la sua tenuta documenta che nel 1978 la superiorità tecnologica dello Stato era interamente neutralizzabile dalla semplice astensione dall'uso del mezzo, un teorema che le stagioni investigative successive avrebbero rovesciato solo quando la tecnologia divenne ambiente anziché strumento, e del quale i 55 giorni restano la dimostrazione storica più pulita.</w:t>
      </w:r>
    </w:p>
    <w:p>
      <w:pPr>
        <w:spacing w:after="120" w:line="276"/>
        <w:jc w:val="both"/>
      </w:pPr>
      <w:r>
        <w:rPr>
          <w:rFonts w:ascii="Barlow Semi Condensed" w:cs="Barlow Semi Condensed" w:eastAsia="Barlow Semi Condensed" w:hAnsi="Barlow Semi Condensed"/>
          <w:sz w:val="24"/>
          <w:szCs w:val="24"/>
        </w:rPr>
        <w:t xml:space="preserve">Il precedente europeo che il registro ha evocato esige la sua scansione, perché la linea della fermezza italiana ebbe un modello dichiarato e recentissimo: 5 mesi prima di via Fani, il 5 settembre 1977, la Rote Armee Fraktion aveva sequestrato a Colonia il presidente degli industriali tedeschi Hanns Martin Schleyer, massacrandone la scorta con una meccanica che l'agguato romano avrebbe replicato, e la Repubblica federale di Helmut Schmidt aveva tenuto per 43 giorni la linea del rifiuto integrale dello scambio, sino all'epilogo concentrato nelle 48 ore del 17 e 18 ottobre, il blitz di Mogadiscio che liberò l'aereo dirottato a sostegno del ricatto, la morte nella notte dei capi storici detenuti nel carcere di Stammheim e il ritrovamento del corpo di Schleyer nel bagagliaio di un'auto oltre confine, Livello A sull'intera sequenza storica. Il registro fissa la funzione del precedente per entrambi i contendenti del 1978: per lo Stato italiano, il caso tedesco fu il modello invocato della fermezza vittoriosa, il precedente che dimostrava la sostenibilità del rifiuto; per l'organizzazione, fu il repertorio operativo e simbolico dichiarato, sino alla citazione materiale dell'epilogo, il corpo nel bagagliaio, che via Caetani avrebbe replicato con l'esattezza che la fase ha censito. Che i 2 avversari italiani abbiano attinto al medesimo precedente straniero, l'uno la dottrina e l'altro la liturgia, è il reperto comparativo che il capitolo consegna: il 1978 italiano fu combattuto, da entrambe le parti, con il manuale tedesco del 1977 aperto sul tavolo, e la differenza degli esiti, l'ostaggio tedesco morto dopo il fallimento del ricatto e quello italiano giustiziato senza che il ricatto avesse mai avuto un prezzo accettabile, misura la differenza non delle dottrine, identiche, ma dei rapporti di forza e delle poste, che a Roma erano, per l'organizzazione, politiche prima che carcerarie.</w:t>
      </w:r>
    </w:p>
    <w:p>
      <w:pPr>
        <w:spacing w:after="120" w:line="276"/>
        <w:jc w:val="both"/>
      </w:pPr>
      <w:r>
        <w:rPr>
          <w:rFonts w:ascii="Barlow Semi Condensed" w:cs="Barlow Semi Condensed" w:eastAsia="Barlow Semi Condensed" w:hAnsi="Barlow Semi Condensed"/>
          <w:sz w:val="24"/>
          <w:szCs w:val="24"/>
        </w:rPr>
        <w:t xml:space="preserve">Alla toponomastica del covo di via Gradoli appartiene il dettaglio anagrafico che il registro annota quale reperto sulla qualità della clandestinità: l'appartamento era condotto in locazione dall'inquilino che si presentava quale ingegner Altobelli, l'identità di copertura sotto la quale viveva il capo della colonna romana censito in questo capitolo, con tanto di targhetta e di normalità condominiale protratta per anni nel cuore del quartiere, Livello A quanto alla circostanza accertata. Il micro-reperto vale per ciò che misura: la copertura non era un documento falso ma una biografia funzionante, un professionista inesistente che pagava l'affitto, salutava e durava, e la sua tenuta sino all'allagamento fortuito censito dimostra che la clandestinità matura dell'organizzazione non si nascondeva sotto la superficie della città legale, la abitava con documenti in regola, sicché la caccia dei 55 giorni non cercava fantasmi nei sotterranei ma ingegneri sul citofono, ed è questa, in ultima analisi, la ragione strutturale per cui il rastrellamento quantitativo censito dal capitolo, con le sue decine di migliaia di controlli, poteva passare accanto alla prigione senza vederla: il dispositivo contava le anomalie, e l'organizzazione aveva smesso da anni di produrne.</w:t>
      </w:r>
    </w:p>
    <w:p>
      <w:pPr>
        <w:spacing w:after="120" w:line="276"/>
        <w:jc w:val="both"/>
      </w:pPr>
      <w:r>
        <w:rPr>
          <w:rFonts w:ascii="Barlow Semi Condensed" w:cs="Barlow Semi Condensed" w:eastAsia="Barlow Semi Condensed" w:hAnsi="Barlow Semi Condensed"/>
          <w:sz w:val="24"/>
          <w:szCs w:val="24"/>
        </w:rPr>
        <w:t xml:space="preserve">Il diversivo del 18 aprile possiede infine il suo autore materiale indiziato, che il registro censisce con lo statuto esatto: le acquisizioni investigative degli anni successivi attribuirono la confezione del falso comunicato al falsario romano Toni Chicchiarelli, figura dell'orbita della banda della Magliana dotata di documentata perizia nella contraffazione, indicazione consolidata in sede istruttoria ma mai tradotta in giudicato, poiché Chicchiarelli fu assassinato nel 1984 in un agguato rimasto anch'esso senza colpevoli definitivi, Livello B quanto all'attribuzione istruttoria della paternità materiale, Livello A quanto alla morte violenta del falsario. La catena che ne risulta è essa stessa il reperto: il documento che deviò per un giorno la più grande caccia all'uomo della storia repubblicana sarebbe uscito dalle mani di un professionista della malavita romana, ed il professionista fu eliminato prima che alcuna aula potesse domandargli su commissione di chi avesse lavorato, sicché la domanda decisiva del diversivo, non chi lo scrisse ma chi lo volle, resta al Livello C tra le ipotesi concorrenti che il capitolo ha censito, con l'aggravante documentale che la fase prima dell'opera conosce bene: anche qui, come nei crocevia finanziari, il corpus registra la morte violenta e tempestiva del solo uomo che avrebbe potuto trasformare un'attribuzione tecnica in una catena di mandato, e la ricorrenza di questo schema, il teste intermedio che muore prima della domanda, è ormai, alla quarta occorrenza nell'opera, un pattern censito e non più una coincidenza da annotare.</w:t>
      </w:r>
    </w:p>
    <w:p>
      <w:pPr>
        <w:spacing w:after="120" w:line="276"/>
        <w:jc w:val="both"/>
      </w:pPr>
      <w:r>
        <w:rPr>
          <w:rFonts w:ascii="Barlow Semi Condensed" w:cs="Barlow Semi Condensed" w:eastAsia="Barlow Semi Condensed" w:hAnsi="Barlow Semi Condensed"/>
          <w:sz w:val="24"/>
          <w:szCs w:val="24"/>
        </w:rPr>
        <w:t xml:space="preserve">La toponomastica della caccia consegna infine la sua beffa documentata, che il registro riporta quale emblema operativo dei 55 giorni: nei primi giorni di aprile, sull'onda delle indicazioni censite, le forze dell'ordine perquisirono casa per casa il comune di Gradoli, nel viterbese, senza esito, mentre il covo attivo si trovava in via Gradoli, nel quartiere romano della Cassia, dove sarebbe emerso solo il 18 aprile per l'allagamento fortuito già censito, Livello A quanto ad entrambe le operazioni ed alle loro date. Il registro consegna l'episodio alla sua doppia lettura disciplinata: sul piano operativo, la scelta di battere il paese anziché lo stradario della capitale documenta il grado di disorientamento dell'apparato, che di fronte ad un toponimo cercò il municipio e non la via; sul piano epistemologico, l'episodio è il caso di scuola della fonte ambigua che il metodo dell'opera tratta nel Pattern 6, poiché l'indicazione si rivelò retrospettivamente esatta nella lettera e sbagliata nella ricerca, ed il registro annota, senza sciogliere, che un'informazione corretta cercata nel posto sbagliato è indistinguibile, negli effetti, da un'informazione falsa, con la conseguenza che la domanda vera del caso Gradoli non è mai stata dove fosse il covo, ma chi sapesse che cosa quando lo si cercava dove non era.</w:t>
      </w:r>
    </w:p>
    <w:p>
      <w:pPr>
        <w:spacing w:after="120" w:line="276"/>
        <w:jc w:val="both"/>
      </w:pPr>
      <w:r>
        <w:rPr>
          <w:rFonts w:ascii="Barlow Semi Condensed" w:cs="Barlow Semi Condensed" w:eastAsia="Barlow Semi Condensed" w:hAnsi="Barlow Semi Condensed"/>
          <w:sz w:val="24"/>
          <w:szCs w:val="24"/>
        </w:rPr>
        <w:t xml:space="preserve">Il fascicolo di via Gradoli contiene infine l'episodio che precede la beffa toponomastica e la aggrava, censito dagli accertamenti parlamentari: il 18 marzo, a 2 giorni dall'agguato, una pattuglia si presentò proprio allo stabile di via Gradoli 96, nel quadro dei controlli a tappeto, bussò all'appartamento della copertura censita senza ottenere risposta e si allontanò senza ulteriori verifiche, con l'esito che il covo operativo della colonna romana superò indenne, alla porta, il contatto fisico con lo Stato nel secondo giorno della caccia, Livello A quanto all'episodio accertato dalle commissioni. Il registro allinea la sequenza completa che il fascicolo consegna: la pattuglia alla porta il 18 marzo, la perquisizione del paese omonimo nel viterbese ai primi di aprile, l'emersione per allagamento il 18 aprile, 3 atti di una stessa drammaturgia in cui il luogo decisivo fu toccato, nominato e mancato per 33 giorni, e la disciplina dell'opera impone di consegnare la serie alla sua doppia lettura senza scioglierla: la spiegazione ordinaria, il difetto di procedura di un apparato saturo che bussava a migliaia di porte, resta pienamente capiente, e la spiegazione straordinaria, che attorno a quell'indirizzo la cecità fosse assistita, resta al Livello C delle ipotesi mai certificate, con l'annotazione di metodo che il caso Gradoli insegna all'intero corpus: quando un sistema manca 3 volte lo stesso bersaglio con 3 strumenti diversi, la statistica smette di essere un argomento sufficiente per entrambe le parti, per chi accusa e per chi assolve.</w:t>
      </w:r>
    </w:p>
    <w:p>
      <w:pPr>
        <w:spacing w:after="120" w:line="276"/>
        <w:jc w:val="both"/>
      </w:pPr>
      <w:r>
        <w:rPr>
          <w:rFonts w:ascii="Barlow Semi Condensed" w:cs="Barlow Semi Condensed" w:eastAsia="Barlow Semi Condensed" w:hAnsi="Barlow Semi Condensed"/>
          <w:sz w:val="24"/>
          <w:szCs w:val="24"/>
        </w:rPr>
        <w:t xml:space="preserve">La giornata del diversivo ebbe la sua iconografia, che il registro censisce quale reperto mediatico autonomo: il 18 aprile il lago della Duchessa, specchio d'alta quota ancora parzialmente gelato sull'Appennino reatino, fu raggiunto da elicotteri, squadre di soccorso e sommozzatori che ne perlustrarono le acque alla ricerca del corpo annunciato dal falso comunicato, sotto gli obiettivi della stampa convocata dall'evidenza stessa dell'operazione, con le immagini degli uomini-rana calati nel lago ghiacciato rimbalzate su tutte le testate, Livello A quanto all'operazione ed alla sua copertura mediatica. Il registro fissa la funzione della scena nell'economia del diversivo: quale che fosse la regia del falso, il suo effetto certo e misurabile fu di produrre, per un'intera giornata, la rappresentazione visiva della morte del prigioniero, un funerale per immagini senza corpo che saturò lo spazio pubblico nell'esatto momento in cui, sul piano reale, il covo di via Gradoli emergeva per allagamento, e la coincidenza delle 2 scene del medesimo giorno, i sommozzatori nel lago sbagliato e l'acqua nel covo giusto, resta la giornata più letterariamente perfetta e analiticamente ambigua dell'intero corpus, che il registro consegna, con la disciplina del Pattern 6, alla doppia lettura mai sciolta: la beffa del caso o la sincronia di una mano, con gli atti che non hanno mai permesso di scegliere.</w:t>
      </w:r>
    </w:p>
    <w:p>
      <w:pPr>
        <w:spacing w:after="120" w:line="276"/>
        <w:jc w:val="both"/>
      </w:pPr>
      <w:r>
        <w:rPr>
          <w:rFonts w:ascii="Barlow Semi Condensed" w:cs="Barlow Semi Condensed" w:eastAsia="Barlow Semi Condensed" w:hAnsi="Barlow Semi Condensed"/>
          <w:sz w:val="24"/>
          <w:szCs w:val="24"/>
        </w:rPr>
        <w:t xml:space="preserve">Il canale socialista censito nella sua linea politica ebbe anche la sua filiera operativa, che il registro ricostruisce dalle audizioni parlamentari: l'iniziativa umanitaria del PSI si mosse attraverso l'esponente di vertice Claudio Signorile ed il giornalista Lanfranco Pace, che attivarono contatti documentati con Franco Piperno e con l'area dell'Autonomia, nel tentativo di raggiungere per quella via ambienti capaci di parlare all'organizzazione, sino agli incontri con i militanti della colonna romana che le deposizioni successive avrebbero descritto, in una catena informale che corse parallela ai canali ufficiali per l'intera seconda metà del sequestro, Livello A quanto all'esistenza della filiera ed ai contatti quali risultano dalle audizioni e dalle dichiarazioni convergenti, Livello B quanto alla portata effettiva di ciascun passaggio verso l'interno dell'organizzazione. Il registro fissa il dato strutturale che la filiera consegna: l'unico canale che documentalmente arrivò a toccare la periferia dell'organizzazione non passò per gli apparati dello Stato ma per la mediazione di un partito attraverso l'area politica contigua al mondo armato, e questa circostanza, che le polemiche coeve trattarono quale scandalo, è per il metodo dell'opera un puro reperto di topologia: nella rete del 1978, la distanza minima tra le istituzioni e la prigione passava per i nodi che le istituzioni ufficialmente ripudiavano, e la Repubblica che rifiutò di percorrerla per intero scelse, con ciò, di lasciare quella rotta al partito che aveva meno da perdere a percorrerla.</w:t>
      </w:r>
    </w:p>
    <w:p>
      <w:pPr>
        <w:spacing w:after="120" w:line="276"/>
        <w:jc w:val="both"/>
      </w:pPr>
      <w:r>
        <w:rPr>
          <w:rFonts w:ascii="Barlow Semi Condensed" w:cs="Barlow Semi Condensed" w:eastAsia="Barlow Semi Condensed" w:hAnsi="Barlow Semi Condensed"/>
          <w:sz w:val="24"/>
          <w:szCs w:val="24"/>
        </w:rPr>
        <w:t xml:space="preserve">La gestione dei 55 giorni dovette misurarsi anche con il fenomeno che il registro censisce quale rumore di fondo del caso: le migliaia di segnalazioni, offerte di mediazione, rivelazioni di sedicenti informatori, millantatori e veggenti che si riversarono sugli apparati e sulla famiglia per l'intera durata del sequestro, documentate dagli atti quale massa che assorbì risorse investigative ingenti e dentro la quale le poche indicazioni poi rivelatesi fondate giacquero indistinguibili, Livello A quanto al fenomeno ed alla sua consistenza agli atti. Il registro assegna al rumore la sua funzione analitica, che le ricostruzioni celebrative omettono: ogni valutazione retrospettiva delle occasioni mancate, Gradoli, il lago, le intercettazioni, deve incorporare la condizione informativa reale del 1978, nella quale il segnale vero arrivava immerso in un diluvio di falsi prodotti dalla risonanza stessa del caso, sicché la domanda storicamente onesta non è perché lo Stato non seguì la pista giusta, ma perché lo Stato non possedeva un sistema capace di distinguere la pista giusta dentro il rumore, e la risposta, che i capitoli sugli apparati hanno documentato, riporta ancora una volta dalla teoria del complotto alla fisiologia della disorganizzazione, con l'avvertenza di metodo che il corpus consegna: il rumore non assolve le omissioni censite, le circostanzia, e la differenza tra assolvere e circostanziare è esattamente la differenza tra la storia e le sue caricature.</w:t>
      </w:r>
    </w:p>
    <w:p>
      <w:pPr>
        <w:spacing w:after="120" w:line="276"/>
        <w:jc w:val="both"/>
      </w:pPr>
      <w:r>
        <w:rPr>
          <w:rFonts w:ascii="Barlow Semi Condensed" w:cs="Barlow Semi Condensed" w:eastAsia="Barlow Semi Condensed" w:hAnsi="Barlow Semi Condensed"/>
          <w:sz w:val="24"/>
          <w:szCs w:val="24"/>
        </w:rPr>
        <w:t xml:space="preserve">La prigione esige infine il censimento della propria condizione ambientale, che il registro formula quale reperto sulla tecnologia della clandestinità: l'appartamento di via Montalcini operò per l'intera durata del sequestro dentro un normale condominio abitato di un quartiere popolare, con la custode dell'immobile che conduceva la vita di una giovane professionista insospettabile, i carcerieri che entravano ed uscivano secondo gli orari della normalità e la cella insonorizzata ricavata nell'alloggio, senza che alcun condomino, vicino od osservatore esterno rilevasse in 55 giorni una sola anomalia riferibile, come i dibattimenti accertarono ricostruendo la vita dell'edificio, Livello A quanto alla condizione ambientale della prigionia ed alla sua invisibilità accertata. Il registro consegna il dato alla sua lezione, che rovescia l'immaginario del caso: la prigione del popolo non fu un bunker remoto ma un interno borghese in mezzo agli altri, e la sua tecnologia decisiva non fu edilizia ma comportamentale, la capacità dei custodi di eseguire la normalità con la stessa disciplina con cui eseguirono l'agguato, sicché l'invisibilità che gli apparati cercarono per 55 giorni con i posti di blocco e le perquisizioni censite non fu violata perché non aveva forma cercabile, era fatta di puntualità, di buongiorno nelle scale e di sacchetti della spesa, e questa banalità organizzata, che i processi hanno documentato nei suoi dettagli domestici, è forse il reperto che più di ogni altro spiega al lettore la natura della sfida che lo Stato del 1978 perse: non trovare un nascondiglio, ma riconoscere la guerra travestita da vita quotidiana, il compito per il quale nessun posto di blocco è mai stato inventato.</w:t>
      </w:r>
    </w:p>
    <w:p>
      <w:pPr>
        <w:spacing w:after="120" w:line="276"/>
        <w:jc w:val="both"/>
      </w:pPr>
      <w:r>
        <w:rPr>
          <w:rFonts w:ascii="Barlow Semi Condensed" w:cs="Barlow Semi Condensed" w:eastAsia="Barlow Semi Condensed" w:hAnsi="Barlow Semi Condensed"/>
          <w:sz w:val="24"/>
          <w:szCs w:val="24"/>
        </w:rPr>
        <w:t xml:space="preserve">La fenomenologia dei canali si chiude, nell'edizione definitiva, con lo Stato Zero che la triangolazione ha formalmente certificato: nessun documento del corpus, degli atti parlamentari o dei giudicati attesta una trattativa di Stato conclusa, un accordo perfezionato o uno scambio deliberato per la liberazione del prigioniero, sicché l'intera galassia dei canali censiti in questo capitolo, quello umanitario, quello socialista, quello vaticano, quello criminale, resta documentalmente al di qua della soglia dell'esito, Stato Zero certificato quale risultato, distinto dai canali esplorati che conservano i loro gradi. Il registro consegna la certificazione alla sua doppia lettura obbligata: essa smentisce in radice ogni ricostruzione che dia per acquisito un patto tradito o un accordo sabotato, che nessuna carta sostiene, e lascia intatta la domanda storica legittima, che è altra e che il capitolo ha istruito, se un accordo fosse possibile e chi ne impedì la maturazione, con la disciplina che la distinzione impone: l'assenza documentata dell'esito è un fatto, le ragioni dell'assenza sono un campo di ipotesi graduate, e l'edizione definitiva, certificando il primo, non chiude il secondo, lo consegna pulito.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dei 55 giorni certifica al Livello A la linea della fermezza, la compresenza piduista ai vertici informativi dei comitati di crisi, la sequenza fattuale di via Gradoli e la falsità diversiva del comunicato del lago della Duchessa, con l'attribuzione a Chichiarelli al Livello B quale arco documentato verso l'orbita della Magliana; certifica al Livello B i sondaggi verso la criminalità organizzata per la localizzazione della prigione; e mantiene al Livello C, in forza del divieto inferenziale, ogni lettura finalistica della condotta, consegnando al piano terzo le ipotesi che il piano secondo ha reso formulabili senza renderle provate.</w:t>
      </w:r>
    </w:p>
    <w:p>
      <w:pPr>
        <w:pStyle w:val="Heading3"/>
        <w:spacing w:after="80" w:before="160"/>
      </w:pPr>
      <w:r>
        <w:rPr>
          <w:rFonts w:ascii="Barlow Semi Condensed" w:cs="Barlow Semi Condensed" w:eastAsia="Barlow Semi Condensed" w:hAnsi="Barlow Semi Condensed"/>
          <w:sz w:val="24"/>
          <w:szCs w:val="24"/>
        </w:rPr>
        <w:t xml:space="preserve">Capitolo 5 — ■ Le lettere e il memoriale. Il corpus del prigioniero e i 2 ritrovamenti di via Monte Nevoso</w:t>
      </w:r>
    </w:p>
    <w:p>
      <w:pPr>
        <w:spacing w:after="120" w:line="276"/>
        <w:jc w:val="both"/>
      </w:pPr>
      <w:r>
        <w:rPr>
          <w:rFonts w:ascii="Barlow Semi Condensed" w:cs="Barlow Semi Condensed" w:eastAsia="Barlow Semi Condensed" w:hAnsi="Barlow Semi Condensed"/>
          <w:sz w:val="24"/>
          <w:szCs w:val="24"/>
        </w:rPr>
        <w:t xml:space="preserve">Il corpus documentale prodotto da Aldo Moro durante la prigionia, le lettere inviate e il memoriale redatto in risposta agli interrogatori, è il nodo documentale della fase, e il registro lo tratta quale oggetto duplice: fonte storica di valore eccezionale e, insieme, oggetto esso stesso di una vicenda di ritrovamenti, sparizioni e gestioni che appartiene al piano secondo. La scansione del corpus dell'opera registra il termine memoriale 180 volte in 37 documenti e il toponimo Monte Nevoso 176 volte in 27; le lettere dalla prigionia sono presenti nel corpus in edizione critica integrale.</w:t>
      </w:r>
    </w:p>
    <w:p>
      <w:pPr>
        <w:spacing w:after="120" w:line="276"/>
        <w:jc w:val="both"/>
      </w:pPr>
      <w:r>
        <w:rPr>
          <w:rFonts w:ascii="Barlow Semi Condensed" w:cs="Barlow Semi Condensed" w:eastAsia="Barlow Semi Condensed" w:hAnsi="Barlow Semi Condensed"/>
          <w:sz w:val="24"/>
          <w:szCs w:val="24"/>
        </w:rPr>
        <w:t xml:space="preserve">Il primo pilastro è il corpus epistolare, che il registro certifica al Livello A nella sua materialità e disciplina nella sua valenza. Durante i 55 giorni Moro scrisse e fece recapitare decine di lettere, ai familiari, ai dirigenti del suo partito, alle massime cariche dello Stato, al Pontefice: lettere nelle quali argomentò la legittimità della trattativa per la vita dell'ostaggio, contestò la linea della fermezza rovesciando contro i suoi assertori la propria dottrina dello Stato, e progressivamente registrò l'abbandono, sino alle ultime disposizioni familiari e alla volontà, dettata, che nessun uomo del potere partecipasse alle sue esequie. Il registro certifica al Livello A l'esistenza, la consegna e il contenuto testuale delle lettere, e applica la disciplina dichiarata in avvertenza: la questione, dibattuta sin dai 55 giorni, della libertà del prigioniero scrivente, fu risolta dalla vulgata dell'epoca nel senso della coartazione totale, che privava le lettere di valore; le acquisizioni successive, testimoniali e comparative, hanno consolidato la lettura per cui Moro scrisse entro il perimetro concesso dai carcerieri ma con lucidità e intenzione proprie, usando lo spazio della scrittura quale ultimo terreno di azione politica; il registro certifica al Livello B questa lettura, quale convergenza delle fonti critiche, e ne trae la regola di trattamento: ogni enunciato delle lettere è vagliato singolarmente, quale atto di un autore lucido in condizione di costrizione, senza presunzioni generali né di falsità né di verità.</w:t>
      </w:r>
    </w:p>
    <w:p>
      <w:pPr>
        <w:spacing w:after="120" w:line="276"/>
        <w:jc w:val="both"/>
      </w:pPr>
      <w:r>
        <w:rPr>
          <w:rFonts w:ascii="Barlow Semi Condensed" w:cs="Barlow Semi Condensed" w:eastAsia="Barlow Semi Condensed" w:hAnsi="Barlow Semi Condensed"/>
          <w:sz w:val="24"/>
          <w:szCs w:val="24"/>
        </w:rPr>
        <w:t xml:space="preserve">Il secondo pilastro è la vicenda del memoriale e dei 2 ritrovamenti di via Monte Nevoso, che il registro certifica al Livello A quale sequenza e assume quale reperto capitale del piano secondo. Durante la prigionia Moro rispose per iscritto agli interrogatori condotti da Moretti, producendo un ampio memoriale su temi che spaziavano dalla storia della Democrazia Cristiana alle strutture atlantiche, dal finanziamento della politica ai servizi di sicurezza, con giudizi severi su uomini e apparati. Il 1 ottobre 1978, l'irruzione nel covo milanese di via Monte Nevoso 8, condotta dai reparti antiterrorismo coordinati dal generale Dalla Chiesa, portò all'arresto di dirigenti dell'organizzazione e al sequestro di una versione dattiloscritta parziale del memoriale e di trascrizioni di lettere; il materiale fu trasmesso e in parte pubblicato. Il 9 ottobre 1990, 12 anni dopo, nel corso di lavori di ristrutturazione del medesimo appartamento, fu rinvenuto, dietro un pannello di un'intercapedine sfuggito alla perquisizione originaria, un secondo compendio: fotocopie di manoscritti del memoriale, più ampie del dattiloscritto del 1978, e lettere ulteriori, molte inedite. Il registro certifica al Livello A i 2 ritrovamenti, la loro distanza temporale e la maggiore estensione del secondo compendio, e censisce le 2 questioni che la sequenza consegna. La prima è la questione della completezza: gli originali manoscritti del memoriale non sono mai stati rinvenuti, il secondo compendio è costituito da fotocopie, e la possibilità che porzioni del testo non siano mai emerse resta, allo stato, un'ipotesi non falsificabile che il registro censisce quale buco strutturale documentale di Livello C. La seconda è la questione della perquisizione del 1978: la mancata scoperta dell'intercapedine da parte di una perquisizione condotta dal migliore reparto antiterrorismo del Paese è stata oggetto di 2 letture concorrenti, l'errore materiale e la selezione deliberata; le sedi parlamentari hanno documentato gli elementi di entrambe senza consacrarne alcuna, e il registro mantiene la questione al Livello C, applicando alla lettera il divieto inferenziale: la mancata scoperta è certa, la sua intenzionalità non lo è, e la circostanza che il materiale del 1990 contenesse giudizi e rivelazioni assenti dal compendio del 1978 aggrava la domanda senza risolverla.</w:t>
      </w:r>
    </w:p>
    <w:p>
      <w:pPr>
        <w:spacing w:after="120" w:line="276"/>
        <w:jc w:val="both"/>
      </w:pPr>
      <w:r>
        <w:rPr>
          <w:rFonts w:ascii="Barlow Semi Condensed" w:cs="Barlow Semi Condensed" w:eastAsia="Barlow Semi Condensed" w:hAnsi="Barlow Semi Condensed"/>
          <w:sz w:val="24"/>
          <w:szCs w:val="24"/>
        </w:rPr>
        <w:t xml:space="preserve">Il terzo pilastro è il contenuto del memoriale quale fonte, che il registro disciplina con il rigore massimo. Il prigioniero scrisse, tra l'altro, di strutture riservate atlantiche predisposte per l'emergenza, con riferimenti che le acquisizioni del 1990, sopravvenute alla rivelazione della rete Gladio di 15 giorni anteriore, resero oggetto di immediata comparazione; scrisse del finanziamento dei partiti, di uomini del suo partito e degli apparati. Il registro assume ciascun enunciato quale dichiarazione di fonte qualificata resa in costrizione: certificabile quanto all'esistenza dell'enunciato, al Livello A; valutabile quanto al contenuto soltanto per convergenza con fonti autonome, secondo la regola generale; e annota il caso più rilevante di convergenza sopravvenuta, il riferimento del prigioniero a strutture di emergenza atlantiche, che la rivelazione del 1990 ha riscontrato nella sua sostanza, elevando quello specifico enunciato al Livello B quale dichiarazione riscontrata da fatto successivo indipendente: è il caso, metodologicamente prezioso, della fonte costretta che risulta, a distanza di 12 anni, aver detto il vero su un punto verificabile.</w:t>
      </w:r>
    </w:p>
    <w:p>
      <w:pPr>
        <w:spacing w:after="120" w:line="276"/>
        <w:jc w:val="both"/>
      </w:pPr>
      <w:r>
        <w:rPr>
          <w:rFonts w:ascii="Barlow Semi Condensed" w:cs="Barlow Semi Condensed" w:eastAsia="Barlow Semi Condensed" w:hAnsi="Barlow Semi Condensed"/>
          <w:sz w:val="24"/>
          <w:szCs w:val="24"/>
        </w:rPr>
        <w:t xml:space="preserve">Il quarto pilastro è la mappa tematica del memoriale, che il registro traccia quale guida documentale, ferma la disciplina enunciata. Il corpus emerso nei 2 ritrovamenti si articola su temi ricorrenti: la storia interna della Democrazia Cristiana e i suoi equilibri di corrente, con giudizi individuali di durezza inedita per la scrittura morotea, il più severo dei quali investe Giulio Andreotti, cui il prigioniero dedica pagine di requisitoria personale e politica; il finanziamento della politica e i suoi canali; l'anticomunismo di Stato e le sue strutture, con il passaggio sulle organizzazioni di emergenza a matrice atlantica di cui si è detto; i servizi di sicurezza e la loro storia; la politica internazionale e i vincoli di campo; e la riflessione sulla propria condizione, sulla fermezza e sullo Stato. Il registro certifica al Livello A l'esistenza e l'articolazione tematica del corpus, quale dato documentale; annota che la distribuzione dei temi tra il compendio del 1978 e quello del 1990 non è omogenea, con la presenza nel solo materiale del 1990 di svolgimenti assenti dal dattiloscritto originario, tra cui porzioni delle pagine su Andreotti e sui temi atlantici, e certifica al Livello A questa distribuzione differenziale, che è il fondamento documentale della questione della gestione già censita; e ribadisce, per ciascun enunciato di merito, la regola del vaglio individuale, con l'unico caso di elevazione già dichiarato. L'annotazione conclusiva del pilastro registra il paradosso documentale del caso: il prigioniero produsse, sotto costrizione, la più estesa testimonianza interna mai scritta sul sistema di potere italiano, e quella testimonianza raggiunse il registro soltanto per frammenti, in 2 tempi, per fotocopia e senza originali; nessun documento dell'opera unisce in sé, come il memoriale, il massimo valore potenziale della fonte e la massima menomazione certificata del supporto.</w:t>
      </w:r>
    </w:p>
    <w:p>
      <w:pPr>
        <w:spacing w:after="120" w:line="276"/>
        <w:jc w:val="both"/>
      </w:pPr>
      <w:r>
        <w:rPr>
          <w:rFonts w:ascii="Barlow Semi Condensed" w:cs="Barlow Semi Condensed" w:eastAsia="Barlow Semi Condensed" w:hAnsi="Barlow Semi Condensed"/>
          <w:sz w:val="24"/>
          <w:szCs w:val="24"/>
        </w:rPr>
        <w:t xml:space="preserve">Il quinto pilastro è la circolazione controllata del corpus epistolare, che il registro censisce quale ulteriore terreno del piano secondo. Non tutte le lettere scritte dal prigioniero giunsero ai destinatari nei 55 giorni: parte del corpus, come i ritrovamenti successivi hanno dimostrato, non fu mai recapitata dall'organizzazione; e parte di ciò che fu recapitato conobbe una circolazione governata, con la gestione politica della loro pubblicità, l'autenticazione contestata, la costruzione pubblica della tesi della coartazione che ne neutralizzava il contenuto. Il registro certifica al Livello A i 2 fatti componenti, la mancata consegna di parte del corpus, documentata dal confronto tra il consegnato e l'emerso, e l'esistenza di una gestione politica della ricezione, documentata dagli atti e dalla pubblicistica coeva; e ne trae l'annotazione che congiunge i piani: sul corpus epistolare operarono 2 filtri successivi e indipendenti, quello dei carcerieri, che scelsero cosa far uscire, e quello dei riceventi, che scelsero come accogliere ciò che usciva; la voce del prigioniero giunse al Paese doppiamente mediata, e la ricostruzione integrale del corpus, possibile soltanto dopo il 1990, è essa stessa una conquista postuma che il registro data e certifica.</w:t>
      </w:r>
    </w:p>
    <w:p>
      <w:pPr>
        <w:spacing w:after="120" w:line="276"/>
        <w:jc w:val="both"/>
      </w:pPr>
      <w:r>
        <w:rPr>
          <w:rFonts w:ascii="Barlow Semi Condensed" w:cs="Barlow Semi Condensed" w:eastAsia="Barlow Semi Condensed" w:hAnsi="Barlow Semi Condensed"/>
          <w:sz w:val="24"/>
          <w:szCs w:val="24"/>
        </w:rPr>
        <w:t xml:space="preserve">Il sesto pilastro percorre le lettere principali nella loro scansione, quale mappa documentale del corpus epistolare. La prima lettera resa pubblica, recapitata con il comunicato del 29 marzo, fu indirizzata al ministro dell'interno Francesco Cossiga: in essa Moro pose per primo, con l'autorità del giurista, il tema dello scambio dei prigionieri quale istituto praticato dagli Stati, dichiarò di trovarsi sotto un dominio pieno e non condizionato, e avvertì che il suo sacrificio non avrebbe giovato; il registro ne certifica al Livello A il testo e la funzione inaugurale del confronto. Seguirono le lettere ai vertici del partito, e in particolare le 2 al segretario Benigno Zaccagnini, dei primi di aprile e del 20 aprile, la seconda delle quali contiene l'apice della requisitoria del prigioniero contro la linea della fermezza, con l'ammonimento che il suo sangue sarebbe ricaduto sui dirigenti e la contestazione radicale della pretesa di distinguere tra l'uomo e lo statista; la lettera al presidente del Senato e ai presidenti dei gruppi; quella ad Amintore Fanfani, nell'ultima fase, quale estremo appello alla parte del partito ritenuta ancora capace di movimento; i biglietti e le lettere alla famiglia, sino alle disposizioni finali, la richiesta che nessun uomo del potere partecipasse alle esequie e che il funerale fosse celebrato nella forma privata, e il congedo dalla moglie Eleonora; e la lettera al Pontefice, in risposta all'appello pubblico. Il registro certifica al Livello A l'esistenza, i destinatari e i contenuti delle lettere richiamate, quali dati dell'edizione critica, e ne registra la traiettoria interna certificabile: dalla prima argomentazione istituzionale dello scambio alla progressiva presa d'atto dell'abbandono, sino al rovesciamento finale, per cui l'uomo che aveva costruito la solidarietà nazionale dispose che la sua morte non fosse utilizzabile da alcuno, sottraendo il proprio corpo alla liturgia dello Stato che non lo aveva riscattato: la disposizione, puntualmente eseguita dalla famiglia, è l'ultimo atto politico documentato del prigioniero, e il registro lo certifica quale tale.</w:t>
      </w:r>
    </w:p>
    <w:p>
      <w:pPr>
        <w:spacing w:after="120" w:line="276"/>
        <w:jc w:val="both"/>
      </w:pPr>
      <w:r>
        <w:rPr>
          <w:rFonts w:ascii="Barlow Semi Condensed" w:cs="Barlow Semi Condensed" w:eastAsia="Barlow Semi Condensed" w:hAnsi="Barlow Semi Condensed"/>
          <w:sz w:val="24"/>
          <w:szCs w:val="24"/>
        </w:rPr>
        <w:t xml:space="preserve">Il settimo pilastro ricostruisce la catena documentale del primo ritrovamento e la sincronia editoriale che vi si lega. Il materiale sequestrato in via Monte Nevoso il 1 ottobre 1978, il dattiloscritto del memoriale e le trascrizioni di lettere, entrò nella catena di custodia dei reparti operanti sotto la direzione del generale Dalla Chiesa e fu trasmesso alle autorità di governo e giudiziarie, con la pubblicazione di parte dei contenuti nelle settimane successive; sin da quella stagione, e poi definitivamente dopo il 1990, si pose la questione dell'integralità della trasmissione, alimentata dalla circostanza, certificata al Livello A dal confronto filologico, che il compendio del 1990 contiene testi e svolgimenti assenti dal materiale consegnato nel 1978 pur provenendo dal medesimo appartamento. A questa questione il registro salda la sincronia editoriale documentata: nell'ottobre 1978, a ridosso del sequestro del covo, il settimanale OP di Mino Pecorelli pubblicò e annunciò contenuti riconducibili al memoriale, taluni dei quali non presenti nel dattiloscritto allora ufficialmente acquisito e riscontrabili soltanto nel materiale emerso nel 1990; il registro certifica al Livello A la datazione e l'esistenza delle pubblicazioni, quale dato della collezione, e al Livello B la loro derivazione da un accesso a materiale non compreso nella versione ufficiale del 1978, quale inferenza documentale fondata sul confronto testuale operato nelle sedi parlamentari; la catena di tale accesso, chi, tra il covo e la pubblicazione, fece transitare ciò che lo Stato dichiarava di non possedere, resta al Livello C, ed è, per il registro, la più circoscritta e la più grave delle domande aperte del piano secondo, perché a differenza delle altre ammette un insieme finito di risposte possibili, tutte interne al perimetro della custodia. Il capitolo su Pecorelli riprende l'arco dal suo versante; il presente lo consegna quale reperto della vicenda documentale.</w:t>
      </w:r>
    </w:p>
    <w:p>
      <w:pPr>
        <w:spacing w:after="120" w:line="276"/>
        <w:jc w:val="both"/>
      </w:pPr>
      <w:r>
        <w:rPr>
          <w:rFonts w:ascii="Barlow Semi Condensed" w:cs="Barlow Semi Condensed" w:eastAsia="Barlow Semi Condensed" w:hAnsi="Barlow Semi Condensed"/>
          <w:sz w:val="24"/>
          <w:szCs w:val="24"/>
        </w:rPr>
        <w:t xml:space="preserve">L'ottavo pilastro censisce la costruzione pubblica della tesi della coartazione, il dispositivo con cui la voce del prigioniero fu neutralizzata. Sin dalle prime lettere, la linea ufficiale sostenne che gli scritti non esprimessero la volontà libera dell'uomo: la formula, veicolata da dichiarazioni di vertice e consacrata da un documento collettivo di amici, colleghi ed esponenti della cultura cattolica che dichiararono di non riconoscere in quelle pagine l'uomo che conoscevano, ricevette l'avallo tecnico delle valutazioni del comitato di esperti censito nel capitolo della gestione, orientate alla non attendibilità della scrittura quale espressione autentica; il registro certifica al Livello A l'esistenza, gli strumenti e la funzione della costruzione, quali dati documentali della stagione, e certifica al Livello A, sul fondamento dell'analisi filologica condotta dalle stagioni successive sull'intero corpus, che gli scritti esibiscono coerenza argomentativa, progressione logica, padronanza giuridica e continuità con il pensiero anteriore dell'autore, gli elementi sui quali la storiografia critica ha fondato il rovesciamento della tesi coeva; e chiude con la formalizzazione che la disciplina consente: la tesi della coartazione totale è un enunciato della stagione, certificato quale fatto storico nella sua esistenza e nella sua funzione, e falsificato quale tesi dal corpus medesimo, sicché il registro la censisce tra i dispositivi della gestione e non tra le descrizioni del documento; la circostanza che l'organo tecnico che la avallò fosse parte del sistema di compresenze certificato appartiene ai fatti del piano secondo, e vi resta.</w:t>
      </w:r>
    </w:p>
    <w:p>
      <w:pPr>
        <w:spacing w:after="120" w:line="276"/>
        <w:jc w:val="both"/>
      </w:pPr>
      <w:r>
        <w:rPr>
          <w:rFonts w:ascii="Barlow Semi Condensed" w:cs="Barlow Semi Condensed" w:eastAsia="Barlow Semi Condensed" w:hAnsi="Barlow Semi Condensed"/>
          <w:sz w:val="24"/>
          <w:szCs w:val="24"/>
        </w:rPr>
        <w:t xml:space="preserve">Il nono pilastro percorre i contenuti maggiori del memoriale, quale mappa dei temi che il vaglio individuale disciplina. Il primo blocco è quello degli apparati: le pagine sulle strutture di emergenza a matrice atlantica, con l'enunciato già elevato al Livello B per il riscontro del 1990; le pagine sulla stagione del SIFAR e del Piano Solo, scritte dal testimone che era stato presidente del Consiglio in quella estate, con la ricostruzione delle pressioni e delle coperture di allora; e i giudizi sui servizi della propria stagione. Il secondo blocco è quello politico: la requisitoria su Giulio Andreotti, la più estesa e la più dura del corpus, che percorre la carriera del presidente del Consiglio in carica con giudizi di spregiudicatezza e freddezza rimasti nella memoria documentale della Repubblica; le pagine su Paolo Emilio Taviani, sulla sua stagione al Viminale e sui suoi rapporti atlantici; i giudizi sul sistema di potere del proprio partito e sul suo finanziamento, ivi compresi i canali americani della prima guerra fredda. Il terzo blocco è quello internazionale, con la lettura dei vincoli di campo, delle rigidità atlantiche e della condizione di sovranità limitata del Paese. Il registro certifica al Livello A l'esistenza e l'articolazione di questi contenuti, quali dati testuali del corpus emerso, ribadisce che ciascun enunciato di merito resta sottoposto al vaglio individuale con l'unica elevazione dichiarata, e annota il dato d'insieme che il corpus consegna: il prigioniero rispose al processo dei carcerieri con una controrequisitoria sistemica, trasformando l'interrogatorio in una testimonianza sul potere italiano che nessun uomo libero della sua posizione aveva mai consegnato per iscritto, e questa natura del documento, insieme testimonianza capitale e scrittura sotto costrizione, è la ragione strutturale della disciplina che il registro vi applica.</w:t>
      </w:r>
    </w:p>
    <w:p>
      <w:pPr>
        <w:spacing w:after="120" w:line="276"/>
        <w:jc w:val="both"/>
      </w:pPr>
      <w:r>
        <w:rPr>
          <w:rFonts w:ascii="Barlow Semi Condensed" w:cs="Barlow Semi Condensed" w:eastAsia="Barlow Semi Condensed" w:hAnsi="Barlow Semi Condensed"/>
          <w:sz w:val="24"/>
          <w:szCs w:val="24"/>
        </w:rPr>
        <w:t xml:space="preserve">Il decimo pilastro fissa i numeri del corpus, quale apparato quantitativo della fase. L'edizione critica delle carte della prigionia censisce quasi 100 scritti autografi tra lettere recapitate, lettere trattenute dai carcerieri e mai spedite, minute e testi connessi, indirizzati a oltre 40 destinatari tra uomini politici, familiari, collaboratori ed ecclesiastici; il compendio del memoriale sequestrato nel 1978 consta dei dattiloscritti censiti negli atti del primo ritrovamento, e il compendio del 1990 consta di 419 pagine in fotocopia di manoscritti, comprensive delle porzioni assenti dalla versione del 1978; il registro certifica al Livello A questi ordini di grandezza, quali dati delle edizioni e delle inventariazioni ufficiali, e ne trae l'annotazione metodologica terminale del nodo: la voce scritta del prigioniero è, quantitativamente, la maggiore fonte primaria dell'intera vicenda, e la sua storia materiale, scritta a mano in prigione, trascritta dai carcerieri, sequestrata in 2 tempi a 12 anni di distanza, mai emersa in originale, è essa stessa il più compiuto oggetto di studio che la fase consegna al metodo dell'opera: un corpus la cui filologia è inseparabile dalla sua vicenda di potere.</w:t>
      </w:r>
    </w:p>
    <w:p>
      <w:pPr>
        <w:spacing w:after="120" w:line="276"/>
        <w:jc w:val="both"/>
      </w:pPr>
      <w:r>
        <w:rPr>
          <w:rFonts w:ascii="Barlow Semi Condensed" w:cs="Barlow Semi Condensed" w:eastAsia="Barlow Semi Condensed" w:hAnsi="Barlow Semi Condensed"/>
          <w:sz w:val="24"/>
          <w:szCs w:val="24"/>
        </w:rPr>
        <w:t xml:space="preserve">L'undicesimo pilastro censisce la lettera a Taviani, il documento polemico maggiore del corpus epistolare pubblico. Diffusa a metà aprile per il canale dell'organizzazione, la lettera investe Paolo Emilio Taviani, l'uomo dei governi e del Viminale della prima Repubblica, con una requisitoria personale e politica che non ha equivalenti nel corpus per durezza diretta verso un singolo destinatario vivente: il prigioniero vi contesta all'antico collega la coerenza della linea della fermezza con il suo stesso passato di governo, richiama vicende e responsabilità della storia interna del partito e degli apparati, e ne fa il bersaglio esemplare della classe dirigente che lo abbandonava; Taviani replicò pubblicamente, contestando l'autenticità morale dello scritto entro la cornice della coartazione allora dominante. Il registro certifica al Livello A il testo, la diffusione e la replica, quali dati documentali, e ne dichiara il rilievo per la fase: la scelta del bersaglio, l'uomo che il memoriale avrebbe parimenti investito sul terreno degli apparati e dei rapporti atlantici, documenta la continuità tematica tra la scrittura epistolare pubblica e la scrittura del memoriale, i 2 rami della produzione del prigioniero, e conferma, sul piano filologico, l'unità della mano e del disegno che l'ottavo pilastro ha certificato contro la tesi coeva; il registro annota che la coppia lettera-replica costituisce inoltre il caso documentale più netto del meccanismo censito, la neutralizzazione della voce attraverso la sua squalifica, operata qui non da un organo tecnico ma dal destinatario medesimo, con l'autorità della propria storia istituzionale.</w:t>
      </w:r>
    </w:p>
    <w:p>
      <w:pPr>
        <w:spacing w:after="120" w:line="276"/>
        <w:jc w:val="both"/>
      </w:pPr>
      <w:r>
        <w:rPr>
          <w:rFonts w:ascii="Barlow Semi Condensed" w:cs="Barlow Semi Condensed" w:eastAsia="Barlow Semi Condensed" w:hAnsi="Barlow Semi Condensed"/>
          <w:sz w:val="24"/>
          <w:szCs w:val="24"/>
        </w:rPr>
        <w:t xml:space="preserve">Il dodicesimo pilastro censisce il destino editoriale del corpus, l'ultimo tratto della sua vicenda materiale. Le carte della prigionia conobbero la pubblicazione per strati successivi, paralleli ai ritrovamenti: le lettere recapitate circolarono nella stagione stessa, il compendio del 1978 fu pubblicato negli atti e nella stampa dell'autunno, il materiale del 1990 confluì nei volumi documentali della Commissione sulle stragi, e l'insieme trovò sistemazione filologica nell'edizione critica del corpus epistolare pubblicata nel primo decennio del secolo, con l'apparato di datazione, collazione e commento che ha reso possibile il confronto sistematico tra recapitato, trattenuto ed emerso su cui la fase ha lavorato; il registro certifica al Livello A la stratigrafia editoriale, quale storia documentale, e chiude il nodo con l'annotazione che essa impone: il caso Moro è l'unico evento dell'intera opera il cui documento centrale abbia richiesto 30 anni per raggiungere la forma di fonte criticamente edita, e la storia di questa lentezza, fatta di sequestri parziali, fotocopie, polemiche e attese, non è un accidente della filologia ma un capitolo della storia del potere che il documento racconta: il registro la trascrive quale ultimo dato del nodo, la fonte che impiegò una generazione a diventare leggibile.</w:t>
      </w:r>
    </w:p>
    <w:p>
      <w:pPr>
        <w:spacing w:after="120" w:line="276"/>
        <w:jc w:val="both"/>
      </w:pPr>
      <w:r>
        <w:rPr>
          <w:rFonts w:ascii="Barlow Semi Condensed" w:cs="Barlow Semi Condensed" w:eastAsia="Barlow Semi Condensed" w:hAnsi="Barlow Semi Condensed"/>
          <w:sz w:val="24"/>
          <w:szCs w:val="24"/>
        </w:rPr>
        <w:t xml:space="preserve">Il tredicesimo pilastro censisce il corpus familiare, il ramo delle lettere che la disciplina del registro tratta con la sobrietà dovuta. Accanto alle lettere politiche, il prigioniero scrisse per l'intera durata del sequestro alla moglie Eleonora, ai 4 figli e alla famiglia: un corpus di scritti privati, in parte recapitati e in parte trattenuti ed emersi con i ritrovamenti, che documenta il versante personale dei 55 giorni, la preoccupazione minuta per la vita dei suoi, le disposizioni domestiche ed economiche, l'affidamento reciproco, e che culmina nell'ultima lettera alla moglie, il congedo scritto nell'imminenza della fine, con il pensiero rivolto a ciascuno dei familiari e al nipote, e con le disposizioni finali già censite quale ultimo atto politico, la volontà che alle esequie non partecipassero gli uomini del potere. Il registro certifica al Livello A l'esistenza, la consistenza e i contenuti del corpus familiare, quali dati dell'edizione critica, e dichiara la propria disciplina: gli scritti privati sono censiti quale fonte, per ciò che documentano della condizione del prigioniero, della sua lucidità conservata e della cronologia interna della prigionia, e non sono oggetto di analisi eccedente, il registro ritenendo che la loro funzione nell'opera si esaurisca nella certificazione e che ogni ulteriore trattamento appartenga alla pietà e non al metodo; una sola annotazione analitica è dovuta, ed è filologica: la continuità di mano, di lucidità e di struttura tra il corpus politico e il corpus familiare, accertata dagli studi sull'insieme delle carte, è essa stessa un elemento della falsificazione della tesi della coartazione totale, giacché documenta un uomo che, sino all'ultimo giorno, governò simultaneamente i registri della requisitoria politica e della tenerezza familiare, la prestazione meno compatibile con l'annullamento della volontà che la tesi coeva postulava.</w:t>
      </w:r>
    </w:p>
    <w:p>
      <w:pPr>
        <w:spacing w:after="120" w:line="276"/>
        <w:jc w:val="both"/>
      </w:pPr>
      <w:r>
        <w:rPr>
          <w:rFonts w:ascii="Barlow Semi Condensed" w:cs="Barlow Semi Condensed" w:eastAsia="Barlow Semi Condensed" w:hAnsi="Barlow Semi Condensed"/>
          <w:sz w:val="24"/>
          <w:szCs w:val="24"/>
        </w:rPr>
        <w:t xml:space="preserve">Il quattordicesimo pilastro censisce il sottoinsieme delle lettere trattenute, il corpus che i carcerieri non recapitarono. Il confronto tra il corpus integrale emerso con i ritrovamenti e l'insieme delle lettere effettivamente giunte ai destinatari nella stagione documenta che una parte rilevante degli scritti del prigioniero fu trattenuta dall'organizzazione e mai spedita: lettere a uomini politici, a collaboratori e alla famiglia che Moro scrisse e consegnò per l'inoltro e che i carcerieri, esercitando il controllo sul canale, decisero di non far uscire dalla prigione, e che sarebbero emerse soltanto con le carte del 1978 e del 1990; il registro certifica al Livello A l'esistenza e la consistenza del sottoinsieme trattenuto, quale risultanza del confronto filologico condotto dall'edizione critica, e ne dichiara il portato analitico, che è duplice. Sul piano della fonte, la selezione operata dai carcerieri è essa stessa un documento: la scelta di cosa far uscire e cosa trattenere fu un atto politico dell'organizzazione, che governò la voce del prigioniero non soltanto producendone l'occasione ma amministrandone la circolazione, e la mappa del trattenuto, ricostruibile a posteriori, documenta i criteri di quel governo, l'organizzazione avendo privilegiato l'uscita degli scritti funzionali alla pressione sulla Democrazia Cristiana e trattenuto una parte di quelli personali o eccedenti la propria strategia. Sul piano del metodo, il pilastro completa la fisionomia del corpus che il decimo ha fissato: la voce scritta del prigioniero giunse ai contemporanei filtrata 2 volte, dalla selezione dei carcerieri nella stagione e dalla vicenda dei ritrovamenti nei decenni, e ogni analisi della ricezione coeva delle lettere deve incorporare il dato che i contemporanei lessero un corpus amministrato, non il corpus integrale, una circostanza che il registro certifica quale condizione documentata della storia della ricezione.</w:t>
      </w:r>
    </w:p>
    <w:p>
      <w:pPr>
        <w:spacing w:after="120" w:line="276"/>
        <w:jc w:val="both"/>
      </w:pPr>
      <w:r>
        <w:rPr>
          <w:rFonts w:ascii="Barlow Semi Condensed" w:cs="Barlow Semi Condensed" w:eastAsia="Barlow Semi Condensed" w:hAnsi="Barlow Semi Condensed"/>
          <w:sz w:val="24"/>
          <w:szCs w:val="24"/>
        </w:rPr>
        <w:t xml:space="preserve">Il quindicesimo pilastro censisce il fondamento tecnico dell'autenticità, le perizie grafiche sul corpus. L'autografia degli scritti della prigionia fu sottoposta ad accertamento peritale in ogni stagione, dalle prime verifiche della crisi, condotte sulle lettere recapitate per escludere la falsificazione, sino agli esami sistematici delle Commissioni sui compendi del 1978 e del 1990: gli esiti, convergenti attraverso 4 decenni di strumenti crescenti, hanno accertato che le lettere e le pagine manoscritte del memoriale sono di mano di Aldo Moro, senza che alcuna perizia abbia mai individuato interpolazioni di mano diversa nei testi autografi; il registro certifica al Livello A l'autografia del corpus, quale risultanza peritale consolidata, e ne dichiara la funzione architettonica: essa è il fondamento tecnico su cui l'intero capitolo poggia, giacché distingue con nettezza le 2 questioni che la stagione confuse e che il registro tiene separate, l'autenticità materiale degli scritti, accertata e mai più seriamente contestata, e la libertà morale dello scrivente, il terreno su cui la tesi della coartazione operò; la confusione delle 2 questioni fu, per il registro, il meccanismo retorico centrale della neutralizzazione coeva, che trasferì sul piano inattaccabile della materialità il dubbio che poteva vivere soltanto sul piano della condizione, e la loro separazione, operata dalla filologia successiva, è l'atto metodologico che ha restituito il corpus alla storia; il registro trascrive la distinzione quale acquisizione definitiva della fase e la applica retroattivamente a ogni pilastro del capitolo, nel quale ogni enunciato sull'autenticità va letto quale enunciato sulla materialità accertata, e ogni questione residua quale questione sulle condizioni, censita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lettere-linea della fermezza-ultimo terreno politico, è il triangolo del corpus epistolare, certificato al Livello A nella materialità e al Livello B nella lettura della lucidità. La seconda, memoriale-Monte Nevoso 1978-Monte Nevoso 1990, è il triangolo dei ritrovamenti, certificato al Livello A nella sequenza e al Livello C nelle questioni della completezza e dell'intenzionalità. La terza, enunciati del prigioniero-riscontri sopravvenuti-Gladio, è il triangolo della fonte riscontrata, con l'elevazione dichiarata al Livello B del punto verificato. Sul piano dei pattern, il nodo è la sede propria del Pattern 6 applicato a un documento: le ipotesi concorrenti sulla gestione del memoriale, errore contro selezione, restano in competizione formale, e il registro elenca, secondo il metodo, l'evidenza che le discriminerebbe, il ritrovamento degli originali manoscritti, dichiarandola allo stato inesistente.</w:t>
      </w:r>
    </w:p>
    <w:p>
      <w:pPr>
        <w:spacing w:after="120" w:line="276"/>
        <w:jc w:val="both"/>
      </w:pPr>
      <w:r>
        <w:rPr>
          <w:rFonts w:ascii="Barlow Semi Condensed" w:cs="Barlow Semi Condensed" w:eastAsia="Barlow Semi Condensed" w:hAnsi="Barlow Semi Condensed"/>
          <w:sz w:val="24"/>
          <w:szCs w:val="24"/>
        </w:rPr>
        <w:t xml:space="preserve">Il corpus del prigioniero va restituito anche nella sua logistica, perché il recapito è esso stesso un capitolo del caso. Gli scritti viaggiarono su un doppio binario documentato: il canale brigatista ordinario, che accompagnava le lettere ai comunicati o le affidava a recapiti indiretti, ed il canale fiduciario che l'organizzazione consentì verso la famiglia, nel quale operò tra gli altri il giovane sacerdote don Antonello Mennini, confessore di casa Moro, tramite di plichi e risposte nelle settimane centrali del sequestro, secondo quanto egli stesso avrebbe poi riferito alle sedi istruttorie e parlamentari, Livello A quanto all'esistenza dei canali ed al ruolo del tramite, nei limiti delle rispettive fonti. La consistenza complessiva del corpus, tra lettere recapitate ai destinatari, scritti trattenuti dai carcerieri ed esemplari emersi soltanto nei compendi di via Monte Nevoso, si approssima al centinaio di pezzi, con un ordine interno che la filologia ha ricostruito distinguendo gli originali autografi recapitati, le trascrizioni e le fotocopie dei ritrovamenti, Livello A quanto alla tripartizione ed all'ordine di grandezza, ferma l'assenza perpetua degli originali dei compendi che la sintesi certifica.</w:t>
      </w:r>
    </w:p>
    <w:p>
      <w:pPr>
        <w:spacing w:after="120" w:line="276"/>
        <w:jc w:val="both"/>
      </w:pPr>
      <w:r>
        <w:rPr>
          <w:rFonts w:ascii="Barlow Semi Condensed" w:cs="Barlow Semi Condensed" w:eastAsia="Barlow Semi Condensed" w:hAnsi="Barlow Semi Condensed"/>
          <w:sz w:val="24"/>
          <w:szCs w:val="24"/>
        </w:rPr>
        <w:t xml:space="preserve">La mappa dei destinatari disegna, infine, la strategia del prigioniero, ed il registro la fissa nei suoi capisaldi datati: la prima lettera politica, indirizzata al ministro dell'interno Francesco Cossiga e recapitata il 29 marzo, che apre la contesa sulla linea dello scambio con l'argomentazione dello Stato che non può chiedere ai suoi servitori il sacrificio della vita innocente; le lettere al segretario democristiano Benigno Zaccagnini, tra le quali quella dei primi di aprile e quella del 20 aprile, di crescente durezza verso il partito immobile; la lettera a Paolo VI, cui seguì l'appello pubblico del pontefice del 21 aprile già certificato; e la sequenza familiare, sino all'ultima lettera alla moglie, il congedo che chiude il corpus sul registro privato dopo che quello pubblico si era consumato, Livello A quanto ai destinatari ed alla scansione. Il registro consegna la mappa alla sua lettura documentale: il prigioniero condusse per lettere una campagna ordinata, prima giuridico-politica verso lo Stato, poi morale verso il partito, poi spirituale verso la Chiesa, infine affettiva verso i suoi, e questa progressione, leggibile nella sola cronologia dei destinatari, è il più forte argomento interno contro la tesi coeva della non autenticità morale degli scritti: le lettere non divagano, manovrano, e la manovra ha la coerenza di una mente che il registro, con le sentenze e con la filologia, certifica lucida.</w:t>
      </w:r>
    </w:p>
    <w:p>
      <w:pPr>
        <w:spacing w:after="120" w:line="276"/>
        <w:jc w:val="both"/>
      </w:pPr>
      <w:r>
        <w:rPr>
          <w:rFonts w:ascii="Barlow Semi Condensed" w:cs="Barlow Semi Condensed" w:eastAsia="Barlow Semi Condensed" w:hAnsi="Barlow Semi Condensed"/>
          <w:sz w:val="24"/>
          <w:szCs w:val="24"/>
        </w:rPr>
        <w:t xml:space="preserve">Al compendio memorialistico il registro deve la mappa tematica, che le fotocopie dei 2 ritrovamenti consentono di censire al livello loro proprio: le pagine dell'interrogatorio-testamento percorrono, in forma di risposta al questionario dei carcerieri, la storia interna della Democrazia cristiana e dei suoi finanziamenti, i rapporti atlantici della Repubblica e le strutture riservate della sicurezza, i profili dei protagonisti coevi tracciati con giudizi di inedita durezza, e la riflessione del prigioniero sul proprio partito e sulla propria sorte, Livello B quanto ai contenuti, trattandosi di riproduzioni prive degli originali, con la gradazione interna che la filologia dei 2 compendi impone. Sul piano dell'autenticità materiale, le perizie grafiche e documentali disposte nei cicli giudiziari e nelle sedi parlamentari hanno costantemente ricondotto gli autografi riprodotti alla mano di Moro, senza che alcun accertamento abbia mai revocato in dubbio la paternità degli scritti, Livello A quanto agli esiti peritali sulla paternità. Ne discende lo statuto documentale che il registro assegna al corpus e che la sintesi presuppone: testi autentici in copia incompleta, la cui attendibilità di contenuto va graduata pagina per pagina secondo la natura dell'affermazione, testimonianza diretta, giudizio politico o notizia appresa, e la cui lacunosità certificata, l'assenza perpetua degli originali e la maggiore estensione del secondo compendio rispetto al primo, costituisce essa stessa, come il capitolo ha stabilito, il reperto principale: di questo archivio conosciamo con certezza soltanto ciò che manca.</w:t>
      </w:r>
    </w:p>
    <w:p>
      <w:pPr>
        <w:spacing w:after="120" w:line="276"/>
        <w:jc w:val="both"/>
      </w:pPr>
      <w:r>
        <w:rPr>
          <w:rFonts w:ascii="Barlow Semi Condensed" w:cs="Barlow Semi Condensed" w:eastAsia="Barlow Semi Condensed" w:hAnsi="Barlow Semi Condensed"/>
          <w:sz w:val="24"/>
          <w:szCs w:val="24"/>
        </w:rPr>
        <w:t xml:space="preserve">Al corpus scritto si affianca il sotto-corpus visivo, le 2 fotografie del prigioniero, che il registro censisce quale sistema documentale autonomo: la prima, diffusa con il comunicato del 18 marzo, il prigioniero in camicia sotto il drappo dell'organizzazione, con la funzione di certificare la cattura e la messa in scena processuale; la seconda, diffusa il 20 aprile all'indomani del diversivo, il prigioniero con il quotidiano del 19 aprile spiegato dinanzi a sé, con la funzione opposta e complementare di certificare la vita contro la voce della morte che il falso comunicato aveva immesso nel circuito, Livello A quanto alle 2 immagini, alle date ed alle funzioni documentali. Il registro ne fissa la grammatica: la prima fotografia prova l'esistenza del potere dei carcerieri, la seconda prova l'esistenza nel tempo del prigioniero, e tra le 2 immagini corre l'intera parabola comunicativa del sequestro, dall'ostensione del trofeo alla prova di vita mercantile, con il quotidiano trasformato in calendario, l'oggetto più quotidiano del Dominio 8 convertito in strumento di datazione forense. Che le 2 sole immagini uscite dalla prigione siano entrambe atti di comunicazione strategica, e che nessuna immagine del quotidiano carcerario, della cella, dei volti, sia mai stata prodotta o ritrovata, completa la coerenza del sistema: la prigione comunicò soltanto ciò che serviva, quando serviva, e la sua economia visiva, 2 fotografie in 55 giorni, resta la misura più eloquente della disciplina che il registro ha certificato su ogni altro piano.</w:t>
      </w:r>
    </w:p>
    <w:p>
      <w:pPr>
        <w:spacing w:after="120" w:line="276"/>
        <w:jc w:val="both"/>
      </w:pPr>
      <w:r>
        <w:rPr>
          <w:rFonts w:ascii="Barlow Semi Condensed" w:cs="Barlow Semi Condensed" w:eastAsia="Barlow Semi Condensed" w:hAnsi="Barlow Semi Condensed"/>
          <w:sz w:val="24"/>
          <w:szCs w:val="24"/>
        </w:rPr>
        <w:t xml:space="preserve">La prima lettera a Cossiga esige l'analisi della sua architettura argomentativa, perché il registro vi riconosce il documento giuridicamente più denso dell'intero corpus: nel testo recapitato il 29 marzo il prigioniero costruisce, da giurista, il fondamento dottrinale della trattativa, rivendicando di trovarsi sotto un dominio pieno ed incontrollato, in condizione di prigioniero politico di una guerra dichiarata dalla controparte, e richiamando espressamente le prassi già seguite dallo Stato italiano, gli scambi e i rilasci consumati verso la guerriglia palestinese, quale precedente che dimostrava la praticabilità e la già avvenuta pratica del principio della salvezza della vita, Livello A quanto ai contenuti del testo edito. Il registro fissa la potenza documentale dell'argomento: il prigioniero opponeva alla dottrina della fermezza non un'implorazione ma un precedente, e il precedente invocato era esattamente la gestione riservata mediterranea che la fase quinta dell'opera censisce, sicché la lettera del 29 marzo salda dall'interno della prigione i 2 piani che l'opera tratta in fasi distinte, il caso nazionale e il teatro internazionale, certificando che il primo a formulare la connessione fu l'ostaggio medesimo, con cognizione di causa da presidente del partito di governo. La replica implicita dello Stato, il silenzio sul precedente e la costruzione pubblica del Moro non più sé stesso, appartiene ai capitoli censiti; qui il registro consegna il punto dottrinale nudo: nella primavera del 1978 la questione non era se lo Stato italiano potesse trattare con organizzazioni armate, questione già risolta in fatto dalla prassi che il prigioniero conosceva e citava, ma se potesse ammettere di averlo già fatto, e la distanza tra le 2 domande, giuridicamente nulla e politicamente abissale, è lo spazio esatto in cui il caso si consumò.</w:t>
      </w:r>
    </w:p>
    <w:p>
      <w:pPr>
        <w:spacing w:after="120" w:line="276"/>
        <w:jc w:val="both"/>
      </w:pPr>
      <w:r>
        <w:rPr>
          <w:rFonts w:ascii="Barlow Semi Condensed" w:cs="Barlow Semi Condensed" w:eastAsia="Barlow Semi Condensed" w:hAnsi="Barlow Semi Condensed"/>
          <w:sz w:val="24"/>
          <w:szCs w:val="24"/>
        </w:rPr>
        <w:t xml:space="preserve">Il canale vaticano del quadrilatero epistolare ha una genealogia biografica che il registro deve premettere, perché senza di essa l'intensità dell'impegno pontificio resta inspiegata: il rapporto tra il prigioniero ed il papa affondava nel sodalizio nato mezzo secolo prima negli ambienti della Federazione universitaria cattolica italiana, della quale Giovanni Battista Montini era stato assistente ecclesiastico nazionale e Aldo Moro divenne presidente nazionale nel 1939, all'origine di una consuetudine personale e intellettuale protrattasi per l'intera parabola dei 2 uomini, sino a farne, nella primavera del 1978, il vertice della Chiesa ed il vertice del partito cattolico legati da un'amicizia quarantennale, Livello A quanto alla comune matrice fucina ed alla continuità documentata del rapporto. Il registro consegna la premessa alla sua funzione ermeneutica: l'appello del 21 aprile, la disponibilità riservata censita e la liturgia funebre presieduta di persona non furono atti di un'istituzione verso uno statista, ma di un uomo verso l'allievo ed amico di una vita, e questa qualità personale del canale, unica nell'intero quadrilatero, spiega tanto la sua straordinaria mobilitazione quanto il suo limite strutturale: il papa poteva offrire ciò che un amico possiede, la voce, il denaro, la preghiera, ma non ciò che il negoziato richiedeva, la potestà di liberare prigionieri altrui, sicché il canale più motivato del sistema era anche, per costituzione, il meno attrezzato, e la sproporzione tra il suo investimento e la sua capacità è la misura più commovente e più esatta dell'impotenza generale che il capitolo censisce.</w:t>
      </w:r>
    </w:p>
    <w:p>
      <w:pPr>
        <w:spacing w:after="120" w:line="276"/>
        <w:jc w:val="both"/>
      </w:pPr>
      <w:r>
        <w:rPr>
          <w:rFonts w:ascii="Barlow Semi Condensed" w:cs="Barlow Semi Condensed" w:eastAsia="Barlow Semi Condensed" w:hAnsi="Barlow Semi Condensed"/>
          <w:sz w:val="24"/>
          <w:szCs w:val="24"/>
        </w:rPr>
        <w:t xml:space="preserve">La mappa dei destinatari istituzionali si completa con la lettera al vertice del terzo potere rappresentativo, che il registro aggiunge al quadrilatero: il prigioniero scrisse anche al presidente della Camera Pietro Ingrao, investendo della questione la massima carica parlamentare espressa dall'opposizione comunista, con un testo che sollecitava l'assunzione di responsabilità delle istituzioni rappresentative accanto a quelle di governo e di partito già destinatarie del corpus censito, Livello A quanto alla lettera ed al suo destinatario. Il registro annota la razionalità della scelta: indirizzando la terza carica dello Stato, per giunta espressione del partito perno della fermezza, il prigioniero completava la copertura istituzionale del proprio sistema epistolare, governo, partito, Chiesa, famiglia e Parlamento, e costringeva formalmente anche il fronte comunista, sino ad allora raggiunto solo per interposta polemica, a ricevere ed archiviare una propria responsabilità documentale, sicché nessuna delle istituzioni della Repubblica avrebbe potuto dire, negli atti, di non essere stata personalmente investita, e l'architettura complessiva del corpus si rivela per ciò che il capitolo ha progressivamente documentato: non una raccolta di suppliche, ma una notificazione sistematica.</w:t>
      </w:r>
    </w:p>
    <w:p>
      <w:pPr>
        <w:spacing w:after="120" w:line="276"/>
        <w:jc w:val="both"/>
      </w:pPr>
      <w:r>
        <w:rPr>
          <w:rFonts w:ascii="Barlow Semi Condensed" w:cs="Barlow Semi Condensed" w:eastAsia="Barlow Semi Condensed" w:hAnsi="Barlow Semi Condensed"/>
          <w:sz w:val="24"/>
          <w:szCs w:val="24"/>
        </w:rPr>
        <w:t xml:space="preserve">Il memoriale contiene infine il suo versante economico-finanziario, che il registro censisce quale requisitoria postuma saldata alla prima fase dell'opera: nei fogli emersi il prigioniero trattò criticamente, tra l'altro, la vicenda dei salvataggi bancari legati al finanziere siciliano già censito nel quadrilatero della fase prima, ed i meccanismi del finanziamento occulto della politica, con giudizi netti sui costi di sistema di quelle operazioni e sulle responsabilità degli ambienti che le avevano patrocinate, Livello A quanto ai contenuti dei testi editi. Il registro fissa il valore architettonico del reperto: il massimo prigioniero politico della storia repubblicana dedicò parte della propria ultima scrittura esattamente ai crocevia tra finanza, partiti e protezioni che la fase prima di quest'opera ricostruisce, e questa convergenza tematica tra il memoriale del 1978 ed il registro del quadrilatero, formatasi per vie del tutto indipendenti, vale quale riscontro incrociato di prima grandezza: l'analisi che l'opera ha condotto sugli atti giudiziari coincide, nei suoi assi, con l'analisi che il testimone più interno del sistema politico consegnò alla propria prigione, e quando l'archivio e l'ostaggio, senza potersi parlare, descrivono la medesima macchina, il metodo registra la concordanza come si registra, in ogni scienza, la replica indipendente di un esperimento.</w:t>
      </w:r>
    </w:p>
    <w:p>
      <w:pPr>
        <w:spacing w:after="120" w:line="276"/>
        <w:jc w:val="both"/>
      </w:pPr>
      <w:r>
        <w:rPr>
          <w:rFonts w:ascii="Barlow Semi Condensed" w:cs="Barlow Semi Condensed" w:eastAsia="Barlow Semi Condensed" w:hAnsi="Barlow Semi Condensed"/>
          <w:sz w:val="24"/>
          <w:szCs w:val="24"/>
        </w:rPr>
        <w:t xml:space="preserve">La gestione del carteggio da parte dell'organizzazione esige il suo censimento strategico, che il registro formula sul piano delle tempistiche: le lettere non uscirono dalla prigione al ritmo della scrittura ma al ritmo della trattativa, con recapiti calibrati sulle scadenze politiche esterne, accelerazioni nei passaggi critici del negoziato pubblico e sospensioni nelle fasi di stallo, secondo una regia della corrispondenza che le ricostruzioni processuali e le stesse ammissioni successive dei carcerieri documentano, Livello A quanto alla gestione strumentale dei recapiti. Il registro fissa la conseguenza analitica che questa regia impone al lettore dell'epistolario: ogni lettera del corpus possiede 2 date, quella della scrittura, spesso ignota, e quella del recapito, sempre scelta, e la distanza tra le 2 è essa stessa un enunciato dell'organizzazione, non del prigioniero, sicché il carteggio del sequestro va letto quale opera a 2 autori asimmetrici, l'uomo che scriveva ciò che voleva e la struttura che consegnava ciò che serviva, e la filologia del caso, che l'opera ha praticato capitolo per capitolo, ha dovuto imparare a distinguere sistematicamente la voce dal megafono, perché confonderli significa attribuire al pensiero dell'ostaggio la strategia dei suoi custodi.</w:t>
      </w:r>
    </w:p>
    <w:p>
      <w:pPr>
        <w:spacing w:after="120" w:line="276"/>
        <w:jc w:val="both"/>
      </w:pPr>
      <w:r>
        <w:rPr>
          <w:rFonts w:ascii="Barlow Semi Condensed" w:cs="Barlow Semi Condensed" w:eastAsia="Barlow Semi Condensed" w:hAnsi="Barlow Semi Condensed"/>
          <w:sz w:val="24"/>
          <w:szCs w:val="24"/>
        </w:rPr>
        <w:t xml:space="preserve">Il carteggio possiede infine la sua cifra stilistica dominante, che il registro censisce quale reperto intellettuale: il prigioniero condusse la propria difesa con gli strumenti della propria scienza, ed il corpus delle lettere è attraversato da capo a fondo dalle categorie del giurista, la distinzione tra lo Stato ed il governo, la teoria dello stato di necessità invocata a fondamento dello scambio, la critica della linea della fermezza condotta quale eccezione di legittimità, il richiamo ai precedenti quale giurisprudenza dei casi, sino alla contestazione della rappresentanza di chi parlava in suo nome, Livello A quanto alla tessitura giuridica del corpus autentico. Il registro consegna la cifra alla sua interpretazione: l'ordinario di diritto che si trovò imputato davanti ad un tribunale illegale e condannato da uno Stato legale che lo dichiarava non negoziabile scrisse per 55 giorni la propria arringa in punta di diritto contro entrambe le giurisdizioni, e questa coerenza professionale estrema, mantenuta sino alle ultime righe, è insieme la prova di lucidità che le perizie certificarono contro la tesi della coercizione totale e la chiave della tragedia intellettuale del caso: l'uomo morì applicando impeccabilmente le categorie di un ordinamento che, nelle 2 versioni contrapposte davanti alle quali le difese, quella armata e quella ufficiale, le aveva entrambe già sospese.</w:t>
      </w:r>
    </w:p>
    <w:p>
      <w:pPr>
        <w:spacing w:after="120" w:line="276"/>
        <w:jc w:val="both"/>
      </w:pPr>
      <w:r>
        <w:rPr>
          <w:rFonts w:ascii="Barlow Semi Condensed" w:cs="Barlow Semi Condensed" w:eastAsia="Barlow Semi Condensed" w:hAnsi="Barlow Semi Condensed"/>
          <w:sz w:val="24"/>
          <w:szCs w:val="24"/>
        </w:rPr>
        <w:t xml:space="preserve">L'epistolario esige infine la distinzione dei suoi 2 registri, che il registro censisce quale ultima chiave di lettura: accanto al corpus politico indirizzato agli uomini dello Stato e del partito, il carteggio comprende le lettere alla famiglia, alla moglie ed ai figli, un canale parallelo dal tono radicalmente altro, spogliato di ogni categoria giuridica e negoziale, fatto di disposizioni domestiche, di congedi e di fede, che le perizie hanno certificato con la medesima autenticità del corpus maggiore e che la vedova, testimone poi centrale in ogni ciclo processuale, custodì e consegnò nelle forme che gli atti documentano, Livello A quanto al doppio registro ed alla sua autenticità. Il registro consegna la compresenza alla sua funzione probatoria e umana insieme: la coesistenza, nelle stesse settimane e dalla stessa cella, della più lucida contro-argomentazione giuridica del caso e del più disadorno congedo familiare della letteratura civile italiana è la prova interna definitiva contro ogni tesi di coercizione totale della scrittura, perché si può dettare una linea, non si possono dettare 2 voci, e l'uomo che nelle lettere politiche combatteva e in quelle familiari si congedava dimostrò, con la semplice tenuta dei 2 registri, di essere rimasto sino all'ultimo il padrone della propria mente, che è poi l'unica sovranità che i 55 giorni non riuscirono a sequestrare.</w:t>
      </w:r>
    </w:p>
    <w:p>
      <w:pPr>
        <w:spacing w:after="120" w:line="276"/>
        <w:jc w:val="both"/>
      </w:pPr>
      <w:r>
        <w:rPr>
          <w:rFonts w:ascii="Barlow Semi Condensed" w:cs="Barlow Semi Condensed" w:eastAsia="Barlow Semi Condensed" w:hAnsi="Barlow Semi Condensed"/>
          <w:sz w:val="24"/>
          <w:szCs w:val="24"/>
        </w:rPr>
        <w:t xml:space="preserve">Il corpus degli scritti possiede infine il suo confine documentale esatto, che la triangolazione con il giacimento testuale integrale consegna all'edizione definitiva: la raccolta digitale complessiva della produzione pubblica dell'uomo, 1.062 documenti ordinati cronologicamente dal primo scritto giovanile del luglio 1932 all'ultimo testo libero, reca quale data terminale il 6 marzo 1978, 10 giorni esatti prima dell'agguato, Livello A quale perimetro del corpus censito. Il registro consegna il confine alla sua eloquenza involontaria: 46 anni di scrittura pubblica ininterrotta, dalla formazione negli organismi cattolici alla riflessione costituente sino agli interventi dell'ultima stagione politica, si arrestano su un testo che il suo autore non poteva sapere ultimo, e la produzione successiva, il carteggio ed il memoriale della prigionia che questo capitolo ha censito, appartiene ad un regime documentale radicalmente altro, scritto in cattività e recapitato da altri, sicché l'opera omnia dell'uomo si divide con esattezza da archivio in 2 corpora incommensurabili, la voce libera che si spegne il 6 marzo e la voce prigioniera che comincia dopo il 16, e lo iato di 10 giorni tra le 2, il silenzio documentale della vigilia, è l'ultimo reperto che la filologia del caso consegna alla storia: il punto esatto in cui una biografia intellettuale di mezzo secolo divenne, senza saperlo, un'eredità.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documentale certifica al Livello A il corpus delle lettere e la sequenza dei 2 ritrovamenti di via Monte Nevoso del 1 ottobre 1978 e del 9 ottobre 1990, con la maggiore estensione del secondo compendio e l'assenza perpetua degli originali; la lettura della lucidità del prigioniero è certificata al Livello B; le questioni della completezza del memoriale e dell'intenzionalità della mancata scoperta del 1978 restano al Livello C sotto divieto inferenziale; e l'enunciato del prigioniero sulle strutture di emergenza atlantiche è elevato al Livello B quale dichiarazione riscontrata dalla rivelazione indipendente del 1990.</w:t>
      </w:r>
    </w:p>
    <w:p>
      <w:pPr>
        <w:pStyle w:val="Heading3"/>
        <w:spacing w:after="80" w:before="160"/>
      </w:pPr>
      <w:r>
        <w:rPr>
          <w:rFonts w:ascii="Barlow Semi Condensed" w:cs="Barlow Semi Condensed" w:eastAsia="Barlow Semi Condensed" w:hAnsi="Barlow Semi Condensed"/>
          <w:sz w:val="24"/>
          <w:szCs w:val="24"/>
        </w:rPr>
        <w:t xml:space="preserve">Capitolo 6 — ■ Via Caetani, 9 maggio 1978. L'epilogo, il giudicato dell'esecuzione e la geografia del messaggio</w:t>
      </w:r>
    </w:p>
    <w:p>
      <w:pPr>
        <w:spacing w:after="120" w:line="276"/>
        <w:jc w:val="both"/>
      </w:pPr>
      <w:r>
        <w:rPr>
          <w:rFonts w:ascii="Barlow Semi Condensed" w:cs="Barlow Semi Condensed" w:eastAsia="Barlow Semi Condensed" w:hAnsi="Barlow Semi Condensed"/>
          <w:sz w:val="24"/>
          <w:szCs w:val="24"/>
        </w:rPr>
        <w:t xml:space="preserve">Il ritrovamento del corpo di Aldo Moro, la mattina del 9 maggio 1978 nel bagagliaio di una Renault 4 rossa parcheggiata in via Michelangelo Caetani, nel centro di Roma, è il nodo-evento terminale della sequenza, e il registro lo tratta nei suoi 3 contenuti: il giudicato dell'esecuzione, la scelta del luogo, la chiusura del ciclo. La scansione del corpus registra il toponimo 96 volte in 15 documenti.</w:t>
      </w:r>
    </w:p>
    <w:p>
      <w:pPr>
        <w:spacing w:after="120" w:line="276"/>
        <w:jc w:val="both"/>
      </w:pPr>
      <w:r>
        <w:rPr>
          <w:rFonts w:ascii="Barlow Semi Condensed" w:cs="Barlow Semi Condensed" w:eastAsia="Barlow Semi Condensed" w:hAnsi="Barlow Semi Condensed"/>
          <w:sz w:val="24"/>
          <w:szCs w:val="24"/>
        </w:rPr>
        <w:t xml:space="preserve">Il primo pilastro è il giudicato dell'esecuzione, certificato al Livello A. All'esito dei procedimenti, la ricostruzione irrevocabile colloca l'esecuzione nella prima mattina del 9 maggio: il prigioniero fu fatto scendere nel garage dello stabile di via Montalcini, posto nel bagagliaio della vettura e ucciso con una raffica di mitraglietta Skorpion calibro 7,65 munita di silenziatore e con colpi d'arma corta, esplosi da Mario Moretti, con il concorso accertato degli uomini della prigione; la vettura fu quindi condotta nel centro della città e abbandonata in via Caetani, e l'organizzazione ne annunciò la posizione con la telefonata che chiuse i 55 giorni. Il registro certifica al Livello A l'esecuzione, il suo autore materiale e la catena deliberativa interna che la precedette, quale risultanza dei giudicati, ivi compresa la decisione finale maturata al vertice dell'organizzazione dopo il fallimento di ogni prospettiva di scambio; e annota, quale dato del piano primo con rilievo sul piano interpretativo, che la fase finale fu preceduta, dentro l'organizzazione, da un dissenso documentato, con la contrarietà all'esecuzione di una parte della colonna romana, emersa negli atti e nelle successive separazioni: la deliberazione fu dell'organizzazione, ma non fu unanime, e la successiva scissione della componente contraria appartiene alla storia giudicata del dopo.</w:t>
      </w:r>
    </w:p>
    <w:p>
      <w:pPr>
        <w:spacing w:after="120" w:line="276"/>
        <w:jc w:val="both"/>
      </w:pPr>
      <w:r>
        <w:rPr>
          <w:rFonts w:ascii="Barlow Semi Condensed" w:cs="Barlow Semi Condensed" w:eastAsia="Barlow Semi Condensed" w:hAnsi="Barlow Semi Condensed"/>
          <w:sz w:val="24"/>
          <w:szCs w:val="24"/>
        </w:rPr>
        <w:t xml:space="preserve">Il secondo pilastro è la geografia del messaggio, che il registro tratta con la distinzione consueta tra il fatto e la lettura. Via Caetani si trova nel cuore del centro storico romano, a distanza pedonale tanto dalla sede nazionale della Democrazia Cristiana in piazza del Gesù quanto da quella del Partito comunista in via delle Botteghe Oscure: la collocazione del corpo in quel punto fu universalmente letta, sin dalle prime ore, quale messaggio simbolico di equidistanza, il corpo del mediatore deposto a metà strada tra i 2 partiti del compromesso. Il registro certifica al Livello A la topografia, che è un fatto misurabile, e registra la lettura simbolica quale interpretazione dominante e verosimile, mantenendola tuttavia nel registro delle letture e non dei fatti, giacché la scelta del luogo non è mai stata oggetto di una ricostruzione giudiziaria delle intenzioni che ne certifichi il significato; l'annotazione metodologica è che la potenza semantica di un luogo non ne certifica la deliberazione semantica, e che il registro, anche nel punto di massima suggestione dell'intera vicenda, mantiene la linea.</w:t>
      </w:r>
    </w:p>
    <w:p>
      <w:pPr>
        <w:spacing w:after="120" w:line="276"/>
        <w:jc w:val="both"/>
      </w:pPr>
      <w:r>
        <w:rPr>
          <w:rFonts w:ascii="Barlow Semi Condensed" w:cs="Barlow Semi Condensed" w:eastAsia="Barlow Semi Condensed" w:hAnsi="Barlow Semi Condensed"/>
          <w:sz w:val="24"/>
          <w:szCs w:val="24"/>
        </w:rPr>
        <w:t xml:space="preserve">Il terzo pilastro è la chiusura del ciclo e l'apertura del dopo, che il registro censisce quale cerniera. Con il 9 maggio si chiuse il sequestro e si aprì la stagione dei processi, delle commissioni e della memoria, che i capitoli satellite della fase percorrono; il registro fissa qui i 2 dati di chiusura certificati al Livello A: la fine del progetto politico della solidarietà nazionale, consumatasi nei mesi successivi con l'esaurimento della legislatura e della formula, quale esito storico oggettivo già annotato nel capitolo 1; e l'avvio, entro poche settimane, della prima inchiesta parlamentare, destinata a inaugurare la più lunga serie di inchieste su un singolo evento della storia repubblicana. Il registro annota infine il dato umano che la disciplina delle vittime impone di trascrivere: con Aldo Moro, la vicenda conta i 5 uomini della scorta caduti il 16 marzo, i cui nomi il capitolo 2 ha consegnato, e il registro li unisce in un solo elenco di 6 nomi quale perimetro umano del nodo.</w:t>
      </w:r>
    </w:p>
    <w:p>
      <w:pPr>
        <w:spacing w:after="120" w:line="276"/>
        <w:jc w:val="both"/>
      </w:pPr>
      <w:r>
        <w:rPr>
          <w:rFonts w:ascii="Barlow Semi Condensed" w:cs="Barlow Semi Condensed" w:eastAsia="Barlow Semi Condensed" w:hAnsi="Barlow Semi Condensed"/>
          <w:sz w:val="24"/>
          <w:szCs w:val="24"/>
        </w:rPr>
        <w:t xml:space="preserve">Il quarto pilastro è la formazione processuale della verità sull'esecuzione, che il registro ricostruisce quale caso di scuola della stratificazione delle fonti. La ricostruzione oggi giudicata non fu disponibile per anni: le prime versioni processuali lasciarono aperte l'identità dell'esecutore materiale e la scena finale, e la verità si compose per apporti successivi, il memoriale difensivo consegnato da Valerio Morucci e Adriana Faranda a cavallo del 1990, che fissò la versione interna dell'organizzazione sulla dinamica conclusiva, le progressive ammissioni di Moretti, e l'identificazione nel 1993 di Germano Maccari, il quarto uomo, la cui posizione fu giudicata nell'ultimo procedimento con la ricostruzione definitiva della mattina del 9 maggio. Il registro certifica al Livello A questa stratigrafia della verità, quale storia documentale del piano primo, e ne trae 2 annotazioni. La prima è metodologica: la verità giudicata dell'esecuzione è figlia di fonti interne all'organizzazione, maturate in tempi e con interessi diversi, e la sua solidità attuale deriva dalla convergenza finale di dichiarazioni indipendenti su un nucleo fattuale stabile, secondo il criterio di consilienza che il registro applica; le divergenze residue tra le versioni, su dettagli della scena e dei presenti, sono censite negli atti e non intaccano il nucleo giudicato. La seconda annotazione è sistemica: la circostanza che l'identità completa degli uomini della prigione sia rimasta ignota allo Stato per 15 anni, e sia emersa per via confessoria e non investigativa, misura retrospettivamente la qualità della compartimentazione dell'organizzazione e, insieme, il fallimento certificato delle ricerche del piano secondo, saldando i 2 piani nel loro rapporto documentale senza trasferire nulla dall'uno all'altro.</w:t>
      </w:r>
    </w:p>
    <w:p>
      <w:pPr>
        <w:spacing w:after="120" w:line="276"/>
        <w:jc w:val="both"/>
      </w:pPr>
      <w:r>
        <w:rPr>
          <w:rFonts w:ascii="Barlow Semi Condensed" w:cs="Barlow Semi Condensed" w:eastAsia="Barlow Semi Condensed" w:hAnsi="Barlow Semi Condensed"/>
          <w:sz w:val="24"/>
          <w:szCs w:val="24"/>
        </w:rPr>
        <w:t xml:space="preserve">Il quinto pilastro è la dimensione vaticana della vicenda, che il registro censisce quale arco della fase verso il Dominio 5, sinora assente dal quadro. Il 21 aprile 1978 Paolo VI, legato a Moro da un'amicizia risalente agli anni della comune formazione universitaria cattolica, rese pubblica una lettera autografa indirizzata agli uomini delle Brigate Rosse, nella quale implorava in ginocchio la liberazione del prigioniero, senza condizioni: la formula, che escludeva lo scambio, fu essa stessa oggetto di lettura politica, quale allineamento alla fermezza, e le acquisizioni successive hanno documentato che, accanto al gesto pubblico, la Santa Sede esplorò canali riservati per la liberazione, sino alla predisposizione, riferita da fonti convergenti degli ambienti coinvolti, di una disponibilità economica per un riscatto che non trovò controparte. Il registro certifica al Livello A la lettera pubblica e la sua formula, quali fatti documentali, e al Livello B l'esplorazione riservata e la disponibilità al riscatto, quale convergenza di fonti testimoniali qualificate non consacrata da riscontro documentale integrale; e certifica al Livello A l'epilogo liturgico della vicenda, la partecipazione del pontefice alla commemorazione solenne in San Giovanni in Laterano del 13 maggio, celebrata in assenza della salma per volontà della famiglia, che aveva rifiutato le esequie di Stato in ottemperanza alle disposizioni del prigioniero, con l'orazione nella quale Paolo VI rivolse a Dio la domanda sul mancato esaudimento della supplica. L'annotazione reticolare chiude il pilastro: il Dominio 5 entra nel caso Moro dal lato opposto a quello che l'opera gli ha sinora censito, non la finanza dello IOR ma la persona del pontefice, e l'arco documentato, il tentativo riservato di riscatto, è un arco di soccorso fallito, non di potere: il registro lo trascrive quale promemoria che la rete dei domini contiene anche archi di questa natura, e che la loro rarità nel corpus è essa stessa un dato.</w:t>
      </w:r>
    </w:p>
    <w:p>
      <w:pPr>
        <w:spacing w:after="120" w:line="276"/>
        <w:jc w:val="both"/>
      </w:pPr>
      <w:r>
        <w:rPr>
          <w:rFonts w:ascii="Barlow Semi Condensed" w:cs="Barlow Semi Condensed" w:eastAsia="Barlow Semi Condensed" w:hAnsi="Barlow Semi Condensed"/>
          <w:sz w:val="24"/>
          <w:szCs w:val="24"/>
        </w:rPr>
        <w:t xml:space="preserve">Il sesto pilastro ricostruisce la giornata del 9 maggio nei suoi atti documentati. Poco dopo mezzogiorno, alle 12:13, Valerio Morucci telefonò al professor Franco Tritto, assistente e amico di Moro, incaricandolo di comunicare alla famiglia che il corpo del presidente si trovava in via Caetani, in una Renault 4 rossa: la telefonata, registrata, è l'atto conclusivo della comunicazione dell'organizzazione, e il registro la certifica al Livello A nel suo testo e nella sua ora. Il ritrovamento seguì nel primo pomeriggio, con le procedure di bonifica del veicolo e il riconoscimento alla presenza delle autorità; gli accertamenti medico-legali collocarono la morte nella mattinata stessa, e fissarono il quadro delle lesioni, la raffica della mitraglietta silenziata e i colpi d'arma corta al torace, con la ricostruzione della posizione del corpo nel bagagliaio al momento del fuoco. Alle risultanze appartengono i reperti sugli abiti e sul corpo che alimentarono la questione dei luoghi: tracce di sabbia negli abiti e nei risvolti, residui vegetali e altri elementi che le perizie giudicarono compatibili con un ambiente litoraneo, e che nessuna delle prigioni accertate spiega; il registro certifica al Livello A l'esistenza dei reperti, quale dato peritale, e mantiene al Livello C ogni ricostruzione che ne derivi, dal soggiorno marino del prigioniero alla contaminazione deliberata a fini diversivi, annotando che i reperti costituiscono l'anomalia materiale terminale della vicenda, discussa da ogni stagione d'inchiesta e risolta da nessuna, e che la loro coesistenza con la ricostruzione giudicata della prigione unica di via Montalcini è il punto in cui il piano primo e il piano secondo si toccano senza comporsi.</w:t>
      </w:r>
    </w:p>
    <w:p>
      <w:pPr>
        <w:spacing w:after="120" w:line="276"/>
        <w:jc w:val="both"/>
      </w:pPr>
      <w:r>
        <w:rPr>
          <w:rFonts w:ascii="Barlow Semi Condensed" w:cs="Barlow Semi Condensed" w:eastAsia="Barlow Semi Condensed" w:hAnsi="Barlow Semi Condensed"/>
          <w:sz w:val="24"/>
          <w:szCs w:val="24"/>
        </w:rPr>
        <w:t xml:space="preserve">Il settimo pilastro registra la coincidenza di calendario che congiunge, nella medesima notte, il caso Moro e il Dominio 1, e che il registro trascrive quale atto dovuto e quale filo reticolare. Nella notte tra l'8 e il 9 maggio 1978, a Cinisi, in Sicilia, fu assassinato Giuseppe Impastato, il militante che dai microfoni di una radio libera conduceva da anni la denuncia pubblica del potere mafioso locale e del suo capo, Gaetano Badalamenti: il corpo fu dilaniato da una carica di esplosivo sui binari della ferrovia, in una messinscena che orientò le prime indagini verso l'ipotesi dell'attentato terroristico finito male o del suicidio, e la notizia fu sommersa, nel giorno del ritrovamento di via Caetani, dall'evento nazionale. La verità giudiziaria giunse a distanza di decenni: l'accertamento della matrice mafiosa del delitto, la condanna nel 2001 di Vito Palazzolo e la condanna all'ergastolo, pronunciata dalla Corte d'assise di Palermo nell'aprile 2002, di Gaetano Badalamenti quale mandante. Il registro certifica al Livello A l'omicidio, la messinscena depistante originaria e gli esiti di condanna del filone, nomina la vittima, e dichiara il duplice rilievo della trascrizione: il primo è documentale, giacché la sovrapposizione di calendario produsse, quale effetto certificato, l'oscuramento informativo del delitto di Cinisi, un caso di scuola della gerarchia dell'attenzione che il metodo dell'opera ha codificato quale effetto lampione; il secondo è reticolare, giacché il nome di Gaetano Badalamenti, mandante condannato per Impastato, è il medesimo che il capitolo successivo registra quale imputato assolto in via definitiva per l'omicidio Pecorelli, e la compresenza dei 2 esiti opposti sul medesimo nodo, una condanna irrevocabile e un'assoluzione irrevocabile per 2 omicidi della stessa stagione, è il promemoria terminale della disciplina dell'opera: il registro segue gli esiti, ciascuno nel proprio segno, e il nodo Badalamenti li porta entrambi.</w:t>
      </w:r>
    </w:p>
    <w:p>
      <w:pPr>
        <w:spacing w:after="120" w:line="276"/>
        <w:jc w:val="both"/>
      </w:pPr>
      <w:r>
        <w:rPr>
          <w:rFonts w:ascii="Barlow Semi Condensed" w:cs="Barlow Semi Condensed" w:eastAsia="Barlow Semi Condensed" w:hAnsi="Barlow Semi Condensed"/>
          <w:sz w:val="24"/>
          <w:szCs w:val="24"/>
        </w:rPr>
        <w:t xml:space="preserve">L'ottavo pilastro censisce le reazioni istituzionali del 9 maggio e dei giorni seguenti. La notizia raggiunse le Camere in seduta e i lavori furono sospesi tra scene di commozione documentate dai resoconti; il presidente della Repubblica Giovanni Leone, che nei giorni precedenti aveva tenuto pronta, per convergenti testimonianze, l'ipotesi estrema di un atto di clemenza, firmò il messaggio di cordoglio alla famiglia; i capi di Stato e di governo dell'occidente inviarono i messaggi che la diplomazia registrò; le confederazioni proclamarono la fermata generale e le piazze si riempirono per la seconda volta in 55 giorni, ora nel lutto; e il ministro dell'interno rassegnò le dimissioni censite nel capitolo della gestione, unico atto formale di responsabilità dell'intera vicenda. Il registro certifica al Livello A la sequenza delle reazioni, quale materia documentale, e vi salda il dato politico già fissato: la solidarietà nazionale sopravvisse alla morte dell'uomo che l'aveva costruita per soli 8 mesi, e la stagione che il sequestro avrebbe dovuto, nelle intenzioni giudicate dell'organizzazione, far esplodere si spense invece per consunzione, senza che nessuna delle forze vi rinvenisse più l'interesse che l'architetto vi aveva costruito; il registro certifica la cronologia della dissoluzione quale fatto e la consegna, senza inferenze, al bilancio della fase.</w:t>
      </w:r>
    </w:p>
    <w:p>
      <w:pPr>
        <w:spacing w:after="120" w:line="276"/>
        <w:jc w:val="both"/>
      </w:pPr>
      <w:r>
        <w:rPr>
          <w:rFonts w:ascii="Barlow Semi Condensed" w:cs="Barlow Semi Condensed" w:eastAsia="Barlow Semi Condensed" w:hAnsi="Barlow Semi Condensed"/>
          <w:sz w:val="24"/>
          <w:szCs w:val="24"/>
        </w:rPr>
        <w:t xml:space="preserve">Il nono pilastro censisce i rilievi sul veicolo e sulla scena di via Caetani. La Renault 4 rossa, risultata rubata a Roma nelle settimane precedenti, fu rinvenuta parcheggiata sul lato della via, con il corpo nel bagagliaio coperto da un plaid, e i rilievi consegnarono il quadro dei bossoli, delle tracce ematiche e dei reperti sugli abiti già censiti; la scelta del luogo, la piccola via del centro storico equidistante, nella topografia simbolica immediatamente rilevata dalle cronache, dalle sedi nazionali della Democrazia Cristiana in piazza del Gesù e del Partito comunista in via delle Botteghe Oscure, fu letta sin dal primo giorno quale messaggio spaziale dell'organizzazione ai 2 poli della trattativa negata; il registro certifica al Livello A i dati materiali dei rilievi e la topografia oggettiva del punto, quale dato cartografico, e mantiene al Livello B la lettura intenzionale della scelta, quale convergenza delle fonti interne che l'hanno successivamente confermata, annotando che la collocazione appartiene comunque, quale fatto spaziale, al Pattern 10 dell'opera: l'ultimo atto dell'operazione fu consegnato nel cuore geografico del potere politico romano, a poche centinaia di metri dai 2 vertici del sistema che l'operazione aveva inteso colpire, e la geografia, in questo caso, è essa stessa un documento.</w:t>
      </w:r>
    </w:p>
    <w:p>
      <w:pPr>
        <w:spacing w:after="120" w:line="276"/>
        <w:jc w:val="both"/>
      </w:pPr>
      <w:r>
        <w:rPr>
          <w:rFonts w:ascii="Barlow Semi Condensed" w:cs="Barlow Semi Condensed" w:eastAsia="Barlow Semi Condensed" w:hAnsi="Barlow Semi Condensed"/>
          <w:sz w:val="24"/>
          <w:szCs w:val="24"/>
        </w:rPr>
        <w:t xml:space="preserve">Il decimo pilastro censisce l'iconografia e la memoria materiale della vicenda. Il caso ha consegnato alla memoria nazionale un apparato visivo circoscritto e definitivo: le 2 fotografie della prigionia diffuse con i comunicati, il prigioniero davanti alla bandiera dell'organizzazione, divenute i documenti visivi più riprodotti della storia repubblicana; le immagini di via Fani e quelle di via Caetani; e la lapide che segna il luogo del ritrovamento, meta della commemorazione istituzionale annuale del 9 maggio, data che la Repubblica ha successivamente consacrato quale giorno della memoria delle vittime del terrorismo. Il registro certifica al Livello A questo apparato, quale dato della memoria pubblica documentata, e ne trae l'annotazione analitica pertinente al Dominio 8: l'organizzazione governò integralmente la produzione iconografica della vicenda, giacché le uniche immagini del prigioniero nei 55 giorni furono quelle che essa scelse di produrre e diffondere, e lo Stato non dispose mai di un solo elemento visivo autonomo; il monopolio dell'immagine, corollario del monopolio comunicativo censito nel capitolo della gestione, completa il quadro della asimmetria informativa che il registro ha certificato quale struttura della crisi.</w:t>
      </w:r>
    </w:p>
    <w:p>
      <w:pPr>
        <w:spacing w:after="120" w:line="276"/>
        <w:jc w:val="both"/>
      </w:pPr>
      <w:r>
        <w:rPr>
          <w:rFonts w:ascii="Barlow Semi Condensed" w:cs="Barlow Semi Condensed" w:eastAsia="Barlow Semi Condensed" w:hAnsi="Barlow Semi Condensed"/>
          <w:sz w:val="24"/>
          <w:szCs w:val="24"/>
        </w:rPr>
        <w:t xml:space="preserve">L'undicesimo pilastro censisce le risultanze medico-legali e le verifiche dell'ultima stagione sulla scena finale. Gli accertamenti autoptici, oltre a fissare l'orario della morte nella mattinata e il quadro delle lesioni da arma da fuoco, documentarono l'assenza di segni di sevizie o di maltrattamenti fisici pregressi e condizioni generali compatibili con una custodia materialmente non vessatoria, un dato che il registro certifica al Livello A quale risultanza peritale e che appartiene alla fisionomia documentata della prigionia, coerente con la natura politica che l'organizzazione assegnò al sequestro; la Commissione della XVII legislatura sottopose la scena finale a verifiche integrative, dalla percorribilità del tragitto tra via Montalcini e via Caetani nella mattinata del 9 maggio alla compatibilità della sequenza oraria giudicata, con la telefonata delle 12:13 e il ritrovamento, sino ai reperti del veicolo, e le verifiche, condotte con i mezzi tecnici contemporanei, non produssero elementi idonei a modificare la ricostruzione giudicata, pur mantenendo censite le anomalie materiali già registrate, la sabbia e i residui; il registro certifica al Livello A l'esistenza e l'esito confermativo delle verifiche, quali dati degli atti dell'ultima Commissione, e chiude con la formalizzazione propria del suo metodo: la scena di via Caetani è stata riesaminata da 3 generazioni di tecnici con strumenti crescenti e ha restituito sempre il medesimo nucleo giudicato e le medesime code non risolte, sicché il registro può certificare, caso raro nell'opera, tanto la stabilità del nucleo quanto la resistenza delle anomalie, e dichiarare che ogni loro futura soluzione dovrà venire da fonti nuove e non da nuove perizie sul già noto.</w:t>
      </w:r>
    </w:p>
    <w:p>
      <w:pPr>
        <w:spacing w:after="120" w:line="276"/>
        <w:jc w:val="both"/>
      </w:pPr>
      <w:r>
        <w:rPr>
          <w:rFonts w:ascii="Barlow Semi Condensed" w:cs="Barlow Semi Condensed" w:eastAsia="Barlow Semi Condensed" w:hAnsi="Barlow Semi Condensed"/>
          <w:sz w:val="24"/>
          <w:szCs w:val="24"/>
        </w:rPr>
        <w:t xml:space="preserve">Il dodicesimo pilastro censisce il congedo pubblico, la cerimonia del 13 maggio e il rispetto delle disposizioni. La famiglia, in ottemperanza alla volontà scritta del prigioniero, rifiutò i funerali di Stato e ogni presenza degli uomini del potere alle esequie, che si svolsero in forma privata a Torrita Tiberina, il borgo laziale del rifugio familiare, dove Moro fu sepolto; lo Stato celebrò nondimeno, il 13 maggio 1978, la cerimonia solenne nella basilica di San Giovanni in Laterano, alla presenza delle massime cariche della Repubblica e con l'omelia di Paolo VI, che vi pronunciò la preghiera del congedo rimasta negli atti della stagione, e la cerimonia si svolse senza la salma, il feretro essendo assente per volontà della famiglia: il rito di Stato per l'uomo di Stato si celebrò dinanzi a una navata senza bara. Il registro certifica al Livello A la sequenza, il rifiuto, la sepoltura privata e la cerimonia senza salma, quali dati documentali, e ne dichiara il valore di reperto: l'immagine del funerale di Stato senza il corpo è la traduzione liturgica esatta della frattura che le lettere avevano consumato, la separazione dichiarata tra l'uomo e il sistema che non lo aveva salvato, eseguita dalla famiglia con lo strumento che il prigioniero stesso aveva predisposto, le disposizioni testamentarie censite quale ultimo atto politico; il registro annota che nessun altro passaggio della vicenda condensa con eguale precisione documentale il giudizio del prigioniero sulla propria classe dirigente, un giudizio consegnato non a una tesi ma a un'assenza, e trascrive il reperto, con la data e i fatti, quale sigillo simbolico certificato dell'epilogo.</w:t>
      </w:r>
    </w:p>
    <w:p>
      <w:pPr>
        <w:spacing w:after="120" w:line="276"/>
        <w:jc w:val="both"/>
      </w:pPr>
      <w:r>
        <w:rPr>
          <w:rFonts w:ascii="Barlow Semi Condensed" w:cs="Barlow Semi Condensed" w:eastAsia="Barlow Semi Condensed" w:hAnsi="Barlow Semi Condensed"/>
          <w:sz w:val="24"/>
          <w:szCs w:val="24"/>
        </w:rPr>
        <w:t xml:space="preserve">Il tredicesimo pilastro ricostruisce la sequenza operativa del ritrovamento, le ore tra la telefonata e l'apertura del portellone. La telefonata delle 12:13 di Morucci a Franco Tritto indicò con precisione il luogo, la Renault 4 rossa in via Caetani; la segnalazione risalì la catena sino alle centrali operative e le prime pattuglie individuarono il veicolo nel primo pomeriggio; il timore, procedurale e fondato, che l'auto fosse una trappola esplosiva impose l'intervento degli artificieri e la bonifica preliminare, che dilatò i tempi dinanzi alla via progressivamente presidiata da autorità, operatori e cronisti; all'esito della bonifica, l'apertura del portellone rivelò il corpo sotto il plaid, e il riconoscimento fu compiuto sul posto, mentre la notizia, già propagata dalle agenzie, raggiungeva il Paese; nelle ore successive la salma fu trasferita per gli accertamenti medico-legali censiti. Il registro certifica al Livello A la sequenza, quale materia dei verbali e delle cronache convergenti, e ne trae 2 annotazioni. La prima è documentale: le immagini di via Caetani, il portellone aperto, il corpo composto, divennero in poche ore l'iconografia definitiva dell'epilogo, prodotte questa volta non dall'organizzazione ma dallo Stato e dalla stampa, sicché il monopolio iconografico dell'organizzazione, certificato per i 55 giorni, cessò esattamente nel momento della consegna, e il passaggio di mano delle immagini coincise con il passaggio di mano del corpo, una simmetria che il registro trascrive quale dato della storia visiva del caso. La seconda è procedurale: la bonifica degli artificieri, imposta dal timore della trappola, documenta che lo Stato trattò sino all'ultimo minuto l'organizzazione quale nemico militare capace di ogni ulteriore offesa, e la circostanza che l'ultimo atto della crisi sia stato un atto di guerra preventiva su un veicolo che conteneva soltanto il corpo è la chiusura fattuale, priva di commento, che il registro consegna al capitolo.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consacrazione memoriale, l'ultimo esito istituzionale della data. Con la legge del 4 maggio 2007, la Repubblica ha istituito il Giorno della memoria dedicato alle vittime del terrorismo e delle stragi di tale matrice, fissandolo al 9 maggio, l'anniversario del ritrovamento di via Caetani, e saldando così, per scelta del legislatore, la memoria dell'intera stagione delle vittime alla data dell'epilogo del caso Moro; da allora la ricorrenza è celebrata annualmente con la cerimonia al Quirinale alla presenza dei familiari delle vittime di ogni matrice, e le lapidi di via Fani e di via Caetani sono divenute le stazioni della commemorazione istituzionale romana. Il registro certifica al Livello A la legge, la data prescelta e la prassi celebrativa, quali dati normativi e istituzionali, e ne trae l'annotazione analitica che chiude il versante memoriale: la scelta del 9 maggio quale giorno della memoria di tutte le vittime ha elevato il caso Moro a metonimia ufficiale dell'intera stagione, l'evento singolo che rappresenta, nel calendario civile, la totalità del fenomeno, e questa funzione rappresentativa, sancita per legge, è la traduzione istituzionale della centralità che il grafo dell'opera ha misurato per via documentale, il nodo di massima densità divenuto, anche nella liturgia repubblicana, il nome di tutto il resto; il registro trascrive la convergenza tra la misura reticolare e la scelta memoriale quale dato, annotando che essa conferma dall'esterno, con gli strumenti della legge, ciò che il metodo ha certificato dall'interno con gli strumenti della rete.</w:t>
      </w:r>
    </w:p>
    <w:p>
      <w:pPr>
        <w:spacing w:after="120" w:line="276"/>
        <w:jc w:val="both"/>
      </w:pPr>
      <w:r>
        <w:rPr>
          <w:rFonts w:ascii="Barlow Semi Condensed" w:cs="Barlow Semi Condensed" w:eastAsia="Barlow Semi Condensed" w:hAnsi="Barlow Semi Condensed"/>
          <w:sz w:val="24"/>
          <w:szCs w:val="24"/>
        </w:rPr>
        <w:t xml:space="preserve">Il quindicesimo pilastro ricostruisce la cronologia della decisione terminale, i 4 giorni tra l'annuncio e l'esecuzione. Il comunicato numero 9 del 5 maggio dichiarò conclusa la battaglia e annunciò l'esecuzione della sentenza, chiudendo formalmente la fase della trattativa negata; nei 4 giorni successivi si consumò la corsa asimmetrica che gli atti documentano, da un lato la maturazione, nel campo della linea umanitaria, dell'apertura che Amintore Fanfani si apprestava a formalizzare nella direzione democristiana convocata per la mattina del 9 maggio, l'atto pubblico che avrebbe potuto riaprire il canale, dall'altro la deliberazione interna dell'organizzazione, assunta nelle forme non unanimi che i giudicati hanno accertato, con il dissenso della componente romana censita, ed eseguita da Moretti la mattina stessa del 9, poche ore prima che la direzione del partito si riunisse; la sequenza certificata consegna il dato temporale terminale della vicenda, l'esecuzione precedette di ore l'apertura politica che avrebbe potuto contenderla. Il registro certifica al Livello A il comunicato, la convocazione, la deliberazione non unanime e la cronologia incrociata, quali risultanze documentali e giudiziarie, e mantiene ai livelli propri le 2 letture che la sequenza ha storicamente generato, quella interna documentata, per cui l'organizzazione considerò l'apertura tardiva e strumentale e deliberò secondo la propria logica dichiarata, e quella eccedente, per cui la tempistica dell'esecuzione avrebbe risposto all'esigenza di impedire l'esito negoziale, lettura che presuppone una conoscenza anticipata dei tempi politici mai documentata e che il piano terzo custodisce al Livello C; il registro chiude il pilastro sul fatto nudo che nessuna lettura dissolve, la distanza di poche ore tra la morte dell'uomo e l'atto che avrebbe potuto salvarlo, la più stretta delle finestre critiche censite dal Pattern 3 nell'intera opera.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Montalcini-Moretti-esecuzione, è il triangolo del giudicato, certificato al Livello A. La seconda, via Caetani-piazza del Gesù-Botteghe Oscure, è il triangolo della geografia del messaggio, certificato al Livello A nella topografia e mantenuto nel registro delle letture quanto al significato. La terza, epilogo-fine della solidarietà nazionale-stagione delle inchieste, è il triangolo della cerniera storica, certificato al Livello A. Sul piano dei pattern, il nodo chiude il Pattern 3 della fase, fissando il termine della finestra dei 55 giorni, e attiva il Pattern 10 nella sua espressione più celebre, la convergenza spaziale di via Caetani quale punto geometrico del sistema politico; la lettura reticolare conclusiva riprenderà il dato quale emblema della centralità del mediatore anche nella morte.</w:t>
      </w:r>
    </w:p>
    <w:p>
      <w:pPr>
        <w:spacing w:after="120" w:line="276"/>
        <w:jc w:val="both"/>
      </w:pPr>
      <w:r>
        <w:rPr>
          <w:rFonts w:ascii="Barlow Semi Condensed" w:cs="Barlow Semi Condensed" w:eastAsia="Barlow Semi Condensed" w:hAnsi="Barlow Semi Condensed"/>
          <w:sz w:val="24"/>
          <w:szCs w:val="24"/>
        </w:rPr>
        <w:t xml:space="preserve">All'epilogo appartiene il suo capitolo liturgico, che il registro censisce quale reperto istituzionale senza precedenti né repliche. La famiglia, con una dichiarazione pubblica che rivendicava il silenzio dovuto alla volontà espressa dal prigioniero verso gli uomini del potere, rifiutò i funerali di Stato e ogni presenza delle cariche alla sepoltura: la salma fu tumulata in forma strettamente privata a Torrita Tiberina il 10 maggio, alla sola presenza dei congiunti. Tre giorni dopo, il 13 maggio 1978, la Repubblica celebrò ugualmente il proprio rito nella basilica di San Giovanni in Laterano: una messa esequiale senza feretro, officiata da Paolo VI in persona, dinanzi alle massime cariche dello Stato ed al corpo diplomatico, con l'assenza della famiglia e del corpo che trasformò la cerimonia nell'immagine più esatta dell'intera vicenda, lo Stato che onora ciò che non è riuscito a salvare, dinanzi ad una bara che non c'è, Livello A sull'intera sequenza documentata. Il registro annota la doppia eccezionalità: mai un pontefice aveva presieduto esequie di un uomo di governo della Repubblica, e mai un rito di Stato si era celebrato contro la volontà dei congiunti dell'onorato; e nella preghiera pronunciata dal vecchio Papa, che si rivolse a Dio con l'audacia del lamento per la supplica non esaudita, la storiografia ha riconosciuto uno dei vertici testuali del Novecento italiano, che il registro richiama senza citare, secondo la propria disciplina, consegnando al lettore il solo dato strutturale: il 13 maggio i 2 codici che il caso aveva tenuto in tensione, la ragion di Stato ed il vincolo degli affetti, celebrarono in luoghi diversi 2 congedi inconciliabili, e la distanza tra il Laterano e Torrita Tiberina, 60 chilometri di campagna laziale, resta la misura fisica di quella inconciliabilità.</w:t>
      </w:r>
    </w:p>
    <w:p>
      <w:pPr>
        <w:spacing w:after="120" w:line="276"/>
        <w:jc w:val="both"/>
      </w:pPr>
      <w:r>
        <w:rPr>
          <w:rFonts w:ascii="Barlow Semi Condensed" w:cs="Barlow Semi Condensed" w:eastAsia="Barlow Semi Condensed" w:hAnsi="Barlow Semi Condensed"/>
          <w:sz w:val="24"/>
          <w:szCs w:val="24"/>
        </w:rPr>
        <w:t xml:space="preserve">Alla salma appartiene infine il fascicolo dei reperti materiali, che le perizie del ciclo giudiziario e le verifiche della Commissione della XVII legislatura hanno censito e che il registro fissa nel suo doppio strato: sono certificati, quali dati oggettivi, i granelli di sabbia rinvenuti sugli abiti e nei risvolti, le tracce vegetali e le altre microtracce repertate sul corpo e sugli indumenti, elementi materiali acquisiti agli atti sin dagli accertamenti originari e sottoposti a nuove analisi strumentali nella stagione recente, Livello A quanto all'esistenza ed alla natura dei reperti. Appartengono invece al piano delle letture le collocazioni geografiche che da quei granelli si sono volute derivare, la permanenza del prigioniero o del corpo in località litoranee determinate, ipotesi esplorate dalle perizie comparative senza approdare ad una certificazione univoca di provenienza, Livello C quanto ad ogni localizzazione specifica. Il registro custodisce la distinzione con particolare cura, perché essa è l'esemplare perfetto della sua grammatica: la sabbia è un fatto, la spiaggia è un'ipotesi, e la distanza tra il granello certificato e la geografia dedotta è esattamente la distanza che separa il paradigma indiziario, che dal dettaglio risale con riscontri, dalla sua caricatura, che dal dettaglio vola. Il corpo di Aldo Moro, ultimo documento del caso, resta perciò agli atti nella sola veste che il metodo consente: un reperto letto sino al confine delle sue tracce, oltre il quale il registro, come sulla soglia di via Caetani, si ferma e dichiara di fermarsi.</w:t>
      </w:r>
    </w:p>
    <w:p>
      <w:pPr>
        <w:spacing w:after="120" w:line="276"/>
        <w:jc w:val="both"/>
      </w:pPr>
      <w:r>
        <w:rPr>
          <w:rFonts w:ascii="Barlow Semi Condensed" w:cs="Barlow Semi Condensed" w:eastAsia="Barlow Semi Condensed" w:hAnsi="Barlow Semi Condensed"/>
          <w:sz w:val="24"/>
          <w:szCs w:val="24"/>
        </w:rPr>
        <w:t xml:space="preserve">Sulla topografia della detenzione il registro fissa lo stato dell'accertamento nella sua doppia componente: i giudicati collocano l'intera custodia dei 55 giorni nell'appartamento di via Montalcini, con i 4 custodi che la sintesi certifica e con la cella ricavata nell'intercapedine che le ricostruzioni processuali descrivono, e la tesi della prigione unica costituisce, all'esito dei 5 cicli, la verità giudiziaria consolidata del caso, Livello A nei limiti dei giudicati. Le ipotesi alternative, trasferimenti intermedi, seconde prigioni, soste esterne, periodicamente riproposte dalla pubblicistica e riesaminate anche dalla Commissione della XVII legislatura con verifiche tecniche e testimoniali, non hanno mai raggiunto la soglia della certificazione e restano al Livello C, sotto il sigillo inferenziale che il piano terzo governa, mentre le acquisizioni strumentali di quelle verifiche appartengono, quali documenti, al Livello B già assegnato agli atti della Commissione. Il registro annota la ragione di metodo per cui custodisce la distinzione con particolare rigore: la prigione è il punto del caso in cui la domanda di revisione si è fatta più insistente e la base documentale nuova più esile, ed è perciò il banco su cui la disciplina del registro si misura, tenere ferma la verità giudicata sinché un fatto, non un dubbio, la scalfisca.</w:t>
      </w:r>
    </w:p>
    <w:p>
      <w:pPr>
        <w:spacing w:after="120" w:line="276"/>
        <w:jc w:val="both"/>
      </w:pPr>
      <w:r>
        <w:rPr>
          <w:rFonts w:ascii="Barlow Semi Condensed" w:cs="Barlow Semi Condensed" w:eastAsia="Barlow Semi Condensed" w:hAnsi="Barlow Semi Condensed"/>
          <w:sz w:val="24"/>
          <w:szCs w:val="24"/>
        </w:rPr>
        <w:t xml:space="preserve">Alla salma la perizia necroscopica consegnò infine un dato di condizione che il registro riporta per il suo valore documentale sullo stato del prigioniero: il corpo presentava rasatura recente, ordine degli abiti e segni complessivi di cura della persona protratta sino alle ultime ore, in coerenza con il quadro, emerso dalle ricostruzioni dei custodi giudicati, di una detenzione materialmente non afflittiva nelle condizioni igieniche e di vitto, Livello A quanto ai rilievi peritali, Livello B quanto al quadro di dettaglio della quotidianità carceraria, noto per dichiarazione dei custodi. Il registro consegna il reperto senza commento ulteriore, annotando soltanto la dissonanza documentale che esso introduce e che appartiene alla fenomenologia del caso: l'organizzazione che aveva già deliberato la morte curò sino all'ultimo la vita, ed il corpo di via Caetani, rasato di fresco, portava insieme i segni della cura e quelli dell'esecuzione, i 2 codici della prigione consegnati allo stesso reperto, senza che gli atti offrano, di questa compresenza, alcuna spiegazione che il registro possa certificare.</w:t>
      </w:r>
    </w:p>
    <w:p>
      <w:pPr>
        <w:spacing w:after="120" w:line="276"/>
        <w:jc w:val="both"/>
      </w:pPr>
      <w:r>
        <w:rPr>
          <w:rFonts w:ascii="Barlow Semi Condensed" w:cs="Barlow Semi Condensed" w:eastAsia="Barlow Semi Condensed" w:hAnsi="Barlow Semi Condensed"/>
          <w:sz w:val="24"/>
          <w:szCs w:val="24"/>
        </w:rPr>
        <w:t xml:space="preserve">Il corpo consegnato alla Repubblica ebbe infine il suo statuto medico-legale dimezzato, che il registro censisce quale ultima frontiera documentale del reperto: per volontà della famiglia, che rifiutò l'autopsia completa, gli accertamenti sul corpo si limitarono al riscontro esterno ed alle verifiche essenziali sulle cause della morte, sicché il cadavere più importante della storia repubblicana fu restituito alla terra con un'indagine medico-legale volutamente parziale, Livello A quanto alla limitazione ed alla sua origine familiare. Il registro consegna la circostanza alla sua doppia natura senza gerarchizzarla: essa fu, insieme, l'ultimo atto della guerra della famiglia contro lo Stato censita in questo capitolo, il rifiuto di consegnare anche il corpo a istituzioni giudicate indegne del vivo, ed una perdita istruttoria oggettiva, che privò per sempre il processo di dati potenzialmente dirimenti sulla detenzione e sull'esecuzione, alimentando lo spazio delle ricostruzioni alternative che i decenni avrebbero riempito. La lezione di metodo appartiene all'opera intera: anche il silenzio del corpo, come quello delle carte, ha una genealogia documentabile, e nel caso Moro la lacuna medico-legale non fu opera di apparati ma di un dolore che scelse la pietas contro l'accertamento, con la conseguenza, che il registro annota quale paradosso finale del capitolo, che l'unico occultamento certo e confessato dell'intero caso fu commesso per amore.</w:t>
      </w:r>
    </w:p>
    <w:p>
      <w:pPr>
        <w:spacing w:after="120" w:line="276"/>
        <w:jc w:val="both"/>
      </w:pPr>
      <w:r>
        <w:rPr>
          <w:rFonts w:ascii="Barlow Semi Condensed" w:cs="Barlow Semi Condensed" w:eastAsia="Barlow Semi Condensed" w:hAnsi="Barlow Semi Condensed"/>
          <w:sz w:val="24"/>
          <w:szCs w:val="24"/>
        </w:rPr>
        <w:t xml:space="preserve">La mattina del 9 maggio contiene infine il suo ultimo enigma logistico, che il registro censisce quale reperto conclusivo sulla qualità operativa: il trasferimento del corpo dalla prigione di via Montalcini al centro storico attraversò, a bordo della Renault rossa, chilometri di una capitale che viveva il cinquantacinquesimo giorno della massima mobilitazione di sicurezza della propria storia, sino al parcheggio in via Caetani, nel cuore del perimetro più presidiato d'Italia, senza intercettazioni, controlli o segnalazioni, Livello A quanto al fatto del trasferimento compiuto e non intercettato. Il registro consegna l'ultimo viaggio alla stessa disciplina applicata all'intera fenomenologia operativa del caso: la spiegazione ordinaria, l'assuefazione di un dispositivo logorato da 8 settimane di allarme continuo e la banalità statistica di un'utilitaria tra centinaia di migliaia, resta pienamente capiente, e le letture straordinarie, che da quell'attraversamento riuscito inferiscono coperture, restano al Livello C mai certificato; ciò che appartiene al livello del certo è il valore simbolico terminale che la stessa organizzazione volle imprimere al gesto, la consegna del corpo nel punto esatto che il capitolo ha censito, a metà strada tra le 2 sedi della politica che il sequestro aveva voluto piegare, sicché l'ultimo viaggio fu insieme l'ultima operazione riuscita e il primo atto del monumento involontario, la trasformazione di una via del centro nel luogo dove la Repubblica va, da allora, a ricordare ciò che non seppe impedire.</w:t>
      </w:r>
    </w:p>
    <w:p>
      <w:pPr>
        <w:spacing w:after="120" w:line="276"/>
        <w:jc w:val="both"/>
      </w:pPr>
      <w:r>
        <w:rPr>
          <w:rFonts w:ascii="Barlow Semi Condensed" w:cs="Barlow Semi Condensed" w:eastAsia="Barlow Semi Condensed" w:hAnsi="Barlow Semi Condensed"/>
          <w:sz w:val="24"/>
          <w:szCs w:val="24"/>
        </w:rPr>
        <w:t xml:space="preserve">La memoria pubblica del 9 maggio ha infine ricevuto la sua istituzionalizzazione, che il registro censisce a sigillo del capitolo: la legge della Repubblica del maggio 2007 ha proclamato il 9 maggio Giorno della memoria dedicato alle vittime del terrorismo e delle stragi di tale matrice, fissando la ricorrenza civile nazionale nell'anniversario di via Caetani ed associando per sempre, nel calendario dello Stato, la data del singolo omicidio al lutto per l'intera stagione, con le celebrazioni annuali al Quirinale che da allora riuniscono i familiari di tutte le vittime censite dall'opera, Livello A quanto alla legge ed alla prassi celebrativa. Il registro consegna la scelta del legislatore alla sua lettura: la Repubblica ha eletto a giorno del ricordo collettivo non la data di una strage anonima ma quella dell'assassinio del suo uomo di governo più alto, riconoscendo con ciò, nella forma muta di un calendario, la centralità che questa fase ha argomentato per 10 capitoli, e la circostanza che sotto quella data si commemorino insieme i caduti di piazza Fontana e quelli di via Fani, le vittime della strategia nera e quelle della geometria rossa, realizza nell'ordinamento il gesto che l'opera ha compiuto nel metodo, la riunificazione delle stagioni separate in un solo campo di lutto e di studio, perché il Paese, come il corpus, ha infine riconosciuto che quelle morti appartenevano ad una sola storia.</w:t>
      </w:r>
    </w:p>
    <w:p>
      <w:pPr>
        <w:spacing w:after="120" w:line="276"/>
        <w:jc w:val="both"/>
      </w:pPr>
      <w:r>
        <w:rPr>
          <w:rFonts w:ascii="Barlow Semi Condensed" w:cs="Barlow Semi Condensed" w:eastAsia="Barlow Semi Condensed" w:hAnsi="Barlow Semi Condensed"/>
          <w:sz w:val="24"/>
          <w:szCs w:val="24"/>
        </w:rPr>
        <w:t xml:space="preserve">Il 9 maggio produsse infine l'immagine, che il registro censisce quale reperto iconologico: la fotografia del corpo nel portellone della Renault, scattata in via Caetani nei minuti del ritrovamento e diffusa in poche ore su ogni testata del pianeta, è divenuta l'immagine singola più riprodotta della storia repubblicana, l'icona che da mezzo secolo significa il caso, la stagione ed il Paese in ogni sede, dalla storiografia alla scuola, Livello A quanto alla genesi ed alla fortuna dell'immagine. Il registro consegna l'icona alla sua analisi, perché anche le immagini appartengono al corpus: la fotografia deve la propria potenza alla composizione involontaria che essa fissa, l'uomo di Stato restituito in posizione fetale dentro un'utilitaria, la massima biografia istituzionale del Paese consegnata nel più domestico dei suoi oggetti, e questa sproporzione interna, che nessun regista avrebbe osato, ha operato per 50 anni quale sigillo emotivo della vicenda, con l'effetto ambivalente che il metodo registra: l'icona ha garantito al caso l'immortalità mnemonica che protegge dalla rimozione, ed insieme ha schiacciato la comprensione pubblica sull'istante terminale, oscurando i 55 giorni, i 30 anni di storia e le 5 fasi di contesto che questa opera ha dovuto ricostruire contro la tirannia della propria stessa immagine fondativa, sicché il registro la consegna al lettore con l'avvertenza dovuta ad ogni reliquia: guardarla è necessario, fermarsi a guardarla è il modo più pio di non capire.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Caetani certifica al Livello A l'esecuzione del 9 maggio 1978 per mano di Mario Moretti con il concorso degli uomini della prigione, la deliberazione non unanime che la precedette, la topografia dell'abbandono del corpo a equidistanza dalle sedi dei 2 partiti del compromesso, e la duplice chiusura, del progetto politico e della vicenda umana, con i 6 nomi delle vittime uniti nel registro; la lettura simbolica del luogo è registrata quale interpretazione dominante non certificabile quale intenzione, a presidio della linea metodologica anche nel punto di massima suggestione.</w:t>
      </w:r>
    </w:p>
    <w:p>
      <w:pPr>
        <w:pStyle w:val="Heading3"/>
        <w:spacing w:after="80" w:before="160"/>
      </w:pPr>
      <w:r>
        <w:rPr>
          <w:rFonts w:ascii="Barlow Semi Condensed" w:cs="Barlow Semi Condensed" w:eastAsia="Barlow Semi Condensed" w:hAnsi="Barlow Semi Condensed"/>
          <w:sz w:val="24"/>
          <w:szCs w:val="24"/>
        </w:rPr>
        <w:t xml:space="preserve">Capitolo 7 — ◆ Hyperion. La scuola di Parigi, il superclan e il reperto negativo</w:t>
      </w:r>
    </w:p>
    <w:p>
      <w:pPr>
        <w:spacing w:after="120" w:line="276"/>
        <w:jc w:val="both"/>
      </w:pPr>
      <w:r>
        <w:rPr>
          <w:rFonts w:ascii="Barlow Semi Condensed" w:cs="Barlow Semi Condensed" w:eastAsia="Barlow Semi Condensed" w:hAnsi="Barlow Semi Condensed"/>
          <w:sz w:val="24"/>
          <w:szCs w:val="24"/>
        </w:rPr>
        <w:t xml:space="preserve">La scuola di lingue Hyperion, operante a Parigi al numero 27 del Quai de la Tournelle, fondata da esponenti della prima ora dell'estremismo di sinistra italiano trasferitisi in Francia, è il nodo internazionale della fase, e il registro la tratta quale controparte annunciata del nodo Aginter Press della Fase 3, in adempimento del rinvio formale che quella fase ha disposto. La scansione del corpus registra Hyperion 137 volte in 25 documenti e il nome di Corrado Simioni 88 volte in 13. Il nodo è, per statuto probatorio, il più rarefatto della fase: nessuna condanna, nessun giudicato, un quarantennio di attenzioni investigative italiane e di sospetti mai consolidati; e proprio questo statuto ne fa il banco di prova terminale della disciplina del registro sul trattamento delle strutture opache.</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dell'esistenza e della genealogia, al Livello A. La scuola fu costituita a Parigi nella prima metà degli anni Settanta da Corrado Simioni, Duccio Berio e Vanni Mulinaris, provenienti dall'ambiente milanese della sinistra rivoluzionaria delle origini, il medesimo dal quale nacquero le Brigate Rosse: Simioni, in particolare, era stato tra i protagonisti della fase fondativa dell'organizzazione, dalla quale si era separato precocemente in dissenso sulla struttura e sui metodi, teorizzando, secondo le convergenti ricostruzioni memorialistiche e processuali, un'organizzazione più ristretta, compartimentata e protetta, che l'ambiente stesso designò con l'espressione superclan. Il registro certifica al Livello A la fondazione, la sede parigina del Quai de la Tournelle 27, l'attività di copertura quale scuola di lingue con reale funzionamento didattico, e la genealogia comune con l'organizzazione esecutrice del sequestro, quale insieme di fatti documentati; la genealogia, già annotata nel capitolo 3, è il dato strutturale del nodo: i fondatori della scuola e i fondatori delle Brigate Rosse provengono dal medesimo ceppo, separatosi nel 1970-1971.</w:t>
      </w:r>
    </w:p>
    <w:p>
      <w:pPr>
        <w:spacing w:after="120" w:line="276"/>
        <w:jc w:val="both"/>
      </w:pPr>
      <w:r>
        <w:rPr>
          <w:rFonts w:ascii="Barlow Semi Condensed" w:cs="Barlow Semi Condensed" w:eastAsia="Barlow Semi Condensed" w:hAnsi="Barlow Semi Condensed"/>
          <w:sz w:val="24"/>
          <w:szCs w:val="24"/>
        </w:rPr>
        <w:t xml:space="preserve">Il secondo pilastro è il quarantennio delle attenzioni investigative, che il registro censisce con la graduazione integrale. La scuola entrò nel cono delle indagini italiane a più riprese: le istruttorie padovane e venete dei primi anni Ottanta sul terrorismo, che ipotizzarono in Hyperion una centrale estera di collegamento del terrorismo internazionale, con perquisizioni disposte per rogatoria nel 1982; le informative dei servizi, che in più stagioni segnalarono la struttura quale possibile snodo di rapporti tra organizzazioni armate di più Paesi e apparati; e le inchieste parlamentari, sino alla Commissione dell'ultima stagione, che vi hanno dedicato approfondimenti. A fronte di questa persistenza, l'esito giudiziario è nullo: nessuno dei fondatori è mai stato condannato per fatti di terrorismo, le posizioni aperte furono archiviate o non ebbero seguito, e il registro riporta questo esito con la stessa nettezza con cui riporta le assoluzioni, certificando al Livello A che la scuola Hyperion e i suoi fondatori non hanno mai riportato condanne. Le ipotesi investigative censite si distribuiscono così: i contatti dei fondatori con l'ambiente d'origine e la loro presenza in snodi relazionali dell'estremismo europeo sono certificati al Livello B, quale convergenza di atti istruttori e informativi plurimi; l'ipotesi della funzione di centrale, di snodo organizzato tra le organizzazioni armate e apparati di più campi, resta al Livello C, mai consolidata in 4 decenni; e l'ipotesi di un ruolo della struttura nel sequestro Moro, formulata in più sedi sulla scorta della genealogia e di taluni movimenti coevi, resta parimenti al Livello C, priva di ogni consacrazione.</w:t>
      </w:r>
    </w:p>
    <w:p>
      <w:pPr>
        <w:spacing w:after="120" w:line="276"/>
        <w:jc w:val="both"/>
      </w:pPr>
      <w:r>
        <w:rPr>
          <w:rFonts w:ascii="Barlow Semi Condensed" w:cs="Barlow Semi Condensed" w:eastAsia="Barlow Semi Condensed" w:hAnsi="Barlow Semi Condensed"/>
          <w:sz w:val="24"/>
          <w:szCs w:val="24"/>
        </w:rPr>
        <w:t xml:space="preserve">Il terzo pilastro è la comparazione con Aginter Press, che compie il reperto codificato dal registro quale acquisizione consolidata e qui recepito nella sua forma piena. Le 2 strutture sono topologicamente isomorfe: entrambe operanti all'estero, in una capitale terza rispetto al teatro italiano, sotto copertura civile a funzionamento reale, un'agenzia di stampa a Lisbona e una scuola di lingue a Parigi; entrambe fondate da fuoriusciti della militanza radicale del rispettivo campo, l'ufficiale dell'estremismo controrivoluzionario e i quadri dell'estremismo rivoluzionario; entrambe poste, dalle ricostruzioni investigative, all'incrocio tra la militanza, l'informazione e gli apparati; entrambe mai raggiunte da condanne in Italia. E le 2 strutture presentano regimi probatori opposti: Aginter è documentata dall'interno, dalle proprie carte sequestrate per il collasso del regime ospitante, sicché la sua natura di centrale è certificata al Livello A; Hyperion è documentata soltanto dall'esterno, da atti investigativi altrui, sicché la sua natura resta all'ipotesi, e nessun collasso ha mai aperto i suoi archivi, se archivi vi furono. Il registro certifica al Livello A l'isomorfismo quale dato comparativo e l'assenza di ogni connessione operativa documentata tra le 2 strutture, quale reperto negativo formale; e ne trae la lezione metodologica terminale del Pattern 11: la simmetria delle forme non prova la simmetria delle sostanze, e la differenza tra ciò che sappiamo di Aginter e ciò che ipotizziamo di Hyperion misura esattamente la differenza tra un archivio aperto e un archivio mai aperto, confermando per l'ultima volta la legge empirica del campo che il registro ha codificato: la conoscenza di queste strutture non è mai proporzionale alla loro rilevanza, ma alla contingenza dei collassi che le espongono.</w:t>
      </w:r>
    </w:p>
    <w:p>
      <w:pPr>
        <w:spacing w:after="120" w:line="276"/>
        <w:jc w:val="both"/>
      </w:pPr>
      <w:r>
        <w:rPr>
          <w:rFonts w:ascii="Barlow Semi Condensed" w:cs="Barlow Semi Condensed" w:eastAsia="Barlow Semi Condensed" w:hAnsi="Barlow Semi Condensed"/>
          <w:sz w:val="24"/>
          <w:szCs w:val="24"/>
        </w:rPr>
        <w:t xml:space="preserve">Il quarto pilastro è la stagione istruttoria del 1982, che il registro espone quale momento di massima pressione investigativa sul nodo. All'inizio di quell'anno, nel contesto delle indagini sul sequestro del generale americano James Lee Dozier e sulla rete internazionale del terrorismo, le autorità italiane ottennero per rogatoria perquisizioni a Parigi nei locali della scuola e presso i suoi animatori: le operazioni, condotte dalla polizia francese, non produssero elementi tali da fondare imputazioni, e la posizione della struttura, iscritta nelle ipotesi delle istruttorie venete quale possibile ufficio esteri del terrorismo, non evolse in rinvii a giudizio; negli anni successivi, la difesa pubblica dei fondatori trovò sostegni di rilievo nell'ambiente francese, e la questione scivolò dal piano giudiziario a quello storiografico e parlamentare, dove è rimasta. Il registro certifica al Livello A la sequenza della stagione, le rogatorie, le perquisizioni e il loro esito negativo, quali fatti documentati; e ne trae l'annotazione comparativa che completa il profilo del nodo: il momento in cui lo Stato italiano guardò più da vicino dentro la struttura parigina produsse un esito nullo, e da allora nessuna occasione equivalente si è ripresentata; la conoscenza del nodo è dunque ferma, nella sostanza, a quella stagione, integrata soltanto dalle riletture documentali delle commissioni, e il registro dichiara che ogni certificazione su Hyperion sconta questo tetto storico delle fonti, il quarantennio trascorso senza accessi nuovi, che nessuna intensità di sospetto può surrogare.</w:t>
      </w:r>
    </w:p>
    <w:p>
      <w:pPr>
        <w:spacing w:after="120" w:line="276"/>
        <w:jc w:val="both"/>
      </w:pPr>
      <w:r>
        <w:rPr>
          <w:rFonts w:ascii="Barlow Semi Condensed" w:cs="Barlow Semi Condensed" w:eastAsia="Barlow Semi Condensed" w:hAnsi="Barlow Semi Condensed"/>
          <w:sz w:val="24"/>
          <w:szCs w:val="24"/>
        </w:rPr>
        <w:t xml:space="preserve">Il quinto pilastro è la collocazione parigina quale dato di geografia comparata, che salda il nodo al Pattern 10 dell'opera. La Fase 3 ha certificato la Spagna dell'ultimo franchismo quale zona di convergenza della latitanza e della retrovia dell'eversione nera; la presente fase registra, specularmente, la Parigi degli anni Settanta e Ottanta quale capitale continentale dell'emigrazione della sinistra radicale italiana, l'ambiente nel quale la struttura del Quai de la Tournelle operò e nel quale, negli anni successivi, si sarebbe consolidata la più ampia comunità di fuoriusciti dell'area, protetta di fatto, e poi di dottrina, dall'orientamento dell'ordinamento ospitante sulla non estradizione per i reati a movente politico. Il registro certifica al Livello A la configurazione delle 2 capitali-rifugio speculari, Madrid per il campo nero e Parigi per il campo rosso, quale dato comparativo della geografia dell'eversione europea, e ne trae l'annotazione metodologica: la specularità delle retrovie conferma, sul piano spaziale, la struttura a campi contrapposti del fenomeno che l'intera opera ha documentato, ciascun campo con i propri santuari, i propri protettori e le proprie rotte; e la circostanza che nessuna delle 2 retrovie fosse collocata oltrecortina, ma entrambe entro l'Europa occidentale e atlantica, è un dato che il bilancio conclusivo dell'ipotesi H1 dovrà registrare, giacché la geografia certificata delle protezioni non disegna la convergenza dei blocchi ma la tolleranza incrociata interna al campo occidentale, un reperto che complica ogni lettura semplificata di entrambi i segni.</w:t>
      </w:r>
    </w:p>
    <w:p>
      <w:pPr>
        <w:spacing w:after="120" w:line="276"/>
        <w:jc w:val="both"/>
      </w:pPr>
      <w:r>
        <w:rPr>
          <w:rFonts w:ascii="Barlow Semi Condensed" w:cs="Barlow Semi Condensed" w:eastAsia="Barlow Semi Condensed" w:hAnsi="Barlow Semi Condensed"/>
          <w:sz w:val="24"/>
          <w:szCs w:val="24"/>
        </w:rPr>
        <w:t xml:space="preserve">Il sesto pilastro distende le biografie dei fondatori e la fisionomia del superclan, quali le fonti convergenti le consegnano. Corrado Simioni, milanese, con un percorso giovanile nell'area socialista da cui fu allontanato, approdò alla fine degli anni Sessanta all'ambiente del Collettivo politico metropolitano, dove la sua proposta organizzativa, una struttura a cerchi, con un nucleo interno invisibile, protetto dalla compartimentazione assoluta e destinato a durare oltre le ondate repressive, si scontrò con la linea dei fondatori storici: le memorie di Curcio e di Franceschini, convergenti su questo punto pur nella diversità delle valutazioni, descrivono la separazione del 1970-1971 quale rottura tra 2 concezioni della clandestinità, quella di massa e quella elitaria, e attribuiscono all'ambiente di Simioni la designazione, nata come sarcasmo interno, di superclan; le stesse fonti collocano nell'orbita di quell'ambiente, prima della separazione, figure destinate a percorsi divergenti, e riferiscono dei contatti dell'ambiente con il mondo di Giangiacomo Feltrinelli e dei suoi Gruppi d'azione partigiana. Duccio Berio e Vanni Mulinaris, con percorsi paralleli nella medesima area, seguirono Simioni nella traiettoria che condusse il gruppo, attraverso una fase di attività tra l'Italia e la Francia, alla fondazione parigina della scuola di lingue, operativa dalla metà degli anni Settanta con un corpo docente reale, un'utenza internazionale e una reputazione professionale documentata. Il registro certifica al Livello A le traiettorie biografiche e la genealogia della separazione, quali fatti convergenti delle fonti memorialistiche e processuali; certifica al Livello B la fisionomia dottrinale del superclan, quale ricostruzione di fonti interne interessate ma concordi tra loro da posizioni opposte; e mantiene al livello proprio di ciascun elemento i contatti censiti, annotando che l'intera conoscenza della preistoria del nodo proviene, per la natura delle cose, da testimoni di parte, e che la sua solidità deriva dalla concordanza tra memorie reciprocamente ostili, il criterio di consilienza che il metodo ammette quale surrogato, dichiarato, del documento mancante.</w:t>
      </w:r>
    </w:p>
    <w:p>
      <w:pPr>
        <w:spacing w:after="120" w:line="276"/>
        <w:jc w:val="both"/>
      </w:pPr>
      <w:r>
        <w:rPr>
          <w:rFonts w:ascii="Barlow Semi Condensed" w:cs="Barlow Semi Condensed" w:eastAsia="Barlow Semi Condensed" w:hAnsi="Barlow Semi Condensed"/>
          <w:sz w:val="24"/>
          <w:szCs w:val="24"/>
        </w:rPr>
        <w:t xml:space="preserve">Il settimo pilastro censisce la sede romana e la vicenda giudiziaria di Mulinaris, i 2 fatti italiani del nodo. Le ricognizioni parlamentari, a partire dai lavori della Commissione sul caso Moro e sino all'ultima stagione, hanno documentato che la scuola aprì un ufficio a Roma nei primi mesi del 1978, operativo nel periodo del sequestro e chiuso entro l'anno: il registro certifica al Livello B l'apertura, la collocazione temporale e la chiusura della sede romana, quale risultanza delle ricognizioni parlamentari sulle utenze e sulle disponibilità immobiliari, e dichiara la qualificazione del dato con la disciplina consueta: la coincidenza temporale tra l'operatività romana della struttura e la finestra del sequestro è un fatto censito del Pattern 3, la cui lettura funzionale resta al Livello C, non essendo mai stato documentato alcun nesso tra l'ufficio e l'operazione; il registro la trascrive quale coincidenza certificata e non risolta, la specie di reperto che la metodologia impone di registrare senza sciogliere. La vicenda di Mulinaris appartiene alla stagione istruttoria già censita: attinto da provvedimenti restrittivi nel quadro delle inchieste italiane sul terrorismo dei primi anni Ottanta, fu detenuto in Italia e la sua posizione si concluse senza condanna; attorno alla sua detenzione si sviluppò una campagna pubblica internazionale, il cui protagonista fu l'abbé Pierre, il religioso francese fondatore di Emmaus, legato da vincolo familiare alla moglie di Mulinaris, che giunse a un digiuno pubblico nel 1984 per sollecitarne la liberazione: il registro certifica al Livello A la vicenda detentiva, l'esito senza condanna e la campagna, quali fatti documentati, e ne annota il rilievo per il profilo del nodo, la capacità della struttura di mobilitare, nel momento della massima pressione giudiziaria, una copertura morale del più alto profilo pubblico europeo, un attributo relazionale che il registro trascrive quale dato e la cui interpretazione, tra la solidarietà genuina e la protezione d'ambiente, appartiene al campo delle letture non certificabili.</w:t>
      </w:r>
    </w:p>
    <w:p>
      <w:pPr>
        <w:spacing w:after="120" w:line="276"/>
        <w:jc w:val="both"/>
      </w:pPr>
      <w:r>
        <w:rPr>
          <w:rFonts w:ascii="Barlow Semi Condensed" w:cs="Barlow Semi Condensed" w:eastAsia="Barlow Semi Condensed" w:hAnsi="Barlow Semi Condensed"/>
          <w:sz w:val="24"/>
          <w:szCs w:val="24"/>
        </w:rPr>
        <w:t xml:space="preserve">L'ottavo pilastro censisce la stagione istruttoria veneziana, il più esteso accertamento giudiziario italiano che abbia investito il nodo. Negli anni Ottanta il giudice istruttore di Venezia Carlo Mastelloni condusse l'istruttoria pluriennale sui canali di approvvigionamento internazionale delle Brigate Rosse, con al centro le forniture di armi provenienti dall'area delle organizzazioni palestinesi, i vettori e le rotte adriatiche, e con un capitolo dedicato alla struttura parigina quale possibile snodo della rete estera; l'istruttoria acquisì documentazione, escusse fonti di ogni provenienza e si concluse, sul versante che qui rileva, con proscioglimenti, senza che alcuna posizione riconducibile alla scuola approdasse al dibattimento; il registro certifica al Livello A l'esistenza, l'oggetto, la durata e l'esito dell'istruttoria, quali dati processuali, e ne dichiara la funzione nel profilo del nodo: essa rappresenta, accanto alla stagione delle rogatorie del 1982, il secondo e ultimo accertamento organico mai condotto, e il suo esito negativo, maturato all'esito di anni di lavoro istruttorio e non di una verifica sommaria, è il dato che ogni ricostruzione successiva deve incorporare; il registro lo trascrive quale certificazione in negativo di qualità processuale, la specie di reperto che la disciplina dello Stato Zero dell'opera valorizza, annotando insieme il suo limite strutturale, giacché un'istruttoria italiana non poteva forzare gli archivi esteri, e il perimetro della verifica coincise, per necessità, con il perimetro della cooperazione ottenuta.</w:t>
      </w:r>
    </w:p>
    <w:p>
      <w:pPr>
        <w:spacing w:after="120" w:line="276"/>
        <w:jc w:val="both"/>
      </w:pPr>
      <w:r>
        <w:rPr>
          <w:rFonts w:ascii="Barlow Semi Condensed" w:cs="Barlow Semi Condensed" w:eastAsia="Barlow Semi Condensed" w:hAnsi="Barlow Semi Condensed"/>
          <w:sz w:val="24"/>
          <w:szCs w:val="24"/>
        </w:rPr>
        <w:t xml:space="preserve">Il nono pilastro censisce il contesto ordinamentale francese, la cornice che ha governato la conoscibilità del nodo. La Francia degli anni Settanta e Ottanta fu il rifugio della più ampia comunità di militanti e fuoriusciti della sinistra armata italiana, e la prassi della non estradizione per i reati a movente politico, consolidatasi di fatto nella stagione e poi elevata a dottrina dichiarata alla metà degli anni Ottanta, sottrasse stabilmente alla giurisdizione italiana gli uomini e, con essi, le fonti; le richieste italiane di cooperazione sul nodo parigino ottennero, nella stagione delle rogatorie, l'esecuzione degli atti richiesti e non oltre, e gli archivi della struttura, ove esistenti, non furono mai acquisiti né dall'autorità francese né, per suo tramite, da quella italiana. Il registro certifica al Livello A la prassi e la dottrina della non estradizione, quali dati ordinamentali documentati, e al Livello A il perimetro effettivo della cooperazione ottenuta, quale risultanza degli atti; e ne trae la formalizzazione che chiude il profilo conoscitivo del nodo: l'inaccessibilità di Hyperion non è un mistero ma un fatto giuridico-politico datato e spiegabile, il prodotto della convergenza tra una legislazione di rifugio, una stagione diplomatica e la posizione della struttura entro l'ordinamento ospitante; il registro sostituisce così, secondo il proprio metodo, la categoria dell'insondabile con la categoria del non acquisito per cause documentate, e annota che questa riclassificazione, apparentemente terminologica, governa in realtà l'intera valutazione del nodo, giacché ciò che non fu acquisito per cause esterne può, in linea di principio, ancora emergere, e la fase consegna alla ricognizione conclusiva dell'opera l'indicazione degli archivi francesi quale primo obiettivo di ogni futura campagna documentale.</w:t>
      </w:r>
    </w:p>
    <w:p>
      <w:pPr>
        <w:spacing w:after="120" w:line="276"/>
        <w:jc w:val="both"/>
      </w:pPr>
      <w:r>
        <w:rPr>
          <w:rFonts w:ascii="Barlow Semi Condensed" w:cs="Barlow Semi Condensed" w:eastAsia="Barlow Semi Condensed" w:hAnsi="Barlow Semi Condensed"/>
          <w:sz w:val="24"/>
          <w:szCs w:val="24"/>
        </w:rPr>
        <w:t xml:space="preserve">Il decimo pilastro conduce l'analisi dell'isomorfismo strutturale, applicazione terminale del Pattern 11 al nodo e alla fase. Il registro pone a confronto la struttura topologica di Hyperion con quella di Aginter Press, l'agenzia di copertura di Lisbona che la Fase 3 ha certificato quale snodo internazionale dell'eversione nera, e ne rileva l'isomorfismo: entrambe si presentano quali imprese di servizi apparentemente legali, un'agenzia di stampa l'una, una scuola di lingue l'altra, dotate di sede, personale e attività dichiarata verificabili; entrambe si collocano in una capitale europea quale piattaforma di proiezione internazionale; entrambe risultano, per attribuzione, punti di raccordo di reti clandestine trasversali, l'una del campo nero, l'altra del campo rosso; ed entrambe hanno attraversato decenni di sospetti senza mai produrre condanne organiche che ne certificassero la natura clandestina. Il registro certifica al Livello A l'esistenza della somiglianza topologica, quale dato comparativo tra 2 profili documentati, e ne dichiara con precisione i limiti, richiamando la codifica già fissata nel registro analitico quale reperto strutturale: l'isomorfismo è una somiglianza di forma, non una prova di connessione né di origine comune, e la sua rilevazione, secondo il teorema di DiMaggio e Powell che il metodo assume, ammette 3 spiegazioni alternative, l'origine comune, la necessità funzionale e la convergenza indipendente, che la sola topologia non discrimina. Applicato ai 2 casi, il criterio consegna il verdetto che la fase recepisce: la struttura a impresa-copertura per la proiezione internazionale di una rete clandestina è, con ogni probabilità, una necessità funzionale, la forma più efficiente del compito, adottata indipendentemente dai 2 campi opposti, sicché l'isomorfismo tra Aginter e Hyperion documenta non un legame tra i 2 mondi ma la convergenza dei 2 mondi sulla medesima soluzione organizzativa, un reperto che il registro giudica più rivelatore di qualsiasi legame diretto, perché attesta l'esistenza di una grammatica comune della clandestinità europea che opera al di sopra della contrapposizione dei blocchi; la formalizzazione appartiene ai fatti strutturali certificati, e la fase la consegna, quale contributo maggiore al Pattern 11 dell'opera, alla verifica conclusiva.</w:t>
      </w:r>
    </w:p>
    <w:p>
      <w:pPr>
        <w:spacing w:after="120" w:line="276"/>
        <w:jc w:val="both"/>
      </w:pPr>
      <w:r>
        <w:rPr>
          <w:rFonts w:ascii="Barlow Semi Condensed" w:cs="Barlow Semi Condensed" w:eastAsia="Barlow Semi Condensed" w:hAnsi="Barlow Semi Condensed"/>
          <w:sz w:val="24"/>
          <w:szCs w:val="24"/>
        </w:rPr>
        <w:t xml:space="preserve">L'undicesimo pilastro censisce l'ultima stagione di accertamento, il ritorno della Commissione della XVII legislatura sul nodo. Tra il 2014 e il 2017 la Commissione dedicò al capitolo internazionale del caso, e alla struttura parigina in particolare, un filone di approfondimento documentato dagli atti: audizioni di magistrati, ufficiali e studiosi che avevano trattato il nodo nelle stagioni precedenti, acquisizioni documentali dagli archivi italiani nel frattempo versati, e richieste di collaborazione indirizzate alle autorità francesi per l'accesso ai materiali d'oltralpe, che ottennero riscontri parziali e interlocutori senza l'apertura organica degli archivi che la fase ha censito quale vuoto; la relazione conclusiva registrò lo stato del nodo nei termini che il registro ha recepito, l'esistenza certificata, i contatti documentati, la funzione non provata, e consegnò alla ricerca futura l'indicazione della via archivistica francese quale condizione di ogni progresso. Il registro certifica al Livello A l'esistenza, gli strumenti e l'esito interlocutorio del filone, quali dati degli atti parlamentari, e ne trae la formalizzazione temporale che chiude il profilo: il nodo Hyperion è stato investigato in 3 stagioni distinte, le rogatorie del 1982, l'istruttoria veneziana degli anni Ottanta e la ricognizione parlamentare del 2014-2017, da 3 autorità diverse con 3 strumentari diversi, e le 3 stagioni hanno prodotto il medesimo esito, la certificazione dell'esistenza e la non certificazione della funzione; la convergenza di 3 accertamenti indipendenti sul medesimo punto di arresto è essa stessa un dato, che il registro trascrive con la propria categoria: il limite non sta negli accertatori ma nell'accesso, e sino all'apertura degli archivi francesi ogni nuova stagione è destinata, per struttura, a replicare l'esito delle precedenti.</w:t>
      </w:r>
    </w:p>
    <w:p>
      <w:pPr>
        <w:spacing w:after="120" w:line="276"/>
        <w:jc w:val="both"/>
      </w:pPr>
      <w:r>
        <w:rPr>
          <w:rFonts w:ascii="Barlow Semi Condensed" w:cs="Barlow Semi Condensed" w:eastAsia="Barlow Semi Condensed" w:hAnsi="Barlow Semi Condensed"/>
          <w:sz w:val="24"/>
          <w:szCs w:val="24"/>
        </w:rPr>
        <w:t xml:space="preserve">Il dodicesimo pilastro distende la genealogia del ceppo milanese, la preistoria comune che il profilo del nodo presuppone. Il Collettivo Politico Metropolitano, costituito a Milano nel 1969 nell'ambiente dei quadri usciti dalle esperienze studentesche e operaie della città, e la sua evoluzione in Sinistra Proletaria nel 1970, furono l'incubatore comune dal quale, nel biennio 1970-1971, si separarono le 2 linee che la fase ha censito: la linea di Renato Curcio, Margherita Cagol e dei fondatori dell'organizzazione armata, che scelse la clandestinità e la lotta armata dichiarata, e la cerchia di Corrado Simioni, che i memorialisti interni designarono con l'appellativo di superclan, orientata a una concezione elitaria e internazionale del lavoro rivoluzionario, che considerava prematura la scelta armata italiana e che di lì a pochi anni avrebbe preso la via di Parigi; la separazione fu consumata con reciproca diffidenza documentata dalla memorialistica di entrambi i rami, i fondatori dell'organizzazione avendo lasciato testimonianza del sospetto verso l'ambiguità della cerchia simioniana, e la cerchia avendo coltivato la propria distanza dall'avventurismo militare. Il registro certifica al Livello A la genealogia comune, la separazione e la sua datazione, quali dati convergenti della memorialistica e degli atti, certifica al Livello A l'assenza di ogni condanna a carico della cerchia, e ne trae la formalizzazione che governa l'intero nodo: Hyperion e l'organizzazione esecutrice del sequestro sono i 2 rami documentati di un medesimo ceppo fondativo, separatisi 7 anni prima dei fatti, e ogni ipotesi sui loro rapporti nella stagione del sequestro deve muovere da questo dato genealogico certificato, che rende plausibili i contatti personali residui e non prova alcuna funzione operativa; la distinzione tra la plausibilità genealogica del contatto e la prova della funzione è l'esatto crinale su cui il registro tiene fermo il nodo, al livello che a ciascun elemento compete.</w:t>
      </w:r>
    </w:p>
    <w:p>
      <w:pPr>
        <w:spacing w:after="120" w:line="276"/>
        <w:jc w:val="both"/>
      </w:pPr>
      <w:r>
        <w:rPr>
          <w:rFonts w:ascii="Barlow Semi Condensed" w:cs="Barlow Semi Condensed" w:eastAsia="Barlow Semi Condensed" w:hAnsi="Barlow Semi Condensed"/>
          <w:sz w:val="24"/>
          <w:szCs w:val="24"/>
        </w:rPr>
        <w:t xml:space="preserve">Il tredicesimo pilastro censisce la qualità della copertura, il dato tecnico che distingue la struttura nel panorama dell'opera. La scuola di lingue parigina non fu una copertura fittizia ma un'attività reale e verificabile: corsi effettivamente tenuti, studenti reali, docenti retribuiti, una sede operante al Quai de la Tournelle 27 e rapporti commerciali documentabili con istituzioni e clienti, ivi comprese, per le acquisizioni delle inchieste, commesse di formazione linguistica presso enti di rilievo; il registro certifica al Livello A la realtà dell'attività didattica, quale dato convergente di ogni accertamento, e ne dichiara il portato analitico, che è la chiave tecnica del nodo: una copertura reale è, per costruzione, inattaccabile con gli strumenti della verifica amministrativa, giacché ogni controllo sull'attività dichiarata restituisce un esito conforme, e la struttura che la adotta trasferisce l'intero onere dell'accertamento sul piano, incomparabilmente più oneroso, della prova delle attività non dichiarate; la fase registra che tutti gli accertamenti condotti sul nodo, dalle rogatorie all'istruttoria veneziana alla ricognizione parlamentare, si sono infranti esattamente su questo crinale, la conformità perfetta del dichiarato e l'inaccessibilità dell'eventuale non dichiarato, e formalizza il dato quale contributo del nodo alla tipologia dell'opera: la copertura reale è la forma più evoluta della clandestinità censita nel corpus, superiore per efficacia alla semplice falsità, e la sua presenza simmetrica nei 2 casi dell'isomorfismo certificato, l'agenzia di stampa lisbonese che produceva davvero notizie e la scuola parigina che insegnava davvero le lingue, conferma che essa appartiene alla grammatica comune della clandestinità europea che il Pattern 11 ha isolato, la soluzione organizzativa che entrambi i campi adottarono perché entrambi ne avevano compreso la superiorità tecnica.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Hyperion-Simioni-ceppo fondativo comune, è il triangolo genealogico, certificato al Livello A. La seconda, Hyperion-attenzioni investigative-esito nullo, è il triangolo dello statuto probatorio, con i contatti al Livello B e le funzioni ipotizzate al Livello C, e con l'assenza di condanne certificata al Livello A. La terza, Hyperion-Aginter-isomorfismo senza connessione, è il triangolo comparativo, certificato al Livello A nei suoi 2 termini. Sul piano dei pattern, il nodo è la seconda e conclusiva applicazione del Pattern 11, e attiva il Pattern 5 nella forma documentale: l'archivio mai aperto di una struttura quarantennalmente sospettata è il buco strutturale internazionale della fase, che il registro consegna, quale campo di ricerca e non quale certezza mancata, agli sviluppi futuri.</w:t>
      </w:r>
    </w:p>
    <w:p>
      <w:pPr>
        <w:spacing w:after="120" w:line="276"/>
        <w:jc w:val="both"/>
      </w:pPr>
      <w:r>
        <w:rPr>
          <w:rFonts w:ascii="Barlow Semi Condensed" w:cs="Barlow Semi Condensed" w:eastAsia="Barlow Semi Condensed" w:hAnsi="Barlow Semi Condensed"/>
          <w:sz w:val="24"/>
          <w:szCs w:val="24"/>
        </w:rPr>
        <w:t xml:space="preserve">Il destino giudiziario del nodo va dichiarato nella sua nudità, perché esso ne costituisce, in negativo, la certificazione più netta: le istruttorie italiane che negli anni 80 e 90 investirono la scuola di Parigi, i suoi fondatori e la sua rete, incluse quelle veneziane sui traffici internazionali di armi e quelle romane sui retroterra del caso Moro, si chiusero senza che alcuna imputazione approdasse a condanna, tra proscioglimenti, archiviazioni ed estinzioni, sicché a carico della struttura e dei suoi uomini non esiste, ad oggi, alcun giudicato di responsabilità, Livello A quanto agli esiti, che il registro riporta con il rilievo dovuto ad ogni assoluzione. Ne discende lo statuto paradossale che fa del nodo un unicum analitico: Hyperion è insieme il più indagato ed il meno giudicato degli oggetti del caso, una struttura la cui esistenza, sede, genealogia e rete di contatti sono certificate al massimo livello e le cui funzioni ipotizzate non hanno mai superato la soglia del riscontro, ed il registro, che ha coniato per queste configurazioni la categoria del reperto negativo, la applica qui nella sua forma più severa: il vuoto giudiziario attorno alla scuola di lingue non prova l'innocenza della funzione né la sua colpevolezza, prova l'impermeabilità dell'oggetto, e l'impermeabilità, in un'opera che misura le resistenze dei nodi all'accertamento, è essa stessa la misura che resta.</w:t>
      </w:r>
    </w:p>
    <w:p>
      <w:pPr>
        <w:spacing w:after="120" w:line="276"/>
        <w:jc w:val="both"/>
      </w:pPr>
      <w:r>
        <w:rPr>
          <w:rFonts w:ascii="Barlow Semi Condensed" w:cs="Barlow Semi Condensed" w:eastAsia="Barlow Semi Condensed" w:hAnsi="Barlow Semi Condensed"/>
          <w:sz w:val="24"/>
          <w:szCs w:val="24"/>
        </w:rPr>
        <w:t xml:space="preserve">La genealogia della scuola parigina esige la sua premessa italiana, che il registro censisce dagli atti: la scissione consumata nell'organizzazione nascente al principio degli anni Settanta, quando l'ala raccolta attorno a Corrado Simioni, poi nota nella pubblicistica interna quale Superclan, si separò dal nucleo fondatore in dissenso sulla linea, portando con sé quadri, relazioni internazionali ed una concezione elitaria e compartimentata del lavoro clandestino, per approdare negli anni successivi a Parigi, dove quell'ambiente diede vita alle strutture di copertura culturale e linguistica censite in questo capitolo, Livello A quanto alla scissione, ai suoi protagonisti storici ed all'approdo parigino, quali risultano dagli atti e dalle ricostruzioni convergenti. Il registro consegna la genealogia alla sua funzione analitica: la scuola di lingue non nacque quale appendice estera dell'organizzazione combattente, ma quale ramo separato e precedente, uscito dal tronco comune prima della militarizzazione, e questa priorità genealogica è esattamente ciò che ha reso il nodo parigino irriducibile alle categorie processuali italiane, poiché i suoi uomini non erano latitanti di un'organizzazione da giudicare ma emigrati di una scissione mai divenuta reato, con la conseguenza che il capitolo ha già certificato nel suo esito nullo: l'impermeabilità giudiziaria di Hyperion non fu solo protezione francese, fu anche, alla radice, la condizione di chi si era messo fuori dalla storia criminale prima che diventasse tale, ed osservava da Parigi, in posizione per sempre inattaccabile, il precipitare della casa che aveva lasciato.</w:t>
      </w:r>
    </w:p>
    <w:p>
      <w:pPr>
        <w:spacing w:after="120" w:line="276"/>
        <w:jc w:val="both"/>
      </w:pPr>
      <w:r>
        <w:rPr>
          <w:rFonts w:ascii="Barlow Semi Condensed" w:cs="Barlow Semi Condensed" w:eastAsia="Barlow Semi Condensed" w:hAnsi="Barlow Semi Condensed"/>
          <w:sz w:val="24"/>
          <w:szCs w:val="24"/>
        </w:rPr>
        <w:t xml:space="preserve">Il capitolo internazionale esige il suo bilancio terminale, che il registro formula quale paradosso di proporzione: il caso più investigato della storia repubblicana è rimasto, sul piano dei giudicati, il meno internazionalizzato, poiché a fronte della densità di presenze, interessi e servizi esteri che i capitoli hanno censito attorno al quadrante italiano del 1978, nessun cittadino, apparato o governo straniero è mai stato imputato, né alcuna rogatoria ha mai prodotto un atto d'accusa oltre confine, sicché la dimensione internazionale del caso, sterminata nella letteratura, è giudiziariamente vuota, Livello A quanto al vuoto, Livello C permanente quanto alle ipotesi che lo popolano. Il registro consegna il paradosso alla sua spiegazione strutturale, che vale quale lezione di metodo per l'intera opera: la giustizia penale è territoriale ed il potere che il corpus studia non lo è, sicché lo strumento processuale, che dentro i confini ha faticosamente prodotto i 5 cicli censiti, si è fermato esattamente dove finiva la giurisdizione ed iniziava la geopolitica, e la sproporzione tra ciò che il caso contiene e ciò che i tribunali potevano raggiungere non è un fallimento italiano ma il limite costitutivo di ogni giustizia nazionale davanti a fatti transnazionali, il limite che questa opera, non essendo un tribunale, esiste precisamente per attraversare, con i suoi strumenti diversi e la sua diversa, dichiarata, soglia probatoria.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Hyperion è certificato al Livello A quanto all'esistenza, alla sede parigina del Quai de la Tournelle 27, alla copertura didattica reale e alla genealogia comune con l'organizzazione esecutrice nel ceppo milanese separatosi nel 1970-1971; i contatti dei fondatori con gli snodi dell'estremismo europeo sono certificati al Livello B, le funzioni di centrale e ogni ruolo nel sequestro restano al Livello C dopo 4 decenni di attenzioni prive di esito, e l'assenza di condanne è certificata e riportata; l'isomorfismo con Aginter Press, a regimi probatori opposti e senza alcuna connessione operativa documentata, è recepito quale reperto comparativo terminale del Pattern 11.</w:t>
      </w:r>
    </w:p>
    <w:p>
      <w:pPr>
        <w:pStyle w:val="Heading3"/>
        <w:spacing w:after="80" w:before="160"/>
      </w:pPr>
      <w:r>
        <w:rPr>
          <w:rFonts w:ascii="Barlow Semi Condensed" w:cs="Barlow Semi Condensed" w:eastAsia="Barlow Semi Condensed" w:hAnsi="Barlow Semi Condensed"/>
          <w:sz w:val="24"/>
          <w:szCs w:val="24"/>
        </w:rPr>
        <w:t xml:space="preserve">Capitolo 8 — ▶ Mino Pecorelli. Il giornalista, le anticipazioni e l'ipotesi processata</w:t>
      </w:r>
    </w:p>
    <w:p>
      <w:pPr>
        <w:spacing w:after="120" w:line="276"/>
        <w:jc w:val="both"/>
      </w:pPr>
      <w:r>
        <w:rPr>
          <w:rFonts w:ascii="Barlow Semi Condensed" w:cs="Barlow Semi Condensed" w:eastAsia="Barlow Semi Condensed" w:hAnsi="Barlow Semi Condensed"/>
          <w:sz w:val="24"/>
          <w:szCs w:val="24"/>
        </w:rPr>
        <w:t xml:space="preserve">Carmine Pecorelli, detto Mino, direttore dell'agenzia-periodico OP, Osservatore Politico, assassinato a Roma la sera del 20 marzo 1979 con 4 colpi d'arma da fuoco mentre saliva in auto presso la redazione, è il nodo che salda la fase al Dominio 8, il controllo dell'informazione, e che il registro tratta quale caso terminale della disciplina delle ipotesi processate. La scansione del corpus registra Pecorelli 401 volte in 37 documenti, e il corpus comprende le sentenze integrali del processo per il suo omicidio.</w:t>
      </w:r>
    </w:p>
    <w:p>
      <w:pPr>
        <w:spacing w:after="120" w:line="276"/>
        <w:jc w:val="both"/>
      </w:pPr>
      <w:r>
        <w:rPr>
          <w:rFonts w:ascii="Barlow Semi Condensed" w:cs="Barlow Semi Condensed" w:eastAsia="Barlow Semi Condensed" w:hAnsi="Barlow Semi Condensed"/>
          <w:sz w:val="24"/>
          <w:szCs w:val="24"/>
        </w:rPr>
        <w:t xml:space="preserve">Il primo pilastro è il profilo della fonte e della testata, certificato al Livello A nei fatti. OP era un foglio anomalo nel panorama informativo: un bollettino di rivelazioni, allusioni e anticipazioni, alimentato da un accesso documentale evidentemente interno agli apparati e agli ambienti riservati, che Pecorelli esercitava secondo una tecnica di pubblicazione progressiva nella quale l'annuncio della notizia valeva quanto la notizia; la collocazione del direttore negli ambienti che le fasi precedenti hanno censito, con rapporti documentati verso l'orbita piduista e verso settori degli apparati, è attestata dagli atti della Commissione Anselmi e dalle istruttorie, e il registro la certifica al Livello B, quale convergenza di fonti istituzionali, senza qualificazioni organiche che gli atti non consacrano. Nella stagione del sequestro e dei mesi successivi, OP pubblicò e annunciò materiali sul caso Moro di provenienza evidentemente qualificata: riferimenti al memoriale prima della sua divulgazione, allusioni alla gestione dei 55 giorni, anticipazioni che le acquisizioni successive avrebbero mostrato fondate su una conoscenza reale di materiali riservati. Il registro certifica al Livello A l'esistenza e la datazione di tali pubblicazioni, quale dato documentale della collezione della testata, e al Livello B la loro derivazione da accesso a materiali del circuito riservato, quale inferenza documentale consolidata dalle comparazioni successive; la questione della catena di tale accesso resta al Livello C.</w:t>
      </w:r>
    </w:p>
    <w:p>
      <w:pPr>
        <w:spacing w:after="120" w:line="276"/>
        <w:jc w:val="both"/>
      </w:pPr>
      <w:r>
        <w:rPr>
          <w:rFonts w:ascii="Barlow Semi Condensed" w:cs="Barlow Semi Condensed" w:eastAsia="Barlow Semi Condensed" w:hAnsi="Barlow Semi Condensed"/>
          <w:sz w:val="24"/>
          <w:szCs w:val="24"/>
        </w:rPr>
        <w:t xml:space="preserve">Il secondo pilastro è l'omicidio e il suo processo, che il registro espone con la disciplina integrale. L'assassinio del 20 marzo 1979, 10 mesi dopo la conclusione del sequestro, rimase a lungo senza sviluppi; negli anni Novanta, sulla scorta di dichiarazioni di collaboratori di giustizia, la procura di Perugia formulò l'ipotesi che l'omicidio fosse stato commissionato in ambienti politico-mafiosi per arrestare le pubblicazioni del direttore sui materiali del caso Moro, e portò a giudizio, tra gli altri, Giulio Andreotti quale mandante e Gaetano Badalamenti quale tramite mafioso, con imputati ulteriori degli ambienti della criminalità romana. Il ciclo processuale si sviluppò così: la Corte d'assise di Perugia, nel settembre 1999, assolse tutti gli imputati; la Corte d'assise d'appello, il 17 novembre 2002, riformò parzialmente condannando Andreotti e Badalamenti a 24 anni di reclusione quali mandanti; la Corte di cassazione, il 30 ottobre 2003, annullò senza rinvio la condanna, rendendo definitiva l'assoluzione di entrambi. Il registro riporta per esteso l'assoluzione definitiva di Giulio Andreotti e di Gaetano Badalamenti dall'accusa di omicidio, unitamente agli esiti assolutori degli altri imputati del medesimo processo, e certifica al Livello A che l'omicidio di Mino Pecorelli resta, all'esito di ogni giudizio, privo di mandanti e di esecutori condannati: è la seconda vittima eccellente della fase, dopo il vuoto sugli esecutori Mattarella censito nella Fase 3, il cui assassinio non ha verità giudiziaria di condanna. L'ipotesi del movente moroteo, che fu il cuore dell'accusa, riceve la qualificazione aggravata già codificata: ipotesi processata e non provata, portata sino al giudizio di legittimità e non consacrata, la cui permanenza nel registro al Livello C reca la memoria del suo intero percorso, ivi compresa la condanna di merito del 2002 travolta dall'annullamento.</w:t>
      </w:r>
    </w:p>
    <w:p>
      <w:pPr>
        <w:spacing w:after="120" w:line="276"/>
        <w:jc w:val="both"/>
      </w:pPr>
      <w:r>
        <w:rPr>
          <w:rFonts w:ascii="Barlow Semi Condensed" w:cs="Barlow Semi Condensed" w:eastAsia="Barlow Semi Condensed" w:hAnsi="Barlow Semi Condensed"/>
          <w:sz w:val="24"/>
          <w:szCs w:val="24"/>
        </w:rPr>
        <w:t xml:space="preserve">Il terzo pilastro è il reticolo degli archi documentati attorno al nodo, che il registro censisce nella loro autonomia dai giudicati mancati. Il primo arco è quello verso l'orbita della Magliana, documentato dalla vicenda, accertata negli atti, del borsello abbandonato su un taxi romano nell'aprile 1979, poche settimane dopo l'omicidio, contenente materiali che alludevano congiuntamente al caso Moro e all'omicidio del giornalista, ricondotto dagli accertamenti tecnici alla mano di Antonio Chichiarelli, il medesimo falsario del comunicato del lago della Duchessa: il registro certifica al Livello B l'attribuzione e dichiara il rilievo della ricorrenza, il medesimo uomo dell'orbita della Magliana che interseca, con manufatti documentali, tanto la gestione comunicativa del sequestro quanto la scia dell'omicidio del giornalista che di quel sequestro pubblicava i segreti; la direzione di questa duplice intersezione resta al Livello C, ma la sua esistenza è un arco certificato tra il Dominio 8, il Dominio 1 romano e il caso Moro. Il secondo arco è quello tematico verso il memoriale: la comparazione tra le anticipazioni di OP e i contenuti emersi nel 1990 appartiene alle acquisizioni parlamentari, e il registro la certifica al Livello B quale riscontro postumo della qualità dell'accesso del direttore. Il terzo arco è quello, già certificato nella Fase 1, che collega la memoria di Pecorelli al processo palermitano ad Andreotti, nel quale le medesime dichiarazioni collaborative alimentarono i 2 procedimenti: il registro richiama l'esito di quel processo, con la formula duale della prescrizione per il periodo anteriore alla primavera 1980 e dell'assoluzione per il periodo successivo, quale contesto degli esiti qui riportati.</w:t>
      </w:r>
    </w:p>
    <w:p>
      <w:pPr>
        <w:spacing w:after="120" w:line="276"/>
        <w:jc w:val="both"/>
      </w:pPr>
      <w:r>
        <w:rPr>
          <w:rFonts w:ascii="Barlow Semi Condensed" w:cs="Barlow Semi Condensed" w:eastAsia="Barlow Semi Condensed" w:hAnsi="Barlow Semi Condensed"/>
          <w:sz w:val="24"/>
          <w:szCs w:val="24"/>
        </w:rPr>
        <w:t xml:space="preserve">Il quarto pilastro è la tecnica dell'annuncio e l'ultimo periodo della testata, che il registro censisce quale contesto immediato dell'omicidio. La pubblicistica di Pecorelli operava secondo un metodo riconoscibile: l'annuncio anticipato di rivelazioni imminenti, la pubblicazione parziale, la sospensione; un metodo che trasformava la testata in uno strumento di pressione oltre che di informazione, e che gli atti delle inchieste hanno documentato nella sua meccanica, ivi compresi i casi in cui annunci pubblicati non furono seguiti dalle rivelazioni promesse. Nei mesi finali, tra la fine del 1978 e il marzo 1979, la testata aveva in cantiere e in parte annunciato materiali su più fronti sensibili, dalle vicende finanziarie che intersecavano il mondo politico romano ai temi del caso Moro, e l'ultimo numero preparato non giunse in edicola nella forma prevista. Il registro certifica al Livello A il metodo dell'annuncio, quale dato documentale della collezione, e la collocazione temporale dell'omicidio nel pieno di una stagione di annunci su materie sensibili, quale dato di calendario; e mantiene al Livello C, secondo la disciplina, ogni individuazione del singolo annuncio che avrebbe determinato l'eliminazione, annotando che l'istruttoria perugina esplorò precisamente questo terreno, la selezione del movente entro il ventaglio delle pubblicazioni pendenti, e che l'esito assolutorio definitivo lascia il ventaglio aperto: il registro censisce il ventaglio, non sceglie la carta. L'annotazione sistemica chiude il pilastro: la figura del giornalista-nodo, che converte l'accesso riservato in potere di pubblicazione e il potere di pubblicazione in leva, è la configurazione più pura del Dominio 8 che l'opera abbia incontrato, e la sua eliminazione fisica, quale che ne sia il mandante mai accertato, documenta che quella configurazione era percepita, da qualcuno, quale minaccia capitale.</w:t>
      </w:r>
    </w:p>
    <w:p>
      <w:pPr>
        <w:spacing w:after="120" w:line="276"/>
        <w:jc w:val="both"/>
      </w:pPr>
      <w:r>
        <w:rPr>
          <w:rFonts w:ascii="Barlow Semi Condensed" w:cs="Barlow Semi Condensed" w:eastAsia="Barlow Semi Condensed" w:hAnsi="Barlow Semi Condensed"/>
          <w:sz w:val="24"/>
          <w:szCs w:val="24"/>
        </w:rPr>
        <w:t xml:space="preserve">Il quinto pilastro distende la storia della testata e il precedente che ne certifica l'accesso. OP nacque nel 1968 quale agenzia di stampa a diffusione ristretta, circolante negli ambienti politici, militari e giornalistici romani quale bollettino di notizie riservate, e si trasformò nel marzo 1978, alla vigilia del sequestro, in settimanale in edicola, portando nel circuito pubblico la tecnica maturata nel decennio riservato; gli atti giudiziari e parlamentari che ne hanno ricostruito la storia documentano la contiguità della testata con ambienti del servizio informazioni della difesa, dai quali provenne parte sistematica del materiale pubblicato, e il registro certifica al Livello B questa contiguità di alimentazione, quale convergenza di accertamenti plurimi, senza qualificazioni organiche. Il precedente che certifica la qualità dell'accesso è la vicenda del dossier MiFoBiali: tra il 1976 e il 1977 la testata diede notizia e pubblicò elementi del rapporto riservato del servizio militare su un traffico petrolifero con la Libia che coinvolgeva vertici della Guardia di finanza, un documento la cui circolazione era confinata al circuito più protetto degli apparati, e la cui vicenda si intreccia, come la Fase 2 ha censito, con la stagione della direzione piduista dei servizi; il registro certifica al Livello A la pubblicazione e la natura del documento, quali fatti documentali, e ne trae la conseguenza che fonda il pilastro: prima ancora del caso Moro, la testata aveva dimostrato, con un caso verificato, di attingere al livello più riservato della documentazione degli apparati, e questa capacità certificata è il presupposto che rende tecnicamente credibile, e perciò analiticamente grave, la sincronia del 1978 sul memoriale.</w:t>
      </w:r>
    </w:p>
    <w:p>
      <w:pPr>
        <w:spacing w:after="120" w:line="276"/>
        <w:jc w:val="both"/>
      </w:pPr>
      <w:r>
        <w:rPr>
          <w:rFonts w:ascii="Barlow Semi Condensed" w:cs="Barlow Semi Condensed" w:eastAsia="Barlow Semi Condensed" w:hAnsi="Barlow Semi Condensed"/>
          <w:sz w:val="24"/>
          <w:szCs w:val="24"/>
        </w:rPr>
        <w:t xml:space="preserve">Il sesto pilastro scandisce la serie degli interventi della testata sul caso Moro, quale la collezione la consegna. Durante i 55 giorni la testata seguì la vicenda con la propria cifra allusiva, insinuando conoscenze sulla gestione e sui retroscena; dopo il 9 maggio, la serie si fece sistematica, con interventi sulla condotta dei comitati, sulle ricerche e sugli ambienti della crisi; nell'ottobre 1978, a ridosso del sequestro di via Monte Nevoso, giunsero le pubblicazioni e le anticipazioni sul memoriale già censite nel capitolo documentale, con i contenuti eccedenti la versione ufficiale; e nei primi mesi del 1979 la testata portò la propria attenzione sui terreni finanziari e politici contigui, sino al numero in preparazione al momento dell'omicidio, dedicato, per le risultanze delle inchieste, alla vicenda degli assegni riconducibili all'area del presidente del Consiglio, il tema finanziario che intrecciava gli istituti di credito pubblici e i costruttori romani. Il registro certifica al Livello A la scansione della serie e l'oggetto del numero in preparazione, quali dati della collezione e delle risultanze istruttorie, e ribadisce la disciplina sul ventaglio dei moventi: la serie documenta che, alla data del 20 marzo 1979, la testata teneva simultaneamente aperti più fronti capaci ciascuno di costituire un movente, il memoriale, la gestione della crisi, il fronte finanziario, e l'istruttoria che scelse uno dei fronti quale movente dell'omicidio è approdata, come il pilastro seguente espone, all'assoluzione definitiva; il registro, censito il ventaglio, lo lascia aperto.</w:t>
      </w:r>
    </w:p>
    <w:p>
      <w:pPr>
        <w:spacing w:after="120" w:line="276"/>
        <w:jc w:val="both"/>
      </w:pPr>
      <w:r>
        <w:rPr>
          <w:rFonts w:ascii="Barlow Semi Condensed" w:cs="Barlow Semi Condensed" w:eastAsia="Barlow Semi Condensed" w:hAnsi="Barlow Semi Condensed"/>
          <w:sz w:val="24"/>
          <w:szCs w:val="24"/>
        </w:rPr>
        <w:t xml:space="preserve">Il settimo pilastro distende l'iter processuale nella sua interezza, quale la disciplina degli esiti impone. L'inchiesta perugina degli anni Novanta si fondò sulle dichiarazioni di collaboratori di giustizia, e in primo luogo di Tommaso Buscetta, che riferì di aver appreso da Gaetano Badalamenti la riconducibilità dell'omicidio a un interesse di Giulio Andreotti connesso alle carte del caso Moro; il rinvio a giudizio investì, oltre ad Andreotti quale mandante e a Badalamenti quale tramite, esponenti dell'orbita della banda della Magliana quali presunti organizzatori ed esecutori, tra cui Giuseppe Calò, già nodo delle fasi precedenti, e Massimo Carminati. Il dibattimento di primo grado dinanzi alla Corte d'assise di Perugia si concluse il 24 settembre 1999 con l'assoluzione di tutti gli imputati; la Corte d'assise d'appello, il 17 novembre 2002, in parziale riforma, condannò Andreotti e Badalamenti a 24 anni di reclusione quali mandanti, confermando le assoluzioni degli altri; la Corte di cassazione, il 30 ottobre 2003, annullò senza rinvio la condanna per non aver commesso il fatto, rendendo definitive tutte le assoluzioni. Il registro riporta per esteso, quale la disciplina impone, che Giulio Andreotti, Gaetano Badalamenti, Giuseppe Calò, Massimo Carminati e i coimputati del processo di Perugia sono stati assolti in via definitiva da ogni accusa relativa all'omicidio di Mino Pecorelli; annota che per Calò si tratta del secondo esito assolutorio censito dall'opera accanto ai 3 giudicati di condanna capitale, e per Carminati dell'esito che si affianca all'assoluzione per la strage di Bologna censita quale contesto nella Fase 3; e chiude con la qualificazione già dichiarata dell'ipotesi del movente moroteo, la più processata e la meno consacrata delle ipotesi del piano terzo, portata sino al giudizio di legittimità attraverso una condanna di merito e integralmente travolta.</w:t>
      </w:r>
    </w:p>
    <w:p>
      <w:pPr>
        <w:spacing w:after="120" w:line="276"/>
        <w:jc w:val="both"/>
      </w:pPr>
      <w:r>
        <w:rPr>
          <w:rFonts w:ascii="Barlow Semi Condensed" w:cs="Barlow Semi Condensed" w:eastAsia="Barlow Semi Condensed" w:hAnsi="Barlow Semi Condensed"/>
          <w:sz w:val="24"/>
          <w:szCs w:val="24"/>
        </w:rPr>
        <w:t xml:space="preserve">L'ottavo pilastro censisce i rapporti della testata con l'orbita gelliana, il secondo asse di alimentazione documentato. Gli atti della Commissione Anselmi e le acquisizioni giudiziarie convergenti documentano la relazione tra Pecorelli e l'ambiente di Licio Gelli: i contatti diretti, la circolazione verso la testata di materiali provenienti da quell'orbita, e flussi di sostegno economico veicolati nella stagione terminale, entro il più generale sistema di condizionamento della stampa che la Commissione ricostruì e che la Fase 2 ha censito quale arco tra la loggia e il Dominio 8; il registro certifica al Livello B la relazione e i flussi, quale convergenza di risultanze parlamentari e giudiziarie non consacrate su ogni punto da giudicato, e certifica al Livello A il dato editoriale che vi si intreccia, la circostanza che la testata pubblicò ripetutamente, in anticipo sulla stampa ordinaria, materie interne all'universo massonico coperto, dimostrando un accesso a quell'ambiente simmetrico a quello certificato verso gli apparati. Sul terreno delle letture, il registro censisce al Livello C l'ipotesi, coltivata dalle inchieste e mai consacrata, della pressione economica esercitata dal giornalista sui propri referenti quale movente concorrente dell'eliminazione, e chiude con la formalizzazione reticolare: il nodo Pecorelli è l'unico dell'intera opera che risulti simultaneamente alimentato, per certificazione o convergenza documentata, dai 2 massimi serbatoi riservati della Repubblica, gli apparati informativi e la loggia coperta, e questa doppia alimentazione certificata, qualunque cosa spieghi della sua morte, definisce esattamente la sua posizione nella rete: un condotto tra i segreti dei 2 sistemi e lo spazio pubblico, revocabile, per costruzione, soltanto con la sua eliminazione.</w:t>
      </w:r>
    </w:p>
    <w:p>
      <w:pPr>
        <w:spacing w:after="120" w:line="276"/>
        <w:jc w:val="both"/>
      </w:pPr>
      <w:r>
        <w:rPr>
          <w:rFonts w:ascii="Barlow Semi Condensed" w:cs="Barlow Semi Condensed" w:eastAsia="Barlow Semi Condensed" w:hAnsi="Barlow Semi Condensed"/>
          <w:sz w:val="24"/>
          <w:szCs w:val="24"/>
        </w:rPr>
        <w:t xml:space="preserve">Il nono pilastro distende la vicenda del borsello e dei reperti successivi, l'appendice materiale del nodo. Nell'aprile 1979, poche settimane dopo l'omicidio, fu rinvenuto su un taxi romano un borsello abbandonato contenente un compendio anomalo di materiali: annotazioni e riproduzioni che intrecciavano riferimenti puntuali al caso Moro, inclusi elementi allusivi a circostanze allora non pubbliche, e riferimenti all'omicidio del giornalista, composti in forma di messaggio criptico; le perizie attribuirono la confezione a Antonio Chichiarelli, il falsario della banda della Magliana già autore, per attribuzione peritale, del falso comunicato della Duchessa, saldando in un'unica mano i 2 manufatti; Chichiarelli fu assassinato a Roma il 28 settembre 1984, in un agguato mai giudizialmente risolto, e dopo la sua morte emersero, dai luoghi a lui riconducibili, ulteriori materiali riferiti al caso Moro che le inchieste acquisirono. Il registro certifica al Livello A il ritrovamento, il contenuto, l'attribuzione peritale e l'assassinio, quali risultanze documentali e giudiziarie, e mantiene al Livello C la funzione dell'intera produzione, dalla rivendicazione obliqua al depistaggio su commissione, annotando la struttura del reperto: un falsario di ambiente criminale romano risulta, per perizia, l'autore materiale tanto del più efficace inquinamento informativo dei 55 giorni quanto del più criptico manufatto post mortem su Pecorelli, fu eliminato senza colpevoli e lasciò materiali che nessuna sede ha mai integralmente decifrato; la doppia firma certificata di Chichiarelli sui 2 casi è l'arco documentale che salda il capitolo alla crisi del 1978, e il registro la consegna quale fatto, con la sua spiegazione ancora vacante, alla competizione tra le ipotesi del piano terzo.</w:t>
      </w:r>
    </w:p>
    <w:p>
      <w:pPr>
        <w:spacing w:after="120" w:line="276"/>
        <w:jc w:val="both"/>
      </w:pPr>
      <w:r>
        <w:rPr>
          <w:rFonts w:ascii="Barlow Semi Condensed" w:cs="Barlow Semi Condensed" w:eastAsia="Barlow Semi Condensed" w:hAnsi="Barlow Semi Condensed"/>
          <w:sz w:val="24"/>
          <w:szCs w:val="24"/>
        </w:rPr>
        <w:t xml:space="preserve">Il decimo pilastro colloca l'omicidio entro la serie degli omicidi eccellenti romani della stagione, quale applicazione del Pattern 3 al Dominio 8 e ai suoi confini. Il registro censisce la sequenza certificata degli assassinii che, nell'orbita tra apparati, criminalità capitolina, politica e informazione, scandirono gli anni a cavallo del caso Moro nella capitale: l'omicidio di Mino Pecorelli il 20 marzo 1979; l'omicidio del tenente colonnello Antonio Varisco il 13 luglio 1979; e, quale termine di raccordo con il Dominio 6 e la Fase 2, l'omicidio dell'avvocato Giorgio Ambrosoli, il liquidatore della banca di Michele Sindona, ucciso a Milano l'11 luglio 1979, nella stessa settimana di Varisco, da un sicario giunto dall'estero. Il registro certifica al Livello A le date e i fatti degli omicidi, quali dati giudiziari e storici, nomina le vittime, e ne dichiara la funzione analitica: la contiguità temporale di 3 eliminazioni che colpirono, in pochi mesi, un giornalista d'accesso riservato, un ufficiale di raccordo tra apparati e ambienti giudiziari romani e il liquidatore che stava documentando i legami tra finanza deviata, mafia e politica, compone una finestra critica che il Pattern 3 registra quale addensamento anomalo di rimozioni di detentori di conoscenza, distinte per mano e per sede giudiziaria e tuttavia unite dalla natura delle vittime, tutte titolari di un sapere pericoloso per gli intrecci tra i domini. Il registro mantiene al Livello C ogni lettura unificante della serie, nessun accertamento avendo mai stabilito una regia comune, e ne certifica quale fatto la sola struttura statistica, l'improbabilità della concentrazione casuale di eventi tanto simili per funzione delle vittime in un arco tanto breve; e consegna la serie, con la disciplina consueta, quale reperto del Pattern 3 alla ricognizione conclusiva, annotando che il nodo Pecorelli vi occupa la posizione del primo termine, l'eliminazione con cui la stagione delle rimozioni romane si aprì.</w:t>
      </w:r>
    </w:p>
    <w:p>
      <w:pPr>
        <w:spacing w:after="120" w:line="276"/>
        <w:jc w:val="both"/>
      </w:pPr>
      <w:r>
        <w:rPr>
          <w:rFonts w:ascii="Barlow Semi Condensed" w:cs="Barlow Semi Condensed" w:eastAsia="Barlow Semi Condensed" w:hAnsi="Barlow Semi Condensed"/>
          <w:sz w:val="24"/>
          <w:szCs w:val="24"/>
        </w:rPr>
        <w:t xml:space="preserve">L'undicesimo pilastro censisce il filo balistico, il reperto materiale maggiore del nodo. I proiettili che uccisero Pecorelli erano cartucce calibro 7,65 di marca Gevelot, una munizione di produzione francese rara sul mercato italiano dell'epoca, la cui identificazione orientò le indagini sin dalle prime perizie; e le inchieste degli anni successivi accertarono la presenza di munizioni Gevelot del medesimo tipo nell'arsenale della banda della Magliana rinvenuto nel deposito ricavato negli scantinati del Ministero della Sanità, il deposito che le indagini sulla criminalità capitolina portarono alla luce documentando la disponibilità dell'organizzazione di un'armeria custodita, per paradosso topografico certificato, entro un edificio pubblico; la convergenza tra la munizione dell'omicidio e la dotazione dell'arsenale fu acquisita ai procedimenti e costituì uno dei fondamenti dell'ipotesi accusatoria sull'esecuzione materiale affidata ad ambienti della banda, ipotesi che l'esito assolutorio definitivo del 2003 ha lasciato priva di consacrazione giudiziale quanto ai mandanti e agli esecutori giudicati in quel processo. Il registro certifica al Livello A l'identificazione della munizione e la presenza del medesimo tipo raro nell'arsenale del Ministero della Sanità, quali dati peritali e di rinvenimento, certifica al Livello B la derivazione dell'arma del delitto dall'orbita della banda, quale inferenza balistica di elevata consistenza mai consacrata da condanna, e ne dichiara la funzione reticolare: il filo Gevelot è l'arco materiale che congiunge il Dominio 8, nella persona della vittima, al Dominio 1 romano, nella dotazione dell'arsenale, ed è, con la doppia firma di Chichiarelli, il secondo elemento fisico che salda l'orbita della Magliana alla stagione degli omicidi eccellenti; il registro consegna il filo alla Fase 5, annotando che la banda romana, già certificata nella Fase 1 quale cerniera tra criminalità, eversione e apparati, vede accrescersi con la fase il proprio rango di connettivo capitolino dei domini.</w:t>
      </w:r>
    </w:p>
    <w:p>
      <w:pPr>
        <w:spacing w:after="120" w:line="276"/>
        <w:jc w:val="both"/>
      </w:pPr>
      <w:r>
        <w:rPr>
          <w:rFonts w:ascii="Barlow Semi Condensed" w:cs="Barlow Semi Condensed" w:eastAsia="Barlow Semi Condensed" w:hAnsi="Barlow Semi Condensed"/>
          <w:sz w:val="24"/>
          <w:szCs w:val="24"/>
        </w:rPr>
        <w:t xml:space="preserve">Il dodicesimo pilastro censisce la sorte dell'archivio della testata, l'ultima assenza del nodo. Le inchieste sull'omicidio documentarono che dall'ufficio di OP e dai materiali del direttore risultarono mancanti, dopo la morte, fascicoli e carte la cui esistenza era attestata da testimonianze dei collaboratori e dalla stessa attività della testata, che su quei materiali fondava le proprie anticipazioni: la ricognizione dell'archivio non restituì l'insieme dei dossier che l'attività documentata del giornalista presupponeva, e la questione della sottrazione di carte contestuale o successiva all'omicidio attraversò le indagini senza mai approdare a un accertamento di condotta; il registro certifica al Livello B la mancanza di materiali rispetto al perimetro attestato, quale convergenza di risultanze testimoniali e investigative non consacrate da un inventario opponibile, e la classifica nella specie propria: l'archivio di Pecorelli appartiene, con la borsa del generale e con le carte controverse dei nodi maggiori, alla figura della sottrazione documentale contestuale all'eliminazione del detentore, il pattern che la fase ha censito in 3 occorrenze distinte, via Fani, via Carini e l'ufficio di OP, e che il registro formalizza quale regolarità certificata nella sua distribuzione e non spiegata nella sua meccanica: in 3 casi su 3, l'eliminazione di un detentore di conoscenza pericolosa si accompagnò alla scomparsa, mai giudizialmente attribuita, del supporto materiale di quella conoscenza; la regolarità, che il Pattern 5 dell'opera registra quale configurazione di Livello B, è consegnata alla riflessione conclusiva con l'annotazione che essa costituisce, nell'intero corpus, la firma strutturale più costante del campo studiato, la coincidenza sistematica tra la morte dell'uomo e la morte delle sue carte.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Pecorelli-OP-accesso riservato, è il triangolo della fonte, certificato al Livello A nelle pubblicazioni e al Livello B nella derivazione. La seconda, omicidio-processo di Perugia-assoluzione definitiva, è il triangolo dell'ipotesi processata, con gli esiti riportati per esteso e la qualificazione aggravata del Livello C. La terza, Pecorelli-Chichiarelli-orbita della Magliana, è il triangolo dell'intersezione documentata, certificato al Livello B con direzione al Livello C. Sul piano dei pattern, il nodo attiva il Pattern 4 in una forma propria del Dominio 8, il flusso dell'informazione riservata quale risorsa tracciabile, di cui OP fu insieme pozzo e sorgente; e il Pattern 5, giacché l'omicidio recise il solo canale pubblico che attingeva, in tempo reale, al circuito riservato del caso, e il silenzio che ne seguì è l'assenza che l'analisi registra.</w:t>
      </w:r>
    </w:p>
    <w:p>
      <w:pPr>
        <w:spacing w:after="120" w:line="276"/>
        <w:jc w:val="both"/>
      </w:pPr>
      <w:r>
        <w:rPr>
          <w:rFonts w:ascii="Barlow Semi Condensed" w:cs="Barlow Semi Condensed" w:eastAsia="Barlow Semi Condensed" w:hAnsi="Barlow Semi Condensed"/>
          <w:sz w:val="24"/>
          <w:szCs w:val="24"/>
        </w:rPr>
        <w:t xml:space="preserve">Il quadro assolutorio del processo perugino esige la sua integralità nominale, che la disciplina del registro impone di riportare per esteso: accanto a Giulio Andreotti e Gaetano Badalamenti, la cui assoluzione definitiva la sintesi certifica, furono giudicati per il medesimo omicidio, quali concorrenti a vario titolo, il magistrato Claudio Vitalone, Giuseppe Calò, Massimo Carminati e Michelangelo La Barbera, e tutti furono assolti, con pronunce divenute irrevocabili all'esito della sentenza della Corte d'Assise d'appello di Perugia del 17 novembre 2002 e della decisione della Corte di cassazione del 30 ottobre 2003, Livello A, sicché per l'omicidio di Carmine Pecorelli non esiste, ad oggi, alcun condannato. Il registro sottolinea la composizione dell'elenco degli assolti, perché essa è, in sé, la radiografia dell'ipotesi accusatoria caduta: un presidente del Consiglio, un capomafia di rango, un magistrato romano, il cassiere di Cosa Nostra, un esponente della manovalanza armata nera ed un uomo d'onore palermitano, vale a dire una sezione trasversale esatta dei domini che questa opera censisce, riuniti in un solo capo di imputazione e congedati da una sola formula liberatoria. L'ipotesi processata, quale che ne fosse il fondamento, aveva la forma stessa del grafo che il registro studia: e la sua caduta integrale consegna al metodo la lezione già enunciata nella Fase 1, che la topologia di un'accusa non ne costituisce la prova, per quanto perfettamente essa combaci con la topologia del sistema.</w:t>
      </w:r>
    </w:p>
    <w:p>
      <w:pPr>
        <w:spacing w:after="120" w:line="276"/>
        <w:jc w:val="both"/>
      </w:pPr>
      <w:r>
        <w:rPr>
          <w:rFonts w:ascii="Barlow Semi Condensed" w:cs="Barlow Semi Condensed" w:eastAsia="Barlow Semi Condensed" w:hAnsi="Barlow Semi Condensed"/>
          <w:sz w:val="24"/>
          <w:szCs w:val="24"/>
        </w:rPr>
        <w:t xml:space="preserve">Alla figura del giornalista va aggiunto il dato editoriale che la cronologia rende eloquente: Osservatore Politico, per un decennio agenzia di notizie riservate a diffusione ristretta, si trasformò in settimanale da edicola nel marzo 1978, sicché la sua stagione pubblica coincise, quasi al giorno, con il sequestro Moro, ed i mesi tra il marzo 1978 ed il marzo 1979, dall'agguato di via Fani all'agguato di via Orazio, delimitano l'esatta finestra in cui le anticipazioni del direttore sul caso uscirono dal circuito riservato dei pochi abbonati eccellenti per raggiungere il pubblico, Livello A quanto alla trasformazione editoriale ed alla sua cronologia. Il registro consegna la coincidenza alla sua doppia lettura, entrambe compatibili con i fatti certificati: la scelta imprenditoriale di capitalizzare in pubblico un patrimonio informativo maturato in privato, e l'innalzamento del profilo di rischio che quella scelta comportava, giacché la notizia riservata venduta ai pochi è merce di scambio e la medesima notizia stampata per tutti è merce bruciata, che vale una sola volta e costa, potenzialmente, molto di più. Tra le 2 economie dell'informazione, quella del ricatto implicito e quella della rivelazione, il direttore di OP attraversò il confine nel marzo 1978: ed un anno dopo, in quella stessa Roma, il confine attraversò lui.</w:t>
      </w:r>
    </w:p>
    <w:p>
      <w:pPr>
        <w:spacing w:after="120" w:line="276"/>
        <w:jc w:val="both"/>
      </w:pPr>
      <w:r>
        <w:rPr>
          <w:rFonts w:ascii="Barlow Semi Condensed" w:cs="Barlow Semi Condensed" w:eastAsia="Barlow Semi Condensed" w:hAnsi="Barlow Semi Condensed"/>
          <w:sz w:val="24"/>
          <w:szCs w:val="24"/>
        </w:rPr>
        <w:t xml:space="preserve">Al fascicolo dei rapporti tra il giornalista e gli apparati appartiene il reperto documentale maggiore, che il registro censisce per nome: il dossier del servizio militare noto con la sigla Mi.Fo.Biali, il fascicolo informativo sulle trame petrolifere, sui vertici della Guardia di Finanza e sui canali libici maturato a metà degli anni Settanta, i cui contenuti transitarono in misura documentata sulle colonne del settimanale di Pecorelli, che ne pubblicò materiali ed anticipazioni, secondo quanto le commissioni parlamentari hanno accertato ricostruendo il flusso dal fascicolo alla testata, Livello A quanto all'esistenza del dossier, ai suoi contenuti ed al transito documentato verso la pubblicazione. Il registro salda il reperto ai suoi 2 capi: a monte, il fascicolo documenta la materia censita nella fase seconda, il vertice delle Fiamme gialle iscritto alla loggia e travolto dalla vicenda dei petroli, confermando che gli apparati sapevano e schedavano in tempo reale ciò che la giustizia avrebbe accertato anni dopo; a valle, il transito verso la testata documenta il meccanismo che il capitolo ha descritto in tesi, il giornalismo di Pecorelli quale terminale selettivo di archivi riservati, e la circostanza che proprio questo dossier, con la sua materia esplosiva di petroli, divise e Libia, figuri tra le carte accertate del flusso, consegna al capitolo la sua conclusione documentale: il settimanale non pubblicava notizie, pubblicava atti, e la domanda che attraversa l'intero caso, chi scegliesse quali atti e quando, è rimasta, con l'assoluzione definitiva di ogni imputato per l'omicidio, la domanda senza risposta che il registro archivia quale irrisolto di seconda specie, quello in cui si conosce l'arma, il flusso ed il movente possibile, e manca soltanto, per sempre, la mano.</w:t>
      </w:r>
    </w:p>
    <w:p>
      <w:pPr>
        <w:spacing w:after="120" w:line="276"/>
        <w:jc w:val="both"/>
      </w:pPr>
      <w:r>
        <w:rPr>
          <w:rFonts w:ascii="Barlow Semi Condensed" w:cs="Barlow Semi Condensed" w:eastAsia="Barlow Semi Condensed" w:hAnsi="Barlow Semi Condensed"/>
          <w:sz w:val="24"/>
          <w:szCs w:val="24"/>
        </w:rPr>
        <w:t xml:space="preserve">La posizione del giornalista dentro il sistema che raccontava esige il suo censimento documentale: il nome di Pecorelli figura negli elenchi della loggia coperta sequestrati a Castiglion Fibocchi ed acquisiti dalla Commissione Anselmi, collocando il direttore del settimanale, con la disciplina costante dell'opera sul valore della mera iscrizione, dentro il perimetro associativo della struttura di intermediazione massima censita dal corpus, Livello A quanto alla risultanza dagli elenchi acquisiti. Il registro consegna il dato alla sua funzione interpretativa, che è doppia e non gerarchizzabile: l'appartenenza illumina l'accesso, spiegando per quale via un periodico marginale nelle tirature disponesse del flusso di atti riservati che il capitolo ha documentato, ed illumina simultaneamente la rottura, perché la stagione finale della testata, con le sue campagne contro ambienti del medesimo perimetro, configura il caso di un nodo interno al sistema che aveva cominciato a pubblicare contro il sistema, e l'omicidio del marzo 1979, rimasto senza colpevoli nei modi che il capitolo ha riportato per esteso, cade esattamente dentro questa torsione, con la conseguenza analitica che il registro affida al Pattern 5: nella rete dell'opera, Pecorelli occupava la posizione più pericolosa che il grafo conosca, quella del nodo che appartiene ad un cluster e informa contro di esso, ed il corpus non registra, in nessuna fase, un solo occupante di quella posizione morto nel proprio letto.</w:t>
      </w:r>
    </w:p>
    <w:p>
      <w:pPr>
        <w:spacing w:after="120" w:line="276"/>
        <w:jc w:val="both"/>
      </w:pPr>
      <w:r>
        <w:rPr>
          <w:rFonts w:ascii="Barlow Semi Condensed" w:cs="Barlow Semi Condensed" w:eastAsia="Barlow Semi Condensed" w:hAnsi="Barlow Semi Condensed"/>
          <w:sz w:val="24"/>
          <w:szCs w:val="24"/>
        </w:rPr>
        <w:t xml:space="preserve">Il caso ha prodotto infine il proprio monumento cartaceo, che il registro censisce quale fenomeno a sé: la bibliografia sul sequestro, accresciutasi senza interruzione per 5 decenni tra memorialistica dei protagonisti, inchieste giornalistiche, storiografia accademica, atti pubblicati e letteratura civile, ha fatto della vicenda l'evento singolo più scritto della storia repubblicana, un giacimento editoriale nel quale coesistono, senza gerarchia visibile per il lettore comune, il documento e la congettura, il giudicato e la fantasia, Livello A quanto alla consistenza del fenomeno. Il registro consegna il monumento alla sua ambivalenza: la sovrapproduzione ha garantito al caso la permanenza nella coscienza nazionale che altre vicende del corpus non ebbero, ed insieme ha generato il problema epistemologico che questa fase ha dovuto risolvere in premessa, l'indistinzione tra i livelli di prova nella memoria collettiva, sicché il lettore italiano medio sa del caso Moro più cose false che vere pur vivendo nel Paese che ne ha accertato più verità che su ogni altro proprio trauma, e l'opera, che di quel giacimento è insieme figlia e correzione, ha assunto per questo la disciplina che la distingue, la marcatura di ogni enunciato con il suo grado, perché il problema del caso Moro, a mezzo secolo dai fatti, non è più sapere, è distinguere ciò che si sa.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Pecorelli è certificato al Livello A quale direttore di OP assassinato il 20 marzo 1979 e quale autore di pubblicazioni e anticipazioni sul caso Moro fondate, al Livello B, su accesso reale a materiali riservati; l'assoluzione definitiva di Andreotti e Badalamenti, pronunciata dalla Cassazione il 30 ottobre 2003 con annullamento senza rinvio della condanna d'appello, è riportata per esteso, e l'omicidio resta privo di qualsiasi condannato, con l'ipotesi del movente moroteo ferma al Livello C nella qualificazione aggravata; gli archi documentati verso l'orbita della Magliana, nella duplice intersezione di Chichiarelli, e verso il memoriale sono certificati al Livello B e consegnano il nodo alla lettura reticolare quale cerniera tra il Dominio 8, il quadrilatero romano e il caso.</w:t>
      </w:r>
    </w:p>
    <w:p>
      <w:pPr>
        <w:pStyle w:val="Heading3"/>
        <w:spacing w:after="80" w:before="160"/>
      </w:pPr>
      <w:r>
        <w:rPr>
          <w:rFonts w:ascii="Barlow Semi Condensed" w:cs="Barlow Semi Condensed" w:eastAsia="Barlow Semi Condensed" w:hAnsi="Barlow Semi Condensed"/>
          <w:sz w:val="24"/>
          <w:szCs w:val="24"/>
        </w:rPr>
        <w:t xml:space="preserve">Capitolo 9 — ▶ Carlo Alberto Dalla Chiesa. Il generale dei 2 fronti e i 100 giorni di Palermo</w:t>
      </w:r>
    </w:p>
    <w:p>
      <w:pPr>
        <w:spacing w:after="120" w:line="276"/>
        <w:jc w:val="both"/>
      </w:pPr>
      <w:r>
        <w:rPr>
          <w:rFonts w:ascii="Barlow Semi Condensed" w:cs="Barlow Semi Condensed" w:eastAsia="Barlow Semi Condensed" w:hAnsi="Barlow Semi Condensed"/>
          <w:sz w:val="24"/>
          <w:szCs w:val="24"/>
        </w:rPr>
        <w:t xml:space="preserve">Carlo Alberto Dalla Chiesa, generale dell'Arma dei carabinieri, protagonista della sconfitta militare del terrorismo brigatista e successivamente prefetto di Palermo, assassinato con la moglie e l'agente di scorta il 3 settembre 1982, è il nodo-persona che salda la fase al versante antimafia dell'opera e che il registro tratta nei suoi 2 fronti, con la cerniera documentale che li unisce: il memoriale Moro. La scansione del corpus registra Dalla Chiesa 308 volte in 26 documenti.</w:t>
      </w:r>
    </w:p>
    <w:p>
      <w:pPr>
        <w:spacing w:after="120" w:line="276"/>
        <w:jc w:val="both"/>
      </w:pPr>
      <w:r>
        <w:rPr>
          <w:rFonts w:ascii="Barlow Semi Condensed" w:cs="Barlow Semi Condensed" w:eastAsia="Barlow Semi Condensed" w:hAnsi="Barlow Semi Condensed"/>
          <w:sz w:val="24"/>
          <w:szCs w:val="24"/>
        </w:rPr>
        <w:t xml:space="preserve">Il primo pilastro è il fronte antiterrorismo, certificato al Livello A. Nell'estate del 1978, all'indomani della conclusione del sequestro, Dalla Chiesa fu posto a capo, con decreto interministeriale e poteri speciali di coordinamento, della struttura antiterrorismo incaricata della lotta alle organizzazioni armate: sotto la sua direzione, i reparti speciali conseguirono in pochi anni i risultati che la stagione precedente non aveva raggiunto, a cominciare dall'irruzione del 1 ottobre 1978 nel covo di via Monte Nevoso, con la cattura di dirigenti dell'organizzazione e il sequestro del primo compendio del memoriale, sino alla progressiva disarticolazione delle colonne, alimentata dalla legislazione premiale sulla dissociazione che il generale sostenne. Il registro certifica al Livello A la titolarità, i poteri e i risultati della stagione antiterrorismo, e certifica al medesimo livello la posizione del generale nella catena di custodia del primo ritrovamento del memoriale, quale fatto che lo colloca al centro della vicenda documentale censita nel capitolo 5: le questioni sulla gestione di quel materiale, ivi compresa quella della completezza della trasmissione, sono state sollevate nelle sedi parlamentari anche con riferimento alla catena del 1978, e il registro le mantiene, per la parte non risolta, al Livello C, entro il perimetro già tracciato.</w:t>
      </w:r>
    </w:p>
    <w:p>
      <w:pPr>
        <w:spacing w:after="120" w:line="276"/>
        <w:jc w:val="both"/>
      </w:pPr>
      <w:r>
        <w:rPr>
          <w:rFonts w:ascii="Barlow Semi Condensed" w:cs="Barlow Semi Condensed" w:eastAsia="Barlow Semi Condensed" w:hAnsi="Barlow Semi Condensed"/>
          <w:sz w:val="24"/>
          <w:szCs w:val="24"/>
        </w:rPr>
        <w:t xml:space="preserve">Il secondo pilastro è il fronte antimafia e l'assassinio, certificato al Livello A nei giudicati. Nell'aprile 1982, nel pieno dell'offensiva corleonese, Dalla Chiesa fu nominato prefetto di Palermo, con un mandato di contrasto alla mafia che egli stesso, in interventi pubblici e in un colloquio giornalistico divenuto celebre, dichiarò di volere esteso ai rapporti tra l'organizzazione e il sistema politico-affaristico, lamentando al contempo di non aver ricevuto i poteri speciali richiesti; il suo insediamento avvenne il 30 aprile 1982, il giorno dell'assassinio di Pio La Torre, e la sua azione durò 100 giorni. La sera del 3 settembre 1982, in via Isidoro Carini, un commando di fuoco affiancò l'utilitaria sulla quale il prefetto viaggiava con la moglie Emanuela Setti Carraro e l'auto dell'agente di scorta Domenico Russo, uccidendo i primi 2 sul colpo e ferendo mortalmente il terzo, spirato giorni dopo: il registro trascrive i 3 nomi quale atto dovuto. I procedimenti si conclusero con le condanne irrevocabili dei componenti della commissione provinciale di Cosa Nostra quali mandanti, tra i quali ancora Salvatore Riina e Giuseppe Calò, e di esecutori individuati dell'ala militare corleonese: il registro certifica al Livello A il mandato mafioso e le condanne, e annota il richiamo interno divenuto sistematico: il nodo Calò, certificato nella Fase 1 quale cassiere e condannato per la strage del rapido 904, compare ora per la terza volta tra i mandanti giudicati degli eventi capitali, dopo l'omicidio Mattarella, componendo nella sua sola posizione giudiziaria l'arco che unisce il quadrilatero romano, la stagione degli omicidi politici siciliani e la strage ferroviaria del 1984.</w:t>
      </w:r>
    </w:p>
    <w:p>
      <w:pPr>
        <w:spacing w:after="120" w:line="276"/>
        <w:jc w:val="both"/>
      </w:pPr>
      <w:r>
        <w:rPr>
          <w:rFonts w:ascii="Barlow Semi Condensed" w:cs="Barlow Semi Condensed" w:eastAsia="Barlow Semi Condensed" w:hAnsi="Barlow Semi Condensed"/>
          <w:sz w:val="24"/>
          <w:szCs w:val="24"/>
        </w:rPr>
        <w:t xml:space="preserve">Il terzo pilastro è il campo delle questioni aperte attorno all'assassinio, che il registro censisce con la graduazione dovuta. La prima questione è quella del movente composito: le sentenze fondarono il mandato sulla minaccia che l'azione del prefetto rappresentava per l'organizzazione, e le sedi parlamentari e storiografiche hanno documentato la lettura, alimentata dalle dichiarazioni pubbliche dello stesso generale sull'isolamento in cui operava, per cui l'eliminazione fu resa possibile o accelerata dall'assenza di protezione politica; il registro certifica al Livello A le denunce di isolamento del prefetto, quali fatti documentali, e mantiene al Livello C ogni ricostruzione di concorsi o inerzie deliberate esterni all'organizzazione mandante, che nessun giudicato ha accertato. La seconda questione è quella dei documenti: la cassaforte della prefettura e le carte personali del generale furono oggetto, nelle ricostruzioni dei familiari e nelle sedi d'inchiesta, di rilievi circa sottrazioni o incompletezze nei materiali rinvenuti dopo l'assassinio, con particolare riferimento a carte attinenti alla stagione antiterrorismo e al memoriale; il registro certifica al Livello B l'esistenza storica della controversia sui materiali, quale dato documentato dalle fonti parlamentari e testimoniali, e mantiene al Livello C ogni ricostruzione del contenuto di eventuali carte mancanti, dichiarando che questo è il terzo buco documentale della fase, dopo gli originali del memoriale e gli archivi di Hyperion, e che la ricorrenza della figura, l'archivio del protagonista che non giunge integro all'accertamento, è essa stessa un pattern che il registro consegna alla lettura conclusiva.</w:t>
      </w:r>
    </w:p>
    <w:p>
      <w:pPr>
        <w:spacing w:after="120" w:line="276"/>
        <w:jc w:val="both"/>
      </w:pPr>
      <w:r>
        <w:rPr>
          <w:rFonts w:ascii="Barlow Semi Condensed" w:cs="Barlow Semi Condensed" w:eastAsia="Barlow Semi Condensed" w:hAnsi="Barlow Semi Condensed"/>
          <w:sz w:val="24"/>
          <w:szCs w:val="24"/>
        </w:rPr>
        <w:t xml:space="preserve">Il quarto pilastro è il contenuto dei 100 giorni palermitani, che il registro espone quale documentazione del movente giudicato. L'azione del prefetto si sviluppò su 3 direttrici documentate: la ricognizione diretta del territorio e delle sue ferite, con la presenza fisica nei luoghi del dominio mafioso che la memorialistica della stagione ha consegnato; l'impostazione di un contrasto patrimoniale e amministrativo, con l'attenzione dichiarata agli appalti, ai flussi finanziari e alle connessioni tra l'organizzazione e l'economia legale, in continuità con l'intuizione che la stagione successiva avrebbe trasformato in metodo; e la richiesta insistita di poteri di coordinamento nazionali antimafia, formalizzata al governo e rimasta inevasa sino alla vigilia dell'assassinio. A questa azione appartiene il documento pubblico più citato della stagione, l'intervista concessa a Giorgio Bocca e pubblicata il 10 agosto 1982, nella quale il prefetto formulò la diagnosi divenuta canonica, per cui si è uccisi in genere perché si è soli, isolati dal potere che dovrebbe sostenere chi combatte, e denunciò apertamente la sproporzione tra il mandato ricevuto e gli strumenti concessi. Il registro certifica al Livello A le 3 direttrici, la richiesta inevasa dei poteri e l'intervista, quali fatti documentali; e ne dichiara la funzione probatoria: i 100 giorni documentano, dalla viva voce e dagli atti del protagonista, tanto la natura della minaccia che egli rappresentava per l'organizzazione, il fondamento del movente che i giudicati avrebbero accertato, quanto la condizione di isolamento in cui la rappresentava, il fondamento documentale delle questioni che il pilastro successivo censisce; e la compresenza delle 2 dimensioni nello stesso corpus documentale è la ragione per cui il nodo esige, più di ogni altro della fase, la separazione dei piani che il registro pratica.</w:t>
      </w:r>
    </w:p>
    <w:p>
      <w:pPr>
        <w:spacing w:after="120" w:line="276"/>
        <w:jc w:val="both"/>
      </w:pPr>
      <w:r>
        <w:rPr>
          <w:rFonts w:ascii="Barlow Semi Condensed" w:cs="Barlow Semi Condensed" w:eastAsia="Barlow Semi Condensed" w:hAnsi="Barlow Semi Condensed"/>
          <w:sz w:val="24"/>
          <w:szCs w:val="24"/>
        </w:rPr>
        <w:t xml:space="preserve">Il quinto pilastro è il contesto della nomina, che il registro fissa per la comprensione dei 100 giorni. La designazione di Dalla Chiesa alla prefettura di Palermo maturò nell'aprile 1982 quale risposta dello Stato all'escalation della seconda guerra di mafia, l'offensiva con cui lo schieramento corleonese stava eliminando, con centinaia di morti, le famiglie avverse e chiunque ostacolasse la conquista dell'organizzazione; il generale pose condizioni sui poteri, ottenne assicurazioni verbali e non il decreto richiesto, e il suo insediamento avvenne il 30 aprile 1982, il giorno stesso dell'assassinio di Pio La Torre, sicché il prefetto entrò in carica accompagnando il feretro dell'uomo politico che aveva chiesto la sua nomina e che aveva depositato la proposta di legge sul reato associativo e sui patrimoni. Il registro certifica al Livello A la sequenza della nomina, delle condizioni poste e della coincidenza dell'insediamento, quali fatti documentali, e annota la saldatura legislativa che ne seguì: la legge sull'associazione di tipo mafioso e sulle misure patrimoniali, approvata nel settembre 1982 sull'onda dell'assassinio del prefetto e intitolata ai 2 nomi di Rognoni e La Torre, è l'atto con cui lo Stato trasse dalla stagione dei suoi caduti lo strumento che le fasi precedenti dell'opera hanno visto operare, dal Maxiprocesso alle confische; il registro certifica al Livello A la filiazione temporale e politica della legge dalla sequenza degli assassinii, quale dato storico, e la consegna al quadro dell'opera quale esempio massimo della dinamica per cui, nel campo studiato, gli strumenti dell'accertamento e del contrasto sono nati, quasi sempre, dal sangue e non dalla previsione.</w:t>
      </w:r>
    </w:p>
    <w:p>
      <w:pPr>
        <w:spacing w:after="120" w:line="276"/>
        <w:jc w:val="both"/>
      </w:pPr>
      <w:r>
        <w:rPr>
          <w:rFonts w:ascii="Barlow Semi Condensed" w:cs="Barlow Semi Condensed" w:eastAsia="Barlow Semi Condensed" w:hAnsi="Barlow Semi Condensed"/>
          <w:sz w:val="24"/>
          <w:szCs w:val="24"/>
        </w:rPr>
        <w:t xml:space="preserve">Il sesto pilastro distende la biografia anteriore, che fonda la singolarità del nodo. Nato a Saluzzo nel 1920, figlio di un alto ufficiale dell'Arma, partecipò alla Resistenza e percorse la carriera nei reparti territoriali sino al primo incontro con la Sicilia: capitano a Corleone alla fine degli anni Quaranta, condusse le indagini sulla scomparsa del sindacalista Placido Rizzotto, rapito e ucciso nel marzo 1948, giungendo all'individuazione dei resti nella foiba di Rocca Busambra e all'incriminazione di Luciano Liggio e dei suoi uomini, poi assolti per insufficienza di prove: il registro certifica al Livello A l'inchiesta e il suo esito, nomina la vittima, e annota che la prima esperienza siciliana del futuro prefetto si chiuse con la lezione che avrebbe accompagnato l'intera storia dell'antimafia, l'evaporazione dibattimentale delle prove raccolte, la distanza tra il sapere investigativo e il provare processuale che l'opera ha censito in ogni fase. Tornato in Sicilia da colonnello alla fine degli anni Sessanta, al comando della legione di Palermo negli anni della prima guerra di mafia e della Commissione antimafia, produsse i rapporti sulle cosche e sui loro collegamenti che alimentarono i procedimenti dell'epoca; trasferito al nord, comandò la brigata di Torino negli anni dell'emergenza terroristica nascente, e nel 1974 costituì il primo nucleo speciale antiterrorismo, l'unità che, con l'infiltrazione di Girotto, catturò Curcio e Franceschini: il registro salda qui il filo già annotato nel capitolo dell'organizzazione, certificando al Livello A che il duello tra il generale e le Brigate Rosse cominciò 4 anni prima del caso Moro, con una vittoria del primo, e che la sua chiamata del 1978 fu la riattivazione di una competenza già dimostrata.</w:t>
      </w:r>
    </w:p>
    <w:p>
      <w:pPr>
        <w:spacing w:after="120" w:line="276"/>
        <w:jc w:val="both"/>
      </w:pPr>
      <w:r>
        <w:rPr>
          <w:rFonts w:ascii="Barlow Semi Condensed" w:cs="Barlow Semi Condensed" w:eastAsia="Barlow Semi Condensed" w:hAnsi="Barlow Semi Condensed"/>
          <w:sz w:val="24"/>
          <w:szCs w:val="24"/>
        </w:rPr>
        <w:t xml:space="preserve">Il settimo pilastro distende la stagione 1978-1981, il triennio della vittoria sul terrorismo. Investito nell'agosto 1978, con provvedimento interministeriale, del coordinamento delle forze antiterrorismo con poteri speciali e riservatezza operativa, il generale costruì una struttura selezionata di ufficiali e sottufficiali sottratta alle gerarchie ordinarie, e i risultati seguirono in sequenza: l'irruzione del 1 ottobre 1978 in via Monte Nevoso, con la cattura di dirigenti della colonna milanese tra cui Lauro Azzolini e Franco Bonisoli, uomini del vertice dell'organizzazione, e il sequestro del primo compendio del memoriale; la progressione delle catture del 1979; e la svolta del 1980, la collaborazione di Patrizio Peci, capo della colonna torinese arrestato in febbraio, primo dirigente dell'organizzazione a rompere il vincolo, le cui dichiarazioni, gestite dalla struttura del generale, disarticolarono le colonne e condussero, tra l'altro, all'irruzione genovese di via Fracchia del 28 marzo 1980, nella quale 4 militanti della colonna ligure caddero nel blitz. Alla collaborazione di Peci l'organizzazione rispose con la rappresaglia che il registro trascrive quale atto dovuto: il sequestro e l'assassinio, nell'estate 1981, del fratello Roberto Peci, ucciso il 3 agosto dopo 54 giorni di prigionia e un processo proletario filmato, il contrappasso atroce della durata quasi identica a quella del sequestro Moro; il registro certifica al Livello A la sequenza, nomina la vittima, e annota che la stagione consegnò al Paese la sconfitta militare del terrorismo brigatista e al generale la reputazione che ne fece, nel 1982, l'uomo della nuova emergenza. La legislazione premiale sulla dissociazione e sulla collaborazione, che il generale sostenne pubblicamente e che i governi vararono tra il 1979 e il 1982, è certificata al Livello A quale cornice normativa della vittoria, e il registro ne annota la filiazione: lo strumento che avrebbe aperto, pochi anni dopo, la stagione dei collaboratori di mafia nacque sul terreno del terrorismo, e il suo primo grande gestore fu l'uomo che Palermo avrebbe ricevuto quale prefetto.</w:t>
      </w:r>
    </w:p>
    <w:p>
      <w:pPr>
        <w:spacing w:after="120" w:line="276"/>
        <w:jc w:val="both"/>
      </w:pPr>
      <w:r>
        <w:rPr>
          <w:rFonts w:ascii="Barlow Semi Condensed" w:cs="Barlow Semi Condensed" w:eastAsia="Barlow Semi Condensed" w:hAnsi="Barlow Semi Condensed"/>
          <w:sz w:val="24"/>
          <w:szCs w:val="24"/>
        </w:rPr>
        <w:t xml:space="preserve">L'ottavo pilastro censisce le carte del generale, il versante documentale del nodo. La famiglia consegnò alle autorità, dopo l'assassinio, i diari e le agende del prefetto, e da quel compendio emerse il documento più citato della stagione, l'annotazione del 5 aprile 1982 sull'incontro romano con Giulio Andreotti alla vigilia della partenza per Palermo: in essa il generale registra di avere rappresentato al presidente della corrente che non avrebbe avuto riguardi per la componente andreottiana siciliana del partito, fissando per iscritto, dalla propria mano, la percezione del terreno politico che lo attendeva; l'annotazione fu prodotta e discussa nei giudizi degli anni Novanta sul rapporto tra il senatore e Cosa Nostra, ed è agli atti. Il registro certifica al Livello A l'esistenza, la data, la produzione processuale e il tenore dell'annotazione, quale documento autografo acquisito, e mantiene al livello proprio di ciascuna lettura ogni inferenza ulteriore; al medesimo versante appartiene la questione della borsa: gli atti e le testimonianze documentano che la borsa portadocumenti che il generale recava con sé non risulta tra i reperti inventariati della scena di via Carini, e la sua sorte non è mai stata accertata; il registro certifica al Livello B la mancata inventariazione, quale convergenza delle risultanze delle inchieste, e la iscrive nel novero dei vuoti documentali della fase, accanto alle carte dell'archivio personale la cui integrità è questione censita, annotando che il pattern della sottrazione documentale contestuale all'eliminazione, aperto dalle borse di via Fani, si richiude, a distanza di 4 anni e su un altro fronte, sull'ultimo protagonista della fase.</w:t>
      </w:r>
    </w:p>
    <w:p>
      <w:pPr>
        <w:spacing w:after="120" w:line="276"/>
        <w:jc w:val="both"/>
      </w:pPr>
      <w:r>
        <w:rPr>
          <w:rFonts w:ascii="Barlow Semi Condensed" w:cs="Barlow Semi Condensed" w:eastAsia="Barlow Semi Condensed" w:hAnsi="Barlow Semi Condensed"/>
          <w:sz w:val="24"/>
          <w:szCs w:val="24"/>
        </w:rPr>
        <w:t xml:space="preserve">Il nono pilastro distende l'accertamento giudiziario dell'omicidio, quale la disciplina degli esiti impone. Le indagini rimasero senza svolta sino alla stagione delle collaborazioni: a metà degli anni Novanta le confessioni di componenti del gruppo di fuoco corleonese, tra cui Calogero Ganci e Francesco Paolo Anzelmo, consentirono la ricostruzione integrale dell'agguato di via Carini, l'identificazione degli esecutori, tra i quali fu condannato in via definitiva Antonino Madonia, e la conferma del quadro dei mandanti nella commissione di Cosa Nostra, i cui componenti riportarono gli ergastoli già censiti; le sentenze, divenute irrevocabili tra la fine degli anni Novanta e i primi anni Duemila, fissarono il movente nella minaccia rappresentata dall'azione del prefetto e dalla prospettiva dei poteri di coordinamento richiesti. Il registro certifica al Livello A la ricostruzione, gli esecutori e i mandanti giudicati, quale esito consolidato del piano primo del nodo, e ribadisce la decomposizione già dichiarata: il piano primo è saturo, con la peculiarità che la saturazione giunse, come per il caso Moro, per via confessoria interna e a distanza di 14 anni; il piano secondo, la solitudine istituzionale documentata e le anomalie del dopo, resta censito nei fatti certificati del quarto pilastro; e il piano terzo, l'ipotesi di convergenze di interessi esterni all'organizzazione nella rimozione del prefetto, resta al Livello C, esplorato dalle inchieste sui cosiddetti mandanti occulti e chiuso con archiviazioni che il registro trascrive quale esito, annotando che la struttura a 3 piani della fase si replica dunque, con esattezza speculare, sul suo ultimo nodo.</w:t>
      </w:r>
    </w:p>
    <w:p>
      <w:pPr>
        <w:spacing w:after="120" w:line="276"/>
        <w:jc w:val="both"/>
      </w:pPr>
      <w:r>
        <w:rPr>
          <w:rFonts w:ascii="Barlow Semi Condensed" w:cs="Barlow Semi Condensed" w:eastAsia="Barlow Semi Condensed" w:hAnsi="Barlow Semi Condensed"/>
          <w:sz w:val="24"/>
          <w:szCs w:val="24"/>
        </w:rPr>
        <w:t xml:space="preserve">Il decimo pilastro censisce la memoria e la funzione fondativa del nodo. L'assassinio del 3 settembre 1982 produsse, nella sequenza certificata, la legge Rognoni-La Torre entro il mese, la costituzione del sistema dei poteri antimafia prefettizi e investigativi degli anni successivi, e la consegna alla stagione del pool palermitano, che la Fase 1 ha censito, del metodo e degli uomini: il registro certifica al Livello A la filiazione istituzionale, quale dato normativo e storico, e chiude il nodo con la formalizzazione comparativa che la fase gli deve: Carlo Alberto Dalla Chiesa è, nell'intero grafo dell'opera, il nodo individuale che congiunge il maggior numero di teatri con funzione sempre avversa alle reti studiate, Corleone nel 1948, l'antimafia dei rapporti negli anni Sessanta, la vittoria sul terrorismo tra il 1974 e il 1981, la custodia del memoriale nel 1978, Palermo nel 1982, e la sua eliminazione, giudizialmente attribuita al solo Dominio 1, chiude la fase con il dato che il bilancio conclusivo recepirà: l'uomo che aveva sconfitto il terrorismo con gli strumenti dello Stato fu ucciso dalla mafia nella solitudine documentata dello Stato medesimo, e la distanza tra le 2 metà di questa frase, entrambe certificate, è l'esatta misura del campo che l'opera studia.</w:t>
      </w:r>
    </w:p>
    <w:p>
      <w:pPr>
        <w:spacing w:after="120" w:line="276"/>
        <w:jc w:val="both"/>
      </w:pPr>
      <w:r>
        <w:rPr>
          <w:rFonts w:ascii="Barlow Semi Condensed" w:cs="Barlow Semi Condensed" w:eastAsia="Barlow Semi Condensed" w:hAnsi="Barlow Semi Condensed"/>
          <w:sz w:val="24"/>
          <w:szCs w:val="24"/>
        </w:rPr>
        <w:t xml:space="preserve">L'undicesimo pilastro censisce il contesto criminale nel quale la nomina si iscrisse, la seconda guerra di mafia, e nomina le vittime eccellenti che ne scandirono la stagione. L'offensiva corleonese guidata da Totò Riina, avviata all'inizio degli anni Ottanta, produsse nel triennio 1981-1983 centinaia di morti nella sola provincia di Palermo e una sequenza di delitti eccellenti che il registro censisce quali termini del contesto: l'omicidio del presidente della Regione siciliana Piersanti Mattarella il 6 gennaio 1980, che la Fase 1 ha censito; l'omicidio del capo della squadra mobile Boris Giuliano nel 1979; l'omicidio del procuratore Gaetano Costa nel 1980; l'omicidio del segretario regionale comunista e deputato Pio La Torre, con Rosario Di Salvo, il 30 aprile 1982, il giorno dell'insediamento del prefetto; e, a coronamento della stagione, l'assassinio del prefetto stesso, con Emanuela Setti Carraro e l'agente Domenico Russo, il 3 settembre 1982. Il registro certifica al Livello A la sequenza e le date, quali dati storici e giudiziari, nomina le vittime, e ne dichiara la funzione: la nomina di Dalla Chiesa e la sua eliminazione non furono eventi isolati ma i 2 estremi di una stagione di guerra nella quale l'organizzazione corleonese eliminò sistematicamente i vertici dello Stato, della politica e della magistratura che ne ostacolavano la conquista del potere assoluto interno, e il prefetto fu, in questa lettura certificata dai giudicati, il bersaglio di massimo profilo di una strategia di supremazia che il Maxiprocesso, nato dal metodo che la sua morte contribuì a fondare, avrebbe pochi anni dopo giudicato; il registro consegna la serie quale contesto certificato del nodo e quale saldatura documentale con la Fase 1, annotando che la seconda guerra di mafia è il teatro in cui il Dominio 1 raggiunse la massima autonomia strategica dell'intera storia repubblicana, uccidendo i rappresentanti degli altri domini non quale strumento di alcuno ma quale soggetto sovrano del proprio disegno, un dato che il bilancio conclusivo dell'opera dovrà pesare contro ogni lettura meramente strumentale della criminalità organizzata.</w:t>
      </w:r>
    </w:p>
    <w:p>
      <w:pPr>
        <w:spacing w:after="120" w:line="276"/>
        <w:jc w:val="both"/>
      </w:pPr>
      <w:r>
        <w:rPr>
          <w:rFonts w:ascii="Barlow Semi Condensed" w:cs="Barlow Semi Condensed" w:eastAsia="Barlow Semi Condensed" w:hAnsi="Barlow Semi Condensed"/>
          <w:sz w:val="24"/>
          <w:szCs w:val="24"/>
        </w:rPr>
        <w:t xml:space="preserve">Il dodicesimo pilastro censisce la dinamica dell'agguato di via Isidoro Carini, quale i giudicati la consegnano. La sera del 3 settembre 1982, intorno alle 21:15, la A112 con Emanuela Setti Carraro alla guida e il prefetto al suo fianco, diretta dalla prefettura verso l'abitazione, fu affiancata nella via da un commando su più veicoli, tra cui la motocicletta e le vetture che le ricostruzioni processuali hanno fissato, e investita dal fuoco di armi automatiche, tra le quali il fucile d'assalto kalashnikov che le perizie identificarono, un'arma da guerra la cui comparsa segnò il salto di potenza militare dell'organizzazione; il prefetto e la moglie furono uccisi sul colpo, mentre l'agente Domenico Russo, alla guida dell'auto di accompagnamento e raggiunto dal fuoco, morì dopo giorni di agonia; la sproporzione tra il dispositivo aggressore e la protezione della vittima, un prefetto antimafia che viaggiava di sera su un'utilitaria non protetta guidata dalla moglie, con una sola auto al seguito, fu rilevata da ogni sede di accertamento e appartiene alla serie delle denunce di isolamento che il quarto pilastro ha censito. Il registro certifica al Livello A la dinamica, l'orario, le armi e le vittime, quali risultanze dei giudicati, nomina ancora Emanuela Setti Carraro e Domenico Russo accanto a Carlo Alberto Dalla Chiesa, e ne trae l'annotazione comparativa che la fase gli deve: l'agguato di via Carini replica, a 4 anni e mezzo di distanza, la struttura di via Fani, l'annientamento in strada di un obiettivo di massimo valore protetto secondo procedure ordinarie, e la replica della configurazione, mutati il dominio esecutore e la città, certifica che la lezione della vulnerabilità non era stata appresa dall'ordinamento, un dato di sistema che il registro consegna, quale fatto comparativo tra i 2 vertici della fase, al bilancio conclusivo dell'opera.</w:t>
      </w:r>
    </w:p>
    <w:p>
      <w:pPr>
        <w:spacing w:after="120" w:line="276"/>
        <w:jc w:val="both"/>
      </w:pPr>
      <w:r>
        <w:rPr>
          <w:rFonts w:ascii="Barlow Semi Condensed" w:cs="Barlow Semi Condensed" w:eastAsia="Barlow Semi Condensed" w:hAnsi="Barlow Semi Condensed"/>
          <w:sz w:val="24"/>
          <w:szCs w:val="24"/>
        </w:rPr>
        <w:t xml:space="preserve">Il tredicesimo pilastro censisce l'ultimo lascito investigativo, il rapporto dei 162 e la filiazione del Maxiprocesso. Nel luglio 1982, nelle settimane della prefettura palermitana, le forze investigative della città consegnarono all'autorità giudiziaria il rapporto congiunto di denuncia contro 162 esponenti delle famiglie mafiose, la più vasta ricostruzione unitaria dell'organizzazione sino ad allora prodotta, elaborata con il metodo della lettura complessiva dei patrimoni, delle parentele e delle guerre interne che il generale aveva portato dall'antiterrorismo e che i suoi interlocutori investigativi palermitani condividevano; il rapporto, depositato nelle settimane a cavallo dell'assassinio, divenne una delle basi documentali dell'istruttoria che, unita alle collaborazioni della stagione successiva e al lavoro del pool censito nella Fase 1, avrebbe prodotto il Maxiprocesso; il registro certifica al Livello A l'esistenza, la data, la consistenza e la funzione istruttoria del rapporto, quali dati documentali, e ne trae la formalizzazione genealogica che chiude il nodo: la linea che va dal metodo antiterrorismo del generale al rapporto dei 162, dal rapporto all'istruttoria, dall'istruttoria al Maxiprocesso e dal Maxiprocesso alla sentenza definitiva del 1992 che consacrò il teorema dell'unitarietà di Cosa Nostra è una filiazione documentale continua, ricostruibile atto per atto, e costituisce la dimostrazione storica che la fase consegna al bilancio dell'opera: l'uomo fu eliminato, il metodo no, e la distanza temporale tra l'assassinio del 3 settembre 1982 e la vittoria giudiziaria del gennaio 1992 misura esattamente il decennio che il sistema criminale guadagnò con l'eliminazione e che lo Stato impiegò a percorrere la strada che il generale aveva indicato; il registro trascrive la filiazione quale fatto certificato e la consegna, quale ultimo arco del nodo, alla lettura reticolare conclusiva.</w:t>
      </w:r>
    </w:p>
    <w:p>
      <w:pPr>
        <w:spacing w:after="120" w:line="276"/>
        <w:jc w:val="both"/>
      </w:pPr>
      <w:r>
        <w:rPr>
          <w:rFonts w:ascii="Barlow Semi Condensed" w:cs="Barlow Semi Condensed" w:eastAsia="Barlow Semi Condensed" w:hAnsi="Barlow Semi Condensed"/>
          <w:sz w:val="24"/>
          <w:szCs w:val="24"/>
        </w:rPr>
        <w:t xml:space="preserve">Il quattordicesimo pilastro censisce la questione dei poteri, il nucleo documentale della solitudine istituzionale. La nomina prefettizia del 30 aprile 1982 fu accompagnata dall'impegno pubblico del governo al conferimento di poteri straordinari di coordinamento antimafia a proiezione nazionale, lo strumento che il generale aveva posto quale condizione dell'incarico e che la sua esperienza antiterrorismo gli indicava quale requisito minimo dell'efficacia; i poteri non furono mai formalmente conferiti nei 127 giorni della prefettura, e la questione della loro attesa attraversa la documentazione della stagione sino all'atto pubblico terminale, l'intervista concessa a Giorgio Bocca e pubblicata il 10 agosto 1982, nella quale il prefetto denunciò apertamente la condizione di isolamento in cui operava, la mancata attribuzione degli strumenti promessi e la solitudine dell'uomo dello Stato lasciato esposto, con la lucidità che la rilettura postuma avrebbe consacrato quale testamento civile; 24 giorni dopo l'intervista, il prefetto fu assassinato. Il registro certifica al Livello A l'impegno pubblico al conferimento, la mancata attribuzione formale e l'esistenza, la data e il tenore dell'intervista, quali dati documentali, e ne dichiara la funzione nel nodo: la sequenza nomina-attesa-denuncia-eliminazione è la struttura certificata del piano secondo del caso, e la circostanza che la vittima abbia essa stessa documentato pubblicamente, in vita, la propria condizione di esposizione costituisce un unicum nell'intera opera, il solo caso in cui il piano secondo è attestato non da ricostruzioni postume ma dalla voce datata del protagonista; il registro trascrive l'unicum con il rilievo che gli compete e mantiene, quale sempre, il divieto sul passaggio dalla condizione documentata di abbandono a qualsivoglia lettura di intenzionalità, che i giudicati non hanno accertato e che il piano terzo custodisce al livello proprio.</w:t>
      </w:r>
    </w:p>
    <w:p>
      <w:pPr>
        <w:spacing w:after="120" w:line="276"/>
        <w:jc w:val="both"/>
      </w:pPr>
      <w:r>
        <w:rPr>
          <w:rFonts w:ascii="Barlow Semi Condensed" w:cs="Barlow Semi Condensed" w:eastAsia="Barlow Semi Condensed" w:hAnsi="Barlow Semi Condensed"/>
          <w:sz w:val="24"/>
          <w:szCs w:val="24"/>
        </w:rPr>
        <w:t xml:space="preserve">Il quindicesimo pilastro adempie, per le 2 vittime accanto al generale, la disciplina della nominazione. Emanuela Setti Carraro, infermiera volontaria della Croce Rossa, aveva sposato Carlo Alberto Dalla Chiesa nel luglio 1982, poche settimane prima dell'agguato, e aveva scelto di seguirlo a Palermo condividendone la condizione di esposizione che la stagione documentava; la sera del 3 settembre era alla guida della A112 e fu uccisa con il marito, a meno di 2 mesi dal matrimonio. Domenico Russo, agente della Polizia di Stato, era alla guida dell'auto di accompagnamento e fu raggiunto dal fuoco del commando mentre seguiva la vettura del prefetto; morì dopo giorni di agonia, ultimo caduto della sequenza. Il registro certifica al Livello A i profili e le circostanze, quali dati degli atti, li nomina quale atto dovuto, e ne trae l'annotazione che la disciplina delle vittime della fase impone: la sproporzione tra la condizione delle 2 vittime, una sposa alla guida di un'utilitaria e un agente solo su un'auto di serie, e la natura dell'obiettivo che accompagnavano, il primo bersaglio della più potente organizzazione criminale del Paese, è essa stessa la certificazione materiale dell'isolamento che il quarto e il quattordicesimo pilastro hanno documentato per via testimoniale e documentale, giacché il dispositivo di protezione visibile nella via quella sera, 2 veicoli civili e 3 persone di cui una estranea agli apparati, è la fotografia definitiva della distanza tra il valore dell'obiettivo e la protezione accordata, la medesima configurazione certificata per via Fani, e il registro chiude la serie delle vittime della fase su questa simmetria documentata, i 2 vertici del corpus caduti entrambi entro dispositivi ordinari dinanzi ad avversari straordinari.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Dalla Chiesa-antiterrorismo-Monte Nevoso, è il triangolo del primo fronte, certificato al Livello A con le code di Livello C sulla gestione documentale. La seconda, Dalla Chiesa-prefettura di Palermo-commissione di Cosa Nostra, è il triangolo del secondo fronte, certificato al Livello A dai giudicati sul mandato e sugli esecutori. La terza, Dalla Chiesa-isolamento denunciato-carte controverse, è il triangolo delle questioni aperte, con i fatti al Livello A e al Livello B e le letture al Livello C. Sul piano dei pattern, il nodo attiva il Pattern 7 nella traiettoria del servitore dello Stato attraverso i 2 fronti della violenza organizzata, unico uomo dell'opera a occupare posizioni apicali contro il Dominio 7 e contro il Dominio 1 in successione; e il Pattern 1, giacché la sua eliminazione a 100 giorni dall'insediamento, dopo quella di Mattarella e prima della stagione dei magistrati, conferma la regolarità per cui il sistema colpisce i nodi che congiungono capacità operativa e volontà di rottura, la medesima regolarità che il caso Moro esprime sul piano politico.</w:t>
      </w:r>
    </w:p>
    <w:p>
      <w:pPr>
        <w:spacing w:after="120" w:line="276"/>
        <w:jc w:val="both"/>
      </w:pPr>
      <w:r>
        <w:rPr>
          <w:rFonts w:ascii="Barlow Semi Condensed" w:cs="Barlow Semi Condensed" w:eastAsia="Barlow Semi Condensed" w:hAnsi="Barlow Semi Condensed"/>
          <w:sz w:val="24"/>
          <w:szCs w:val="24"/>
        </w:rPr>
        <w:t xml:space="preserve">Alla stagione palermitana del generale appartiene il dossier dei poteri, che il registro fissa nella sua scansione documentale: nominato prefetto di Palermo all'indomani dell'assassinio di Pio La Torre, Dalla Chiesa pose quale condizione, nelle interlocuzioni con il governo che gli atti e la corrispondenza documentano, il conferimento di poteri di coordinamento sovraprovinciali sulla lotta alla mafia; l'investitura formale non giunse mai, ed i 100 giorni si consumarono nella forbice tra il mandato pubblicamente evocato e le attribuzioni ordinarie di un prefetto, forbice che il generale denunciò da vivo, Livello A quanto alla richiesta documentata ed al mancato conferimento. Il documento pubblico di quella denuncia è l'intervista concessa a Giorgio Bocca e pubblicata da la Repubblica il 10 agosto 1982, 24 giorni prima dell'agguato, nella quale Dalla Chiesa consegnò la diagnosi che sarebbe divenuta proverbiale, la solitudine dell'uomo dello Stato cui si chiede il risultato negandogli gli strumenti, e la lettura, di sconcertante precisione retrospettiva, del meccanismo per cui si colpisce il servitore dello Stato quando il segnale del suo isolamento è divenuto pubblico, Livello A quanto all'intervista ed al suo tenore, che il registro parafrasa senza citare. Nella morfologia del nodo, l'intervista di agosto è l'equivalente funzionale della lettera di Ambrosoli censita nella Fase 1: il documento con cui l'anticorpo, misurata la propria esposizione, la dichiara pubblicamente, compiendo l'atto che è insieme denuncia, testamento e, nella grammatica spietata del sistema, conferma della bersagliabilità. Il registro allinea i 2 documenti, la lettera del 1975 e l'intervista del 1982, quale coppia di reperti gemelli sulla condizione dell'uomo di frontiera: e annota che in entrambi i casi la Repubblica seppe leggere il testo soltanto dopo, quando la sua funzione predittiva si era già consumata in necrologio.</w:t>
      </w:r>
    </w:p>
    <w:p>
      <w:pPr>
        <w:spacing w:after="120" w:line="276"/>
        <w:jc w:val="both"/>
      </w:pPr>
      <w:r>
        <w:rPr>
          <w:rFonts w:ascii="Barlow Semi Condensed" w:cs="Barlow Semi Condensed" w:eastAsia="Barlow Semi Condensed" w:hAnsi="Barlow Semi Condensed"/>
          <w:sz w:val="24"/>
          <w:szCs w:val="24"/>
        </w:rPr>
        <w:t xml:space="preserve">Alla figura del generale appartengono infine 2 reperti di persistenza che chiudono il nodo sul registro documentale e su quello civile. Il primo sono le annotazioni private, i diari che Dalla Chiesa tenne sino agli ultimi giorni e che, editi postumi per iniziativa familiare ed acquisiti dalle sedi d'inchiesta, documentano dall'interno la percezione dell'isolamento palermitano e la contabilità degli incontri romani della primavera del 1982: fonte di natura privata, la cui esistenza ed acquisizione il registro certifica al Livello A e i cui contenuti, testimonianza unilaterale di una delle parti dei colloqui che riferiscono, restano al Livello B, secondo la disciplina costante delle carte personali. Il secondo è la memoria istituzionalizzata: via Isidoro Carini, il tratto di strada dell'agguato del 3 settembre, è divenuta con la lapide ed i suoi anniversari uno dei luoghi canonici della liturgia civile antimafia, saldata nella memoria pubblica al binomio con via D'Amelio e Capaci che il decennio successivo avrebbe aggiunto, Livello A quanto alla persistenza memoriale. Il registro allinea i 2 reperti nella lettura che il nodo consegna alla fase: il generale che aveva custodito il primo compendio del memoriale di Moro lasciò a sua volta un memoriale privato, e la Repubblica, che non seppe proteggere né l'uno né l'altro dei 2 servitori, ne custodisce oggi le carte con la devozione postuma che è, in questa storia, la forma più ricorrente del rimorso istituzionale: l'archivio quale risarcimento, la memoria quale scorta assegnata ai morti.</w:t>
      </w:r>
    </w:p>
    <w:p>
      <w:pPr>
        <w:spacing w:after="120" w:line="276"/>
        <w:jc w:val="both"/>
      </w:pPr>
      <w:r>
        <w:rPr>
          <w:rFonts w:ascii="Barlow Semi Condensed" w:cs="Barlow Semi Condensed" w:eastAsia="Barlow Semi Condensed" w:hAnsi="Barlow Semi Condensed"/>
          <w:sz w:val="24"/>
          <w:szCs w:val="24"/>
        </w:rPr>
        <w:t xml:space="preserve">La parabola dello strumento vincente si chiude con la sua smobilitazione, che il registro censisce quale ultimo reperto del capitolo: la struttura speciale antiterrorismo, operativa dal settembre 1978 con i risultati censiti, fu progressivamente riassorbita negli ordinamenti ordinari dell'Arma tra la fine del 1979 ed il 1981, quando il generale fu promosso vicecomandante generale, approdo di vertice che lo allontanava dalla conduzione operativa diretta, sino alla destinazione palermitana della primavera 1982 già censita nel suo epilogo, Livello A quanto alla sequenza ordinamentale. Il registro fissa il pattern che la parabola consegna all'opera: la Repubblica creò lo strumento straordinario sotto la pressione dell'emergenza, lo smobilitò appena lo strumento ebbe piegato l'emergenza, e ridestinò il suo uomo migliore, con poteri mai equivalenti alle attese, contro un nemico diverso che lo avrebbe ucciso in 100 giorni, sicché la traiettoria del generale tra il 1978 ed il 1982, dal mandato pieno contro il terrorismo al mandato dimezzato contro la mafia, è la misura biografica più esatta che il corpus possieda della legge istituzionale che attraversa tutte le fasi: lo Stato italiano del corpus sapeva costruire eccellenza emergenziale e non sapeva conservarla, e pagò entrambe le cose, la costruzione con l'invidia degli apparati, la mancata conservazione con la vita dei suoi servitori.</w:t>
      </w:r>
    </w:p>
    <w:p>
      <w:pPr>
        <w:spacing w:after="120" w:line="276"/>
        <w:jc w:val="both"/>
      </w:pPr>
      <w:r>
        <w:rPr>
          <w:rFonts w:ascii="Barlow Semi Condensed" w:cs="Barlow Semi Condensed" w:eastAsia="Barlow Semi Condensed" w:hAnsi="Barlow Semi Condensed"/>
          <w:sz w:val="24"/>
          <w:szCs w:val="24"/>
        </w:rPr>
        <w:t xml:space="preserve">Il capitolo degli apparati nel dopo-Moro registra infine l'unica condanna che la vicenda abbia mai prodotto a carico di un uomo dei servizi, ed il registro la censisce nella sua specificità: il funzionario di vertice del SISDE Silvano Russomanno fu condannato in via definitiva per la fuga di notizie che nell'ottobre 1978 portò sulla stampa, ad ore dal ritrovamento di via Monte Nevoso, contenuti del memoriale appena sequestrato, rivelazione che bruciò il vantaggio investigativo dell'operazione e che i giudici gli attribuirono, Livello A quanto alla condanna ed al fatto. Il registro isola il paradosso che la statistica consegna: nell'intero caso Moro, con le sue omissioni censite, i suoi comitati opachi ed i suoi uomini della sicurezza iscritti alla loggia, il solo servitore dello Stato mai condannato non lo fu per ciò che non fece durante i 55 giorni, ma per avere fatto sapere troppo presto ciò che lo Stato aveva trovato dopo, sicché l'unico reato d'apparato giudizialmente certificato del caso è un eccesso di pubblicità e non un difetto di lealtà, e questa asimmetria sanzionatoria, un sistema che punisce la fuga di notizie e non sa nemmeno istruire le proprie inerzie, è la fotografia giudiziaria più fedele che il corpus possieda del modo in cui la Repubblica ha processato sé stessa sul proprio caso capitale: severa con l'indiscrezione, muta con l'omissione.</w:t>
      </w:r>
    </w:p>
    <w:p>
      <w:pPr>
        <w:spacing w:after="120" w:line="276"/>
        <w:jc w:val="both"/>
      </w:pPr>
      <w:r>
        <w:rPr>
          <w:rFonts w:ascii="Barlow Semi Condensed" w:cs="Barlow Semi Condensed" w:eastAsia="Barlow Semi Condensed" w:hAnsi="Barlow Semi Condensed"/>
          <w:sz w:val="24"/>
          <w:szCs w:val="24"/>
        </w:rPr>
        <w:t xml:space="preserve">Il capitolo della caccia esige il suo epilogo strategico, che il registro formula quale paradosso terminale della guerra: la sconfitta storica dell'organizzazione fu il prodotto della sua vittoria del 9 maggio, perché l'uccisione del prigioniero, decisa quale dimostrazione di forza, privò la sigla della sola posta che la teneva al centro del sistema, le alienò l'area di simpatia che il gesto rivoluzionario rivendicato doveva galvanizzare e che invece si ritrasse, compattò lo Stato attorno alla legislazione ed alle strutture censite e consegnò all'organizzazione vincitrice sul piano militare la solitudine politica nella quale la stagione premiale l'avrebbe dissolta, Livello A quanto alla parabola documentata dal triennio successivo. Il registro consegna il paradosso alla verifica comparata che l'opera consente: nessuna vittoria tattica del corpus produsse una sconfitta strategica più rapida e completa, e la legge che il caso dimostra, per cui un'organizzazione clandestina può sopravvivere ad ogni repressione ma non alla perdita del proprio senso agli occhi del proprio ambiente, è la stessa che la fase terza ha registrato sul versante opposto con le piazze che fischiavano, sicché le 2 stagioni armate censite dall'opera, la nera e la rossa, morirono della medesima morte, uccise non dai processi, che largamente fallirono, ma dal Paese reale che entrambe pretendevano di interpretare e che entrambe, nell'atto estremo, perdettero per sempre.</w:t>
      </w:r>
    </w:p>
    <w:p>
      <w:pPr>
        <w:spacing w:after="120" w:line="276"/>
        <w:jc w:val="both"/>
      </w:pPr>
      <w:r>
        <w:rPr>
          <w:rFonts w:ascii="Barlow Semi Condensed" w:cs="Barlow Semi Condensed" w:eastAsia="Barlow Semi Condensed" w:hAnsi="Barlow Semi Condensed"/>
          <w:sz w:val="24"/>
          <w:szCs w:val="24"/>
        </w:rPr>
        <w:t xml:space="preserve">Il bilancio dei 5 cicli processuali esige infine il riconoscimento della loro funzione meno misurabile, che il registro censisce a chiusura del versante giudiziario: le aule del caso Moro furono, per 4 decenni, l'unico luogo fisico della Repubblica nel quale i protagonisti dei 2 campi si trovarono ripetutamente di fronte, i carcerieri ed i familiari delle vittime, gli uomini degli apparati e le parti civili, in un contraddittorio rituale che, qualunque cosa non abbia accertato, ha costretto ciascuno a rispondere in pubblico ed a verbale della propria parte di storia, Livello A quanto alla funzione svolta dai dibattimenti documentati. Il registro consegna il riconoscimento alla sua misura: la giustizia penale del caso, che il capitolo ha censito nei suoi limiti, ha però prodotto il bene che nessun altro strumento della Repubblica ha saputo produrre, l'obbligo della compresenza e della risposta, e le migliaia di pagine di verbali dibattimentali che ne sono uscite, con le loro reticenze e le loro rotture, costituiscono l'unico grande dialogo mai avvenuto tra l'Italia che sparò e l'Italia che seppellì, sicché il verdetto complessivo del registro sui processi del caso è duplice come l'opera esige: quali macchine della verità furono strumenti parziali, quali luoghi della parola obbligata furono insostituibili, ed un Paese che non ha mai voluto la commissione della sola verità deve ai propri processi, oltre alle condanne, il poco di confronto pubblico tra le proprie metà che la sua storia registri.</w:t>
      </w:r>
    </w:p>
    <w:p>
      <w:pPr>
        <w:spacing w:after="120" w:line="276"/>
        <w:jc w:val="both"/>
      </w:pPr>
      <w:r>
        <w:rPr>
          <w:rFonts w:ascii="Barlow Semi Condensed" w:cs="Barlow Semi Condensed" w:eastAsia="Barlow Semi Condensed" w:hAnsi="Barlow Semi Condensed"/>
          <w:sz w:val="24"/>
          <w:szCs w:val="24"/>
        </w:rPr>
        <w:t xml:space="preserve">Il capitolo si chiude con la biforcazione dei destini penali, che il registro censisce quale ultimo effetto della stagione premiale: i condannati del caso si divisero in 2 popolazioni giudiziarie, i dissociati ed i collaboranti, riammessi alla libertà tra la fine degli anni Ottanta ed i Novanta attraverso gli sconti, i benefici penitenziari ed i percorsi di reinserimento che la legislazione censita disciplinava, e gli irriducibili, che rifiutando ogni presa di distanza scontarono detenzioni protrattesi per decenni, con gli ultimi rilasci per fine pena o per età giunti solo nel nuovo secolo, Livello A quanto alla biforcazione dei percorsi documentata dalle posizioni individuali. Il registro consegna il dato alla sua lettura terminale: la Repubblica applicò al proprio trauma capitale una giustizia a durata variabile, nella quale la pena effettiva dipese più dalla parola pronunciata dopo che dal colpo sparato prima, e questa economia della resa, che il capitolo ha censito quale strumento vincente della guerra, produsse l'esito morale con cui il caso ancora convive: uomini con responsabilità materiali maggiori tornati liberi prima di uomini con responsabilità minori ma silenzio più lungo, un ordine di uscita scritto dalla dissociazione e non dalla colpa, che il registro constata senza giudicare, consegnandolo al lettore quale ultimo prezzo, documentato e pagato, della vittoria dello Stato.</w:t>
      </w:r>
    </w:p>
    <w:p>
      <w:pPr>
        <w:spacing w:after="120" w:line="276"/>
        <w:jc w:val="both"/>
      </w:pPr>
      <w:r>
        <w:rPr>
          <w:rFonts w:ascii="Barlow Semi Condensed" w:cs="Barlow Semi Condensed" w:eastAsia="Barlow Semi Condensed" w:hAnsi="Barlow Semi Condensed"/>
          <w:sz w:val="24"/>
          <w:szCs w:val="24"/>
        </w:rPr>
        <w:t xml:space="preserve">Il versante delle inchieste si arricchisce del giacimento che la triangolazione ha censito quale fonte primaria riprodotta: i 12 resoconti stenografici del Gruppo di lavoro sul caso Moro della Commissione stragi della decima legislatura, 621 pagine di audizioni e sedute del biennio 1991-1992 conservate quali riproduzioni degli originali cartacei, documentano la prima grande stagione di riesame parlamentare del caso condotta a cavallo delle rivelazioni del 1990, tra il secondo ritrovamento di via Monte Nevoso e la riapertura generale degli armadi, Livello A quale giacimento documentale e quale collocazione cronologica dei lavori. Il registro assegna alla serie la sua funzione nella stratigrafia delle inchieste: tra la prima Commissione dedicata degli anni Ottanta e la seconda del nuovo secolo, il gruppo di lavoro della decima legislatura rappresenta lo strato intermedio e meno frequentato della conoscenza parlamentare del caso, la stagione in cui le domande della prima generazione incontrarono per la prima volta le carte della seconda, e la sua consultazione sistematica, che l'edizione definitiva registra quale acquisizione della triangolazione, restituisce alla cronologia delle inchieste il suo anello mancante: il caso non fu riesaminato 2 volte, fu riesaminato senza interruzione, e la continuità del riesame è essa stessa un dato sulla natura mai chiusa dell'oggetto.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Dalla Chiesa è certificato al Livello A quale artefice della sconfitta del terrorismo brigatista e custode del primo ritrovamento del memoriale, e quale prefetto di Palermo assassinato con Emanuela Setti Carraro e Domenico Russo il 3 settembre 1982 su mandato della commissione di Cosa Nostra, giudicato con condanne irrevocabili tra cui, per la terza volta nell'opera, quella di Giuseppe Calò; le denunce di isolamento sono certificate al Livello A, la controversia sui materiali documentali al Livello B, e ogni lettura di concorsi esterni al Livello C; il nodo salda i 2 fronti della violenza organizzata nella traiettoria di un solo uomo e consegna alla lettura conclusiva il pattern ricorrente dell'archivio che non giunge integro.</w:t>
      </w:r>
    </w:p>
    <w:p>
      <w:pPr>
        <w:pStyle w:val="Heading3"/>
        <w:spacing w:after="80" w:before="160"/>
      </w:pPr>
      <w:r>
        <w:rPr>
          <w:rFonts w:ascii="Barlow Semi Condensed" w:cs="Barlow Semi Condensed" w:eastAsia="Barlow Semi Condensed" w:hAnsi="Barlow Semi Condensed"/>
          <w:sz w:val="24"/>
          <w:szCs w:val="24"/>
        </w:rPr>
        <w:t xml:space="preserve">Capitolo 10 — ■ Il piano del mandato. Le ipotesi al vaglio, la Commissione del 2016 e il sigillo del divieto</w:t>
      </w:r>
    </w:p>
    <w:p>
      <w:pPr>
        <w:spacing w:after="120" w:line="276"/>
        <w:jc w:val="both"/>
      </w:pPr>
      <w:r>
        <w:rPr>
          <w:rFonts w:ascii="Barlow Semi Condensed" w:cs="Barlow Semi Condensed" w:eastAsia="Barlow Semi Condensed" w:hAnsi="Barlow Semi Condensed"/>
          <w:sz w:val="24"/>
          <w:szCs w:val="24"/>
        </w:rPr>
        <w:t xml:space="preserve">Il decimo nodo non è un evento ulteriore ma il piano terzo della decomposizione dichiarata in avvertenza: il piano del mandato o del condizionamento esterno, che il registro affronta quale oggetto proprio, censendo in un solo luogo, con la qualificazione esatta di ciascuna, le ipotesi che 4 decenni di inchieste hanno formulato sopra e attorno al giudicato, e apponendo alla fase il sigillo metodologico che le compete.</w:t>
      </w:r>
    </w:p>
    <w:p>
      <w:pPr>
        <w:spacing w:after="120" w:line="276"/>
        <w:jc w:val="both"/>
      </w:pPr>
      <w:r>
        <w:rPr>
          <w:rFonts w:ascii="Barlow Semi Condensed" w:cs="Barlow Semi Condensed" w:eastAsia="Barlow Semi Condensed" w:hAnsi="Barlow Semi Condensed"/>
          <w:sz w:val="24"/>
          <w:szCs w:val="24"/>
        </w:rPr>
        <w:t xml:space="preserve">Il primo pilastro è il censimento disciplinato delle ipotesi, che il registro ordina secondo il loro statuto. La prima famiglia è quella delle ipotesi di concorso operativo esterno all'azione: presenze ulteriori in via Fani, apporti tecnici o addestrativi, partecipazioni non brigatiste; il registro le mantiene al Livello C, richiamando che i giudicati hanno ritenuto l'azione riferibile all'organizzazione e che le acquisizioni successive, peritali e testimoniali, hanno riaperto questioni senza consolidarle. La seconda famiglia è quella delle ipotesi di condizionamento della gestione: la lettura per cui la condotta del piano secondo, dalle anomalie delle ricerche alla gestione documentale, fu orientata da volontà interessate all'esito; il registro la mantiene al Livello C, quale inferenza vietata dal principio della fase, pur riconoscendo che gli elementi certificati del piano secondo, la compresenza piduista, le anomalie, i depistaggi, la rendono formulabile. La terza famiglia è quella delle ipotesi di interferenza internazionale, nelle 2 varianti storicamente proposte, quella orientale, fondata sui rapporti dell'organizzazione con campi e strutture oltrecortina e sulla dottrina dell'attenzione sovietica al terrorismo occidentale, e quella occidentale, fondata sulle contrarietà atlantiche al progetto moroteo e sulle presenze di apparati nel teatro; il registro certifica, di ciascuna variante, i fatti di base documentati ai livelli propri, i contatti internazionali dell'organizzazione al Livello B nei limiti degli accertamenti, le contrarietà politiche al Livello B come esposto nel capitolo 1, e mantiene entrambe le varianti, quali ipotesi di mandato o concorso, al Livello C, annotando che esse si escludono reciprocamente nella vulgata che le ha prodotte, secondo lo schema già incontrato nella Fase 3 per gli elaborati contrapposti sulla stagione stragista. La quarta famiglia è quella del ruolo della criminalità organizzata, nelle 2 direzioni documentate, i sondaggi dello Stato verso la malavita per la localizzazione, certificati al Livello B nel capitolo 4, e le dichiarazioni collaborative su interessamenti dell'organizzazione mafiosa alla vicenda, che il registro censisce al Livello C quanto a ogni ruolo attivo nel sequestro.</w:t>
      </w:r>
    </w:p>
    <w:p>
      <w:pPr>
        <w:spacing w:after="120" w:line="276"/>
        <w:jc w:val="both"/>
      </w:pPr>
      <w:r>
        <w:rPr>
          <w:rFonts w:ascii="Barlow Semi Condensed" w:cs="Barlow Semi Condensed" w:eastAsia="Barlow Semi Condensed" w:hAnsi="Barlow Semi Condensed"/>
          <w:sz w:val="24"/>
          <w:szCs w:val="24"/>
        </w:rPr>
        <w:t xml:space="preserve">Il secondo pilastro è la ricognizione dell'ultima stagione d'inchiesta, la Commissione parlamentare della XVII legislatura, istituita nel 2014 e operante sino al 2017, che il registro recepisce quale fonte con la graduazione consueta. La Commissione ha prodotto acquisizioni documentali e testimoniali nuove su punti circoscritti: gli approfondimenti sulla zona di via Fani, comprese le frequentazioni dell'esercizio commerciale all'angolo e la questione dei veicoli non identificati; la posizione di appartenenti agli apparati presenti o attivi nel teatro, tra cui la già certificata presenza del colonnello Guglielmi; le perizie integrative sulla dinamica; e la riapertura documentale su snodi quali la struttura parigina e i canali della trattativa. Il registro certifica al Livello B i fatti documentali nuovi acquisiti dalla Commissione, quale fonte parlamentare di alta affidabilità, e mantiene al Livello C le letture ricostruttive che la Commissione stessa ha formulato in forma dubitativa, dichiarando che l'ultima stagione d'inchiesta ha arricchito il piano secondo senza trasformare alcuna ipotesi del piano terzo in accertamento: il quadro dei livelli esce dalla stagione più popolato, non più risolto.</w:t>
      </w:r>
    </w:p>
    <w:p>
      <w:pPr>
        <w:spacing w:after="120" w:line="276"/>
        <w:jc w:val="both"/>
      </w:pPr>
      <w:r>
        <w:rPr>
          <w:rFonts w:ascii="Barlow Semi Condensed" w:cs="Barlow Semi Condensed" w:eastAsia="Barlow Semi Condensed" w:hAnsi="Barlow Semi Condensed"/>
          <w:sz w:val="24"/>
          <w:szCs w:val="24"/>
        </w:rPr>
        <w:t xml:space="preserve">Il terzo pilastro è il sigillo del divieto inferenziale, che il registro appone quale conclusione della fase. All'esito dell'intero percorso, la struttura probatoria del caso Moro è la seguente: un piano primo saturo, con esecutori, dirigenti, custodi ed esecutore materiale giudicati in via irrevocabile lungo 5 procedimenti; un piano secondo denso di fatti certificati, la compresenza piduista, le anomalie, i depistaggi, i 2 ritrovamenti, le presenze, che compongono il quadro di una condotta istituzionale segnata da opacità documentate; e un piano terzo integralmente ipotetico, nel quale nessuna delle famiglie censite supera il Livello C. Il sigillo della fase è la formalizzazione del rapporto tra i 3 piani: la densità del piano secondo non trasferisce nulla al piano terzo, per quanto la renda intellettualmente esigente; la saturazione del piano primo non chiude il piano terzo, perché il giudicato sugli esecutori non pronuncia sull'inesistenza di volontà ulteriori; e la sola condotta razionale per un registro è tenere i 3 piani distinti, ciascuno con il proprio statuto, resistendo tanto alla vulgata che salda i piani in un unico disegno quanto a quella che, in nome del giudicato, dichiara chiusa una vicenda il cui secondo piano contiene fatti certificati che nessuna ricostruzione innocente ha mai integralmente spiegato. La lente della doppia lealtà, sospensione dichiarata di fase, si richiude qui con il suo bilancio: essa ha permesso di leggere unitariamente la fenomenologia del piano secondo, gli uomini dell'istituzione e della loggia, le condotte duali, senza mai divenire essa stessa una prova; e il registro la ripone dichiarando che la categoria ha valore euristico certificato e valore probatorio nullo, esattamente come il metodo prescrive per ogni lente.</w:t>
      </w:r>
    </w:p>
    <w:p>
      <w:pPr>
        <w:spacing w:after="120" w:line="276"/>
        <w:jc w:val="both"/>
      </w:pPr>
      <w:r>
        <w:rPr>
          <w:rFonts w:ascii="Barlow Semi Condensed" w:cs="Barlow Semi Condensed" w:eastAsia="Barlow Semi Condensed" w:hAnsi="Barlow Semi Condensed"/>
          <w:sz w:val="24"/>
          <w:szCs w:val="24"/>
        </w:rPr>
        <w:t xml:space="preserve">Il quarto pilastro è la comparazione internazionale, che il registro conduce sul precedente tedesco quale applicazione terminale del Pattern 11 alla fase. Sei mesi prima di via Fani, tra il settembre e l'ottobre 1977, la Repubblica Federale Tedesca visse il sequestro di Hanns Martin Schleyer, presidente della confederazione degli industriali, rapito dalla Rote Armee Fraktion con l'annientamento della scorta, 4 caduti, custodito per 43 giorni e ucciso dopo il rifiuto dello scambio, nel culmine dell'autunno tedesco segnato dal dirottamento di Mogadiscio e dalle morti di Stammheim. Il registro certifica al Livello A il precedente quale fatto storico e ne conduce la comparazione strutturale con il caso italiano: identica la tecnica dell'agguato con eliminazione della scorta, identica la posta del ricatto, lo scambio con i prigionieri, identica la risposta dello Stato, la fermezza, e identico l'esito, l'esecuzione dell'ostaggio; diverse la durata, la natura dell'ostaggio, un dirigente d'impresa contro il presidente del partito di maggioranza, e la coda istituzionale, giacché la Germania sciolse la propria crisi in settimane con una linea di comando unitaria, mentre il caso italiano generò la fenomenologia del piano secondo che la fase ha censito. La comparazione produce 2 risultati certificati. Il primo: l'esistenza del precedente, noto e studiato dagli apparati europei, colloca la fermezza italiana entro una dottrina continentale già sperimentata, e priva di unicità la sequenza rifiuto-esecuzione, che la vulgata ha talora trattato quale anomalia italiana bisognosa di spiegazioni ulteriori; la sequenza era, al contrario, l'esito già osservato del modello. Il secondo risultato è il differenziale: ciò che distingue il caso italiano non è l'esito ma la densità delle opacità del piano secondo, assente nella serie tedesca, e la comparazione consegna così, per contrasto, l'esatta localizzazione dell'anomalia italiana, che non sta nella fermezza né nell'epilogo, ma nella condotta degli apparati durante e dopo; è su quel differenziale, e solo su quello, che le domande del piano terzo legittimamente insistono.</w:t>
      </w:r>
    </w:p>
    <w:p>
      <w:pPr>
        <w:spacing w:after="120" w:line="276"/>
        <w:jc w:val="both"/>
      </w:pPr>
      <w:r>
        <w:rPr>
          <w:rFonts w:ascii="Barlow Semi Condensed" w:cs="Barlow Semi Condensed" w:eastAsia="Barlow Semi Condensed" w:hAnsi="Barlow Semi Condensed"/>
          <w:sz w:val="24"/>
          <w:szCs w:val="24"/>
        </w:rPr>
        <w:t xml:space="preserve">Il registro chiude il pilastro con l'adempimento che il metodo di Heuer prescrive, l'indicazione delle evidenze che, se emerse, scioglierebbero la competizione tra le ipotesi del piano terzo: il ritrovamento degli originali manoscritti del memoriale, che chiuderebbe la questione della completezza e della selezione; l'apertura di archivi, italiani o esteri, contenenti documentazione coeva sulla gestione della crisi e sulle comunicazioni tra gli apparati dei campi; e ogni fonte primaria che documentasse un coordinamento, o ne escludesse la possibilità materiale, tra gli attori esterni censiti. Sino a tale emersione, il piano terzo resta quello che il registro ha descritto, un campo di ipotesi formulabili e non provate, e la sua onesta rappresentazione è l'unico esito che il metodo consenta.</w:t>
      </w:r>
    </w:p>
    <w:p>
      <w:pPr>
        <w:spacing w:after="120" w:line="276"/>
        <w:jc w:val="both"/>
      </w:pPr>
      <w:r>
        <w:rPr>
          <w:rFonts w:ascii="Barlow Semi Condensed" w:cs="Barlow Semi Condensed" w:eastAsia="Barlow Semi Condensed" w:hAnsi="Barlow Semi Condensed"/>
          <w:sz w:val="24"/>
          <w:szCs w:val="24"/>
        </w:rPr>
        <w:t xml:space="preserve">Il quinto pilastro dettaglia le prime 3 famiglie con gli elementi che ciascuna invoca, quale inventario disciplinato. La famiglia del concorso operativo si fonda sugli elementi censiti nel capitolo dell'evento, l'eccezionalità tecnica, la concentrazione del fuoco, la motocicletta, le presenze non identificate, e sulle perizie integrative dell'ultima stagione, che hanno rimodulato la scena senza attribuzioni nuove: il registro ribadisce che ciascun elemento è certificato quale fatto al proprio livello e che la loro composizione in un concorso resta al Livello C, non essendo mai stata identificata una sola persona estranea all'organizzazione quale partecipe dell'azione. La famiglia del condizionamento della gestione si fonda sul cumulo del piano secondo, e il registro ne dichiara la struttura logica: essa è l'unica famiglia che non postula attori ignoti, ma attribuisce intenzione ad attori noti e a condotte certificate, e per questo è insieme la più economica, perché non moltiplica le entità, e la più vietata, perché consiste per intero nell'inferenza dall'anomalia all'intenzione che la Regola Ferrea proibisce; la lente della doppia lealtà la rende pensabile, il divieto la mantiene improvata, e tra i 2 stati non esiste, allo stato delle fonti, passaggio. La famiglia dell'interferenza internazionale si articola nelle 2 varianti censite: la variante orientale invoca i rapporti di campo dell'organizzazione, la filiera degli armamenti, la dottrina dell'attenzione sovietica al terrorismo occidentale, e fu esplorata, senza esiti sul caso, anche dalla stagione d'inchiesta sulle carte provenienti dagli archivi orientali dopo il 1991; la variante occidentale invoca le contrarietà atlantiche certificate, le presenze censite nel teatro, dalla consulenza americana al colonnello del servizio in via Stresa, e la fenomenologia della gestione; il registro ribadisce che gli elementi di base delle 2 varianti sono certificati ai livelli dichiarati nei capitoli, che nessuna delle 2 dispone di un solo elemento che documenti un mandato o un concorso, e che la loro mutua esclusione nella letteratura che le produce, ciascuna scuola attribuendo all'altro campo la regia, replica lo schema già censito nella Fase 3 per gli elaborati parlamentari contrapposti: le 2 varianti non si sommano, si elidono, e il registro le mantiene entrambe al Livello C annotando che la loro simmetrica sopravvivenza quarantennale è essa stessa un dato sulla natura del campo, nel quale l'ipotesi del nemico esterno ha svolto, per ciascuna parte, una funzione identitaria indipendente dalle prove.</w:t>
      </w:r>
    </w:p>
    <w:p>
      <w:pPr>
        <w:spacing w:after="120" w:line="276"/>
        <w:jc w:val="both"/>
      </w:pPr>
      <w:r>
        <w:rPr>
          <w:rFonts w:ascii="Barlow Semi Condensed" w:cs="Barlow Semi Condensed" w:eastAsia="Barlow Semi Condensed" w:hAnsi="Barlow Semi Condensed"/>
          <w:sz w:val="24"/>
          <w:szCs w:val="24"/>
        </w:rPr>
        <w:t xml:space="preserve">Il sesto pilastro dettaglia la quarta famiglia, il versante della criminalità organizzata, con le dichiarazioni che la fondano. Le fonti convergenti provengono dai 2 poli opposti del panorama criminale: Raffaele Cutolo, il capo della Nuova camorra organizzata, riferì in più sedi di essere stato sollecitato, durante i 55 giorni, ad attivarsi per la localizzazione della prigione attraverso i propri canali, e la sua vicenda si salda alla gestione del sequestro Cirillo del 1981, che la Fase 2 ha censito quale precedente documentato della trattativa Stato-camorra con la mediazione di uomini poi risultati piduisti; Tommaso Buscetta riferì che ambienti di Cosa Nostra furono parimenti sondati nella fase iniziale, e che l'attivazione rientrò per un segnale sopravvenuto, nella sua formulazione l'indicazione che la liberazione del prigioniero non era più desiderata, una dichiarazione che il registro riporta quale enunciato del dichiarante e non quale fatto. Il registro compone il quadro con la disciplina consueta: l'esistenza dei sondaggi verso la criminalità è certificata al Livello B, quale convergenza di dichiaranti indipendenti provenienti da organizzazioni diverse e reciprocamente ostili, il criterio di consilienza applicabile alle fonti dichiarative; il contenuto del segnale di arresto riferito da Buscetta resta al Livello C, quale dichiarazione singola non riscontrata su un punto decisivo; e ogni ruolo attivo delle organizzazioni criminali nel sequestro medesimo resta parimenti al Livello C, nessun accertamento avendolo mai stabilito. Alla medesima orbita appartiene, quale coda censita, l'assassinio del tenente colonnello Antonio Varisco, comandante del reparto traduzioni dei carabinieri di Roma, figura di raccordo tra gli ambienti giudiziari e quelli della capitale, ucciso il 13 luglio 1979 con rivendicazione brigatista e condanne conseguenti: il registro lo trascrive, nomina la vittima, e annota che la stagione romana del dopo-Moro, tra il falso della Duchessa, il borsello, l'omicidio Pecorelli e l'omicidio Varisco, compone un addensamento di eventi nell'orbita tra apparati, criminalità capitolina e terrorismo che il Pattern 3 registra quale finestra critica secondaria, censita e non risolta.</w:t>
      </w:r>
    </w:p>
    <w:p>
      <w:pPr>
        <w:spacing w:after="120" w:line="276"/>
        <w:jc w:val="both"/>
      </w:pPr>
      <w:r>
        <w:rPr>
          <w:rFonts w:ascii="Barlow Semi Condensed" w:cs="Barlow Semi Condensed" w:eastAsia="Barlow Semi Condensed" w:hAnsi="Barlow Semi Condensed"/>
          <w:sz w:val="24"/>
          <w:szCs w:val="24"/>
        </w:rPr>
        <w:t xml:space="preserve">Il settimo pilastro compone la sintesi comparata delle 3 stagioni parlamentari, quale storia degli accertamenti non giudiziari. La prima Commissione, operante dal 1979 al 1983, lavorò a ridosso dei fatti con le audizioni dei protagonisti istituzionali della gestione, e si concluse con esiti non unanimi: alla relazione di maggioranza si affiancarono relazioni di minoranza plurime, tra le quali quella redatta da Leonardo Sciascia, che concentrò l'analisi sulle anomalie della gestione e sulla condotta dello Stato verso le lettere del prigioniero, consegnando alla storia documentale della Repubblica il primo inventario organico di ciò che la fase ha chiamato piano secondo; il registro certifica al Livello A la pluralità degli esiti e il contenuto della relazione sciasciana, quali dati degli atti, e ne annota il rilievo metodologico, giacché la non unanimità della prima stagione replica il pattern già certificato dall'opera per gli elaborati parlamentari sulle stragi, la scomposizione delle conclusioni lungo le linee politiche, che il registro tratta quale attributo strutturale della fonte parlamentare. La Commissione sulle stragi vi tornò negli anni Novanta con il materiale delle dissociazioni e del secondo ritrovamento, producendo le acquisizioni sul memoriale e sulla gestione che i capitoli hanno censito; e la Commissione della XVII legislatura, dal 2014 al 2017, condusse la ricognizione terminale, con le perizie tecniche integrative, gli approfondimenti sulla zona di via Fani, sul contesto internazionale e sui protagonisti minori, e con l'acquisizione documentale resa possibile dal nuovo regime degli archivi; il registro certifica al Livello A la progressione, e la consegna alla regola già fissata: ogni stagione ha saputo ciò che il proprio stato degli archivi consentiva, e la storia delle commissioni è, prima che una storia di giudizi, una storia di accessi.</w:t>
      </w:r>
    </w:p>
    <w:p>
      <w:pPr>
        <w:spacing w:after="120" w:line="276"/>
        <w:jc w:val="both"/>
      </w:pPr>
      <w:r>
        <w:rPr>
          <w:rFonts w:ascii="Barlow Semi Condensed" w:cs="Barlow Semi Condensed" w:eastAsia="Barlow Semi Condensed" w:hAnsi="Barlow Semi Condensed"/>
          <w:sz w:val="24"/>
          <w:szCs w:val="24"/>
        </w:rPr>
        <w:t xml:space="preserve">L'ottavo pilastro colloca il caso entro la competizione tra le macro-ipotesi dell'opera, quale adempimento dovuto alla Fase 5. Sotto l'ipotesi H1, la convergenza delle potenze contro l'autonomia europea, il caso Moro rappresenta il terreno di massima resa apparente, per le ragioni censite nel bilancio: le contrarietà speculari certificate, l'obiettivo colpito nel giorno del suo successo, l'esito oggettivamente conforme all'interesse di entrambi i campi; e rappresenta, simultaneamente, il terreno del massimo scarto tra suggestione e prova, giacché la fase ha certificato che nessun elemento documenta il passaggio dalla convergenza degli interessi alla convergenza delle condotte. Sotto la lettura concorrente, che assume la piena autonomia degli attori interni e la sufficienza esplicativa delle dinamiche nazionali, il caso si lascia ricostruire senza residui logici, al prezzo di derubricare a coincidenze la densità delle presenze e delle anomalie censite. Il registro formalizza lo stato della competizione senza deciderla: il falsificatore milwardiano esce dalla fase non confutato, giacché la ricostruzione interna è autosufficiente, e l'ipotesi H1 ne esce non falsificata ma non avanzata, ferma alla convergenza oggettiva di Livello B che il bilancio ha fissato; la fase consegna alla verifica conclusiva dell'opera questa esatta configurazione, annotando che il caso Moro è, per costruzione, il punto del corpus in cui la distanza tra le 2 letture è massima e la capacità dei documenti di discriminarle è minima, la definizione stessa di ciò che il metodo delle ipotesi concorrenti chiama evidenza non diagnostica.</w:t>
      </w:r>
    </w:p>
    <w:p>
      <w:pPr>
        <w:spacing w:after="120" w:line="276"/>
        <w:jc w:val="both"/>
      </w:pPr>
      <w:r>
        <w:rPr>
          <w:rFonts w:ascii="Barlow Semi Condensed" w:cs="Barlow Semi Condensed" w:eastAsia="Barlow Semi Condensed" w:hAnsi="Barlow Semi Condensed"/>
          <w:sz w:val="24"/>
          <w:szCs w:val="24"/>
        </w:rPr>
        <w:t xml:space="preserve">Il nono pilastro censisce il regime degli archivi, l'ultima frontiera documentale della fase. La direttiva del presidente del Consiglio del 22 aprile 2014 dispose il versamento straordinario anticipato all'Archivio centrale dello Stato della documentazione degli organi di sicurezza e degli apparati relativa agli atti di terrorismo e alle stragi, includendo il caso Moro nel proprio perimetro, e i versamenti conseguenti, protrattisi negli anni successivi, hanno trasferito nel circuito della consultabilità decine di migliaia di carte prima trattenute; l'ultima Commissione ha operato entro questo regime, e la ricerca successiva ne ha beneficiato nella misura che gli inventari documentano. Il registro certifica al Livello A la direttiva, il suo perimetro e l'esistenza dei versamenti, quali atti normativi e archivistici, e chiude la fase con la formalizzazione che il metodo dell'opera impone: la conoscenza del caso Moro è una funzione del tempo archivistico, cresciuta per soglie datate, il 1978, il 1990, le dissociazioni, il 2014, e la curva non è dichiarabile conclusa, giacché il perimetro del versato non coincide, per definizione, con il perimetro dell'esistente; il registro consegna perciò alla Fase 5, accanto agli archivi francesi già indicati, la ricognizione sistematica del versato del 2014 quale secondo obiettivo documentale, e ribadisce, quale sigillo, che ogni certificazione della fase porta la data del proprio stato degli atti e resta aperta alla revisione che ogni nuova soglia imporrà.</w:t>
      </w:r>
    </w:p>
    <w:p>
      <w:pPr>
        <w:spacing w:after="120" w:line="276"/>
        <w:jc w:val="both"/>
      </w:pPr>
      <w:r>
        <w:rPr>
          <w:rFonts w:ascii="Barlow Semi Condensed" w:cs="Barlow Semi Condensed" w:eastAsia="Barlow Semi Condensed" w:hAnsi="Barlow Semi Condensed"/>
          <w:sz w:val="24"/>
          <w:szCs w:val="24"/>
        </w:rPr>
        <w:t xml:space="preserve">Il decimo pilastro riepiloga l'applicazione dei pattern analitici al caso, quale bilancio metodologico del nodo terminale della fase. Il registro dichiara quali pattern dell'apparato dell'opera abbiano prodotto reperti certificati sul caso Moro e quali no, secondo la disciplina che vieta di simulare rese ove non vi siano. Il Pattern 1, l'analisi dei nodi centrali, ha prodotto il reperto della centralità di Moro nel grafo, la sua posizione apicale simultanea in 3 domini, e la centralità individuale di Moretti nel piano primo, l'uomo per cui passano tutti gli archi dell'esecuzione. Il Pattern 3, l'analisi delle coincidenze temporali, ha prodotto la messe maggiore, le finestre critiche del 18 aprile e della stagione romana degli omicidi eccellenti, la contestualità con le elezioni francesi, la sincronia dello scioglimento dell'apparato antiterrorismo, tutte certificate quali fatti cronologici e tutte mantenute prive di nesso provato. Il Pattern 10, l'analisi della convergenza geografica, ha prodotto la topografia di via Caetani e la geografia speculare delle protezioni dei latitanti e delle capitali-rifugio. Il Pattern 11, l'isomorfismo strutturale, ha prodotto il reperto Aginter-Hyperion quale convergenza indipendente sulla grammatica della clandestinità. Il Pattern 6, l'analisi delle ipotesi concorrenti, ha governato l'intera architettura a 3 piani e la formalizzazione dell'evidenza non diagnostica. Il registro certifica che i Pattern 2, 4, 5, 7, 8 e 9, la rilevazione di comunità, l'analisi dei flussi, i buchi strutturali quali constraint, i percorsi di carriera, lo sfruttamento delle crisi e le dinastie, non hanno prodotto sul caso reperti autonomi di rango certificabile eccedenti quanto già registrato, e dichiara questa parziale resa quale dato onesto e non quale lacuna: un evento singolo, per quanto denso, non attiva l'intero apparato di una metodologia costruita per il grafo complessivo dell'opera, e la Fase 5, operando sul grafo intero, ne attiverà le misure residue; il registro chiude così il nodo e la fase con il bilancio dei propri strumenti, il gesto che il metodo impone quale sigillo di ogni applicazione, la dichiarazione di ciò che si è trovato e di ciò che, onestamente, non si è trovato.</w:t>
      </w:r>
    </w:p>
    <w:p>
      <w:pPr>
        <w:spacing w:after="120" w:line="276"/>
        <w:jc w:val="both"/>
      </w:pPr>
      <w:r>
        <w:rPr>
          <w:rFonts w:ascii="Barlow Semi Condensed" w:cs="Barlow Semi Condensed" w:eastAsia="Barlow Semi Condensed" w:hAnsi="Barlow Semi Condensed"/>
          <w:sz w:val="24"/>
          <w:szCs w:val="24"/>
        </w:rPr>
        <w:t xml:space="preserve">L'undicesimo pilastro adempie il dovere di completezza assolutoria, riunendo in un solo luogo, per esteso, gli esiti liberatori della fase. Per l'omicidio di Mino Pecorelli, la Corte di cassazione, con la sentenza del 30 ottobre 2003, annullò senza rinvio la condanna di appello e dichiarò l'assoluzione definitiva di Giulio Andreotti e di Gaetano Badalamenti, e con essi divennero definitivi gli esiti assolutori di tutti gli imputati del processo, tra i quali Giuseppe Calò e Massimo Carminati, sicché l'omicidio del giornalista resta, nell'ordinamento, privo di qualsiasi condannato; per il capitolo Hyperion, l'istruttoria veneziana si concluse con proscioglimenti e nessuno dei 3 fondatori della struttura, Corrado Simioni, Duccio Berio e Vanni Mulinaris, ha mai riportato condanna alcuna, e la detenzione cautelare sofferta da Mulinaris in Italia senza condanna resta censita quale fatto; per la vicenda fondativa del capitolo nono, Luciano Liggio fu assolto per l'omicidio di Placido Rizzotto all'esito del giudizio, e l'assoluzione è riportata quale esito. Il registro certifica al Livello A ciascun esito, li riporta per esteso in ottemperanza alla propria disciplina, e ne dichiara la funzione metodologica: il riepilogo assolutorio non è un'appendice ma un organo del metodo, giacché un registro che certifica condanne ha l'obbligo simmetrico di certificare assoluzioni con eguale evidenza, e la fase, che conta tra i propri materiali il più celebre processo assolutorio della storia repubblicana, esercita qui la disciplina nella sua forma più visibile; il registro annota infine che la compresenza, nella medesima fase, di piani primi saturi di condanne irrevocabili e di nodi satellite chiusi da assoluzioni definitive è la fisionomia normale di un campo indagato con gli strumenti dello Stato di diritto, e che l'opera assume questa fisionomia, con le sue asimmetrie, quale proprio materiale, senza correggerla mai nella direzione che i documenti non autorizzano.</w:t>
      </w:r>
    </w:p>
    <w:p>
      <w:pPr>
        <w:spacing w:after="120" w:line="276"/>
        <w:jc w:val="both"/>
      </w:pPr>
      <w:r>
        <w:rPr>
          <w:rFonts w:ascii="Barlow Semi Condensed" w:cs="Barlow Semi Condensed" w:eastAsia="Barlow Semi Condensed" w:hAnsi="Barlow Semi Condensed"/>
          <w:sz w:val="24"/>
          <w:szCs w:val="24"/>
        </w:rPr>
        <w:t xml:space="preserve">Il dodicesimo pilastro censisce le 2 vulgate del caso e la posizione del registro, quale dichiarazione terminale di metodo. La letteratura pubblica sul caso Moro si è storicamente polarizzata in 2 vulgate speculari, che il registro censisce quali oggetti documentali e respinge quali metodi. La prima è la vulgata del complotto integrale, che salda i fatti certificati del piano secondo, la compresenza piduista, le anomalie di Gradoli, i vuoti documentali, in un disegno unitario di gestione eterodiretta, compiendo l'operazione che il registro ha vietato a ogni pagina, la promozione della densità delle anomalie a prova della regia, e che il metodo delle ipotesi concorrenti smonta con un solo rilievo, la circostanza che nessun documento, in 47 anni, ha mai certificato il passaggio dall'anomalia alla condotta. La seconda è la vulgata riduzionista, che dichiara il caso chiuso nel perimetro dei giudicati e derubrica il piano secondo a rumore, compiendo l'operazione simmetrica, la rimozione di fatti certificati al Livello A che nessuna spiegazione ordinaria ha integralmente assorbito, dalla mancata verbalizzazione dei comitati alla distribuzione selettiva dei vuoti. Il registro certifica al Livello A l'esistenza e la struttura delle 2 vulgate, quali dati della storia della ricezione, e dichiara la propria posizione, che non è una terza tesi ma un'altra operazione: la tenuta simultanea di tutti i fatti certificati, ciascuno al proprio livello, senza la saldatura che la prima vulgata compie e senza la rimozione che la seconda esige, nella convinzione metodologica, ereditata dall'apparato dell'opera, che un campo manipolato si conosce soltanto rifiutando tanto la credulità del disegno quanto la credulità della coincidenza; la fase consegna questa posizione, esercitata per 10 capitoli sul materiale più sollecitante dell'opera, quale prova pratica del metodo, e rimette alla Fase 5 il giudizio se essa abbia prodotto, come il registro ritiene, più conoscenza certificata di quanta ciascuna vulgata ne abbia prodotta in mezzo secolo.</w:t>
      </w:r>
    </w:p>
    <w:p>
      <w:pPr>
        <w:spacing w:after="120" w:line="276"/>
        <w:jc w:val="both"/>
      </w:pPr>
      <w:r>
        <w:rPr>
          <w:rFonts w:ascii="Barlow Semi Condensed" w:cs="Barlow Semi Condensed" w:eastAsia="Barlow Semi Condensed" w:hAnsi="Barlow Semi Condensed"/>
          <w:sz w:val="24"/>
          <w:szCs w:val="24"/>
        </w:rPr>
        <w:t xml:space="preserve">Il tredicesimo pilastro consegna il bilancio ordinato delle 4 famiglie del piano terzo, quale quadro sinottico terminale in prosa. La famiglia del concorso operativo esterno all'azione esce dalla fase con gli elementi tecnici certificati che ne delimitano lo spazio, la precarietà logistica documentata, le munizioni ricaricate, il circuito finanziario chiuso, tutti convergenti verso l'autosufficienza, e con le sole varianti selettive logicamente sopravviventi, prive di qualsiasi elemento positivo. La famiglia del condizionamento della gestione esce con il piano secondo più denso dell'opera, la compresenza piduista, lo scioglimento dell'apparato specialistico, la mancata verbalizzazione, l'assenza di sanzioni, tutti fatti al Livello A, e con la condotta di condizionamento mai accertata, il divario tra la densità dei fatti e l'assenza della prova costituendo la fisionomia propria e permanente di questa famiglia. La famiglia dell'interferenza internazionale esce con le contrarietà pubbliche delle 2 superpotenze elevate al Livello A, con la convergenza oggettiva al Livello B, con l'unico fatto materiale della variante orientale, il caso Conforto, censito nei suoi 3 livelli, e con le 2 varianti reciprocamente escludentisi e parimenti prive di prova di condotta. La famiglia del ruolo attivo della criminalità organizzata esce con i sondaggi verso le organizzazioni certificati al Livello B quale fatto della gestione, e con ogni lettura di partecipazione o di interdizione al Livello C. Il registro certifica questo quadro quale stato terminale delle ipotesi alla chiusura della fase, e ne dichiara la funzione: esso è la mappa che la Fase 5 erediterà, con la consegna metodologica che il caso impone, la verifica di ciascuna famiglia sul grafo completo e sugli archivi ancora chiusi, e con l'avvertenza che la fase ha dimostrato, la possibilità che decenni di accertamenti spostino i livelli senza mai attraversare, in assenza di documenti nuovi, il confine tra il fatto e l'ipotesi.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ipotesi di concorso-ipotesi di condizionamento-ipotesi internazionale, è il triangolo del censimento, integralmente al Livello C con i fatti di base ai livelli propri. La seconda, Commissione del 2016-acquisizioni documentali-letture dubitative, è il triangolo dell'ultima stagione, con i fatti al Livello B e le letture al Livello C. La terza, piano primo-piano secondo-piano terzo, è il triangolo del sigillo, la formalizzazione del divieto che governa la fase. Sul piano dei pattern, il nodo compie il Pattern 6 nella sua forma più estesa, la matrice delle ipotesi concorrenti sul mandato, per ciascuna delle quali il registro ha indicato i fatti coerenti, i fatti mancanti e le evidenze che la falsificherebbero; e conferma il Pattern 5 quale cifra della fase, il caso Moro quale sistema di buchi strutturali documentati, la prigione mai trovata nei 55 giorni, gli originali mai rinvenuti, gli archivi mai aperti, attorno ai quali la conoscenza certificata si è costruita per accerchiamento.</w:t>
      </w:r>
    </w:p>
    <w:p>
      <w:pPr>
        <w:spacing w:after="120" w:line="276"/>
        <w:jc w:val="both"/>
      </w:pPr>
      <w:r>
        <w:rPr>
          <w:rFonts w:ascii="Barlow Semi Condensed" w:cs="Barlow Semi Condensed" w:eastAsia="Barlow Semi Condensed" w:hAnsi="Barlow Semi Condensed"/>
          <w:sz w:val="24"/>
          <w:szCs w:val="24"/>
        </w:rPr>
        <w:t xml:space="preserve">Le 2 inchieste parlamentari che presidiano il piano terzo esigono la loro scheda istituzionale, che il registro fissa quale cornice delle acquisizioni già graduate. La prima Commissione, istituita con legge nel novembre 1979 nella XIII legislatura repubblicana ancora ferita, operò sino al 1983 e consegnò una relazione di maggioranza accompagnata da plurime relazioni di minoranza, riflesso della frattura politica coeva sulla lettura dei 55 giorni, con un'imponente pubblicazione di allegati che resta il primo giacimento documentale organico sul caso, Livello A quanto all'attività ed agli atti. La seconda, istituita con la legge del 30 maggio 2014 nella XVII legislatura e presieduta da Giuseppe Fioroni, operò sino al dicembre 2017 con poteri d'inchiesta pieni, avvalendosi delle tecnologie d'indagine sopravvenute, dalle esumazioni digitali degli archivi alle nuove perizie balistiche e dattiloscopiche, e produsse relazioni annuali ed una mole di acquisizioni che il registro ha recepito con la doppia marcatura che la sintesi certifica, il Livello B per i documenti ed i riscontri tecnici, il Livello C per le letture ricostruttive, Livello A quanto alla scheda istituzionale. Tra le 2 stagioni corre un trentennio, e la loro giustapposizione consegna al registro un reperto di storia della conoscenza: la prima Commissione lavorò a ridosso dell'evento, con i testimoni vivi e gli archivi chiusi; la seconda a distanza di 2 generazioni, con gli archivi progressivamente aperti ed i testimoni in via di estinzione, sicché le 2 inchieste si specchiano in un chiasmo documentale, il massimo della memoria con il minimo delle carte contro il massimo delle carte con il minimo della memoria, e la conoscenza del caso, sommandole, resta strutturalmente asimmetrica: nessuna stagione ha mai disposto, insieme, dei testimoni e dei documenti. Il piano terzo abita esattamente questa asimmetria, ed il registro, che l'ha misurata, vi calibra il proprio sigillo inferenziale: dove la memoria e la carta non si sono mai incontrate, l'ipotesi non può che restare ipotesi, e dichiararlo non è rinuncia ma esattezza.</w:t>
      </w:r>
    </w:p>
    <w:p>
      <w:pPr>
        <w:spacing w:after="120" w:line="276"/>
        <w:jc w:val="both"/>
      </w:pPr>
      <w:r>
        <w:rPr>
          <w:rFonts w:ascii="Barlow Semi Condensed" w:cs="Barlow Semi Condensed" w:eastAsia="Barlow Semi Condensed" w:hAnsi="Barlow Semi Condensed"/>
          <w:sz w:val="24"/>
          <w:szCs w:val="24"/>
        </w:rPr>
        <w:t xml:space="preserve">Alle 2 Commissioni monografiche va affiancata, per completezza della mappa parlamentare, la terza sede che del caso si occupò in via continuativa: la Commissione parlamentare d'inchiesta sul terrorismo in Italia e sulle cause della mancata individuazione dei responsabili delle stragi, operante dal 1988 al 2001 attraverso 4 legislature, che dedicò al caso Moro audizioni, acquisizioni ed elaborati istruttori di grande mole, e che chiuse i propri lavori, nel marzo 2001, senza l'approvazione di una relazione finale consensuale, lasciando agli atti le bozze e le proposte di relazione elaborate nella presidenza conclusiva, Livello A quanto alla scheda istituzionale ed all'esito. Il registro assegna all'esito il valore documentale che gli è proprio: la più lunga inchiesta parlamentare della storia repubblicana sul terrorismo e sulle stragi non riuscì a consegnare al Paese una verità condivisa nemmeno nella forma minima della relazione votata, e questo esito, che non è un vuoto di lavoro ma un vuoto di consenso, certifica sul piano parlamentare ciò che il piano terzo certifica su quello giudiziario, la resistenza del caso ad ogni chiusura unitaria. Le 3 sedi, la Moro della VIII legislatura, la Stragi del tredicennio, la Moro della XVII, compongono così una serie istituzionale di 40 anni il cui prodotto aggregato il registro può finalmente descrivere con esattezza: un archivio immenso ed una conclusione assente, il massimo di documentazione con il minimo di verdetto, la forma parlamentare del paradosso che l'intera fase ha certificato piano per piano.</w:t>
      </w:r>
    </w:p>
    <w:p>
      <w:pPr>
        <w:spacing w:after="120" w:line="276"/>
        <w:jc w:val="both"/>
      </w:pPr>
      <w:r>
        <w:rPr>
          <w:rFonts w:ascii="Barlow Semi Condensed" w:cs="Barlow Semi Condensed" w:eastAsia="Barlow Semi Condensed" w:hAnsi="Barlow Semi Condensed"/>
          <w:sz w:val="24"/>
          <w:szCs w:val="24"/>
        </w:rPr>
        <w:t xml:space="preserve">Alla contabilità delle piste cadute il piano terzo deve infine il caso di scuola della sua specie più insidiosa, l'attribuzione tecnica smentita: nell'istruttoria dell'aprile 1979 sull'area dell'Autonomia organizzata, una perizia fonica attribuì a Antonio Negri la voce della telefonata del 30 aprile 1978 alla famiglia del prigioniero, che il capitolo dei 55 giorni ha censito, e su quella attribuzione, insieme all'ipotesi complessiva di una direzione occulta esterna all'organizzazione esecutrice, si costruì un capitolo d'accusa che i gradi successivi demolirono: le perizie ulteriori esclusero l'identificazione, l'ipotesi della regia esterna cadde, e Negri fu assolto in via definitiva da ogni addebito relativo al sequestro ed al caso, esito che il registro riporta per esteso in ottemperanza alla propria disciplina, ferma la distinta sorte processuale dell'imputato per i reati associativi estranei a questo nodo, Livello A quanto alla parabola dell'attribuzione, alla sua caduta ed all'assoluzione. Il registro eleva il caso a paradigma della patologia che il piano terzo deve prevenire: l'attribuzione tecnica gode, nel circuito mediatico e talvolta in quello giudiziario, di un credito anticipato che la sua successiva smentita non riesce mai a revocare per intero, e la voce del 30 aprile, restituita dall'esito processuale al suo anonimato, continuò per decenni a risuonare nella pubblicistica con il nome che le perizie le avevano tolto. La lezione è la stessa che la fase ha tratto dalla sabbia di via Caetani: il dato strumentale non parla, viene fatto parlare, e la differenza tra la scienza e il suo uso è la differenza, che l'intera opera custodisce, tra il reperto e la sentenza.</w:t>
      </w:r>
    </w:p>
    <w:p>
      <w:pPr>
        <w:spacing w:after="120" w:line="276"/>
        <w:jc w:val="both"/>
      </w:pPr>
      <w:r>
        <w:rPr>
          <w:rFonts w:ascii="Barlow Semi Condensed" w:cs="Barlow Semi Condensed" w:eastAsia="Barlow Semi Condensed" w:hAnsi="Barlow Semi Condensed"/>
          <w:sz w:val="24"/>
          <w:szCs w:val="24"/>
        </w:rPr>
        <w:t xml:space="preserve">Le carte delle commissioni conservano infine la traccia dei canali di ricerca paralleli che la politica attivò fuori dagli apparati, ed il registro ne censisce il caso documentato: il parlamentare democristiano Benito Cazora riferì alle sedi d'inchiesta di essere stato attivato, durante i 55 giorni, su canali informativi passanti per ambienti della criminalità calabrese, nel tentativo di raggiungere notizie sulla prigione attraverso circuiti che gli apparati ufficiali non controllavano, con contatti, intermediazioni e promesse di riscontri che le audizioni documentano nel loro svolgersi e nel loro nulla di fatto, Livello A quanto alle dichiarazioni rese nelle sedi parlamentari, Livello B quanto alla consistenza effettiva dei canali riferiti. Il registro assegna al reperto la sua doppia funzione: sul piano del caso, esso documenta che la ricerca del prigioniero corse anche su binari informali che presupponevano, in chi li attivava, la convinzione che il mondo criminale sapesse o potesse sapere, convinzione che è essa stessa un dato storico sulla percezione coeva delle porosità tra i domini; sul piano dell'opera, il canale Cazora è l'ennesima occorrenza del pattern che il corpus registra ad ogni crisi, la Repubblica che nelle emergenze cerca scorciatoie attraverso i poteri irregolari che nella normalità dichiara di combattere, e la circostanza che anche questa scorciatoia, come tutte quelle censite, non abbia trovato la prigione, lascia aperta la sola alternativa che il metodo consente di formulare: o i circuiti irregolari non sapevano, o non vollero dire, e tra le 2 ipotesi gli atti non permettono di scegliere.</w:t>
      </w:r>
    </w:p>
    <w:p>
      <w:pPr>
        <w:spacing w:after="120" w:line="276"/>
        <w:jc w:val="both"/>
      </w:pPr>
      <w:r>
        <w:rPr>
          <w:rFonts w:ascii="Barlow Semi Condensed" w:cs="Barlow Semi Condensed" w:eastAsia="Barlow Semi Condensed" w:hAnsi="Barlow Semi Condensed"/>
          <w:sz w:val="24"/>
          <w:szCs w:val="24"/>
        </w:rPr>
        <w:t xml:space="preserve">Il sisma istituzionale del caso non si esaurì il 9 maggio, ed il registro censisce la catena di crolli che ne seguì nell'estate: il 15 giugno 1978, a 37 giorni da via Caetani, il presidente della Repubblica Giovanni Leone si dimise, unico caso di dimissioni presidenziali della storia repubblicana sino ad allora, travolto da una campagna di stampa pluriennale legata allo scandalo Lockheed ed ai suoi contorni, nella quale non fu mai imputato di alcun reato, e dalla quale sarebbe stato pubblicamente riabilitato solo 20 anni dopo, con il riconoscimento formale dell'infondatezza delle accuse da parte dei suoi stessi accusatori politici, Livello A quanto alle dimissioni, alla mai avvenuta imputazione ed alla riabilitazione tardiva; l'8 luglio l'elezione di Sandro Pertini con la più ampia maggioranza sino ad allora registrata aprì il nuovo settennato, ed il 6 agosto morì Paolo VI, il papa dell'appello e della messa censiti, chiudendo nel giro di un'estate la triade delle massime figure che i 55 giorni avevano consumato, Livello A quanto alla sequenza. Il registro consegna la catena alla sua lettura documentale: il 1978 si portò via, in 90 giorni, il presidente del partito di maggioranza, il capo dello Stato ed il pontefice, 3 uscite di scena di natura diversissima, l'esecuzione, le dimissioni, la morte naturale, che nessuna ricostruzione può unificare in un disegno e che nondimeno produssero, cumulativamente, il più vasto ricambio simultaneo di vertici della storia repubblicana, con la conseguenza istituzionale che il capitolo annota per le fasi dell'opera: la Repubblica che avrebbe dovuto processare, indagare e ricordare il caso Moro era già, pochi mesi dopo, guidata in ogni sua magistratura suprema da uomini diversi da quelli che lo avevano vissuto, ed il caso Leone vi aggiunge la postilla che il metodo non può tacere, che nella stagione dei processi di piazza censita dal corpus anche un capo dello Stato innocente poteva essere consumato dalla macchina del discredito, con vent'anni di anticipo sulle scuse.</w:t>
      </w:r>
    </w:p>
    <w:p>
      <w:pPr>
        <w:spacing w:after="120" w:line="276"/>
        <w:jc w:val="both"/>
      </w:pPr>
      <w:r>
        <w:rPr>
          <w:rFonts w:ascii="Barlow Semi Condensed" w:cs="Barlow Semi Condensed" w:eastAsia="Barlow Semi Condensed" w:hAnsi="Barlow Semi Condensed"/>
          <w:sz w:val="24"/>
          <w:szCs w:val="24"/>
        </w:rPr>
        <w:t xml:space="preserve">Il dopo-caso possiede infine la sua fonte più instabile, che il registro censisce quale problema di metodo prima che di merito: le esternazioni pubbliche rese nei decenni successivi dal ministro dell'interno dei 55 giorni, divenuto poi capo dello Stato, che in interviste, memorie e dichiarazioni distribuite lungo 30 anni tornò ossessivamente sul caso offrendo versioni successive, integrazioni, autoaccuse e ritrattazioni parziali su snodi anche capitali della gestione, in un corpus dichiarativo postumo vasto, contraddittorio e mai organicamente verbalizzato in sede formale, Livello A quanto all'esistenza ed alla pubblicità delle dichiarazioni, Livello C quanto al contenuto di ciascuna di esse, in assenza di riscontri e stante la loro reciproca incompatibilità. Il registro assume il caso quale paradigma della propria disciplina sulle fonti tardive di apparato: il protagonista che parla per 30 anni senza mai deporre produce non una testimonianza ma un giacimento, dal quale ogni tesi può estrarre la pepita conforme, e la scelta dell'opera di non fondare alcuna ricostruzione su quel giacimento, pur censendone l'esistenza, discende dalla regola che governa l'intero corpus: una fonte che si contraddice nel tempo vale, per ciascuna delle sue versioni, quanto la versione meno affidabile, e la memoria pubblica di chi visse la stanza dei bottoni, quando non accetta il vincolo del verbale e del contraddittorio, appartiene alla storia della memoria, non alla storia dei fatti.</w:t>
      </w:r>
    </w:p>
    <w:p>
      <w:pPr>
        <w:spacing w:after="120" w:line="276"/>
        <w:jc w:val="both"/>
      </w:pPr>
      <w:r>
        <w:rPr>
          <w:rFonts w:ascii="Barlow Semi Condensed" w:cs="Barlow Semi Condensed" w:eastAsia="Barlow Semi Condensed" w:hAnsi="Barlow Semi Condensed"/>
          <w:sz w:val="24"/>
          <w:szCs w:val="24"/>
        </w:rPr>
        <w:t xml:space="preserve">La storia delle commissioni possiede infine la sua figura di cerniera con la conservazione documentale, che il registro censisce per dovere verso la propria stessa genealogia: il senatore Sergio Flamigni, componente delle inchieste parlamentari sul caso e sulla loggia, dedicò i decenni successivi al mandato alla ricostruzione documentale della vicenda, edificando attorno al proprio lavoro un fondo archivistico privato poi costituito in ente, destinato alla raccolta, alla conservazione ed alla consultazione pubblica delle carte sul terrorismo e sulla stagione delle stragi, divenuto uno dei poli documentali civili di riferimento della materia, Livello A quanto ai ruoli istituzionali ed all'esistenza e funzione dell'istituto archivistico. Il registro consegna la parabola alla sua lezione conclusiva sul capitolo: mentre gli archivi degli apparati censiti dall'opera si aprivano per direttive revocabili e con le lacune documentate, la memoria documentale del caso trovò la propria continuità anche in istituzioni nate dalla dedizione individuale di chi aveva servito nelle inchieste, e questa supplenza civile della funzione archivistica pubblica, che il corpus registra qui nel suo esemplare maggiore, chiude il capitolo delle commissioni con il suo lascito meno visibile e più durevole: le commissioni passano, le relazioni si impolverano, ma le carte raccolte da chi non smise di cercarle restano, ed è su fondi come questo che ogni opera futura, inclusa la presente, potrà verificare, correggere e proseguire ciò che le aule e le aule parlamentari hanno lasciato a metà.</w:t>
      </w:r>
    </w:p>
    <w:p>
      <w:pPr>
        <w:spacing w:after="120" w:line="276"/>
        <w:jc w:val="both"/>
      </w:pPr>
      <w:r>
        <w:rPr>
          <w:rFonts w:ascii="Barlow Semi Condensed" w:cs="Barlow Semi Condensed" w:eastAsia="Barlow Semi Condensed" w:hAnsi="Barlow Semi Condensed"/>
          <w:sz w:val="24"/>
          <w:szCs w:val="24"/>
        </w:rPr>
        <w:t xml:space="preserve">Le direttrici istruttorie della seconda commissione esigono il loro censimento sintetico, perché il registro deve dare conto di dove la stagione 2014-2017 abbia effettivamente spinto la frontiera: i lavori si concentrarono sulla revisione tecnica della scena di via Fani, con le ricomparazioni dattiloscopiche e balistiche censite, sull'ipotesi di presenze estranee al commando sulla scena, alimentata da testimonianze e consulenze nuove, sul vaglio dei livelli di allarme disponibili agli apparati prima del 16 marzo e sulla geografia della prigionia, producendo un'imponente attività di audizione, perizia ed acquisizione i cui esiti hanno accresciuto il patrimonio indiziario su più snodi senza tradursi in modifiche del quadro giudiziario definitivo, che resta quello consegnato dai 5 cicli processuali, Livello A quanto ai lavori svolti ed ai materiali prodotti, Livello C quanto alle ipotesi ricostruttive alternative ivi esplorate e non certificate. Il registro consegna il bilancio alla propria disciplina conclusiva: la seconda commissione ha funzionato da grande istruttoria documentale postuma, spostando molte cose dal non cercato al cercato e alcune dal Livello C al Livello B, nessuna dal B all'A, e questo rendimento, che i critici lessero quale fallimento ed i promotori quale semina, è per il metodo dell'opera semplicemente la misura fisiologica di ciò che un organo parlamentare può ottenere a 40 anni dai fatti, quando i testi sono memoria e i reperti sono archivio: può ancora migliorare le domande, quasi mai le risposte, e l'opera, che delle sue carte si è largamente servita, ne registra il lascito per quello che è, il più grande investimento della Repubblica nel dubbio organizzato.</w:t>
      </w:r>
    </w:p>
    <w:p>
      <w:pPr>
        <w:spacing w:after="120" w:line="276"/>
        <w:jc w:val="both"/>
      </w:pPr>
      <w:r>
        <w:rPr>
          <w:rFonts w:ascii="Barlow Semi Condensed" w:cs="Barlow Semi Condensed" w:eastAsia="Barlow Semi Condensed" w:hAnsi="Barlow Semi Condensed"/>
          <w:sz w:val="24"/>
          <w:szCs w:val="24"/>
        </w:rPr>
        <w:t xml:space="preserve">La fenomenologia del dopo-caso include infine la teoria che il registro censisce non quale ipotesi ma quale oggetto di studio: la figura del Grande Vecchio, il supposto regista occulto superiore alla stessa organizzazione, evocata pubblicamente sin dai primi anni Ottanta da protagonisti politici di primo piano e divenuta il paradigma popolare del caso, non ha mai ricevuto, in 5 cicli processuali e 2 commissioni dedicate, un solo riscontro che la elevasse dal rango di suggestione, Livello A quanto alla circolazione pubblica della teoria ed alla sua sterilità processuale integrale, Livello C permanente quanto al suo contenuto. Il registro la censisce per la funzione che essa ha svolto nell'ecologia del caso, e che è documentabile: la teoria del burattinaio unico ha operato per decenni quale grande semplificatrice, assorbendo in una figura immaginaria singola la complessità reale delle convergenze, delle omissioni e delle zone grigie che il corpus ha censito una per una, e producendo il duplice danno che il metodo registra, la delusione ricorrente di chi cercava un nome solo dove c'era un sistema, e l'alibi speculare di chi poteva liquidare ogni domanda legittima quale dietrologia; sicché l'ultima operazione di metodo che il capitolo consegna è lo scioglimento della falsa alternativa che ha imprigionato il dibattito per 40 anni: tra il Grande Vecchio e la verità ufficiale esiste il terzo oggetto, che è quello che questa fase ha ricostruito, un caso senza regista unico e senza innocenza di sistema, dove nessuno mosse tutti i fili e molti, documentatamente, non tirarono i propri.</w:t>
      </w:r>
    </w:p>
    <w:p>
      <w:pPr>
        <w:spacing w:after="120" w:line="276"/>
        <w:jc w:val="both"/>
      </w:pPr>
      <w:r>
        <w:rPr>
          <w:rFonts w:ascii="Barlow Semi Condensed" w:cs="Barlow Semi Condensed" w:eastAsia="Barlow Semi Condensed" w:hAnsi="Barlow Semi Condensed"/>
          <w:sz w:val="24"/>
          <w:szCs w:val="24"/>
        </w:rPr>
        <w:t xml:space="preserve">Le esternazioni pluridecennali del ministro dell'interno dei 55 giorni costituiscono un corpus a sé, che il registro censisce quale fonte e quale sintomo: dalle dimissioni del 9 maggio sino alla morte nel 2010, l'uomo tornò pubblicamente sul caso per 32 anni, in interviste, libri conversazione ed audizioni, con autoaccuse morali reiterate, ricostruzioni variabili e allusioni mai formalizzate a saperi non detti, componendo la più vasta testimonianza volontaria che un protagonista istituzionale del caso abbia mai prodotto, ed insieme la meno utilizzabile, poiché resa fuori da ogni sede di verbalizzazione vincolante e con oscillazioni che gli atti delle commissioni registrano, Livello A quanto all'esistenza ed alla natura del corpus dichiarativo, Livello C permanente quanto ai contenuti allusivi mai riscontrati. Il registro consegna la figura alla sua funzione epistemologica: il ministro che si processò da solo per 3 decenni, senza che nessun processo reale lo raggiungesse mai, incarna la modalità italiana della confessione impossibile, il dire continuamente di sapere senza mai dire che cosa, e l'opera, che delle sue parole ha usato solo quanto trovò riscontro, registra il resto per ciò che è, il più lungo monologo della coscienza istituzionale della Repubblica, prezioso quale sismografo del peso portato, inservibile quale mappa del peso stesso.</w:t>
      </w:r>
    </w:p>
    <w:p>
      <w:pPr>
        <w:spacing w:after="120" w:line="276"/>
        <w:jc w:val="both"/>
      </w:pPr>
      <w:r>
        <w:rPr>
          <w:rFonts w:ascii="Barlow Semi Condensed" w:cs="Barlow Semi Condensed" w:eastAsia="Barlow Semi Condensed" w:hAnsi="Barlow Semi Condensed"/>
          <w:sz w:val="24"/>
          <w:szCs w:val="24"/>
        </w:rPr>
        <w:t xml:space="preserve">Il capitolo conclusivo esige infine il bilancio classificatorio dell'intero caso secondo la scala dell'opera, che il registro formula quale inventario terminale: appartengono al Livello A, inamovibili, la dinamica materiale dell'agguato, l'identità dei membri dell'organizzazione condannati nei 5 cicli, la sequenza dei 55 giorni, il corpus autentico del carteggio e la responsabilità rivendicata ed accertata dell'esecuzione; stazionano al Livello B, documentati ma non chiusi, la completezza della lista dei presenti in via Fani, la geografia integrale della prigionia, la portata delle omissioni di apparato censite e la consistenza dei canali paralleli; permangono al Livello C, dopo 5 processi e 2 commissioni, le ipotesi sui livelli superiori, le letture internazionali del movente e le ricostruzioni alternative della decisione finale. Il registro consegna l'inventario alla sua funzione ultima, che è la ragione stessa della fase: il caso Moro non è un mistero, come la vulgata ripete, né un caso chiuso, come la stanchezza vorrebbe, è un oggetto storiografico a 3 strati di solidità diversa, e la maturità del Paese davanti al proprio trauma capitale si misura esattamente dalla capacità di tenere i 3 strati distinti, difendendo il primo dai revisionismi, lavorando il secondo con gli archivi, e custodendo il terzo senza né adorarlo né deriderlo, perché è nel terzo strato che abitano, insieme, le domande sbagliate e quelle che un documento ancora chiuso potrebbe, un giorno, promuovere.</w:t>
      </w:r>
    </w:p>
    <w:p>
      <w:pPr>
        <w:spacing w:after="120" w:line="276"/>
        <w:jc w:val="both"/>
      </w:pPr>
      <w:r>
        <w:rPr>
          <w:rFonts w:ascii="Barlow Semi Condensed" w:cs="Barlow Semi Condensed" w:eastAsia="Barlow Semi Condensed" w:hAnsi="Barlow Semi Condensed"/>
          <w:sz w:val="24"/>
          <w:szCs w:val="24"/>
        </w:rPr>
        <w:t xml:space="preserve">La fase si chiude dichiarando la propria funzione nell'architettura dell'opera, che il registro esplicita quale nota di raccordo: il caso Moro è la cerniera materiale del corpus, il punto nel quale i fili censiti nelle altre fasi si annodano in un solo evento, poiché la loggia della fase prima vi compare con i suoi uomini negli apparati dei 55 giorni, le strutture della fase seconda vi operano con le omissioni e le presenze censite, la stagione della fase terza vi consegna il metodo della violenza politica giunto a maturità, ed il teatro della fase quinta vi proietta le sue geometrie di campo, sicché nessuna delle 5 fasi si legge per intero senza le altre 4, Livello A quanto alle intersezioni documentate nei rispettivi capitoli. Il registro consegna l'architettura alla sua giustificazione ultima: l'opera ha scelto di dedicare al caso la propria fase più estesa non per la gerarchia del lutto, che non ammette classifiche, ma per la sua funzione di esperimento cruciale, il solo evento del corpus nel quale tutti i domini censiti furono simultaneamente attivi ed osservabili, e dunque il banco di prova sul quale l'intero metodo, i Livelli, i Pattern, la Regola Ferrea, lo Stato Zero, doveva dimostrare di reggere, perché un metodo che avesse funzionato ovunque tranne che sul caso capitale non sarebbe stato un metodo, sarebbe stato un girare attorno.</w:t>
      </w:r>
    </w:p>
    <w:p>
      <w:pPr>
        <w:spacing w:after="120" w:line="276"/>
        <w:jc w:val="both"/>
      </w:pPr>
      <w:r>
        <w:rPr>
          <w:rFonts w:ascii="Barlow Semi Condensed" w:cs="Barlow Semi Condensed" w:eastAsia="Barlow Semi Condensed" w:hAnsi="Barlow Semi Condensed"/>
          <w:sz w:val="24"/>
          <w:szCs w:val="24"/>
        </w:rPr>
        <w:t xml:space="preserve">Il caso possiede infine la sua geografia archivistica, che il registro censisce quale mappa di servizio per chi verrà: gli atti dei 5 cicli processuali giacciono presso gli uffici giudiziari romani e, per le annate versate, presso l'archivio di Stato, le carte delle 2 commissioni dedicate e delle inchieste generaliste sono conservate negli archivi storici parlamentari con i regimi di consultabilità propri di ciascun fondo, i materiali declassificati per direttiva confluiscono nel versamento straordinario censito, e la documentazione civile si concentra nei poli privati costituiti in ente, in una dispersione ordinata che nessun soggetto unico governa, Livello A quanto alla mappa dei fondi. Il registro consegna la mappa alla sua implicazione: il caso Moro non possiede un archivio, ne possiede almeno 5, separati per genesi istituzionale e per regole di accesso, e questa frammentazione, che rispecchia la divisione dei poteri da cui i fondi provengono, è insieme una garanzia, perché nessuna mano sola può chiudere ciò che nessuna mano sola custodisce, ed una condanna al lavoro, perché ogni ricerca futura dovrà, come la presente, ricomporre da sedi diverse ciò che la storia ha prodotto insieme, sicché l'ultimo lascito del capitolo è un'avvertenza di metodo ai successori: sul caso capitale della Repubblica, la verità non è nascosta in un armadio, è distribuita in un sistema, e si conquista non forzando serrature ma percorrendo, con pazienza, tutti i corridoi.</w:t>
      </w:r>
    </w:p>
    <w:p>
      <w:pPr>
        <w:spacing w:after="120" w:line="276"/>
        <w:jc w:val="both"/>
      </w:pPr>
      <w:r>
        <w:rPr>
          <w:rFonts w:ascii="Barlow Semi Condensed" w:cs="Barlow Semi Condensed" w:eastAsia="Barlow Semi Condensed" w:hAnsi="Barlow Semi Condensed"/>
          <w:sz w:val="24"/>
          <w:szCs w:val="24"/>
        </w:rPr>
        <w:t xml:space="preserve">La fase si congeda come si era aperta, restituendo l'ultima parola ai nomi, perché il registro non consente che 10 capitoli di analisi seppelliscano sotto le proprie categorie le persone per le quali esistono: Oreste Leonardi, Domenico Ricci, Raffaele Iozzino, Giulio Rivera, Francesco Zizzi, i 5 uomini della scorta caduti in via Fani il 16 marzo 1978, ed Aldo Moro, ucciso il 9 maggio dopo 55 giorni di prigionia, Livello A assoluto, il solo enunciato dell'intera fase che nessuna scoperta futura potrà mai retrocedere. Il registro affida ai 6 nomi la funzione che nessun pattern può assolvere: tutto ciò che questa fase ha censito, le reti, le omissioni, i livelli, le ipotesi, sta al di qua di una soglia che i nomi presidiano, perché le strutture si studiano ma i morti si rispondono, e la differenza tra un'opera di analisi ed un esercizio di stile è tutta nella direzione dello sguardo finale, che qui si volge, come in ogni fase di questo lavoro, non alle proprie architetture ma alle 6 vite che il 1978 sottrasse alla Repubblica, con la sola promessa che un registro possa mantenere: che ogni sua riga futura, correggendosi, aggiungendosi ed anche smentendosi, resterà scritta per loro, nella convinzione che la conoscenza, quando è onesta sui propri limiti, sia l'unica forma di giustizia che non prescrive.</w:t>
      </w:r>
    </w:p>
    <w:p>
      <w:pPr>
        <w:spacing w:after="120" w:line="276"/>
        <w:jc w:val="both"/>
      </w:pPr>
      <w:r>
        <w:rPr>
          <w:rFonts w:ascii="Barlow Semi Condensed" w:cs="Barlow Semi Condensed" w:eastAsia="Barlow Semi Condensed" w:hAnsi="Barlow Semi Condensed"/>
          <w:sz w:val="24"/>
          <w:szCs w:val="24"/>
        </w:rPr>
        <w:t xml:space="preserve">L'ecosistema documentale del caso comprende infine la famiglia registrale che la triangolazione ha censito quale architettura parallela: accanto al presente volume, il corpus di progetto conserva una federazione di registri autonomi sul medesimo caso, il registro analitico giunto alla sua dodicesima edizione, il registro di scavo, il registro speculare ed il registro genetico, coordinati da un codice relazionale e da un protocollo dei passaggi che ne disciplinano le trasmissioni, Livello A quale esistenza ed architettura della federazione. Il registro consegna la coesistenza alla sua giustificazione epistemologica: il caso capitale della Repubblica esige di essere lavorato simultaneamente da angolazioni metodologiche diverse, la rete dei nodi, lo scavo stratigrafico, il rovesciamento speculare, la genealogia delle fonti, e la federazione per riferimento, che collega i registri senza fonderli, realizza sul piano documentale il principio che l'intera opera professa sul piano analitico, la molteplicità disciplinata degli sguardi su un oggetto che nessuno sguardo singolo esaurisce, sicché questo volume non è l'opera unica sul caso, è la voce narrativa di un sistema di registri che si verificano a vicenda, e la sua autorità, nell'edizione definitiva, non discende dall'essere solo, discende dall'avere retto il confronto con tutti gli altri.</w:t>
      </w:r>
    </w:p>
    <w:p>
      <w:pPr>
        <w:spacing w:after="120" w:line="276"/>
        <w:jc w:val="both"/>
      </w:pPr>
      <w:r>
        <w:rPr>
          <w:rFonts w:ascii="Barlow Semi Condensed" w:cs="Barlow Semi Condensed" w:eastAsia="Barlow Semi Condensed" w:hAnsi="Barlow Semi Condensed"/>
          <w:sz w:val="24"/>
          <w:szCs w:val="24"/>
        </w:rPr>
        <w:t xml:space="preserve">L'edizione definitiva reca infine il sigillo della propria verifica esterna, che il registro dichiara quale statuto: l'intero volume è stato sottoposto a triangolazione sistematica contro un registro di verifica indipendente giunto, con la settima tranche ad esso dedicata, a 438 blocchi certificati, che ne ha saggiato gli enunciati contro il corpus di progetto, contro le fonti parlamentari primarie e contro i giudicati, blocco per blocco e sinapsi per sinapsi, senza che emergesse una sola contraddizione fattuale certificata, con la conferma integrale degli Stati Zero quali risultati e con l'aggiornamento della matrice delle ipotesi in competizione nel senso che il capitolo ha argomentato, la convergenza policentrica contro la forma forte del disegno unitario, Livello A quale esito documentato della campagna di verifica. Il registro consegna il sigillo al suo significato esatto, che la disciplina impone di non gonfiare: la triangolazione superata non rende vera l'opera, la rende verificata, che è cosa diversa e minore, e certifica soltanto che, allo stato delle fonti disponibili, ogni suo enunciato regge al livello dichiarato, sicché l'edizione definitiva non chiude il caso né l'opera, chiude un ciclo di verifica, e si consegna al lettore ed agli archivi futuri con l'unica promessa che un metodo onesto possa fare: di essere falsificabile in ogni riga, e di avere indicato, per ogni riga, dove andare a provare.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 piano terzo censisce in 4 famiglie le ipotesi di mandato e concorso esterno, tutte ferme al Livello C con i rispettivi fatti di base certificati ai livelli propri; recepisce al Livello B le acquisizioni documentali della Commissione della XVII legislatura e al Livello C le sue letture dubitative; e appone il sigillo della fase, la distinzione perpetua dei 3 piani, con il piano primo saturo di giudicati, il piano secondo denso di opacità certificate e il piano terzo integralmente ipotetico, chiudendo la lente della doppia lealtà con la dichiarazione del suo valore euristico e della sua nullità probatoria.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4</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ordinato per piani e per versanti, gli archi, le triangolazioni e gli esiti certificati nella fase, con la funzione di riferimento citabile stabilita dai repertori precedenti.</w:t>
      </w:r>
    </w:p>
    <w:p>
      <w:pPr>
        <w:spacing w:after="120" w:line="276"/>
        <w:jc w:val="both"/>
      </w:pPr>
      <w:r>
        <w:rPr>
          <w:rFonts w:ascii="Barlow Semi Condensed" w:cs="Barlow Semi Condensed" w:eastAsia="Barlow Semi Condensed" w:hAnsi="Barlow Semi Condensed"/>
          <w:sz w:val="24"/>
          <w:szCs w:val="24"/>
        </w:rPr>
        <w:t xml:space="preserve">Il primo versante è il piano primo, quello degli esecutori giudicati. Vi appartengono: la deliberazione dell'operazione da parte della direzione strategica delle Brigate Rosse e la direzione esecutiva di Mario Moretti, certificate al Livello A dai 5 procedimenti irrevocabili; la composizione giudicata del commando di via Fani e dei ruoli di supporto, al Livello A; la custodia di via Montalcini 8 nelle persone di Braghetti, Maccari, Gallinari e Moretti, al Livello A, con l'identificazione di Maccari sopravvenuta soltanto nel 1993; l'esecuzione del 9 maggio per mano di Moretti con il concorso degli uomini della prigione, al Livello A; e la deliberazione finale non unanime, con il dissenso documentato di una parte della colonna, al Livello A.</w:t>
      </w:r>
    </w:p>
    <w:p>
      <w:pPr>
        <w:spacing w:after="120" w:line="276"/>
        <w:jc w:val="both"/>
      </w:pPr>
      <w:r>
        <w:rPr>
          <w:rFonts w:ascii="Barlow Semi Condensed" w:cs="Barlow Semi Condensed" w:eastAsia="Barlow Semi Condensed" w:hAnsi="Barlow Semi Condensed"/>
          <w:sz w:val="24"/>
          <w:szCs w:val="24"/>
        </w:rPr>
        <w:t xml:space="preserve">Al primo versante appartengono altresì: la scansione dei 5 procedimenti, dal primo del 24 gennaio 1983 con 32 ergastoli al quinto del 1998 con la condanna di Maccari a 26 anni, al Livello A; la conduzione unipersonale degli interrogatori della prigione da parte di Moretti, al Livello A, con l'esistenza delle registrazioni su nastro al Livello B e la loro sparizione censita quale vuoto; la Risoluzione della direzione strategica del febbraio 1978, pubblicata prima dell'azione, al Livello A; la composizione in 9 componenti accertati del nucleo di via Fani, al Livello A, con le latitanze perpetue di Casimirri in Nicaragua e di Lojacono in Svizzera; la telefonata registrata di Moretti a Eleonora Moro del 30 aprile 1978, al Livello A; e la campagna militare contestuale delle colonne, con gli omicidi di Rosario Berardi, Lorenzo Cutugno e Francesco Di Cataldo, al Livello A. Vi appartengono infine il finanziamento dell'operazione con la provvista del riscatto del sequestro Costa del 1977, ivi compreso l'acquisto di via Montalcini, al Livello A, e la composizione dell'Esecutivo della stagione, Moretti, Micaletto, Azzolini e Bonisoli, con le catture integrali tra il 1978 e il 1981, al Livello A.</w:t>
      </w:r>
    </w:p>
    <w:p>
      <w:pPr>
        <w:spacing w:after="120" w:line="276"/>
        <w:jc w:val="both"/>
      </w:pPr>
      <w:r>
        <w:rPr>
          <w:rFonts w:ascii="Barlow Semi Condensed" w:cs="Barlow Semi Condensed" w:eastAsia="Barlow Semi Condensed" w:hAnsi="Barlow Semi Condensed"/>
          <w:sz w:val="24"/>
          <w:szCs w:val="24"/>
        </w:rPr>
        <w:t xml:space="preserve">Il secondo versante è il piano secondo, quello della condotta certificata. Vi appartengono: la linea della fermezza e l'architettura dei comitati di crisi, al Livello A; la compresenza piduista ai vertici informativi dei comitati, nelle persone già certificate nella Fase 2, al Livello A con divieto inferenziale dichiarato; la sequenza fattuale di via Gradoli, dalla seduta del 2 aprile alla scoperta del 18 aprile per la perdita d'acqua, al Livello A; la falsità e l'effetto diversivo del comunicato del lago della Duchessa, al Livello A, con l'attribuzione della confezione ad Antonio Chichiarelli al Livello B, arco documentato verso l'orbita della banda della Magliana; l'esistenza dei sondaggi verso la criminalità organizzata per la localizzazione della prigione, al Livello B; la presenza del colonnello Guglielmi nelle vicinanze di via Fani la mattina dell'agguato, al Livello A quanto al fatto e al Livello C quanto al significato; i 2 ritrovamenti di via Monte Nevoso, del 1 ottobre 1978 e del 9 ottobre 1990, al Livello A, con le questioni della completezza e dell'intenzionalità della mancata scoperta al Livello C; e l'elevazione al Livello B dell'enunciato del prigioniero sulle strutture di emergenza atlantiche, quale dichiarazione riscontrata dalla rivelazione indipendente del 1990.</w:t>
      </w:r>
    </w:p>
    <w:p>
      <w:pPr>
        <w:spacing w:after="120" w:line="276"/>
        <w:jc w:val="both"/>
      </w:pPr>
      <w:r>
        <w:rPr>
          <w:rFonts w:ascii="Barlow Semi Condensed" w:cs="Barlow Semi Condensed" w:eastAsia="Barlow Semi Condensed" w:hAnsi="Barlow Semi Condensed"/>
          <w:sz w:val="24"/>
          <w:szCs w:val="24"/>
        </w:rPr>
        <w:t xml:space="preserve">Al secondo versante appartengono altresì: la presenza e la durata della consulenza dell'esperto americano presso il comitato di crisi, al Livello A quanto ai fatti e al Livello C quanto alle sue dichiarazioni tardive; la sproporzione tra la minaccia segnalata e la protezione accordata al presidente, al Livello A; la configurazione delle intestazioni di via Gradoli riconducibili ad ambienti degli apparati, al Livello B; le dimissioni del ministro dell'interno del 9 maggio, al Livello A; la filiera internazionale di armi e relazioni dell'organizzazione, con il canale palestinese e la prassi di non belligeranza nota quale lodo, al Livello B; e la dimensione vaticana, con la lettera pubblica del pontefice al Livello A e l'esplorazione riservata del riscatto al Livello B.</w:t>
      </w:r>
    </w:p>
    <w:p>
      <w:pPr>
        <w:spacing w:after="120" w:line="276"/>
        <w:jc w:val="both"/>
      </w:pPr>
      <w:r>
        <w:rPr>
          <w:rFonts w:ascii="Barlow Semi Condensed" w:cs="Barlow Semi Condensed" w:eastAsia="Barlow Semi Condensed" w:hAnsi="Barlow Semi Condensed"/>
          <w:sz w:val="24"/>
          <w:szCs w:val="24"/>
        </w:rPr>
        <w:t xml:space="preserve">Al secondo versante appartengono infine: la compresenza piduista nell'organo di consulenza, nella persona di Franco Ferracuti iscritto alla P2, al Livello A con divieto inferenziale; lo scioglimento dell'Ispettorato antiterrorismo di Santillo alla vigilia della crisi, al Livello A; la meccanica idraulica della scoperta di via Gradoli del 18 aprile, al Livello A, con la sua coincidenza di calendario con il falso della Duchessa; i numeri della macchina delle ricerche, oltre 72.000 posti di blocco e circa 37.000 perquisizioni con esito investigativo nullo, al Livello A; il decreto-legge emergenziale del 21 marzo 1978, al Livello A; la costruzione pubblica della tesi della coartazione e la sua falsificazione filologica sul corpus, al Livello A; e la condotta amplificatrice del sistema informativo in assenza di misure di contenimento, al Livello A.</w:t>
      </w:r>
    </w:p>
    <w:p>
      <w:pPr>
        <w:spacing w:after="120" w:line="276"/>
        <w:jc w:val="both"/>
      </w:pPr>
      <w:r>
        <w:rPr>
          <w:rFonts w:ascii="Barlow Semi Condensed" w:cs="Barlow Semi Condensed" w:eastAsia="Barlow Semi Condensed" w:hAnsi="Barlow Semi Condensed"/>
          <w:sz w:val="24"/>
          <w:szCs w:val="24"/>
        </w:rPr>
        <w:t xml:space="preserve">Il terzo versante è il piano terzo, quello delle ipotesi censite. Vi appartengono, tutte al Livello C con i fatti di base ai livelli propri: le ipotesi di concorso operativo esterno all'azione; le ipotesi di condizionamento della gestione; le 2 varianti dell'ipotesi di interferenza internazionale, reciprocamente escludentisi, con le contrarietà politiche delle 2 superpotenze al progetto moroteo certificate nelle loro manifestazioni pubbliche e ufficiali al Livello A, la dichiarazione del Dipartimento di Stato del 12 gennaio 1978 e la polemica sovietica anti-eurocomunista dal 1976, e al Livello B nelle loro componenti riservate, quali fatti di base; e le ipotesi sul ruolo attivo della criminalità organizzata nel sequestro. Vi appartiene altresì la recezione delle acquisizioni della Commissione della XVII legislatura, con i fatti documentali al Livello B e le letture dubitative al Livello C.</w:t>
      </w:r>
    </w:p>
    <w:p>
      <w:pPr>
        <w:spacing w:after="120" w:line="276"/>
        <w:jc w:val="both"/>
      </w:pPr>
      <w:r>
        <w:rPr>
          <w:rFonts w:ascii="Barlow Semi Condensed" w:cs="Barlow Semi Condensed" w:eastAsia="Barlow Semi Condensed" w:hAnsi="Barlow Semi Condensed"/>
          <w:sz w:val="24"/>
          <w:szCs w:val="24"/>
        </w:rPr>
        <w:t xml:space="preserve">Vi appartiene, quale unico fatto materiale documentato toccato dalla variante orientale, il caso Conforto: l'arresto di Morucci e Faranda il 29 maggio 1979 nella casa di Giuliana Conforto, con il sequestro della mitraglietta Skorpion dell'esecuzione, al Livello A, e la qualità di agente sovietico di lungo corso del padre Giorgio Conforto, schedato quale Dario nelle carte dell'archivio Mitrokhin recepite in sede parlamentare, al Livello B, con ogni lettura del nesso al Livello C. Vi appartiene altresì la contestualità del sequestro con le elezioni legislative francesi del 12 e 19 marzo 1978, al Livello A quanto al calendario e al Livello C quanto a ogni collegamento.</w:t>
      </w:r>
    </w:p>
    <w:p>
      <w:pPr>
        <w:spacing w:after="120" w:line="276"/>
        <w:jc w:val="both"/>
      </w:pPr>
      <w:r>
        <w:rPr>
          <w:rFonts w:ascii="Barlow Semi Condensed" w:cs="Barlow Semi Condensed" w:eastAsia="Barlow Semi Condensed" w:hAnsi="Barlow Semi Condensed"/>
          <w:sz w:val="24"/>
          <w:szCs w:val="24"/>
        </w:rPr>
        <w:t xml:space="preserve">Il quarto versante è quello dei nodi satellite. Vi appartengono: la certificazione di Livello A di Hyperion quanto all'esistenza, alla sede del Quai de la Tournelle 27, alla copertura didattica reale e alla genealogia comune con l'organizzazione esecutrice nel ceppo milanese; i contatti dei fondatori con gli snodi dell'estremismo europeo al Livello B, e le funzioni di centrale e ogni ruolo nel sequestro al Livello C, con l'assenza di condanne certificata; il reperto comparativo Aginter-Hyperion, isomorfismo di Livello A senza connessione operativa documentata; le pubblicazioni e anticipazioni di Pecorelli sul caso, al Livello A, con la derivazione da accesso riservato al Livello B; l'assoluzione definitiva di Andreotti e Badalamenti per l'omicidio Pecorelli, pronunciata dalla Cassazione il 30 ottobre 2003, riportata per esteso, con l'omicidio privo di qualsiasi condannato e l'ipotesi del movente moroteo al Livello C nella qualificazione aggravata; la duplice intersezione di Chichiarelli, comunicato del lago della Duchessa e borsello dell'aprile 1979, al Livello B; il doppio fronte di Dalla Chiesa, antiterrorismo e antimafia, al Livello A, con il mandato mafioso del suo assassinio giudicato in via irrevocabile, tra i condannati per la terza volta Giuseppe Calò; le denunce di isolamento del prefetto al Livello A e la controversia sui suoi materiali documentali al Livello B, con ogni lettura di concorsi esterni al Livello C.</w:t>
      </w:r>
    </w:p>
    <w:p>
      <w:pPr>
        <w:spacing w:after="120" w:line="276"/>
        <w:jc w:val="both"/>
      </w:pPr>
      <w:r>
        <w:rPr>
          <w:rFonts w:ascii="Barlow Semi Condensed" w:cs="Barlow Semi Condensed" w:eastAsia="Barlow Semi Condensed" w:hAnsi="Barlow Semi Condensed"/>
          <w:sz w:val="24"/>
          <w:szCs w:val="24"/>
        </w:rPr>
        <w:t xml:space="preserve">Al quarto versante appartengono altresì: il precedente MiFoBiali quale certificazione dell'accesso di Pecorelli al livello più riservato degli apparati, al Livello A; la stagione istruttoria veneziana di Mastelloni sui canali internazionali dell'organizzazione, con i proseguimenti sul capitolo Hyperion, al Livello A; il contesto ordinamentale francese della non estradizione quale causa documentata dell'inaccessibilità di Hyperion, al Livello A; i rapporti di Pecorelli con l'orbita gelliana e i relativi flussi, al Livello B; la serie degli omicidi eccellenti romani del 1979, Pecorelli, Varisco e Ambrosoli, quale finestra critica del Pattern 3, con le date al Livello A e ogni regia comune al Livello C; l'annotazione autografa di Dalla Chiesa del 5 aprile 1982 sull'incontro con Andreotti, prodotta al processo di Palermo, al Livello A; gli esecutori dell'omicidio del prefetto identificati per via confessoria negli anni Novanta, tra cui Antonino Madonia condannato in via definitiva, al Livello A; e il contesto della seconda guerra di mafia, con gli omicidi di Mattarella, Giuliano, Costa e La Torre con Di Salvo, al Livello A.</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documentali, che la fase eleva a categoria censita: le 5 borse del presidente, sottratte in via Fani e mai recuperate; la prigione mai individuata durante i 55 giorni, nonostante lo spiegamento certificato; gli originali manoscritti del memoriale e le registrazioni degli interrogatori mai rinvenuti; gli archivi di Hyperion mai aperti; e le carte controverse di Dalla Chiesa. I 5 vuoti sono certificati quali assenze documentate, e la loro ricorrenza è assunta quale pattern proprio della fase.</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Gli esiti assolutori definitivi riportati per esteso nella fase sono quelli di Giulio Andreotti e Gaetano Badalamenti per l'omicidio Pecorelli, unitamente agli esiti assolutori degli altri imputati del medesimo processo; il registro richiama altresì, dai capitoli, l'assenza di ogni condanna a carico dei fondatori di Hyperion. Le condanne irrevocabili certificate nella fase sono quelle dei dirigenti, degli esecutori e dei custodi del sequestro Moro nei 5 procedimenti, tra cui Moretti, Morucci, Fiore, Bonisoli, Gallinari, Seghetti, Faranda, Balzerani, Braghetti e Maccari; e quelle dei mandanti e degli esecutori dell'assassinio di Dalla Chiesa, Setti Carraro e Russo. Le vittime nominate della fase sono, quale nucleo del caso, 9: i 5 uomini della scorta di via Fani, Oreste Leonardi, Domenico Ricci, Francesco Zizzi, Giulio Rivera e Raffaele Iozzino; Aldo Moro; Mino Pecorelli; Emanuela Setti Carraro e Domenico Russo, con Carlo Alberto Dalla Chiesa. A esse la fase aggiunge le vittime collegate nominate nei capitoli, quali termini certificati del contesto: Placido Rizzotto, Francesco Coco con Giovanni Saponara e Antioco Deiana, Carlo Casalegno, Rosario Berardi, Lorenzo Cutugno, Francesco Di Cataldo, Giuseppe Impastato, Antonio Varisco, Giorgio Ambrosoli, Roberto Peci, Roberto Ruffilli, Piersanti Mattarella, Boris Giuliano, Gaetano Costa e Pio La Torre con Rosario Di Salvo, oltre ai 4 militanti caduti nell'irruzione di via Fracchia; il registro le nomina tutte quale atto dovuto, distinguendo il nucleo del caso dalle vittime di contesto senza sottrarre a nessuna la menzione.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60 tra archi, triangolazioni ed esiti certificati nella fase, distribuiti sui 5 versanti e sorretti da un apparato di oltre 130 pilastri documentali e 30 triangolazioni nodali, ordinati secondo i 3 piani della decomposizione e i versanti satellite, con 1 blocco assolutorio definitivo riportato per esteso, 2 blocchi di condanne irrevocabili, 5 buchi strutturali documentali censiti quale categoria propria, il nucleo di 9 vittime del caso e le vittime collegate nominate dei capitoli; esso costituisce d'ora innanzi il riferimento citabile per ogni richiamo interno dell'opera al sottografo del caso Moro.</w:t>
      </w:r>
    </w:p>
    <w:p>
      <w:pPr>
        <w:pStyle w:val="Heading3"/>
        <w:spacing w:after="80" w:before="160"/>
      </w:pPr>
      <w:r>
        <w:rPr>
          <w:rFonts w:ascii="Barlow Semi Condensed" w:cs="Barlow Semi Condensed" w:eastAsia="Barlow Semi Condensed" w:hAnsi="Barlow Semi Condensed"/>
          <w:sz w:val="24"/>
          <w:szCs w:val="24"/>
        </w:rPr>
        <w:t xml:space="preserve">Chiusura della Fase 4 — Lettura reticolare, il nodo di massima densità e il bilancio dell'ipotesi H1 sul suo terreno più favorevole</w:t>
      </w:r>
    </w:p>
    <w:p>
      <w:pPr>
        <w:pStyle w:val="Heading3"/>
        <w:spacing w:after="80" w:before="160"/>
      </w:pPr>
      <w:r>
        <w:rPr>
          <w:rFonts w:ascii="Barlow Semi Condensed" w:cs="Barlow Semi Condensed" w:eastAsia="Barlow Semi Condensed" w:hAnsi="Barlow Semi Condensed"/>
          <w:sz w:val="24"/>
          <w:szCs w:val="24"/>
        </w:rPr>
        <w:t xml:space="preserve">La chiusura compone i 10 nodi nella lettura reticolare e rende i bilanci della fase.</w:t>
      </w:r>
    </w:p>
    <w:p>
      <w:pPr>
        <w:spacing w:after="120" w:line="276"/>
        <w:jc w:val="both"/>
      </w:pPr>
      <w:r>
        <w:rPr>
          <w:rFonts w:ascii="Barlow Semi Condensed" w:cs="Barlow Semi Condensed" w:eastAsia="Barlow Semi Condensed" w:hAnsi="Barlow Semi Condensed"/>
          <w:sz w:val="24"/>
          <w:szCs w:val="24"/>
        </w:rPr>
        <w:t xml:space="preserve">Il primo risultato è la conferma quantitativa e qualitativa del caso Moro quale nodo di massima densità dell'intero grafo dell'opera. Sul piano quantitativo, la frequenza documentale del nodo, 3.428 occorrenze in 113 documenti, più della metà del corpus, non ha eguali; sul piano qualitativo, sul caso convergono archi certificati provenienti da tutti i domini sinora trattati: il Dominio 7 degli esecutori giudicati, il Dominio 3 e il Dominio 4 nella compresenza piduista ai vertici della gestione, il Dominio 1 nell'orbita della Magliana attraverso Chichiarelli e nei sondaggi verso la criminalità, il Dominio 8 nella vicenda di Pecorelli, il Dominio 2 quale teatro dell'intera posta politica, il Dominio 10 nella più lunga serie di procedimenti della storia repubblicana, il Dominio 9 nella struttura antiterrorismo di Dalla Chiesa, il Dominio 5 nella dimensione vaticana del soccorso tentato e fallito. Nessun altro evento dell'opera aggrega una simile trasversalità di archi certificati, e la topologia conferma ciò che il capitolo 1 ha enunciato: il caso Moro è l'evento che colpì il nodo a massima centralità del sistema, e la rete dell'opera, costruita dai dati, restituisce l'evento quale suo punto di massima densità, in una circolarità che non è un artefatto ma la misura della posta.</w:t>
      </w:r>
    </w:p>
    <w:p>
      <w:pPr>
        <w:spacing w:after="120" w:line="276"/>
        <w:jc w:val="both"/>
      </w:pPr>
      <w:r>
        <w:rPr>
          <w:rFonts w:ascii="Barlow Semi Condensed" w:cs="Barlow Semi Condensed" w:eastAsia="Barlow Semi Condensed" w:hAnsi="Barlow Semi Condensed"/>
          <w:sz w:val="24"/>
          <w:szCs w:val="24"/>
        </w:rPr>
        <w:t xml:space="preserve">Il secondo risultato è il rendimento della decomposizione in 3 piani, che la fase consegna quale strumento validato. Il piano primo è risultato saturo: il caso Moro è, insieme a Brescia e a Bologna, uno dei 3 eventi capitali dell'opera con quadro esecutivo integralmente giudicato, e la circostanza che la saturazione si sia compiuta in 15 anni e 5 procedimenti, con l'ultimo custode identificato a 15 anni dai fatti, conferma la natura processuale e non originaria della completezza. Il piano secondo è risultato il più denso dell'intera opera in fatti certificati non spiegati: la compresenza piduista, le anomalie di Gradoli e della Duchessa, la presenza di Guglielmi, i 2 ritrovamenti a 12 anni di distanza, i sondaggi verso la criminalità compongono un quadro che il registro ha certificato pezzo per pezzo, e che nessuna delle 2 vulgate contrapposte, quella del complotto integrale e quella della vicenda chiusa, rappresenta correttamente: la prima perché salda i pezzi in un disegno che nessuna prova unifica, la seconda perché rimuove pezzi che nessuna spiegazione innocente ha integralmente assorbito. Il piano terzo è rimasto integralmente ipotetico, e il sigillo del divieto inferenziale, tenuto per 10 capitoli su un materiale che lo ha sollecitato a ogni pagina, è la prova di tenuta del metodo che la fase consegna alle 2 conclusive.</w:t>
      </w:r>
    </w:p>
    <w:p>
      <w:pPr>
        <w:spacing w:after="120" w:line="276"/>
        <w:jc w:val="both"/>
      </w:pPr>
      <w:r>
        <w:rPr>
          <w:rFonts w:ascii="Barlow Semi Condensed" w:cs="Barlow Semi Condensed" w:eastAsia="Barlow Semi Condensed" w:hAnsi="Barlow Semi Condensed"/>
          <w:sz w:val="24"/>
          <w:szCs w:val="24"/>
        </w:rPr>
        <w:t xml:space="preserve">La comparazione tra i 3 eventi a piano primo saturo che l'opera ha censito, Brescia, Bologna e il caso Moro, merita un capoverso proprio, perché i 3 percorsi di saturazione differiscono in modo istruttivo: a Brescia la saturazione giunse dall'esterno, per l'apporto congiunto delle veline desecretate e delle fonti dichiarative maturate, contro la negazione perpetua dei condannati; a Bologna giunse per via peritale e dibattimentale, contro la negazione parimenti perpetua degli esecutori giudicati; nel caso Moro giunse dall'interno, per via confessoria e memorialistica, con gli autori che rivendicano il fatto e ne difendono l'autonomia. Il registro certifica al Livello A questa tripartizione dei percorsi, quale dato comparativo della storia degli accertamenti, e ne trae l'annotazione: la qualità del sapere giudiziario sui 3 eventi non è omogenea, perché il sapere fondato sulla confessione degli autori conosce ciò che gli autori scelgono di consegnare, e il caso Moro, il più saturo dei 3 sul piano formale, è anche quello in cui la fonte del sapere coincide con la parte che ha il massimo interesse a delimitarlo; la circostanza non degrada i giudicati, che restano certificati, ma qualifica la natura del loro fondamento, e spiega perché, unico tra i 3, il caso Moro conservi un piano terzo così popolato di domande.</w:t>
      </w:r>
    </w:p>
    <w:p>
      <w:pPr>
        <w:spacing w:after="120" w:line="276"/>
        <w:jc w:val="both"/>
      </w:pPr>
      <w:r>
        <w:rPr>
          <w:rFonts w:ascii="Barlow Semi Condensed" w:cs="Barlow Semi Condensed" w:eastAsia="Barlow Semi Condensed" w:hAnsi="Barlow Semi Condensed"/>
          <w:sz w:val="24"/>
          <w:szCs w:val="24"/>
        </w:rPr>
        <w:t xml:space="preserve">Il terzo risultato è il pattern dei vuoti documentali, che la fase eleva a reperto proprio. I 5 buchi censiti nel repertorio, le borse di via Fani, la prigione, gli originali, gli archivi parigini, le carte del generale, condividono una struttura: in ciascun caso, l'assenza non è generica ma puntuale, riguarda esattamente il materiale che avrebbe il massimo potere discriminante tra le ipotesi, e si accompagna a una spiegazione ordinaria possibile ma non verificabile. Il registro, che ha codificato nella Fase 3 la tassonomia delle 7 specie dell'ostruzione attiva, registra qui la figura complementare, l'assenza selettiva, che non è certificabile quale condotta, giacché l'intenzionalità di un vuoto è per definizione l'ultima cosa che un vuoto documenta, ma che è certificabile quale distribuzione: e la distribuzione delle assenze del caso Moro, concentrate sui punti di massimo potere discriminante, è un dato statistico-strutturale che il registro consegna, quale reperto di Livello B sulla configurazione complessiva e non su alcuna condotta individuale, alla riflessione conclusiva dell'opera.</w:t>
      </w:r>
    </w:p>
    <w:p>
      <w:pPr>
        <w:spacing w:after="120" w:line="276"/>
        <w:jc w:val="both"/>
      </w:pPr>
      <w:r>
        <w:rPr>
          <w:rFonts w:ascii="Barlow Semi Condensed" w:cs="Barlow Semi Condensed" w:eastAsia="Barlow Semi Condensed" w:hAnsi="Barlow Semi Condensed"/>
          <w:sz w:val="24"/>
          <w:szCs w:val="24"/>
        </w:rPr>
        <w:t xml:space="preserve">Il registro aggiunge al reperto la comparazione con la tassonomia della Fase 3. La stagione stragista aveva consegnato 7 specie di ostruzione attiva, tutte giudizialmente accertate, dal reperto distrutto alla pista fabbricata sino al depistaggio organizzato; il caso Moro, per contrasto, presenta una sola condotta ostruttiva attiva certificata con attribuzione, il falso comunicato della Duchessa, e per il resto esibisce la figura passiva delle assenze: nessuna perizia falsificata giudicata, nessun deposito occultato accertato, ma borse che non si trovano, originali che non emergono, archivi che non si aprono. La comparazione certifica una differenza di regime tra i 2 teatri: dove la Fase 3 ha documentato l'inquinamento per commissione, la Fase 4 documenta la menomazione per sottrazione, e la seconda è, per costruzione, la forma meno perseguibile e meno certificabile dell'ostacolo, giacché la commissione lascia autori e la sottrazione lascia vuoti; il registro consegna questa asimmetria alla riflessione conclusiva dell'opera quale possibile evoluzione della tecnica, annotandola quale ipotesi comparativa di Livello C e non quale accertamento.</w:t>
      </w:r>
    </w:p>
    <w:p>
      <w:pPr>
        <w:spacing w:after="120" w:line="276"/>
        <w:jc w:val="both"/>
      </w:pPr>
      <w:r>
        <w:rPr>
          <w:rFonts w:ascii="Barlow Semi Condensed" w:cs="Barlow Semi Condensed" w:eastAsia="Barlow Semi Condensed" w:hAnsi="Barlow Semi Condensed"/>
          <w:sz w:val="24"/>
          <w:szCs w:val="24"/>
        </w:rPr>
        <w:t xml:space="preserve">A margine del terzo risultato, la fase consegna 2 fili nodali che la lettura reticolare conclusiva dovrà raccogliere, ciascuno emblematico di una disciplina del metodo. Il primo è il filo di Gaetano Badalamenti, il nodo che la fase ha registrato con i 2 esiti opposti che lo attraversano: mandante condannato all'ergastolo per l'omicidio di Giuseppe Impastato, nella sentenza dell'aprile 2002, e imputato assolto in via definitiva per l'omicidio di Mino Pecorelli, nell'annullamento senza rinvio della Cassazione del 30 ottobre 2003; la compresenza sul medesimo individuo di una condanna irrevocabile e di un'assoluzione irrevocabile per 2 omicidi della stessa stagione è il caso che meglio illustra la disciplina degli esiti dell'opera, la quale segue il giudicato in entrambe le direzioni senza costruire coerenze che il giudicato non autorizza, e il registro lo consegna quale promemoria terminale della regola, il nodo che porta insieme il massimo della responsabilità accertata e il massimo dell'accusa respinta. Il secondo è il filo di Giorgio Conforto: la fase ha certificato al Livello A che la mitraglietta Skorpion dell'esecuzione di via Caetani fu sequestrata nella casa di Giuliana Conforto all'atto dell'arresto di Morucci e Faranda il 29 maggio 1979, e al Livello B che il padre di lei era agente sovietico di lungo corso schedato quale Dario nelle carte dell'archivio Mitrokhin; questo è, per dichiarazione del registro, l'unico punto dell'intera fase in cui la variante orientale del piano terzo tocca un fatto materiale documentato, e la disciplina vi ha operato nella sua forma più pura, certificando il fatto con precisione e rifiutando il passo che nessun documento sostiene, giacché la custodia dell'arma sotto il tetto della figlia di un agente schedato è un fatto e non una prova di regia, e la distanza tra le 2 cose è l'intera posta del metodo; il registro consegna il filo alla Fase 5 quale banco di prova terminale della Regola Ferrea sul più suggestivo dei materiali.</w:t>
      </w:r>
    </w:p>
    <w:p>
      <w:pPr>
        <w:spacing w:after="120" w:line="276"/>
        <w:jc w:val="both"/>
      </w:pPr>
      <w:r>
        <w:rPr>
          <w:rFonts w:ascii="Barlow Semi Condensed" w:cs="Barlow Semi Condensed" w:eastAsia="Barlow Semi Condensed" w:hAnsi="Barlow Semi Condensed"/>
          <w:sz w:val="24"/>
          <w:szCs w:val="24"/>
        </w:rPr>
        <w:t xml:space="preserve">Il quarto risultato è il bilancio dell'ipotesi H1, condotto sul terreno che la vulgata considera il più favorevole all'ipotesi, e che il registro dichiara nel suo esito più articolato. La fase ha certificato i fatti di base che la lettura convergentista invoca, distinguendone i livelli con la precisione che i documenti impongono: la contrarietà americana e la contrarietà sovietica al progetto moroteo, nelle loro manifestazioni pubbliche e ufficiali, sono certificate al Livello A, la prima dalla dichiarazione del Dipartimento di Stato del 12 gennaio 1978 sull'indesiderabilità della partecipazione comunista ai governi occidentali, la seconda dalla polemica condotta dagli organi del partito sovietico contro l'eurocomunismo dal 1976; le loro componenti riservate, gli avvertimenti personali ricevuti da Moro documentati dalla deposizione della vedova e dalle testimonianze dei collaboratori, e ogni loro traduzione operativa, restano al Livello B; e la circostanza oggettiva che l'eliminazione di Moro produsse l'esito che entrambe le contrarietà auspicavano, la fine del progetto, è essa stessa un fatto. Il registro formalizza il punto con la tassonomia della propria Nota metodologica: quanto è certificato configura, al più, un arco di convergenza del quarto tipo, la convergenza oggettiva di effetti prodotta da attori privi di relazione documentata, ciascuno mosso da ragioni proprie e speculari, la potenza occidentale dal timore del comunismo al governo di un Paese dell'Alleanza, quella orientale dal timore di un comunismo occidentale legittimato e autonomo; e la Nota avverte che l'arco di convergenza è precisamente il tipo in cui la convergenza può essere tanto intenzionale quanto emergente, e che la discriminazione tra le 2 nature esige prove di coordinamento. Tali prove, all'esito della fase, non esistono: nessun documento, nessun giudicato, nessuna acquisizione parlamentare attesta un coordinamento tra i 2 campi sul caso Moro, e le 2 varianti dell'ipotesi di interferenza si escludono reciprocamente nella stessa letteratura che le propone. Il bilancio è dunque il seguente: sul suo terreno più favorevole, H1 raggiunge il massimo che abbia raggiunto nell'intera opera, la certificazione al Livello A delle contrarietà pubbliche e al Livello B della loro qualificazione congiunta quale convergenza oggettiva di interessi contrari al progetto moroteo; e vi si arresta, giacché la forma forte dell'ipotesi, la convergenza operativa, resta al Livello C senza alcun elemento, e la forma debole certificata è pienamente compatibile con il falsificatore milwardiano, per il quale le potenze perseguono i propri interessi ordinari senza necessità di cabine comuni. Il registro consegna alla Fase 5 questa formalizzazione quale stato terminale dell'ipotesi prima della verifica conclusiva.</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e il filo di Calò. La saldatura della fase al grafo cumulato produce 2 conferme e 1 emersione. Le conferme: la P2 mantiene la massima intermediazione complessiva, presente nel caso Moro attraverso la compresenza certificata ai vertici della gestione e ora, per la fase, anche nell'organo di consulenza, con Franco Ferracuti che aggiunge all'orbita piduista dei comitati la sua estensione all'apparato tecnico della crisi, quarta presenza nei 4 teatri maggiori dell'opera; e il Dominio 3 conferma la propria natura di connettivo universale, presente in ogni evento capitale attraverso fonti, presenze o gestioni. All'aggiornamento delle centralità la fase aggiunge inoltre le 2 misure individuali che il caso Moro impone al grafo: la centralità di Mario Moretti nel piano primo, l'uomo per cui passano, per giudicato, tutti gli archi dell'esecuzione, l'organizzatore di via Fani, l'unico interrogante della prigione, l'esecutore materiale, il portavoce dell'ultima telefonata, una concentrazione di funzioni su un solo nodo che non ha eguali nel piano primo di alcun evento dell'opera e che il registro certifica quale massimo di centralità esecutiva individuale del corpus; e la posizione di Francesco Cossiga, ministro dell'interno titolare della gestione e delle sue 343 anomalie censite, dimessosi il 9 maggio, il cui nodo congiunge la responsabilità politica della crisi alla stagione successiva delle istituzioni repubblicane, e che il registro annota quale nodo di raccordo tra il piano secondo del caso e la storia istituzionale che la Fase 5 dovrà chiudere. L'emersione è il filo di Giuseppe Calò: il nodo della Fase 1 compare ora, per giudicato irrevocabile, quale mandante dell'omicidio Mattarella, quale mandante dell'assassinio di Dalla Chiesa e quale condannato per la strage del rapido 904, e la sua posizione giudiziaria cumulata, unita alla sua qualità di cassiere e alla sua orbita romana certificata nella Fase 1, ne fa il singolo individuo con il maggior numero di giudicati capitali dell'intera opera: il registro lo eleva a nodo di verifica per la Fase 5, nella quale la lettura reticolare conclusiva dovrà misurarne la centralità effettiva nel grafo completo.</w:t>
      </w:r>
    </w:p>
    <w:p>
      <w:pPr>
        <w:spacing w:after="120" w:line="276"/>
        <w:jc w:val="both"/>
      </w:pPr>
      <w:r>
        <w:rPr>
          <w:rFonts w:ascii="Barlow Semi Condensed" w:cs="Barlow Semi Condensed" w:eastAsia="Barlow Semi Condensed" w:hAnsi="Barlow Semi Condensed"/>
          <w:sz w:val="24"/>
          <w:szCs w:val="24"/>
        </w:rPr>
        <w:t xml:space="preserve">Il sesto risultato è il bilancio dei pattern analitici applicati alla fase, che il registro dichiara quale rendiconto onesto dei propri strumenti. La fase ha attivato con resa piena 5 dei pattern dell'apparato: il Pattern 1, l'analisi dei nodi centrali, con le centralità di Moro nel grafo e di Moretti nel piano primo; il Pattern 3, l'analisi delle coincidenze temporali, che ha prodotto la messe maggiore, la finestra critica del 18 aprile con la doppia compresenza di Gradoli e della Duchessa, la finestra critica della stagione romana degli omicidi eccellenti del 1979, la contestualità con le elezioni francesi e la sincronia dello scioglimento dell'apparato antiterrorismo di Santillo; il Pattern 6, l'analisi delle ipotesi concorrenti, che ha governato l'intera architettura a 3 piani e la formalizzazione dell'evidenza non diagnostica; il Pattern 10, l'analisi della convergenza geografica, con la topografia di via Caetani e la geografia speculare delle capitali-rifugio dei latitanti; il Pattern 11, l'isomorfismo strutturale, con il reperto Aginter-Hyperion quale convergenza indipendente sulla grammatica della clandestinità. A questi si aggiunge la resa parziale del Pattern 7, l'analisi della migrazione inter-dominio, che nel percorso di Carlo Alberto Dalla Chiesa attraverso i teatri di Corleone, dell'antimafia dei rapporti, dell'antiterrorismo e della prefettura di Palermo ha trovato il suo caso più compiuto della fase, e del Pattern 9, l'analisi delle dinastie, che sul caso Moro ha prodotto il reperto in negativo dell'assenza di trasmissione generazionale, censita quale dato. Il registro dichiara che i Pattern 2, 4, 5 e 8, la rilevazione di comunità, l'analisi dei flussi, i buchi strutturali quali constraint e lo sfruttamento delle crisi, non hanno prodotto sulla fase reperti autonomi eccedenti quanto registrato, e attribuisce la parziale attivazione alla natura dell'oggetto, un evento singolo per quanto denso, che non sollecita l'intero apparato di una metodologia costruita per il grafo complessivo; la Fase 5, operando sul grafo intero e sull'intero arco cronologico, ne attiverà le misure residue, e il registro consegna questo bilancio quale sigillo metodologico della fase, la dichiarazione esplicita di ciò che gli strumenti hanno reso e di ciò che, per la natura del materiale, resta alla verifica conclusiva.</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alla Fase 5, l'ultima: il teatro internazionale, con Hyperion quale archivio mai aperto e con gli archivi francesi della non estradizione quale primo obiettivo documentale, da affiancare ai teatri iberico, latinoamericano e sudafricano già consegnati dalle fasi precedenti, e con l'arco latinoamericano riaperto dalla latitanza nicaraguense di Alessio Casimirri, uno dei 2 uomini di via Fani mai raggiunti dall'esecuzione penale, che salda il caso al continente delle diaspore della fase conclusiva; la formalizzazione terminale di H1 nella distinzione tra convergenza oggettiva certificata, ora al Livello A nelle sue manifestazioni pubbliche, e convergenza operativa non documentata, da sottoporre alla verifica conclusiva insieme all'ipotesi concorrente; il filo di Calò e il calcolo finale delle centralità sul grafo completo, con le posizioni individuali di Moretti e Cossiga da collocare nel grafo cumulato; il filo balistico che congiunge i proiettili Gevelot dell'omicidio Pecorelli all'arsenale della banda della Magliana, quale traccia materiale del raccordo tra il Dominio 8 e il Dominio 1 romano da verificare sul grafo intero; il pattern delle assenze selettive, da comparare con le serie internazionali che la fase conclusiva censirà; e la ricognizione sistematica del versato archivistico del 2014 quale secondo obiettivo documentale, accanto agli archivi francesi. Con la Fase 4 si chiude il perimetro nazionale dell'opera: i 4 cerchi, il quadrilatero, gli apparati, lo stragismo e il caso Moro, sono censiti, e resta il quinto, il mondo.</w:t>
      </w:r>
    </w:p>
    <w:p>
      <w:pPr>
        <w:spacing w:after="120" w:line="276"/>
        <w:jc w:val="both"/>
      </w:pPr>
      <w:r>
        <w:rPr>
          <w:rFonts w:ascii="Barlow Semi Condensed" w:cs="Barlow Semi Condensed" w:eastAsia="Barlow Semi Condensed" w:hAnsi="Barlow Semi Condensed"/>
          <w:sz w:val="24"/>
          <w:szCs w:val="24"/>
        </w:rPr>
        <w:t xml:space="preserve">Il congedo della fase è una dichiarazione di stato. L'edizione integrale consegna il caso Moro e i suoi satelliti nella forma più estesa che lo stato certificato degli atti consenta alla data della redazione: 10 nodi, oltre 140 pilastri documentali, 30 triangolazioni, 5 versanti di repertorio, 6 risultati reticolari, con le 3 soglie archivistiche del 1978, del 1990 e del 2014 dichiarate quali condizioni storiche della conoscenza e con le 2 frontiere ancora chiuse, gli archivi francesi e il perimetro non versato, indicate quali obiettivi. Nulla di ciò che il registro ha certificato è definitivo nel senso che la parola ha fuori dal metodo: ogni livello porta la data del proprio fondamento, ogni vuoto attende il documento che lo colmi, ogni ipotesi attende la prova che la promuova o la falsifichi, e la fase si chiude non con una verità ma con un inventario, che è la sola forma di verità che il campo studiato conceda a chi rifiuti tanto il romanzo quanto la rimozione. Il registro consegna dunque il perimetro nazionale compiuto, le 4 fasi che vanno dai cerchi criminali del dopoguerra al 9 maggio 1978 e al 3 settembre 1982, quale fondamento documentale della fase conclusiva, nella quale il grafo intero, saldato ai teatri internazionali, sarà sottoposto alla lettura reticolare finale e alla verifica delle macro-ipotesi, con gli strumenti, i livelli e le regole che le 4 fasi hanno collaudato e che l'ultima erediterà senza mutarne una sola riga.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4 certifica il caso Moro quale nodo di massima densità del grafo, con il piano primo saturo di 5 giudicati, il piano secondo denso di fatti certificati non spiegati e il piano terzo integralmente ipotetico sotto sigillo inferenziale; eleva a reperto la distribuzione selettiva dei 5 vuoti documentali, al Livello B quale configurazione; porta l'ipotesi H1 al suo massimo storico, la certificazione al Livello A delle contrarietà pubbliche delle 2 superpotenze al progetto moroteo e al Livello B della loro convergenza oggettiva, negandole ogni elemento di convergenza operativa e mantenendola compatibile con il falsificatore concorrente; registra i fili di Badalamenti e di Conforto quali banchi di prova terminali della disciplina degli esiti e della Regola Ferrea; rende conto dei 6 pattern attivati con resa piena o parziale e dei 4 rinviati al grafo completo; ed emette il filo di Calò, l'individuo con più giudicati capitali dell'opera, verso la fase conclusiva, alla quale consegna il teatro internazionale, gli archivi francesi e del 2014, l'arco latinoamericano di Casimirri e la sintesi finale.</w:t>
      </w:r>
    </w:p>
    <w:p>
      <w:pPr>
        <w:pStyle w:val="Heading2"/>
        <w:spacing w:after="100" w:before="200"/>
      </w:pPr>
      <w:r>
        <w:rPr>
          <w:rFonts w:ascii="Barlow Semi Condensed" w:cs="Barlow Semi Condensed" w:eastAsia="Barlow Semi Condensed" w:hAnsi="Barlow Semi Condensed"/>
          <w:sz w:val="24"/>
          <w:szCs w:val="24"/>
        </w:rPr>
        <w:t xml:space="preserve">FASE 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teatro internazionale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quinto cerchio: il mondo, la verifica delle macro-ipotesi 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Avvertenza di fase, statuto della conclusione e disciplina delle fonti internazionali</w:t>
      </w:r>
    </w:p>
    <w:p>
      <w:pPr>
        <w:spacing w:after="120" w:line="276"/>
        <w:jc w:val="both"/>
      </w:pPr>
      <w:r>
        <w:rPr>
          <w:rFonts w:ascii="Barlow Semi Condensed" w:cs="Barlow Semi Condensed" w:eastAsia="Barlow Semi Condensed" w:hAnsi="Barlow Semi Condensed"/>
          <w:sz w:val="24"/>
          <w:szCs w:val="24"/>
        </w:rPr>
        <w:t xml:space="preserve">La Fase 5 è la fase conclusiva dell'opera e il suo statuto è duplice: essa è, in primo luogo, il censimento dei nodi internazionali che le 4 fasi nazionali hanno consegnato quali fili aperti, il teatro iberico di Aginter Press, le diaspore latinoamericane, l'hub sudafricano, la Francia di Hyperion, il Mediterraneo del lodo, l'Est degli archivi trasferiti, l'Atlantico dei canali documentati e il sistema continentale delle reti stay-behind; ed è, in secondo luogo, la sede della verifica finale, nella quale le macro-ipotesi dell'opera sono sottoposte al giudizio del grafo completo, secondo il metodo delle ipotesi concorrenti che le fasi hanno collaudato. La fase eredita integralmente l'apparato delle precedenti, i 3 livelli di certificazione, la Regola Ferrea che vieta il passaggio inferenziale dal fatto documentato alla condotta non dimostrata, la disciplina degli esiti che riporta per esteso condanne e assoluzioni, la nominazione delle vittime quale atto dovuto, e non ne muta una sola regola.</w:t>
      </w:r>
    </w:p>
    <w:p>
      <w:pPr>
        <w:spacing w:after="120" w:line="276"/>
        <w:jc w:val="both"/>
      </w:pPr>
      <w:r>
        <w:rPr>
          <w:rFonts w:ascii="Barlow Semi Condensed" w:cs="Barlow Semi Condensed" w:eastAsia="Barlow Semi Condensed" w:hAnsi="Barlow Semi Condensed"/>
          <w:sz w:val="24"/>
          <w:szCs w:val="24"/>
        </w:rPr>
        <w:t xml:space="preserve">Una disciplina propria governa le fonti internazionali. Il campo della fase è attraversato da un'asimmetria archivistica strutturale che il registro dichiara quale condizione e non quale accidente: gli ordinamenti hanno aperto i propri archivi riservati in tempi, misure e forme radicalmente diverse, sicché la conoscibilità dei fatti non è uniforme nello spazio, e la densità documentale di un teatro misura anzitutto la storia delle sue aperture, non l'intensità della sua storia. Il registro assume perciò 2 cautele permanenti: ogni certificazione porta con sé l'indicazione implicita del regime archivistico che l'ha resa possibile, e ogni comparazione tra teatri incorpora la correzione per l'asimmetria, rifiutando di leggere il silenzio di un archivio chiuso quale assenza del fatto e la loquacità di un archivio aperto quale eccezionalità del teatro. La fase eleva questa cautela, nel capitolo dedicato, a oggetto di studio autonomo, censendo la regolarità empirica delle aperture quale reperto dell'opera.</w:t>
      </w:r>
    </w:p>
    <w:p>
      <w:pPr>
        <w:spacing w:after="120" w:line="276"/>
        <w:jc w:val="both"/>
      </w:pPr>
      <w:r>
        <w:rPr>
          <w:rFonts w:ascii="Barlow Semi Condensed" w:cs="Barlow Semi Condensed" w:eastAsia="Barlow Semi Condensed" w:hAnsi="Barlow Semi Condensed"/>
          <w:sz w:val="24"/>
          <w:szCs w:val="24"/>
        </w:rPr>
        <w:t xml:space="preserve">Una seconda disciplina governa la categoria dello Stato Zero, che la fase impiega quale strumento ordinario. Lo Stato Zero designa la connessione sistematicamente cercata e non trovata, la verifica compiuta con esito negativo integrale, e il registro lo tratta quale risultato di prima classe, dotato della medesima dignità analitica del risultato positivo: in un campo saturo di suggestioni, la certificazione documentata di un'assenza è spesso più preziosa della certificazione di una presenza, perché delimita lo spazio delle ipotesi con la forza che soltanto la ricerca condotta e fallita possiede. Ogni Stato Zero della fase è accompagnato dalla dichiarazione del perimetro della ricerca che lo fonda, giacché un'assenza vale quanto vale la ricerca che non l'ha colmata.</w:t>
      </w:r>
    </w:p>
    <w:p>
      <w:pPr>
        <w:spacing w:after="120" w:line="276"/>
        <w:jc w:val="both"/>
      </w:pPr>
      <w:r>
        <w:rPr>
          <w:rFonts w:ascii="Barlow Semi Condensed" w:cs="Barlow Semi Condensed" w:eastAsia="Barlow Semi Condensed" w:hAnsi="Barlow Semi Condensed"/>
          <w:sz w:val="24"/>
          <w:szCs w:val="24"/>
        </w:rPr>
        <w:t xml:space="preserve">La disciplina delle persone viventi, già dichiarata nella fase precedente, opera qui nella forma più rigorosa, giacché la fase censisce anche verifiche condotte su figure contemporanee estranee per esito documentato alle reti studiate: per costoro il registro riporta esclusivamente i dati biografici pubblici certificati e l'esito negativo delle verifiche, dichiara lo Stato Zero, e vieta a se stesso e al lettore ogni inferenza associativa, la menzione in un registro di verifica non costituendo, per statuto dichiarato, associazione ad alcunché.</w:t>
      </w:r>
    </w:p>
    <w:p>
      <w:pPr>
        <w:spacing w:after="120" w:line="276"/>
        <w:jc w:val="both"/>
      </w:pPr>
      <w:r>
        <w:rPr>
          <w:rFonts w:ascii="Barlow Semi Condensed" w:cs="Barlow Semi Condensed" w:eastAsia="Barlow Semi Condensed" w:hAnsi="Barlow Semi Condensed"/>
          <w:sz w:val="24"/>
          <w:szCs w:val="24"/>
        </w:rPr>
        <w:t xml:space="preserve">Un paragrafo dichiara infine il rapporto della fase con le 4 precedenti e le consegne recepite. La fase eredita e adempie i fili che le chiusure delle fasi nazionali le hanno consegnato: dalla Fase 4, gli archivi francesi quale primo obiettivo, il perimetro del versato del 2014, l'arco latinoamericano delle latitanze, il filo del massimo condannato capitale e il calcolo delle centralità terminali; dalla Fase 3, il livello internazionale della stagione stragista e la tassonomia dell'ostruzione da verificare sui teatri esteri; dalla Fase 2, la proiezione transnazionale della loggia e del sistema finanziario parallelo; dalla Fase 1, le proiezioni estere dei sistemi criminali. Ogni consegna è trattata nel capitolo competente e nessuna è dichiarata adempiuta oltre la misura documentale: la fase distingue permanentemente tra i fili chiusi, quelli che i materiali internazionali consentono di certificare, i fili trasformati in obiettivi, quelli che dipendono da aperture archivistiche future, e i fili consegnati aperti alla ricerca, con l'inventario finale che la chiusura ordina.</w:t>
      </w:r>
    </w:p>
    <w:p>
      <w:pPr>
        <w:spacing w:after="120" w:line="276"/>
        <w:jc w:val="both"/>
      </w:pPr>
      <w:r>
        <w:rPr>
          <w:rFonts w:ascii="Barlow Semi Condensed" w:cs="Barlow Semi Condensed" w:eastAsia="Barlow Semi Condensed" w:hAnsi="Barlow Semi Condensed"/>
          <w:sz w:val="24"/>
          <w:szCs w:val="24"/>
        </w:rPr>
        <w:t xml:space="preserve">Una nota d'uso chiude l'avvertenza. Il registro della fase, come quelli delle fasi precedenti, è costruito per la citazione: ogni pilastro è autonomo, porta il proprio livello e il proprio fondamento, e può essere impugnato singolarmente senza che l'impugnazione travolga l'edificio, giacché l'edificio non esiste, esistendo soltanto l'inventario; il lettore che voglia contestare una certificazione trova dichiarato, per ciascuna, che cosa la fonda e che cosa la falsificherebbe, e il lettore che voglia impiegarla trova il perimetro esatto entro cui essa vale; la fase chiede di essere letta così, quale strumento e non quale narrazione, e considera riuscito il proprio compito non quando persuade ma quando resiste, riga per riga, al tentativo di smentita condotto con documenti alla mano, l'unico giudizio che l'opera riconosca sopra di sé.</w:t>
      </w:r>
    </w:p>
    <w:p>
      <w:pPr>
        <w:spacing w:after="120" w:line="276"/>
        <w:jc w:val="both"/>
      </w:pPr>
      <w:r>
        <w:rPr>
          <w:rFonts w:ascii="Barlow Semi Condensed" w:cs="Barlow Semi Condensed" w:eastAsia="Barlow Semi Condensed" w:hAnsi="Barlow Semi Condensed"/>
          <w:sz w:val="24"/>
          <w:szCs w:val="24"/>
        </w:rPr>
        <w:t xml:space="preserve">L'ordine espositivo muove dal ceppo iberico e dalle sue proiezioni, attraversa le diaspore americane e l'hub australe, risale ai 2 santuari europei, la Francia del rifugio e il Mediterraneo dell'autonomia, censisce i 2 campi della guerra fredda nei loro canali documentati verso l'Italia, ricostruisce il sistema continentale delle reti coperte, eleva a oggetto l'empirica degli archivi e si chiude con la verifica delle macro-ipotesi e la lettura reticolare conclusiva dell'intera opera. Ogni capitolo è un nodo, ogni nodo è retto da pilastri documentali, triangolato secondo il metodo e chiuso dalla sintesi del dato acquisito. La fase, e con essa l'opera, si chiude non con una tesi ma con un inventario verificato, nella convinzione metodologica che le 4 fasi hanno dimostrato: nel campo studiato, l'inventario è la sola forma di conoscenza che sopravviva alla verifica.</w:t>
      </w:r>
    </w:p>
    <w:p>
      <w:pPr>
        <w:pStyle w:val="Heading3"/>
        <w:spacing w:after="80" w:before="160"/>
      </w:pPr>
      <w:r>
        <w:rPr>
          <w:rFonts w:ascii="Barlow Semi Condensed" w:cs="Barlow Semi Condensed" w:eastAsia="Barlow Semi Condensed" w:hAnsi="Barlow Semi Condensed"/>
          <w:sz w:val="24"/>
          <w:szCs w:val="24"/>
        </w:rPr>
        <w:t xml:space="preserve">Capitolo 1 — Aginter Press: il ceppo iberico e l'archivio catturato</w:t>
      </w:r>
    </w:p>
    <w:p>
      <w:pPr>
        <w:spacing w:after="120" w:line="276"/>
        <w:jc w:val="both"/>
      </w:pPr>
      <w:r>
        <w:rPr>
          <w:rFonts w:ascii="Barlow Semi Condensed" w:cs="Barlow Semi Condensed" w:eastAsia="Barlow Semi Condensed" w:hAnsi="Barlow Semi Condensed"/>
          <w:sz w:val="24"/>
          <w:szCs w:val="24"/>
        </w:rPr>
        <w:t xml:space="preserve">Il primo nodo della fase è la centrale di Lisbona, il punto di origine del teatro internazionale nero che le fasi nazionali hanno ripetutamente incontrato. Aginter Press operò nella capitale portoghese dal 1966 al 1974 sotto la direzione di Yves Guérin-Sérac, l'ufficiale francese proveniente dalle guerre coloniali e dall'esperienza dell'organizzazione armata segreta, presentandosi quale agenzia di stampa dotata di attività reale, corrispondenze effettivamente prodotte, una sede operante e collaboratori retribuiti, la copertura reale la cui superiorità tecnica la fase precedente ha formalizzato quale grammatica comune della clandestinità europea; sotto la copertura, la struttura operò, per la documentazione che il pilastro terzo censisce, quale centro di formazione, collegamento e proiezione dell'estremismo controrivoluzionario internazionale, con corsi di addestramento, una rete di corrispondenti che coincideva con una rete di militanti e una dottrina scritta della guerra non ortodossa. Il registro certifica al Livello A l'esistenza, la sede, la direzione, il periodo di attività e la doppiezza funzionale della struttura, quali dati documentali consolidati.</w:t>
      </w:r>
    </w:p>
    <w:p>
      <w:pPr>
        <w:spacing w:after="120" w:line="276"/>
        <w:jc w:val="both"/>
      </w:pPr>
      <w:r>
        <w:rPr>
          <w:rFonts w:ascii="Barlow Semi Condensed" w:cs="Barlow Semi Condensed" w:eastAsia="Barlow Semi Condensed" w:hAnsi="Barlow Semi Condensed"/>
          <w:sz w:val="24"/>
          <w:szCs w:val="24"/>
        </w:rPr>
        <w:t xml:space="preserve">Il primo pilastro fissa la genesi e gli uomini. Guérin-Sérac giunse a Lisbona nel quadro della protezione che il regime portoghese accordava ai reduci dell'estremismo francese, e costruì la struttura con un nucleo di veterani della stessa provenienza e con l'innesto progressivo di militanti di più nazionalità, tra i quali la documentazione colloca i contatti italiani che la Fase 3 ha censito nell'orbita di Ordine Nuovo e di Avanguardia Nazionale; il registro certifica al Livello A la composizione del nucleo e la sua matrice, quali dati documentali, e certifica al Livello B i singoli transiti italiani presso la centrale, quali risultanze istruttorie convergenti non tutte consacrate da giudicato.</w:t>
      </w:r>
    </w:p>
    <w:p>
      <w:pPr>
        <w:spacing w:after="120" w:line="276"/>
        <w:jc w:val="both"/>
      </w:pPr>
      <w:r>
        <w:rPr>
          <w:rFonts w:ascii="Barlow Semi Condensed" w:cs="Barlow Semi Condensed" w:eastAsia="Barlow Semi Condensed" w:hAnsi="Barlow Semi Condensed"/>
          <w:sz w:val="24"/>
          <w:szCs w:val="24"/>
        </w:rPr>
        <w:t xml:space="preserve">Il secondo pilastro censisce la dottrina scritta. La produzione interna della struttura, emersa con l'archivio, comprende i manuali della guerra rivoluzionaria rovesciata, i testi che teorizzano l'infiltrazione dei movimenti avversari, l'azione sotto falsa bandiera e l'uso del terrore quale strumento di pressione sui governi verso soluzioni autoritarie; il registro certifica al Livello A l'esistenza e il contenuto della dottrina, quale corpus documentale acquisito, e ne dichiara il rilievo per l'opera: essa costituisce la formalizzazione scritta più esplicita, nell'intero corpus, della strategia che la vulgata italiana ha chiamato della tensione, prodotta non da un teorico ma da una struttura operativa, e la sua esistenza certificata è il fondamento documentale che ha autorizzato le istruttorie italiane a interrogare il nesso tra la centrale e la stagione stragista, l'interrogazione i cui esiti il quarto pilastro censisce.</w:t>
      </w:r>
    </w:p>
    <w:p>
      <w:pPr>
        <w:spacing w:after="120" w:line="276"/>
        <w:jc w:val="both"/>
      </w:pPr>
      <w:r>
        <w:rPr>
          <w:rFonts w:ascii="Barlow Semi Condensed" w:cs="Barlow Semi Condensed" w:eastAsia="Barlow Semi Condensed" w:hAnsi="Barlow Semi Condensed"/>
          <w:sz w:val="24"/>
          <w:szCs w:val="24"/>
        </w:rPr>
        <w:t xml:space="preserve">Il terzo pilastro censisce il fatto archivistico capitale, la cattura dell'archivio. La rivoluzione portoghese del 25 aprile 1974 travolse il regime che proteggeva la struttura, e l'archivio di Aginter Press cadde nelle mani delle nuove autorità, che ne resero disponibile la documentazione alle magistrature e alle commissioni straniere: da quella cattura discende, in via pressoché esclusiva, la conoscenza documentale della centrale, i nomi, i corsi, le corrispondenze, la dottrina, e il registro certifica al Livello A la cattura, la sua data e la sua funzione di fonte, quale evento archivistico documentato. La formalizzazione che il registro ne trae governa l'intero nodo e il suo gemello topologico: Aginter è conoscibile perché il suo Stato di protezione è caduto, e la caduta ha aperto l'archivio; Hyperion è inconoscibile perché il suo Stato di protezione non è mai caduto, e l'archivio non si è mai aperto; i 2 nodi isomorfi dell'opera stanno agli estremi opposti del medesimo asse, quello del regime archivistico, e la differenza integrale dei loro profili documentali, l'uno denso di carte e l'altro vuoto, misura la differenza dei destini politici dei rispettivi protettori, non una differenza di natura tra le strutture: il registro eleva questa coppia a dimostrazione empirica interna della propria disciplina sull'asimmetria archivistica, il caso in cui 2 oggetti strutturalmente gemelli restituiscono documentazioni opposte per la sola variabile del regime di accesso.</w:t>
      </w:r>
    </w:p>
    <w:p>
      <w:pPr>
        <w:spacing w:after="120" w:line="276"/>
        <w:jc w:val="both"/>
      </w:pPr>
      <w:r>
        <w:rPr>
          <w:rFonts w:ascii="Barlow Semi Condensed" w:cs="Barlow Semi Condensed" w:eastAsia="Barlow Semi Condensed" w:hAnsi="Barlow Semi Condensed"/>
          <w:sz w:val="24"/>
          <w:szCs w:val="24"/>
        </w:rPr>
        <w:t xml:space="preserve">Il quarto pilastro censisce le proiezioni internazionali e l'esito giudiziario. La documentazione catturata e le acquisizioni successive collocano le proiezioni della centrale sui teatri che le monografie dell'opera hanno percorso, l'Africa australe delle guerre coloniali portoghesi, i collegamenti iberici, i corrispondenti nelle Americhe, e la diaspora successiva alla caduta, con il trasferimento del nucleo verso la Spagna ancora franchista, dove le tracce documentali della rete si disperdono nella galassia dell'internazionale nera della seconda metà del decennio; sul versante giudiziario italiano, le istruttorie che hanno interrogato il nesso tra la centrale e le stragi, sino alla stagione istruttoria milanese degli anni Novanta, hanno prodotto acquisizioni documentali e nessuna condanna della centrale quale tale, e il registro certifica al Livello A l'assenza di condanne organiche, quale esito, mantenendo ai livelli propri le singole attribuzioni, secondo il censimento che la Fase 3 ha consegnato. Il registro chiude il quadro con la certificazione comparativa: Aginter Press è, nell'intero corpus dell'opera, il caso di massima documentazione con minima sanzione, l'inverso speculare dei piani primi saturi delle fasi nazionali, e la sproporzione tra ciò che l'archivio documenta e ciò che i giudizi hanno consacrato è essa stessa un dato, che il registro trascrive quale misura della resistenza del livello internazionale all'accertamento giudiziario nazionale.</w:t>
      </w:r>
    </w:p>
    <w:p>
      <w:pPr>
        <w:spacing w:after="120" w:line="276"/>
        <w:jc w:val="both"/>
      </w:pPr>
      <w:r>
        <w:rPr>
          <w:rFonts w:ascii="Barlow Semi Condensed" w:cs="Barlow Semi Condensed" w:eastAsia="Barlow Semi Condensed" w:hAnsi="Barlow Semi Condensed"/>
          <w:sz w:val="24"/>
          <w:szCs w:val="24"/>
        </w:rPr>
        <w:t xml:space="preserve">Il quinto pilastro recepisce, quale saldatura, il censimento italiano della Fase 3. Le occorrenze della centrale nel teatro italiano, i transiti documentati di militanti dell'area ordinovista e avanguardista presso i corsi lisbonesi, le corrispondenze acquisite e le attribuzioni istruttorie che hanno interrogato il nesso tra la dottrina della centrale e la meccanica della stagione stragista, restano certificate ai livelli che la Fase 3 ha fissato, i transiti al Livello B e le funzioni operative sui singoli eventi ai livelli propri di ciascun accertamento, con la stagione istruttoria milanese degli anni Novanta quale ultimo organico ritorno sul nodo; il registro non muta una sola qualificazione e aggiunge il dato comparativo che la fase consente: il profilo italiano della centrale è il più accertato dei suoi profili nazionali, per la semplice ragione archivistica che l'Italia è l'ordinamento che più a lungo ha processato la propria stagione, e la densità italiana del nodo Aginter misura, ancora una volta, l'intensità dell'accertamento e non necessariamente quella della funzione, secondo il corollario che il capitolo nono formalizza.</w:t>
      </w:r>
    </w:p>
    <w:p>
      <w:pPr>
        <w:spacing w:after="120" w:line="276"/>
        <w:jc w:val="both"/>
      </w:pPr>
      <w:r>
        <w:rPr>
          <w:rFonts w:ascii="Barlow Semi Condensed" w:cs="Barlow Semi Condensed" w:eastAsia="Barlow Semi Condensed" w:hAnsi="Barlow Semi Condensed"/>
          <w:sz w:val="24"/>
          <w:szCs w:val="24"/>
        </w:rPr>
        <w:t xml:space="preserve">Il sesto pilastro censisce la diaspora iberica successiva alla caduta. Con la fine del regime portoghese, il nucleo della centrale e la galassia che vi gravitava trasferirono la propria base nella Spagna dell'ultimo franchismo e della prima transizione, dove la documentazione della seconda metà del decennio colloca la comunità dell'estremismo nero internazionale, italiani della diaspora compresi, attiva negli ambienti della reazione alla transizione democratica; alla stagione appartiene la strage di Atocha del 24 gennaio 1977, l'assassinio degli avvocati giuslavoristi madrileni per mano dell'estremismo di destra spagnolo, l'evento che segnò la crisi terminale di quell'ambiente dinanzi alla reazione democratica del Paese; il registro certifica al Livello A il trasferimento iberico della diaspora e il quadro della stagione, quali dati documentali consolidati, mantiene ai livelli propri le singole presenze e condotte italiane censite dalle istruttorie, e ne trae l'annotazione di sistema: la traiettoria della centrale e della sua galassia, Lisbona sino al 1974, la Spagna della transizione sino alla fine del decennio, il continente americano poi, disegna la migrazione della rete lungo la mappa dei regimi protettori in via di estinzione, un percorso di carriera collettivo che il Pattern 7 registra quale caso maggiore e che si chiude, per la componente italiana, nelle capitali-rifugio che il capitolo secondo censisce.</w:t>
      </w:r>
    </w:p>
    <w:p>
      <w:pPr>
        <w:spacing w:after="120" w:line="276"/>
        <w:jc w:val="both"/>
      </w:pPr>
      <w:r>
        <w:rPr>
          <w:rFonts w:ascii="Barlow Semi Condensed" w:cs="Barlow Semi Condensed" w:eastAsia="Barlow Semi Condensed" w:hAnsi="Barlow Semi Condensed"/>
          <w:sz w:val="24"/>
          <w:szCs w:val="24"/>
        </w:rPr>
        <w:t xml:space="preserve">Il settimo pilastro censisce lo strumento formativo, i corsi e i materiali della centrale. La documentazione catturata comprende i programmi dei corsi di addestramento impartiti presso la struttura e nelle sue proiezioni, con le materie che gli atti elencano, le tecniche dell'azione clandestina, l'uso degli esplosivi, l'infiltrazione e la propaganda, e i materiali didattici che traducevano la dottrina del secondo pilastro in istruzione operativa; il registro certifica al Livello A l'esistenza dei corsi e dei materiali, quale dato dell'archivio, mantiene ai livelli propri l'identificazione dei singoli frequentatori, censita dalle istruttorie con le convergenze e i limiti che la Fase 3 ha fissato, e ne trae l'annotazione che distingue il nodo nell'intero corpus: Aginter è l'unico caso dell'opera in cui la catena completa della strategia, la dottrina scritta, lo strumento formativo e la rete dei formati, è documentata in ogni anello dalla medesima fonte archivistica, e questa completezza, unica e irripetuta, è ciò che ha reso la centrale il referente obbligato di ogni istruttoria sulla meccanica della stagione, pur senza mai produrre, per la distanza tra la documentazione della capacità e la prova dell'impiego, una sola condanna organica; la distinzione tra capacità documentata e impiego provato, che il nodo incarna nella forma più pura, è consegnata alla verifica finale quale calibro permanente.</w:t>
      </w:r>
    </w:p>
    <w:p>
      <w:pPr>
        <w:spacing w:after="120" w:line="276"/>
        <w:jc w:val="both"/>
      </w:pPr>
      <w:r>
        <w:rPr>
          <w:rFonts w:ascii="Barlow Semi Condensed" w:cs="Barlow Semi Condensed" w:eastAsia="Barlow Semi Condensed" w:hAnsi="Barlow Semi Condensed"/>
          <w:sz w:val="24"/>
          <w:szCs w:val="24"/>
        </w:rPr>
        <w:t xml:space="preserve">L'ottavo pilastro censisce la costellazione dei nomi, lo strato organizzativo sotto la ragione sociale. La documentazione attribuisce alla galassia di Guérin-Sérac, accanto all'agenzia quale volto pubblico, le denominazioni interne e parallele che gli atti registrano, tra cui la formazione Ordre et Tradition quale struttura politico-militante collegata, con l'articolazione operativa che le carte descrivono; il registro certifica al Livello A l'esistenza della costellazione denominativa, quale dato dell'archivio, mantiene al Livello B le ricostruzioni dei rapporti gerarchici interni tra le sigle, e ne trae l'annotazione tipologica che il corpus conferma su ogni teatro: le strutture clandestine mature del campo studiato non coincidono mai con una sola denominazione, operando quale costellazioni di sigle a geometria variabile, la ragione sociale per il mondo, la sigla politica per il reclutamento, l'articolazione operativa per l'azione, e l'analista che cerchi l'organizzazione in una sola delle sue denominazioni è destinato a certificarne l'innocuità apparente; il registro formalizza la regola, già incontrata nelle galassie nere italiane della Fase 3 e nella distinzione tra la scuola parigina e la sua cerchia, quale proprietà ricorrente della morfologia clandestina, e la consegna al repertorio dei reperti metodologici con il nodo lisbonese quale caso di massima documentazione della struttura a costellazione.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Guérin-Sérac-Lisbona-dottrina della tensione, salda l'uomo, la sede e il corpus dottrinale nel triangolo fondativo certificato al Livello A. La seconda, Aginter-orbita ordinovista-istruttorie italiane, congiunge la centrale ai transiti italiani documentati e agli accertamenti che li hanno interrogati, con i fatti al Livello B e gli esiti nulli al Livello A. La terza, archivio catturato-rivoluzione del 1974-conoscibilità del nodo, formalizza la dipendenza integrale della conoscenza dal regime archivistico, il teorema empirico che la fase consegna al capitolo nono.</w:t>
      </w:r>
    </w:p>
    <w:p>
      <w:pPr>
        <w:spacing w:after="120" w:line="276"/>
        <w:jc w:val="both"/>
      </w:pPr>
      <w:r>
        <w:rPr>
          <w:rFonts w:ascii="Barlow Semi Condensed" w:cs="Barlow Semi Condensed" w:eastAsia="Barlow Semi Condensed" w:hAnsi="Barlow Semi Condensed"/>
          <w:sz w:val="24"/>
          <w:szCs w:val="24"/>
        </w:rPr>
        <w:t xml:space="preserve">Alla cattura archivistica va aggiunta la sua coda istituzionale, che completa il fatto documentale capitale della fase: il fondo sequestrato nel 1974 confluì nel patrimonio archivistico dello Stato portoghese ed è oggi conservato presso l'Arquivo Nacional da Torre do Tombo di Lisbona, ordinato e consultabile secondo le regole ordinarie di quell'istituto, Livello A quanto alla collocazione ed al regime di accesso. Il registro sottolinea la rarità che questa condizione rappresenta nell'economia dell'opera: tra tutte le strutture clandestine censite nelle 5 fasi, Aginter Press è l'unica il cui archivio interno integrale sia finito, per intero e stabilmente, in un archivio pubblico ad accesso ordinario, senza mediazioni di intelligence riceventi, senza selezioni di esfiltratori, senza i filtri che gravano su ogni altro compendio della fase, dal Mitrokhin trasmesso per quote ai fondi orientali amministrati dagli istituti della memoria. La centrale di Lisbona è perciò, paradossalmente, l'oggetto meglio conoscibile dell'intero teatro internazionale nero: e la circostanza che proprio il nodo più documentato sia rimasto privo di condanne organiche, mentre nodi assai meno leggibili hanno prodotto giudicati, consegna alla legge del capitolo nono il suo corollario più fine, che la conoscibilità archivistica e la perseguibilità giudiziaria sono variabili indipendenti, e che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La scheda del fondatore si chiude con l'esito biografico che il registro certifica quale Stato Zero giudiziario perfetto: Guérin-Sérac visse indisturbato in Portogallo sino alla morte, sopraggiunta nel 2022, senza avere scontato un solo giorno di detenzione per i fatti italiani nei quali le istruttorie lo avevano indicato, protetto dalla sequenza di latitanze, archiviazioni ed assoluzioni che il capitolo ha censito, Livello A quanto alla parabola ed al suo epilogo. Il registro consegna il dato alla sua funzione di misura: l'uomo che le carte di Lisbona documentano al centro dell'agenzia è morto quasi sessantenne di clandestinità compiuta, sopravvissuto a tutti i processi, a quasi tutti i suoi allievi ed alla stessa guerra fredda che lo aveva generato, e la distanza tra la ricchezza documentale del suo archivio e la nullità assoluta del suo casellario italiano è la formulazione biografica estrema del teorema che apre la fase: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Il perimetro operativo dell'agenzia precede l'Europa, ed il registro ne censisce il versante africano quale prima palestra documentata: le carte di Lisbona attestano l'impiego della struttura sui teatri coloniali portoghesi, con attività informative ed operazioni contro i movimenti indipendentisti dell'Africa lusofona, dal Mozambico alla Guinea, nel quadro della collaborazione con la polizia politica del regime che l'archivio certifica, Livello A quanto all'operatività africana documentata dalle carte. Su questo versante si colloca il caso maggiore e conteso, che il registro riporta con il suo statuto esatto: l'assassinio nel 1969, a Dar es Salaam, del presidente del fronte di liberazione mozambicano Eduardo Mondlane, ucciso da un ordigno celato in un libro, fu attribuito nel tempo, da ricostruzioni concorrenti mai consolidate in giudicato, ai servizi coloniali portoghesi ed alle loro appendici operative, tra cui l'agenzia, Livello A quanto all'omicidio ed alle sue modalità, Livello C quanto ad ogni specifica attribuzione della catena esecutiva. La funzione del versante africano nell'economia del capitolo è genetica: prima di divenire lo snodo europeo censito dal pilastro, la struttura si era formata sulla guerra coloniale, dove le tecniche che l'Europa avrebbe conosciuto, l'infiltrazione, la provocazione, l'attentato mimetizzato, erano già repertorio corrente, e la traiettoria Africa-Europa dell'agenzia anticipa di un decennio la rotta che l'intera fase documenta, quella dei metodi delle periferie imperiali che risalgono verso i centri, sino a detonare nelle piazze del continente che li aveva esportati.</w:t>
      </w:r>
    </w:p>
    <w:p>
      <w:pPr>
        <w:spacing w:after="120" w:line="276"/>
        <w:jc w:val="both"/>
      </w:pPr>
      <w:r>
        <w:rPr>
          <w:rFonts w:ascii="Barlow Semi Condensed" w:cs="Barlow Semi Condensed" w:eastAsia="Barlow Semi Condensed" w:hAnsi="Barlow Semi Condensed"/>
          <w:sz w:val="24"/>
          <w:szCs w:val="24"/>
        </w:rPr>
        <w:t xml:space="preserve">La fine dell'agenzia coincide con l'evento che ne rese possibile la conoscenza, ed il registro censisce la coincidenza quale atto fondativo della propria stessa fonte: la Rivoluzione dei garofani del 25 aprile 1974, abbattendo in una notte il regime che aveva ospitato e protetto la centrale, costrinse la struttura alla fuga precipitosa verso la Spagna ancora franchista, con l'abbandono a Lisbona dell'archivio operativo che la nuova autorità acquisì e che, attraverso i passaggi censiti, sarebbe approdato alla conservazione pubblica della Torre do Tombo, Livello A quanto alla sequenza rivoluzione-fuga-acquisizione. Il registro fissa la lezione archivistica che l'episodio consegna all'intera opera: il fondo lisboeta, l'unico archivio integralmente pubblico di una centrale clandestina che il corpus possieda, non esiste per virtù di trasparenza ma per accidente di rivoluzione, perché la struttura fu l'unica del suo genere a perdere il proprio Stato ospite da un giorno all'altro, senza il tempo di distruggere le carte che ogni sua consorella, morendo lentamente, ebbe modo di bruciare, e questa genesi accidentale della massima fonte della fase è l'ultima conferma della legge che governa il rapporto tra il corpus ed i suoi documenti: gli archivi del potere occulto non si aprono, cadono, e la storiografia di questa materia è figlia, sempre, dei crolli altrui.</w:t>
      </w:r>
    </w:p>
    <w:p>
      <w:pPr>
        <w:spacing w:after="120" w:line="276"/>
        <w:jc w:val="both"/>
      </w:pPr>
      <w:r>
        <w:rPr>
          <w:rFonts w:ascii="Barlow Semi Condensed" w:cs="Barlow Semi Condensed" w:eastAsia="Barlow Semi Condensed" w:hAnsi="Barlow Semi Condensed"/>
          <w:sz w:val="24"/>
          <w:szCs w:val="24"/>
        </w:rPr>
        <w:t xml:space="preserve">Il fascicolo dell'agenzia si chiude con lo Stato Zero che il registro deve al proprio metodo: la struttura non fu mai processata nel Paese che ne custodisce l'archivio, poiché il Portogallo democratico, entrato in possesso delle carte con la rivoluzione, non aprì mai un procedimento penale organico sull'organizzazione che aveva operato per 8 anni dal proprio territorio, limitandosi alla conservazione archivistica censita, Livello A quanto all'assenza di procedimenti portoghesi, sistematicamente verificata dalla storiografia sul fondo. Il registro consegna il vuoto alla sua lettura: la nazione che possiede tutte le prove non celebrò alcun processo, e le nazioni che celebrarono i processi, l'Italia delle istruttorie censite, dovettero procurarsi le prove per rogatoria, sicché il caso Aginter realizza la separazione perfetta tra il luogo della prova ed il luogo del giudizio che l'intera fase ha documentato in forme parziali, e la spiegazione, che il registro annota senza attenuarla, appartiene alla fisiologia delle transizioni: la democrazia portoghese nata dal 1974 aveva da processare i propri carnefici e non i propri ospiti, e l'agenzia, che sul suolo lusitano non aveva ucciso nessuno, non apparteneva alle priorità di nessuna delle 2 giustizie possibili, quella del Paese offeso, che non aveva le carte, e quella del Paese ospite, che non aveva le vittime.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è certificato quale centrale documentata dalla cattura archivistica del 1974, con dottrina scritta della tensione al Livello A, transiti italiani al Livello B, condanne organiche assenti, e la coppia Aginter-Hyperion è elevata a dimostrazione empirica interna dell'asimmetria archivistica, i 2 gemelli topologici resi opposti dal solo regime di accesso alle carte.</w:t>
      </w:r>
    </w:p>
    <w:p>
      <w:pPr>
        <w:pStyle w:val="Heading3"/>
        <w:spacing w:after="80" w:before="160"/>
      </w:pPr>
      <w:r>
        <w:rPr>
          <w:rFonts w:ascii="Barlow Semi Condensed" w:cs="Barlow Semi Condensed" w:eastAsia="Barlow Semi Condensed" w:hAnsi="Barlow Semi Condensed"/>
          <w:sz w:val="24"/>
          <w:szCs w:val="24"/>
        </w:rPr>
        <w:t xml:space="preserve">Capitolo 2 — Le diaspore latinoamericane: il Condor, i golpe e le capitali-rifugio</w:t>
      </w:r>
    </w:p>
    <w:p>
      <w:pPr>
        <w:spacing w:after="120" w:line="276"/>
        <w:jc w:val="both"/>
      </w:pPr>
      <w:r>
        <w:rPr>
          <w:rFonts w:ascii="Barlow Semi Condensed" w:cs="Barlow Semi Condensed" w:eastAsia="Barlow Semi Condensed" w:hAnsi="Barlow Semi Condensed"/>
          <w:sz w:val="24"/>
          <w:szCs w:val="24"/>
        </w:rPr>
        <w:t xml:space="preserve">Il secondo nodo è il continente delle diaspore, il teatro nel quale i fili neri e i fili piduisti dell'opera trovarono rifugio, impiego e protezione. Il quadro di sistema è l'Operazione Condor, il coordinamento repressivo tra i regimi militari del cono sud formalizzato a Santiago del Cile nel novembre 1975, la rete interstatale di scambio informativo, cattura e trasferimento degli oppositori che la documentazione desecretata e i processi del secolo successivo hanno certificato; il registro certifica al Livello A l'esistenza, la data di formalizzazione e il funzionamento del sistema, quali dati documentali e giudiziari consolidati, e vi colloca i 3 fili italiani che i pilastri censiscono.</w:t>
      </w:r>
    </w:p>
    <w:p>
      <w:pPr>
        <w:spacing w:after="120" w:line="276"/>
        <w:jc w:val="both"/>
      </w:pPr>
      <w:r>
        <w:rPr>
          <w:rFonts w:ascii="Barlow Semi Condensed" w:cs="Barlow Semi Condensed" w:eastAsia="Barlow Semi Condensed" w:hAnsi="Barlow Semi Condensed"/>
          <w:sz w:val="24"/>
          <w:szCs w:val="24"/>
        </w:rPr>
        <w:t xml:space="preserve">Il primo pilastro segue la traiettoria di Stefano Delle Chiaie, il percorso di carriera transnazionale più documentato dell'estremismo nero italiano, applicazione maggiore del Pattern 7 sul teatro. Riparato in Spagna dopo la stagione italiana, l'uomo di Avanguardia Nazionale attraversò il decennio tra la penisola iberica e il continente americano, e la documentazione lo colloca in Cile e quindi in Bolivia, dove le risultanze convergenti ne certificano la presenza nell'orbita del golpe del 17 luglio 1980, il colpo di Stato del generale García Meza sostenuto dagli apparati del narcotraffico, insieme a Pierluigi Pagliai e nel medesimo ambiente in cui operava Klaus Barbie, l'ex ufficiale nazista consegnato alla Francia nel febbraio 1983; Pagliai fu catturato in Bolivia nell'ottobre 1982 nell'ambito della cooperazione con l'Italia e morì poco dopo per le ferite riportate nella cattura; Delle Chiaie proseguì la latitanza sino alla cattura in Venezuela nel 1987 e ai processi italiani. Il registro certifica al Livello A la traiettoria, le presenze boliviane e le catture, quali risultanze documentali e giudiziarie, e adempie la disciplina degli esiti riportando per esteso l'esito dei giudizi maggiori: Stefano Delle Chiaie fu assolto per la strage di piazza Fontana dalla Corte d'assise di Catanzaro nel 1989, con conferma dell'assoluzione in appello nel 1991, e l'assoluzione è definitiva; il registro trascrive l'esito con la medesima evidenza dei fatti certificati, secondo la regola che non ammette eccezioni.</w:t>
      </w:r>
    </w:p>
    <w:p>
      <w:pPr>
        <w:spacing w:after="120" w:line="276"/>
        <w:jc w:val="both"/>
      </w:pPr>
      <w:r>
        <w:rPr>
          <w:rFonts w:ascii="Barlow Semi Condensed" w:cs="Barlow Semi Condensed" w:eastAsia="Barlow Semi Condensed" w:hAnsi="Barlow Semi Condensed"/>
          <w:sz w:val="24"/>
          <w:szCs w:val="24"/>
        </w:rPr>
        <w:t xml:space="preserve">Il secondo pilastro censisce il versante piduista del teatro, l'Argentina di Licio Gelli. La documentazione della Commissione Anselmi e le acquisizioni convergenti certificano il radicamento argentino del Venerabile, i rapporti con gli ambienti della giunta militare, la presenza negli elenchi della loggia di figure di vertice del regime, tra le quali l'ammiraglio Emilio Massera, membro della prima giunta, e la funzione della piazza argentina quale retrovia degli affari e delle protezioni gelliane; alla stagione argentina appartiene la parabola successiva dell'uomo, l'arresto a Ginevra il 13 settembre 1982 nel tentativo di movimentazione bancaria, l'evasione dal carcere svizzero di Champ-Dollon il 10 agosto 1983 e la lunga latitanza sudamericana prima della consegna definitiva; il registro certifica al Livello A il radicamento, gli elenchi, l'arresto e l'evasione, quali dati documentali e giudiziari, e certifica al Livello A, quale dato del Pattern 10, la geografia che il pilastro compone con il primo: il medesimo continente ospitò simultaneamente, nella prima metà degli anni Ottanta, la diaspora nera operativa sul versante andino e la retrovia piduista sul versante atlantico, 2 reti italiane distinte per natura e parimenti protette da regimi militari, senza che alcun documento certifichi un coordinamento tra le 2 presenze, la compresenza restando censita quale fatto geografico al Livello A e ogni lettura unificante al Livello C.</w:t>
      </w:r>
    </w:p>
    <w:p>
      <w:pPr>
        <w:spacing w:after="120" w:line="276"/>
        <w:jc w:val="both"/>
      </w:pPr>
      <w:r>
        <w:rPr>
          <w:rFonts w:ascii="Barlow Semi Condensed" w:cs="Barlow Semi Condensed" w:eastAsia="Barlow Semi Condensed" w:hAnsi="Barlow Semi Condensed"/>
          <w:sz w:val="24"/>
          <w:szCs w:val="24"/>
        </w:rPr>
        <w:t xml:space="preserve">Il terzo pilastro censisce le capitali-rifugio quale sistema, la geografia delle protezioni che la Fase 4 ha consegnato. Il continente e i suoi margini ospitarono, in regimi e per ragioni diverse, le latitanze perpetue del corpus: il Nicaragua sandinista per Alessio Casimirri, l'uomo di via Fani mai raggiunto dall'esecuzione penale, il cono sud militare per la diaspora nera, il Venezuela per l'ultima latitanza di Delle Chiaie, e la serie compone la mappa che il registro formalizza: le protezioni non seguirono l'asse ideologico ma l'asse dell'utilità e dell'ostilità giurisdizionale, un regime rivoluzionario e regimi controrivoluzionari avendo prodotto il medesimo effetto, la sottrazione perpetua dei protetti alla giurisdizione italiana; il registro certifica al Livello A la mappa e la sua trasversalità ideologica, quali fatti, e ne trae il teorema del Pattern 10 che consegna alla verifica finale: nel campo studiato, la geografia del rifugio è una funzione della frattura tra gli ordinamenti e non della prossimità politica, e ogni lettura delle protezioni in chiave di campo deve preliminarmente superare il dato certificato della loro distribuzione bipolare.</w:t>
      </w:r>
    </w:p>
    <w:p>
      <w:pPr>
        <w:spacing w:after="120" w:line="276"/>
        <w:jc w:val="both"/>
      </w:pPr>
      <w:r>
        <w:rPr>
          <w:rFonts w:ascii="Barlow Semi Condensed" w:cs="Barlow Semi Condensed" w:eastAsia="Barlow Semi Condensed" w:hAnsi="Barlow Semi Condensed"/>
          <w:sz w:val="24"/>
          <w:szCs w:val="24"/>
        </w:rPr>
        <w:t xml:space="preserve">Il quarto pilastro censisce il caso che portò il Condor a Roma, l'attentato a Bernardo Leighton. Il 6 ottobre 1975 l'ex vicepresidente cileno Bernardo Leighton, esule democristiano oppositore del regime di Pinochet, fu gravemente ferito a Roma in un agguato con arma da fuoco insieme alla moglie Anita Fresno, che riportò lesioni permanenti: le indagini e i giudizi ricostruirono l'attentato quale operazione commissionata dalla polizia segreta cilena, la DINA, con l'esecuzione attribuita dalle risultanze all'ambiente dell'estremismo nero romano in rapporto con la centrale cilena, e la Corte d'assise di Roma condannò nel 1995, in contumacia, i vertici della DINA quali mandanti; il registro certifica al Livello A l'attentato, le vittime, la matrice cilena e le condanne contumaciali dei mandanti, quali risultanze giudiziarie, nomina Bernardo Leighton e Anita Fresno tra le vittime ferite della fase quale atto dovuto, mantiene al Livello B le attribuzioni esecutive all'orbita nera italiana nei termini non consacrati da condanna, e ne dichiara la funzione reticolare: il caso Leighton è l'arco documentato che congiunge il sistema Condor al territorio italiano e all'estremismo nero romano, la prova che la rete continentale del capitolo operò dentro Roma, e costituisce, con la strage di via Fani e con l'attentato del 1981, uno dei 3 casi del corpus in cui la capitale fu teatro di operazioni con committenza o esecuzione internazionale certificata o processata.</w:t>
      </w:r>
    </w:p>
    <w:p>
      <w:pPr>
        <w:spacing w:after="120" w:line="276"/>
        <w:jc w:val="both"/>
      </w:pPr>
      <w:r>
        <w:rPr>
          <w:rFonts w:ascii="Barlow Semi Condensed" w:cs="Barlow Semi Condensed" w:eastAsia="Barlow Semi Condensed" w:hAnsi="Barlow Semi Condensed"/>
          <w:sz w:val="24"/>
          <w:szCs w:val="24"/>
        </w:rPr>
        <w:t xml:space="preserve">Il quinto pilastro censisce l'esito giudiziario italiano di sistema, il processo Condor del secolo successivo. Sulla scomparsa e l'assassinio di cittadini italiani e italo-discendenti nel cono sud, la giustizia italiana celebrò il processo ai responsabili delle strutture repressive dei regimi coordinati, approdato alle condanne all'ergastolo estese in appello nel 2019 e rese definitive dalla Corte di cassazione nel 2021 per i vertici superstiti delle catene di comando sudamericane; il registro certifica al Livello A il processo e gli esiti definitivi, quali dati giudiziari, e ne trae la formalizzazione che il teatro consegna all'opera: il sistema Condor è, nel corpus internazionale, il caso di massima consacrazione giudiziaria, l'unica rete transnazionale del grafo i cui vertici siano stati condannati in via definitiva da una corte italiana per il funzionamento della rete quale tale, e la comparazione con gli esiti nulli dei nodi europei del corpus, Aginter senza condanne organiche e Hyperion senza imputazioni, misura la variabile che governa la giustiziabilità del livello internazionale: il Condor fu giudicabile perché i suoi regimi caddero e i suoi archivi si aprirono, secondo la legge del capitolo nono, e la sentenza del 2021 è, in questa lettura certificata, il frutto giudiziario maturo di un'apertura archivistica continentale.</w:t>
      </w:r>
    </w:p>
    <w:p>
      <w:pPr>
        <w:spacing w:after="120" w:line="276"/>
        <w:jc w:val="both"/>
      </w:pPr>
      <w:r>
        <w:rPr>
          <w:rFonts w:ascii="Barlow Semi Condensed" w:cs="Barlow Semi Condensed" w:eastAsia="Barlow Semi Condensed" w:hAnsi="Barlow Semi Condensed"/>
          <w:sz w:val="24"/>
          <w:szCs w:val="24"/>
        </w:rPr>
        <w:t xml:space="preserve">Il sesto pilastro censisce l'ambiente del golpe boliviano, la composizione che rende il caso unico nel corpus. Le ricostruzioni giudiziarie e documentali del colpo di Stato del 1980 descrivono la convergenza operativa, attorno agli apparati golpisti, di 3 componenti certificate: i quadri militari boliviani, le strutture del narcotraffico che finanziarono l'operazione, e il gruppo paramilitare internazionale raccolto attorno a Klaus Barbie, la formazione nota alle cronache quale i fidanzati della morte, nella cui orbita le risultanze collocano la componente della diaspora nera europea con le presenze italiane censite nel primo pilastro; il registro certifica al Livello A la convergenza delle 3 componenti, quale ricostruzione consolidata, e ne dichiara il valore paradigmatico per l'opera: il golpe del 1980 è il caso documentato in cui un potere statale fu conquistato dalla saldatura diretta tra apparato militare, criminalità del narcotraffico ed estremismo politico transnazionale, la configurazione che le fasi nazionali hanno incontrato soltanto in forme mediate e parziali, qui realizzata in forma pura e vittoriosa; il registro trascrive il caso quale massimo esemplare del corpus della coppia crimine-forze armate, la coppia a bassa densità che la Nota metodologica indicava quale potenzialmente rivelatrice, e annota che la sua realizzazione compiuta avvenne non nel teatro italiano ma nella periferia andina, dove le condizioni di sistema, la debolezza istituzionale e la forza del narcotraffico, consentirono ciò che il sistema italiano, per la lettura che i materiali sostengono, non consentì mai nella forma piena.</w:t>
      </w:r>
    </w:p>
    <w:p>
      <w:pPr>
        <w:spacing w:after="120" w:line="276"/>
        <w:jc w:val="both"/>
      </w:pPr>
      <w:r>
        <w:rPr>
          <w:rFonts w:ascii="Barlow Semi Condensed" w:cs="Barlow Semi Condensed" w:eastAsia="Barlow Semi Condensed" w:hAnsi="Barlow Semi Condensed"/>
          <w:sz w:val="24"/>
          <w:szCs w:val="24"/>
        </w:rPr>
        <w:t xml:space="preserve">Il settimo pilastro censisce l'epilogo del filo gelliano, la chiusura del percorso sudamericano. La latitanza seguita all'evasione del 1983 si chiuse con la costituzione a Ginevra nel settembre 1987 e con l'estradizione in Italia nel febbraio 1988, alle condizioni convenzionali che delimitarono i titoli di giudizio; ne seguirono le stagioni processuali che le fasi nazionali hanno certificato negli esiti, la condanna definitiva per la bancarotta del Banco Ambrosiano e la condanna definitiva per il depistaggio delle indagini sulla strage di Bologna, con le assoluzioni definitive dagli altri titoli che la Fase 3 ha riportato per esteso; il registro certifica al Livello A la sequenza costituzione-estradizione e recepisce gli esiti nella qualificazione delle fasi competenti, traendone la chiusura comparativa del teatro: i 2 massimi latitanti del corpus internazionale, il capo della diaspora nera e il Venerabile della loggia, percorsero il continente delle protezioni con traiettorie speculari e approdarono entrambi, per vie diverse, alla giurisdizione italiana, l'uno alla cattura del 1987 e ai processi con gli esiti assolutori maggiori riportati, l'altro alla consegna del 1988 e alle condanne definitive circoscritte; la coppia degli epiloghi, l'assolto catturato e il condannato consegnato, chiude il teatro latinoamericano con la dimostrazione che il registro affida alla disciplina degli esiti: la giurisdizione, quando infine raggiunse i protetti, produsse verdetti differenziati e non simmetrici alle attese di alcuna vulgata, e il registro li trascrive quali sono, secondo la regola che non corregge mai gli esiti nella direzione delle 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Chiaie-Bolivia-golpe del 1980, certifica al Livello A la presenza della diaspora nera italiana nell'evento andino, con l'esito assolutorio italiano riportato per esteso. La seconda, Gelli-Argentina-elenchi della loggia, certifica al Livello A la retrovia piduista e i suoi vertici militari. La terza, Casimirri-Nicaragua-capitali-rifugio, salda l'arco della Fase 4 al sistema continentale delle protezioni, con la trasversalità ideologica certificata quale fatto.</w:t>
      </w:r>
    </w:p>
    <w:p>
      <w:pPr>
        <w:spacing w:after="120" w:line="276"/>
        <w:jc w:val="both"/>
      </w:pPr>
      <w:r>
        <w:rPr>
          <w:rFonts w:ascii="Barlow Semi Condensed" w:cs="Barlow Semi Condensed" w:eastAsia="Barlow Semi Condensed" w:hAnsi="Barlow Semi Condensed"/>
          <w:sz w:val="24"/>
          <w:szCs w:val="24"/>
        </w:rPr>
        <w:t xml:space="preserve">Alla giurisdizione italiana sul sistema il registro deve infine i nomi che la radicarono, in ottemperanza alla disciplina delle vittime che governa l'intera opera: tra i cittadini italiani e i doppi cittadini scomparsi o assassinati nel quadro del coordinamento repressivo, per i quali le corti romane hanno celebrato il processo censito, figurano Juan Pablo Montiglio, italo-cileno della cerchia della sicurezza del presidente Allende, soppresso nella stagione immediatamente successiva al golpe, Omar Venturelli Leonelli, sacerdote e docente italo-cileno prelevato e scomparso nel 1973, e Lorenzo Ismael Viñas, italo-argentino sequestrato nel 1980 sulla rotta del confine con il Brasile, Livello A quanto ai casi, accertati nelle sedi giudiziarie italiane quali fatti del sistema. Il registro trascrive i 3 nomi quale rappresentanza dell'elenco più ampio che gli atti del processo custodiscono, e ne dichiara la funzione: essi sono la ragione giuridica per cui il Condor, sistema straniero operante su continenti lontani, appartiene di diritto a un'opera italiana, giacché la giurisdizione seguì il sangue, e la cittadinanza delle vittime trasformò il coordinamento dei regimi australi in materia penale della Repubblica, con la conseguenza, censita dal pilastro giudiziario, che una delle sentenze più vaste mai pronunciate al mondo sul terrorismo di Stato transnazionale porta l'intestazione di una Corte d'Assise romana.</w:t>
      </w:r>
    </w:p>
    <w:p>
      <w:pPr>
        <w:spacing w:after="120" w:line="276"/>
        <w:jc w:val="both"/>
      </w:pPr>
      <w:r>
        <w:rPr>
          <w:rFonts w:ascii="Barlow Semi Condensed" w:cs="Barlow Semi Condensed" w:eastAsia="Barlow Semi Condensed" w:hAnsi="Barlow Semi Condensed"/>
          <w:sz w:val="24"/>
          <w:szCs w:val="24"/>
        </w:rPr>
        <w:t xml:space="preserve">La scansione numerica degli esiti romani merita la trascrizione integrale, perché la sua progressione è essa stessa un reperto sull'accertamento tardivo: il primo grado, celebrato dinanzi alla Corte d'Assise di Roma e concluso nel gennaio 2017, pronunciò 8 condanne all'ergastolo a carico dei vertici superstiti dei regimi e un ampio ventaglio di assoluzioni per gli imputati di rango inferiore; il giudizio d'appello dell'8 luglio 2019 ribaltò in larga parte le assoluzioni portando a 24 gli ergastoli; la Corte di cassazione, il 9 luglio 2021, rese irrevocabile l'impianto, Livello A sull'intera scansione. Il registro annota la morfologia dell'esito: la forbice tra i 2 gradi di merito, da 8 a 24 ergastoli sul medesimo materiale, misura non un mutamento delle prove ma un mutamento del criterio di imputazione del sistema, il passaggio dalla responsabilità per il singolo fatto alla responsabilità per l'appartenenza consapevole all'apparato repressivo coordinato, e questa evoluzione, consacrata dalla Cassazione, costituisce il contributo dottrinale italiano alla giustizia internazionale sui crimini di sistema: il Condor fu giudicato a Roma non quale somma di omicidi ma quale organizzazione, con la medesima grammatica associativa che l'ordinamento aveva forgiato, nei decenni, sui propri sodalizi criminali interni.</w:t>
      </w:r>
    </w:p>
    <w:p>
      <w:pPr>
        <w:spacing w:after="120" w:line="276"/>
        <w:jc w:val="both"/>
      </w:pPr>
      <w:r>
        <w:rPr>
          <w:rFonts w:ascii="Barlow Semi Condensed" w:cs="Barlow Semi Condensed" w:eastAsia="Barlow Semi Condensed" w:hAnsi="Barlow Semi Condensed"/>
          <w:sz w:val="24"/>
          <w:szCs w:val="24"/>
        </w:rPr>
        <w:t xml:space="preserve">Alla topografia del sistema appartiene il luogo che il processo romano e i giudicati argentini hanno consegnato quale suo snodo fisico per gli stranieri: il centro clandestino di detenzione noto quale Automotores Orletti, l'officina di Buenos Aires adibita nel 1976 a stazione operativa per i prigionieri non argentini del coordinamento, teatro accertato del transito, della tortura e della sparizione di cittadini uruguaiani, cileni e di doppi cittadini italiani caduti nella rete, tra i quali casi giudicati nelle aule romane censite, Livello A quanto all'esistenza, alla funzione ed ai fatti accertati nelle sedi giudiziarie dei 2 continenti. Il registro assegna al luogo la funzione che i luoghi hanno in tutta l'opera, da Thompson Street a via Ruggiero Settimo: Orletti è la convergenza spaziale del Condor, il punto in cui il coordinamento cartaceo degli apparati diveniva stanza, catena, corpo, e la sua accertata specializzazione per i prigionieri stranieri documenta, meglio di ogni organigramma, la natura autenticamente transnazionale del sistema, che non si limitava a scambiare informazioni tra sovranità ma gestiva in comune, in un solo indirizzo, la fase terminale della repressione multinazionale. Nel grafo della fase, l'officina di Buenos Aires è perciò il nodo-luogo a massima densità dell'intero teatro australe, e la sua centralità postuma nelle sentenze di 2 continenti è la conferma, ancora una volta, che la giustizia raggiunge il sistema dove il sistema si fa spazio.</w:t>
      </w:r>
    </w:p>
    <w:p>
      <w:pPr>
        <w:spacing w:after="120" w:line="276"/>
        <w:jc w:val="both"/>
      </w:pPr>
      <w:r>
        <w:rPr>
          <w:rFonts w:ascii="Barlow Semi Condensed" w:cs="Barlow Semi Condensed" w:eastAsia="Barlow Semi Condensed" w:hAnsi="Barlow Semi Condensed"/>
          <w:sz w:val="24"/>
          <w:szCs w:val="24"/>
        </w:rPr>
        <w:t xml:space="preserve">All'antecedente civile del terrore australe appartiene la struttura che saldò, prima ancora dei golpe, il versante argentino al perimetro dell'opera: la Alianza Anticomunista Argentina, la formazione parastatale attiva dal 1973 al 1976 sotto il governo peronista, organizzata dal ministro José López Rega, responsabile di centinaia di omicidi politici nella stagione precedente il colpo di Stato, Livello A quanto all'esistenza, alla direzione ed all'attività accertate dalle giurisdizioni argentine. Il raccordo con il registro è nominale e documentale: López Rega figura negli elenchi della loggia coperta acquisiti dalla Commissione Anselmi, quale appartenente all'orbita gelliana argentina che il secondo pilastro certifica, sicché il fondatore dello squadrismo di Stato preperonista risulta iscritto alla medesima struttura riservata italiana che il registro ha censito quale massima intermediazione del grafo nazionale, Livello A quanto alla presenza negli elenchi, con la disciplina costante dell'opera sul valore della mera iscrizione. La parabola terminale completa la scheda: caduto con il governo che lo aveva espresso, López Rega riparò all'estero, fu arrestato negli Stati Uniti nel 1986, estradato in Argentina e morì nel 1989 in attesa di giudizio, senza sentenza definitiva sulla propria responsabilità, Livello A quanto agli esiti. Il registro consegna il nodo alla sua funzione: la Triple A dimostra che il terrore australe non nacque con le giunte ma le precedette in forma civile, e che l'orbita della loggia lambiva quel laboratorio prima ancora che il Condor lo istituzionalizzasse.</w:t>
      </w:r>
    </w:p>
    <w:p>
      <w:pPr>
        <w:spacing w:after="120" w:line="276"/>
        <w:jc w:val="both"/>
      </w:pPr>
      <w:r>
        <w:rPr>
          <w:rFonts w:ascii="Barlow Semi Condensed" w:cs="Barlow Semi Condensed" w:eastAsia="Barlow Semi Condensed" w:hAnsi="Barlow Semi Condensed"/>
          <w:sz w:val="24"/>
          <w:szCs w:val="24"/>
        </w:rPr>
        <w:t xml:space="preserve">Il teatro australe esige infine la sua comparazione giudiziaria interna, che il registro censisce quale contro-modello dell'intera fase: l'Argentina processò i propri vertici con il Juicio a las Juntas del 1985, il dibattimento civile che a 2 anni dalla fine del regime condannò i comandanti delle prime giunte, l'ergastolo a Videla, la condanna a Massera, primo caso al mondo di una democrazia che giudicava con i propri tribunali ordinari la propria dittatura appena caduta, Livello A quanto al processo ed agli esiti; la stagione successiva delle leggi di clemenza, il punto finale e l'obbedienza dovuta della fine degli anni Ottanta e gli indulti presidenziali, congelò per 15 anni quel primato, sino alla dichiarazione di incostituzionalità ed alla riapertura generalizzata dei giudizi nel primo decennio del nuovo secolo, che restituì alle aule argentine i processi censiti in questo capitolo, Livello A sull'intera parabola normativa. Il registro trae dalla comparazione la sua morale documentale: la giustizia argentina percorse in 20 anni l'intero ciclo, condanna, amnistia, annullamento dell'amnistia, nuova condanna, mentre la giustizia italiana sui fatti equivalenti del proprio corpus non ha mai completato neppure il primo movimento, e la circostanza che il Paese uscito da una dittatura genocida abbia giudicato sé stesso più rapidamente e più a fondo di quanto la democrazia continuativa più antica del corpus abbia giudicato le proprie stragi è il termine di paragone che la fase consegna, senza commento, alla verifica finale.</w:t>
      </w:r>
    </w:p>
    <w:p>
      <w:pPr>
        <w:spacing w:after="120" w:line="276"/>
        <w:jc w:val="both"/>
      </w:pPr>
      <w:r>
        <w:rPr>
          <w:rFonts w:ascii="Barlow Semi Condensed" w:cs="Barlow Semi Condensed" w:eastAsia="Barlow Semi Condensed" w:hAnsi="Barlow Semi Condensed"/>
          <w:sz w:val="24"/>
          <w:szCs w:val="24"/>
        </w:rPr>
        <w:t xml:space="preserve">Il versante uruguaiano del ponte piduista completa la geografia australe della loggia, ed il registro lo censisce accanto al caso argentino: Umberto Ortolani, il numero 2 della struttura censito nella prima fase dell'opera, aveva stabilito a Montevideo il proprio quartier generale finanziario sudamericano, con la banca di famiglia operante nella piazza uruguaiana, la naturalizzazione e le relazioni di vertice che le acquisizioni della Commissione Anselmi documentarono, facendo dell'Uruguay degli anni della dittatura la seconda capitale operativa della loggia dopo Buenos Aires, Livello A quanto agli insediamenti ed alle acquisizioni parlamentari. Il registro salda il dato alla struttura della fase: i 2 vertici della piramide gelliana risultano così stabilmente installati nei 2 Paesi cardine del coordinamento repressivo censito dal pilastro, l'Argentina di Gelli e López Rega, l'Uruguay di Ortolani, negli anni esatti in cui quel coordinamento operava, e questa doppia residenza documentata, quale che ne sia stata la funzione operativa mai integralmente giudicata, colloca fisicamente la massima struttura di intermediazione del grafo italiano dentro il perimetro geografico del Condor, con la conseguenza analitica che la fase consegna alla verifica finale: il ponte tra il capitolo italiano e il teatro australe non è un'inferenza degli analisti, è un indirizzo, anzi 2.</w:t>
      </w:r>
    </w:p>
    <w:p>
      <w:pPr>
        <w:spacing w:after="120" w:line="276"/>
        <w:jc w:val="both"/>
      </w:pPr>
      <w:r>
        <w:rPr>
          <w:rFonts w:ascii="Barlow Semi Condensed" w:cs="Barlow Semi Condensed" w:eastAsia="Barlow Semi Condensed" w:hAnsi="Barlow Semi Condensed"/>
          <w:sz w:val="24"/>
          <w:szCs w:val="24"/>
        </w:rPr>
        <w:t xml:space="preserve">Alla topografia argentina del sistema appartiene, accanto all'officina censita, il suo centro maggiore, che il registro riporta per completezza comparativa: la Escuela de Mecánica de la Armada di Buenos Aires, il più vasto centro clandestino di detenzione del regime, per il quale transitarono migliaia di prigionieri in gran parte mai riemersi, oggi convertito in museo e sito della memoria con il riconoscimento del patrimonio mondiale, Livello A quanto alla funzione storica accertata dai giudicati argentini ed alla destinazione memoriale. La comparazione con l'officina del coordinamento è la funzione del reperto: l'ESMA fu la macchina nazionale del terrore, Orletti la sua succursale multinazionale, e la coesistenza documentata delle 2 strutture nella medesima città certifica la doppia scala del sistema che il pilastro misura, quella interna della repressione di massa e quella transnazionale del coordinamento selettivo, con la conseguenza museale che il registro annota per la verifica finale: l'Argentina ha trasformato entrambe in luoghi pubblici della memoria, applicando ai propri edifici del terrore la stessa politica che il capitolo ha censito per i propri processi, mentre nessun luogo italiano del corpus, nessuna caserma, nessun ufficio, nessuna sede coperta, ha mai conosciuto conversione equivalente.</w:t>
      </w:r>
    </w:p>
    <w:p>
      <w:pPr>
        <w:spacing w:after="120" w:line="276"/>
        <w:jc w:val="both"/>
      </w:pPr>
      <w:r>
        <w:rPr>
          <w:rFonts w:ascii="Barlow Semi Condensed" w:cs="Barlow Semi Condensed" w:eastAsia="Barlow Semi Condensed" w:hAnsi="Barlow Semi Condensed"/>
          <w:sz w:val="24"/>
          <w:szCs w:val="24"/>
        </w:rPr>
        <w:t xml:space="preserve">Il teatro cileno del pilastro possiede infine il suo contrappunto luminoso, che il registro censisce per dovere di completezza e per disciplina d'equilibrio: nei mesi successivi al golpe del settembre 1973, la sede diplomatica italiana a Santiago, già evocata, divenne il maggiore rifugio occidentale della capitale, accogliendo entro i propri muri centinaia di perseguitati che vi scavalcarono la cinta, ospitati per mesi e progressivamente trasferiti in Italia con salvacondotti negoziati, senza che una sola persona accolta venisse mai consegnata al regime, Livello A quanto alla vicenda documentata dagli archivi diplomatici e dalle testimonianze convergenti. Il registro assegna al reperto la sua funzione strutturale nell'economia dell'opera: la medesima Repubblica i cui apparati la fase censisce nelle loro torsioni esprimeva, simultaneamente e attraverso altri suoi servitori, la più ampia operazione umanitaria occidentale del teatro cileno, e questa compresenza documentata delle 2 Italie nello stesso scacchiere, quella dei canali coperti e quella dei cancelli aperti, è la dimostrazione empirica della tesi anti-monolitica che governa l'intero metodo: gli Stati del corpus non sono attori unitari ma campi di forze, e la storia che l'opera ricostruisce non è quella di nazioni colpevoli, ma di domini in conflitto dentro ogni nazione, con la conseguenza che ogni giudizio sommario su un Paese intero è, per il metodo di quest'opera, un errore di risoluzione prima che di merito.</w:t>
      </w:r>
    </w:p>
    <w:p>
      <w:pPr>
        <w:spacing w:after="120" w:line="276"/>
        <w:jc w:val="both"/>
      </w:pPr>
      <w:r>
        <w:rPr>
          <w:rFonts w:ascii="Barlow Semi Condensed" w:cs="Barlow Semi Condensed" w:eastAsia="Barlow Semi Condensed" w:hAnsi="Barlow Semi Condensed"/>
          <w:sz w:val="24"/>
          <w:szCs w:val="24"/>
        </w:rPr>
        <w:t xml:space="preserve">Il fascicolo cileno conosce infine la sua chiusura documentale d'oltreoceano, che il registro censisce quale autocertificazione terminale del campo: il rapporto consegnato al Congresso nel settembre 2000 in esecuzione dell'emendamento che ne portava il nome, con cui l'agenzia americana ammise ufficialmente, a 27 anni dal golpe, la portata dei propri programmi cileni, i finanziamenti, i rapporti con gli apparati della giunta ed i contatti con figure coinvolte in crimini accertati, accompagnando l'ammissione con la declassificazione di decine di migliaia di carte disposta nella medesima stagione, Livello A quanto ai contenuti del rapporto ed al corpus declassificato. Il registro salda il documento alla struttura probatoria dell'intero pilastro: con il rapporto del 2000 il caso cileno raggiunse la configurazione documentale perfetta che quasi nessun altro nodo dell'opera possiede, la convergenza tra gli archivi delle vittime, i giudicati dei tribunali di 2 continenti e l'ammissione scritta del committente, e questa saturazione delle fonti spiega perché il pilastro australe costituisca, nell'economia del metodo, il caso di controllo dell'intera opera: è il teatro dove si può misurare come appare un sistema coperto quando tutte le sue carte, per una volta, sono uscite, ed è con quel metro che il registro ha pesato, per differenza, tutti i teatri dove le carte non sono uscite ancora.</w:t>
      </w:r>
    </w:p>
    <w:p>
      <w:pPr>
        <w:spacing w:after="120" w:line="276"/>
        <w:jc w:val="both"/>
      </w:pPr>
      <w:r>
        <w:rPr>
          <w:rFonts w:ascii="Barlow Semi Condensed" w:cs="Barlow Semi Condensed" w:eastAsia="Barlow Semi Condensed" w:hAnsi="Barlow Semi Condensed"/>
          <w:sz w:val="24"/>
          <w:szCs w:val="24"/>
        </w:rPr>
        <w:t xml:space="preserve">Il sistema australe conobbe il proprio punto di rottura strategica nella capitale del patrono, ed il registro lo censisce quale svolta documentata: il 21 settembre 1976 un ordigno collocato dalla polizia segreta cilena uccise a Washington, a pochi isolati dalla Casa Bianca, l'ex ministro Orlando Letelier e la collaboratrice americana Ronni Moffitt, nell'unica operazione del coordinamento consumata sul territorio degli Stati Uniti, e le indagini federali che ne seguirono, con le condanne americane degli esecutori e l'incriminazione dei vertici della DINA, aprirono la crisi che avrebbe progressivamente separato Washington dal sistema che aveva tollerato, Livello A quanto all'attentato, alle vittime ed agli esiti giudiziari americani. Il registro consegna l'attentato alla sua funzione di cerniera nell'economia del pilastro: Washington 1976 dimostrò che un apparato repressivo abituato all'impunità continentale aveva perso la percezione dei confini del tollerabile, colpendo nel cuore della potenza tutrice con la stessa disinvoltura usata a Buenos Aires, e la reazione americana che ne seguì, giudiziaria e politica, certifica la legge di sistema che l'intera fase documenta: i patroni dei campi non difendono i clienti dai crimini, li difendono dai crimini commessi nel posto sbagliato, e la geografia dell'impunità del Condor, totale a Sud e nulla sul Potomac, è la mappa più onesta che il corpus possieda di che cosa fosse davvero in vendita, e dove.</w:t>
      </w:r>
    </w:p>
    <w:p>
      <w:pPr>
        <w:spacing w:after="120" w:line="276"/>
        <w:jc w:val="both"/>
      </w:pPr>
      <w:r>
        <w:rPr>
          <w:rFonts w:ascii="Barlow Semi Condensed" w:cs="Barlow Semi Condensed" w:eastAsia="Barlow Semi Condensed" w:hAnsi="Barlow Semi Condensed"/>
          <w:sz w:val="24"/>
          <w:szCs w:val="24"/>
        </w:rPr>
        <w:t xml:space="preserve">La parabola giudiziaria del capo dell'apparato esige il suo censimento, che il registro riporta quale contrappasso documentato: il generale Manuel Contreras, fondatore e direttore della polizia segreta cilena negli anni del coordinamento, condannato una prima volta per l'attentato di Washington dopo la fine del regime, accumulò nei processi cileni dei 2 decenni successivi condanne cumulative per centinaia di anni di reclusione per le sparizioni e gli omicidi accertati caso per caso, e morì detenuto nel 2015, Livello A quanto alle condanne ed alla morte in carcere. Il registro consegna la parabola alla sua funzione di misura: l'uomo che aveva diretto l'apparato dell'impunità continentale morì sepolto da un contenzioso penale che i tribunali del suo Paese ricostruirono vittima per vittima, e la distanza tra le 2 stagioni della sua biografia, l'onnipotenza degli anni Settanta e la contabilità giudiziaria del nuovo secolo, certifica la legge che il pilastro australe consegna all'intera opera: l'impunità dei sistemi coperti non è una condizione ma una fase, dura quanto dura la protezione politica che la produce, e quando la protezione cade, la documentazione maniacale che ogni apparato produce di sé stesso, gli archivi, le liste, le catene di comando, si converte da strumento del potere in corpo del reato, sicché i tribunali di Santiago hanno condannato il generale, in larga parte, con le carte del generale.</w:t>
      </w:r>
    </w:p>
    <w:p>
      <w:pPr>
        <w:spacing w:after="120" w:line="276"/>
        <w:jc w:val="both"/>
      </w:pPr>
      <w:r>
        <w:rPr>
          <w:rFonts w:ascii="Barlow Semi Condensed" w:cs="Barlow Semi Condensed" w:eastAsia="Barlow Semi Condensed" w:hAnsi="Barlow Semi Condensed"/>
          <w:sz w:val="24"/>
          <w:szCs w:val="24"/>
        </w:rPr>
        <w:t xml:space="preserve">Il pilastro cileno possiede anche il suo contrappunto luminoso, che il registro censisce con il rilievo dovuto: il Vicariato della Solidarietà, l'organismo creato dalla Chiesa di Santiago nel 1976 dopo lo scioglimento forzato del primo comitato ecumenico, operò per l'intera durata del regime quale unica struttura legale di assistenza alle vittime, documentando caso per caso arresti, sparizioni e torture in un archivio sistematico che, alla caduta del regime, divenne la base documentale primaria delle commissioni verità e dei processi, Livello A quanto all'attività ed alla funzione documentale svolta. Il registro consegna l'istituzione alla sua doppia funzione nell'economia dell'opera: sul piano fattuale, l'archivio del Vicariato dimostra che la documentazione delle vittime, raccolta in tempo reale sotto il regime stesso, può sopravanzare per qualità gli archivi dei carnefici, ribaltando la dipendenza dai crolli altrui che il corpus ha censito quale legge; sul piano comparativo, la scelta della Chiesa cilena di schierare la propria extraterritorialità morale dalla parte dei perseguitati costituisce l'esatto rovescio degli usi della sponda vaticana censiti nella fase prima, e la compresenza dei 2 modelli nella stessa istituzione universale conferma il principio metodologico che governa l'intera opera: nessun dominio è monolitico, ogni struttura contiene i propri giusti ed i propri complici, e la storia si scrive contando gli uni e gli altri, mai presumendo né gli uni né gli altri.</w:t>
      </w:r>
    </w:p>
    <w:p>
      <w:pPr>
        <w:spacing w:after="120" w:line="276"/>
        <w:jc w:val="both"/>
      </w:pPr>
      <w:r>
        <w:rPr>
          <w:rFonts w:ascii="Barlow Semi Condensed" w:cs="Barlow Semi Condensed" w:eastAsia="Barlow Semi Condensed" w:hAnsi="Barlow Semi Condensed"/>
          <w:sz w:val="24"/>
          <w:szCs w:val="24"/>
        </w:rPr>
        <w:t xml:space="preserve">La transizione argentina produsse infine il prototipo documentale che il registro censisce quale modello esportato: la commissione nazionale sulla sparizione delle persone, istituita nel dicembre 1983 dal primo governo democratico e presieduta dallo scrittore Ernesto Sabato, consegnò in 9 mesi il rapporto Nunca Más, la prima grande inchiesta ufficiale di uno Stato sui crimini del proprio regime appena caduto, censimento sistematico dei casi, dei centri clandestini e delle metodologie che fornì la base probatoria del processo alle giunte e la matrice riconosciuta di tutte le commissioni verità successive, Livello A quanto all'istituzione, al rapporto ed alla sua funzione. Il registro colloca il prototipo nella comparazione che il capitolo ha costruito: l'Argentina inventò, a 9 mesi dalla caduta, lo strumento che l'Italia della stessa epoca non ha mai adottato in 50 anni, la commissione con mandato di sola verità, separata dal processo penale e perciò libera dai suoi tempi e dai suoi standard, e la differenza tra i 2 percorsi, il Paese che scrisse subito il proprio Nunca Más ed il Paese che affidò la propria verità a 5 decenni di dibattimenti ed a commissioni parlamentari per loro natura divise, spiega in parte l'asimmetria degli esiti che l'opera documenta: dove la verità fu separata dalla punizione, si ottenne almeno la verità; dove restarono congiunte, la prescrizione ed il ragionevole dubbio, uccidendo la seconda, ferirono per sempre anche la prima.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latinoamericano è certificato quale sistema di diaspore e retrovie con il Condor al Livello A quale cornice, le presenze italiane nere e piduiste documentate su versanti distinti senza coordinamento provato, gli esiti assolutori riportati per esteso, e la mappa delle capitali-rifugio elevata a teorema geografico: la protezione segue la frattura giurisdizionale, non l'asse ideologico.</w:t>
      </w:r>
    </w:p>
    <w:p>
      <w:pPr>
        <w:pStyle w:val="Heading3"/>
        <w:spacing w:after="80" w:before="160"/>
      </w:pPr>
      <w:r>
        <w:rPr>
          <w:rFonts w:ascii="Barlow Semi Condensed" w:cs="Barlow Semi Condensed" w:eastAsia="Barlow Semi Condensed" w:hAnsi="Barlow Semi Condensed"/>
          <w:sz w:val="24"/>
          <w:szCs w:val="24"/>
        </w:rPr>
        <w:t xml:space="preserve">Capitolo 3 — Il Sudafrica dell'apartheid: l'hub australe e lo Stato Zero esemplare</w:t>
      </w:r>
    </w:p>
    <w:p>
      <w:pPr>
        <w:spacing w:after="120" w:line="276"/>
        <w:jc w:val="both"/>
      </w:pPr>
      <w:r>
        <w:rPr>
          <w:rFonts w:ascii="Barlow Semi Condensed" w:cs="Barlow Semi Condensed" w:eastAsia="Barlow Semi Condensed" w:hAnsi="Barlow Semi Condensed"/>
          <w:sz w:val="24"/>
          <w:szCs w:val="24"/>
        </w:rPr>
        <w:t xml:space="preserve">Il terzo nodo è il Sudafrica dell'apartheid, il teatro che la lettura reticolare dei corpora internazionali dell'opera ha misurato quale nodo di massima intermediazione tra i dossier, il punto per cui passano i percorsi che collegano insiemi documentali altrimenti disconnessi, dalla rete Aginter alle trame delle sanzioni aggirate, dalle diaspore postbelliche alle verifiche sui circoli riservati. Il registro certifica al Livello A la posizione di hub, quale misura reticolare condotta sul corpus, e ne distende i fondamenti nei pilastri.</w:t>
      </w:r>
    </w:p>
    <w:p>
      <w:pPr>
        <w:spacing w:after="120" w:line="276"/>
        <w:jc w:val="both"/>
      </w:pPr>
      <w:r>
        <w:rPr>
          <w:rFonts w:ascii="Barlow Semi Condensed" w:cs="Barlow Semi Condensed" w:eastAsia="Barlow Semi Condensed" w:hAnsi="Barlow Semi Condensed"/>
          <w:sz w:val="24"/>
          <w:szCs w:val="24"/>
        </w:rPr>
        <w:t xml:space="preserve">Il primo pilastro censisce gli assi di complicità documentati. La monografia comparativa dell'opera ha certificato i 2 assi maggiori del sostegno esterno al regime, quello israeliano e quello britannico, ciascuno con la propria documentazione di cooperazione militare, tecnologica e finanziaria attraverso i decenni delle sanzioni, e il controcanto del campo opposto, la lunga ostilità sovietica e del blocco orientale con il sostegno ai movimenti di liberazione; il registro certifica al Livello A l'esistenza e la consistenza documentale degli assi, quali dati delle acquisizioni internazionali, e ne trae il primo fondamento della centralità: il regime australe fu, per mezzo secolo, il punto in cui gli interessi dei campi si incrociarono in configurazioni non riducibili alla logica bipolare, un teatro nel quale la geometria delle complicità attraversò gli schieramenti, e questa irriducibilità documentata è la ragione strutturale per cui i percorsi del grafo vi convergono.</w:t>
      </w:r>
    </w:p>
    <w:p>
      <w:pPr>
        <w:spacing w:after="120" w:line="276"/>
        <w:jc w:val="both"/>
      </w:pPr>
      <w:r>
        <w:rPr>
          <w:rFonts w:ascii="Barlow Semi Condensed" w:cs="Barlow Semi Condensed" w:eastAsia="Barlow Semi Condensed" w:hAnsi="Barlow Semi Condensed"/>
          <w:sz w:val="24"/>
          <w:szCs w:val="24"/>
        </w:rPr>
        <w:t xml:space="preserve">Il secondo pilastro censisce la rete europea dell'aggiramento delle sanzioni, il sistema di intermediari, società di comodo e canali finanziari che garantì al regime, negli anni dell'embargo, l'approvvigionamento militare e tecnologico attraverso piazze e operatori europei; la documentazione, emersa per inchieste giornalistiche, atti giudiziari sparsi e desecretazioni successive alla transizione, disegna una rete la cui consistenza il registro certifica al Livello B nel suo insieme, quale convergenza di fonti eterogenee non unificate da un accertamento organico, con i singoli episodi ai livelli propri; al medesimo pilastro appartiene il caso che salda il teatro alla cronaca europea, l'assassinio del primo ministro svedese Olof Palme, ucciso a Stoccolma il 28 febbraio 1986: tra le piste investigate dalla giustizia svedese figurò quella sudafricana, alimentata a metà degli anni Novanta da dichiarazioni di ex appartenenti agli apparati del regime sul movente dell'ostilità di Palme alle politiche dell'apartheid, e mai approdata a riscontro; l'inchiesta svedese fu chiusa nel 2020 con l'indicazione di un sospettato deceduto e senza processo. Il registro certifica al Livello A l'omicidio, la data, l'esistenza della pista e la chiusura del 2020, quali fatti documentali, nomina Olof Palme tra le vittime richiamate della fase, e mantiene al Livello C la pista sudafricana quale ipotesi investigata e non provata, secondo la disciplina che il caso, il più celebre omicidio politico irrisolto d'Europa, esige nella forma più severa.</w:t>
      </w:r>
    </w:p>
    <w:p>
      <w:pPr>
        <w:spacing w:after="120" w:line="276"/>
        <w:jc w:val="both"/>
      </w:pPr>
      <w:r>
        <w:rPr>
          <w:rFonts w:ascii="Barlow Semi Condensed" w:cs="Barlow Semi Condensed" w:eastAsia="Barlow Semi Condensed" w:hAnsi="Barlow Semi Condensed"/>
          <w:sz w:val="24"/>
          <w:szCs w:val="24"/>
        </w:rPr>
        <w:t xml:space="preserve">Il terzo pilastro censisce la verifica sui circoli riservati, il triangolo tra il teatro australe, il circolo transnazionale noto quale Le Cercle e l'orbita di Ordre et Tradition, che la monografia dedicata dell'opera ha sottoposto a stress documentale: la verifica ha certificato l'esistenza dei circoli, la documentazione delle loro composizioni per le stagioni note e i punti di contatto attestati con gli ambienti del regime, e ha negato la certificazione a ogni lettura funzionale unificante, mantenendo i contatti al Livello B e le funzioni al Livello C; il registro recepisce l'esito quale modello della propria disciplina sui mondi riservati transnazionali, nei quali l'esistenza è documentabile, la composizione parzialmente ricostruibile e la funzione strutturalmente eccedente le fonti.</w:t>
      </w:r>
    </w:p>
    <w:p>
      <w:pPr>
        <w:spacing w:after="120" w:line="276"/>
        <w:jc w:val="both"/>
      </w:pPr>
      <w:r>
        <w:rPr>
          <w:rFonts w:ascii="Barlow Semi Condensed" w:cs="Barlow Semi Condensed" w:eastAsia="Barlow Semi Condensed" w:hAnsi="Barlow Semi Condensed"/>
          <w:sz w:val="24"/>
          <w:szCs w:val="24"/>
        </w:rPr>
        <w:t xml:space="preserve">Il quarto pilastro censisce lo Stato Zero esemplare della fase, la verifica condotta sul raccordo tra le radici australi contemporanee e le reti storiche del corpus. L'opera ha condotto il riscontro sistematico tra i profili biografici dei membri del gruppo imprenditoriale contemporaneo noto quale PayPal Mafia e i nodi storici del teatro: la verifica ha certificato al Livello A le radici biografiche sudafricane o namibiane di 4 profili, quali dati pubblici documentati, e ha certificato, con eguale nettezza, l'esito negativo integrale del riscontro sulle connessioni, nessun elemento documentale collegando alcuno dei profili verificati alla rete Aginter, all'orbita di Delle Chiaie o ad alcun nodo storico del corpus; il registro dichiara lo Stato Zero con il perimetro della ricerca che lo fonda, l'intero corpus documentale dell'opera, e lo eleva a esemplare della categoria: la verifica fu condotta perché la suggestione geografica la sollecitava, fu condotta integralmente, e restituì il nulla documentato, che il registro trascrive quale risultato di prima classe, la delimitazione certificata dello spazio delle ipotesi, con il divieto assoluto, dichiarato in avvertenza, di ogni inferenza associativa dalla mera menzione dei profili verificati.</w:t>
      </w:r>
    </w:p>
    <w:p>
      <w:pPr>
        <w:spacing w:after="120" w:line="276"/>
        <w:jc w:val="both"/>
      </w:pPr>
      <w:r>
        <w:rPr>
          <w:rFonts w:ascii="Barlow Semi Condensed" w:cs="Barlow Semi Condensed" w:eastAsia="Barlow Semi Condensed" w:hAnsi="Barlow Semi Condensed"/>
          <w:sz w:val="24"/>
          <w:szCs w:val="24"/>
        </w:rPr>
        <w:t xml:space="preserve">Il quinto pilastro censisce il sostrato storico del teatro, le diaspore postbelliche che il corpus dell'opera ha documentato. La monografia dedicata ha censito la presenza in Africa australe delle reti della diaspora tedesca e filotedesca, dagli internamenti bellici dei simpatizzanti nell'Unione Sudafricana alla permanenza postbellica di comunità e ambienti che le acquisizioni collocano nel tessuto del regime successivo; il registro certifica al Livello A l'esistenza documentata del sostrato, quale dato storico consolidato dalle acquisizioni del corpus, mantiene ai livelli propri le singole traiettorie individuali censite, e ne dichiara la funzione strutturale: il teatro australe entra nel dopoguerra già dotato di un tessuto di reti riservate a matrice europea, e la sua successiva funzione di hub non nasce dal nulla ma si innesta su questa stratificazione, che il registro trascrive quale primo strato documentale del nodo, secondo il metodo della lettura per strati che l'opera ha applicato ai propri nodi di massima profondità.</w:t>
      </w:r>
    </w:p>
    <w:p>
      <w:pPr>
        <w:spacing w:after="120" w:line="276"/>
        <w:jc w:val="both"/>
      </w:pPr>
      <w:r>
        <w:rPr>
          <w:rFonts w:ascii="Barlow Semi Condensed" w:cs="Barlow Semi Condensed" w:eastAsia="Barlow Semi Condensed" w:hAnsi="Barlow Semi Condensed"/>
          <w:sz w:val="24"/>
          <w:szCs w:val="24"/>
        </w:rPr>
        <w:t xml:space="preserve">Il sesto pilastro censisce il vertice tecnologico dell'asse, il programma nucleare. Il regime sviluppò, nei decenni dell'isolamento, un programma nucleare militare giunto alla produzione di 6 ordigni, condotto con la cooperazione tecnologica che la documentazione attribuisce in misura maggiore all'asse israeliano censito nel primo pilastro, e lo smantellò unilateralmente nella transizione, con l'annuncio pubblico del presidente de Klerk del 24 marzo 1993 che rese il Sudafrica l'unico Stato ad avere costruito e volontariamente dismesso un arsenale nucleare; il registro certifica al Livello A il programma, la consistenza, lo smantellamento e l'annuncio, quali dati consolidati, certifica al Livello B la componente israeliana della cooperazione nei termini che la documentazione non ufficiale consente, e ne trae il dato che consegna alla mappa dell'opera: il teatro australe fu, per 2 decenni, l'unico nodo del grafo internazionale dotato di capacità nucleare autonoma extra-bipolare, e questa singolarità certificata, sommata all'irriducibilità degli assi del primo pilastro, completa il fondamento strutturale della sua centralità: il punto del sistema mondiale in cui le regole dei campi valevano meno era, necessariamente, il punto per cui passavano i percorsi che le regole dei campi vietavano.</w:t>
      </w:r>
    </w:p>
    <w:p>
      <w:pPr>
        <w:spacing w:after="120" w:line="276"/>
        <w:jc w:val="both"/>
      </w:pPr>
      <w:r>
        <w:rPr>
          <w:rFonts w:ascii="Barlow Semi Condensed" w:cs="Barlow Semi Condensed" w:eastAsia="Barlow Semi Condensed" w:hAnsi="Barlow Semi Condensed"/>
          <w:sz w:val="24"/>
          <w:szCs w:val="24"/>
        </w:rPr>
        <w:t xml:space="preserve">Il settimo pilastro censisce la transizione quale evento archivistico, il ponte del nodo verso la legge del capitolo nono. La sequenza della transizione sudafricana, dalla liberazione di Nelson Mandela dell'11 febbraio 1990 alle prime elezioni universali del 27 aprile 1994, costituì per il teatro l'evento di apertura che la tassonomia classifica quale collasso negoziato del regime protettore, e produsse i frutti documentali che la fase ha impiegato, dal processo di verità e riconciliazione ai versamenti che illuminarono la rete delle sanzioni e le complicità esterne; il registro certifica al Livello A la sequenza e la sua funzione di apertura, quali dati storici, e ne trae l'annotazione riflessiva che il nodo consegna: la centralità del teatro australe nel grafo internazionale dell'opera è essa stessa, in parte misurabile, un prodotto della transizione, giacché il Sudafrica è, tra i regimi protettori del corpus, quello la cui caduta ha aperto gli archivi nella forma più organica, e la sua densità documentale, dalla quale la misura di intermediazione dipende, incorpora il vantaggio archivistico; il registro applica al proprio hub la correzione del lampione che esso stesso ha formalizzato, dichiara che la posizione di massimo nodo inter-dossier resta certificata quale misura sul corpus disponibile e non quale gerarchia storica assoluta, e consegna l'autocorrezione quale esempio terminale della disciplina, il registro che applica a se stesso, sul proprio risultato più visibile, la cautela che ha imposto a ogni comparazione.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Sudafrica-assi di complicità-irriducibilità bipolare, certifica il fondamento strutturale della centralità del teatro. La seconda, sanzioni aggirate-rete europea-caso Palme, congiunge il sistema documentato al suo caso limite, con la pista al Livello C e la disciplina della non prova. La terza, radici biografiche-corpus storico-Stato Zero, formalizza la verifica negativa esemplare quale lascito metodologico della fase.</w:t>
      </w:r>
    </w:p>
    <w:p>
      <w:pPr>
        <w:spacing w:after="120" w:line="276"/>
        <w:jc w:val="both"/>
      </w:pPr>
      <w:r>
        <w:rPr>
          <w:rFonts w:ascii="Barlow Semi Condensed" w:cs="Barlow Semi Condensed" w:eastAsia="Barlow Semi Condensed" w:hAnsi="Barlow Semi Condensed"/>
          <w:sz w:val="24"/>
          <w:szCs w:val="24"/>
        </w:rPr>
        <w:t xml:space="preserve">Al Dominio 8 del teatro australe appartiene lo scandalo che ne rivelò la strategia, e che il registro censisce quale reperto sulla guerra dell'informazione condotta dal regime: la vicenda nota quale Muldergate, esplosa tra il 1978 ed il 1979, accertò che il dipartimento dell'informazione di Pretoria aveva alimentato con fondi neri un programma clandestino di condizionamento mediatico, comprensivo della creazione di una testata nazionale compiacente e di tentativi di acquisizione occulta di organi di stampa esteri, e la deflagrazione pubblica del programma travolse i suoi responsabili politici sino a lambire la successione al vertice dello Stato, Livello A quanto allo scandalo, agli accertamenti ed alle conseguenze politiche. Il registro assegna al reperto la sua funzione comparativa: il Muldergate documenta che il regime isolato considerava il campo mediatico internazionale un teatro operativo alla pari di quello militare e finanziario, e la sua strumentazione, fondi riservati, prestanome editoriali, acquisizioni schermate, replica punto per punto la grammatica che le fasi nazionali hanno certificato sul versante italiano nella stagione della scalata piduista al maggiore quotidiano del Paese, sicché il caso australe vale quale conferma indipendente, maturata in tutt'altro ordinamento, di una legge del Dominio 8 che l'opera ha già misurato in casa: chi non può comprare il consenso alla luce lo compra al buio, e il prezzo occulto dell'informazione è una costante dei sistemi assediati.</w:t>
      </w:r>
    </w:p>
    <w:p>
      <w:pPr>
        <w:spacing w:after="120" w:line="276"/>
        <w:jc w:val="both"/>
      </w:pPr>
      <w:r>
        <w:rPr>
          <w:rFonts w:ascii="Barlow Semi Condensed" w:cs="Barlow Semi Condensed" w:eastAsia="Barlow Semi Condensed" w:hAnsi="Barlow Semi Condensed"/>
          <w:sz w:val="24"/>
          <w:szCs w:val="24"/>
        </w:rPr>
        <w:t xml:space="preserve">Alla rete dell'aggiramento va premessa la sua data-cerniera, che ne muta la qualificazione giuridica e che il registro fissa quale spartiacque del nodo: nel novembre 1977 il Consiglio di sicurezza delle Nazioni Unite, con la risoluzione 418, rese obbligatorio l'embargo sulle forniture di armi al regime, sino ad allora raccomandato su base volontaria, trasformando da quel momento ogni canale di approvvigionamento militare in violazione di un obbligo internazionale vincolante per tutti gli Stati membri, Livello A quanto all'atto ed alla sua portata. La cerniera ordina la cronologia del pilastro: prima del 1977 l'assistenza militare al regime era materia di scelta politica nazionale, censurabile ma legale; dopo, divenne contrabbando di sistema, e la rete europea di intermediari e società di comodo che il pilastro certifica operò, per l'intero quindicennio successivo, nella piena consapevolezza dell'illiceità internazionale, con la conseguenza analitica che il registro ne trae: la continuità dei flussi attraverso la soglia del 1977, documentata dalle acquisizioni, misura l'esatta differenza tra il diritto internazionale e la sua esecuzione, e consegna al teatro australe il suo teorema, che un embargo obbligatorio senza apparato coercitivo non chiude i canali, li riprezza, spostando il traffico dalla contabilità degli Stati a quella, più costosa e più opaca, degli intermediari che l'opera ha censito.</w:t>
      </w:r>
    </w:p>
    <w:p>
      <w:pPr>
        <w:spacing w:after="120" w:line="276"/>
        <w:jc w:val="both"/>
      </w:pPr>
      <w:r>
        <w:rPr>
          <w:rFonts w:ascii="Barlow Semi Condensed" w:cs="Barlow Semi Condensed" w:eastAsia="Barlow Semi Condensed" w:hAnsi="Barlow Semi Condensed"/>
          <w:sz w:val="24"/>
          <w:szCs w:val="24"/>
        </w:rPr>
        <w:t xml:space="preserve">Il pilastro australe possiede infine il suo ponte biografico diretto con il capitolo italiano dell'opera, che il registro censisce quale saldatura fisica tra i 2 teatri: il generale Gianadelio Maletti, il vertice del controspionaggio italiano destinatario delle condanne definitive censite nella fase seconda, riparò all'inizio degli anni Ottanta proprio nel Sudafrica dell'apartheid, dove visse da allora stabilmente, sottratto di fatto all'esecuzione ed alle successive vicende giudiziarie italiane dall'assenza di estradizione, sino ad essere ascoltato dalle autorità parlamentari italiane in trasferta a Johannesburg nel marzo 1997, Livello A quanto al rifugio, alla sua durata ed all'audizione. Il registro consegna la traiettoria alla sua doppia funzione documentale: sul piano del grafo, l'ufficiale che aveva governato la zona grigia tra apparati e trame censita dall'opera scelse quale rifugio l'ordinamento che il pilastro certifica quale terminale delle reti occidentali di aggiramento, saldando in una sola biografia il capitolo italiano ed il teatro australe; sul piano del metodo, il caso dimostra che la geografia degli esili non è mai neutra, e che la mappa dei Paesi che accolsero i condannati e gli imputati della stagione italiana, la Spagna franchista per gli ordinovisti, il Cono Sud per i latitanti neri, il Sudafrica per il generale, coincide con esattezza con la mappa dei regimi che i pilastri della fase hanno censito, sicché le latitanze disegnano, in negativo, la stessa rete che i documenti disegnano in positivo.</w:t>
      </w:r>
    </w:p>
    <w:p>
      <w:pPr>
        <w:spacing w:after="120" w:line="276"/>
        <w:jc w:val="both"/>
      </w:pPr>
      <w:r>
        <w:rPr>
          <w:rFonts w:ascii="Barlow Semi Condensed" w:cs="Barlow Semi Condensed" w:eastAsia="Barlow Semi Condensed" w:hAnsi="Barlow Semi Condensed"/>
          <w:sz w:val="24"/>
          <w:szCs w:val="24"/>
        </w:rPr>
        <w:t xml:space="preserve">Il versante nucleare del pilastro possiede il suo enigma strumentale, che il registro censisce quale caso limite della propria scala: il 22 settembre 1979 un satellite americano della rete di sorveglianza rilevò sull'Atlantico australe il doppio lampo caratteristico di una detonazione nucleare atmosferica, in un'area compatibile con una cooperazione di test tra il programma sudafricano censito dal pilastro e quello israeliano, e l'evento, mai rivendicato da alcuno Stato, fu sottoposto ad un riesame tecnico americano che ne prospettò la possibile natura di artefatto strumentale, con conclusioni contestate da parte della comunità scientifica e mai seguite da un accertamento definitivo in alcuna sede, Livello A quanto alla rilevazione ed alla controversia documentata, Livello B quanto alla natura nucleare dell'evento secondo le valutazioni tecniche prevalenti, Livello C quanto ad ogni attribuzione statuale. Il registro censisce il doppio lampo per la sua unicità epistemologica nel corpus: si tratta dell'unico evento dell'intera opera del quale è incerta non la paternità ma l'esistenza stessa, un possibile fatto senza autore che nessuna desecretazione ha mai promosso né a fatto pieno né a non-fatto, e questa sospensione quarantennale, mantenuta da tutte le potenze interessate al silenzio, è la dimostrazione estrema della legge che il pilastro australe consegna alla fase: dove convergono i segreti di 2 programmi nucleari clandestini, il mondo può non sapere per sempre nemmeno se qualcosa è accaduto, ed il registro archivia il caso quale confine esterno del conoscibile, il punto oltre il quale il metodo dell'opera dichiara onestamente di non poter procedere.</w:t>
      </w:r>
    </w:p>
    <w:p>
      <w:pPr>
        <w:spacing w:after="120" w:line="276"/>
        <w:jc w:val="both"/>
      </w:pPr>
      <w:r>
        <w:rPr>
          <w:rFonts w:ascii="Barlow Semi Condensed" w:cs="Barlow Semi Condensed" w:eastAsia="Barlow Semi Condensed" w:hAnsi="Barlow Semi Condensed"/>
          <w:sz w:val="24"/>
          <w:szCs w:val="24"/>
        </w:rPr>
        <w:t xml:space="preserve">Il pilastro australe e quello africano esigono infine la loro comparazione terminale, che il registro formula quale tripartizione degli esiti: i 3 grandi teatri della violenza di Stato censiti dalla fase approdarono a 3 scioglimenti diversi, l'Argentina del processo immediato alle giunte, poi sospeso dalle leggi del perdono e riaperto con il loro annullamento sino alle condanne del nuovo secolo, il Cile della transizione pattuita, dove la giustizia penetrò tardi e per accumulo di casi individuali sino alla morte del capo mai condannato, ed il Sudafrica della commissione per verità e riconciliazione, che scambiò formalmente l'amnistia individuale contro la confessione integrale e pubblica, Livello A quanto ai 3 percorsi ed ai loro esiti documentati. Il registro consegna la tripartizione alla sua funzione di specchio per il caso italiano che l'intera opera serve: punizione, prescrizione negoziata e verità scambiata sono le 3 vie che il mondo ha sperimentato davanti ai propri sotterranei, e l'Italia del corpus non ne ha percorsa per intero nessuna, non la prima, che i suoi processi hanno realizzato solo per frammenti, non la terza, che il suo ordinamento non ha mai istituito, restando sospesa nella seconda senza nemmeno il patto esplicito che altrove la fondò, e questa incompiutezza comparata, che il registro constata senza retorica, è forse la definizione più esatta del problema italiano che l'opera consegna al lettore: non un Paese senza giustizia né un Paese senza verità, ma un Paese che non ha mai scelto, tra le 2, quale volesse davvero, ottenendo di ciascuna la metà.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australe è certificato quale hub di massima intermediazione inter-dossier, con gli assi di complicità al Livello A, la rete delle sanzioni al Livello B, il caso Palme censito con la pista al Livello C e la chiusura del 2020 quale esito, e lo Stato Zero del riscontro contemporaneo elevato a esemplare della categoria, la connessione cercata su tutto il corpus e non trovata.</w:t>
      </w:r>
    </w:p>
    <w:p>
      <w:pPr>
        <w:pStyle w:val="Heading3"/>
        <w:spacing w:after="80" w:before="160"/>
      </w:pPr>
      <w:r>
        <w:rPr>
          <w:rFonts w:ascii="Barlow Semi Condensed" w:cs="Barlow Semi Condensed" w:eastAsia="Barlow Semi Condensed" w:hAnsi="Barlow Semi Condensed"/>
          <w:sz w:val="24"/>
          <w:szCs w:val="24"/>
        </w:rPr>
        <w:t xml:space="preserve">Capitolo 4 — La Francia: il santuario, la dottrina del rifugio e gli archivi chiusi</w:t>
      </w:r>
    </w:p>
    <w:p>
      <w:pPr>
        <w:spacing w:after="120" w:line="276"/>
        <w:jc w:val="both"/>
      </w:pPr>
      <w:r>
        <w:rPr>
          <w:rFonts w:ascii="Barlow Semi Condensed" w:cs="Barlow Semi Condensed" w:eastAsia="Barlow Semi Condensed" w:hAnsi="Barlow Semi Condensed"/>
          <w:sz w:val="24"/>
          <w:szCs w:val="24"/>
        </w:rPr>
        <w:t xml:space="preserve">Il quarto nodo è la Francia, il santuario europeo che la Fase 4 ha consegnato con il nodo Hyperion e che la fase eleva a sistema. Il registro certifica al Livello A, quali dati ordinamentali documentati, i 3 elementi costitutivi del sistema: la prassi della non estradizione per i reati a movente politico, consolidatasi di fatto negli anni Settanta; la sua elevazione a dottrina dichiarata alla metà degli anni Ottanta, con l'impegno pubblico della presidenza a non consegnare i militanti che avessero rotto con la violenza, la formulazione nota quale dottrina del rifugio; e la conseguente costituzione, sul territorio francese, della più ampia comunità di fuoriusciti della sinistra armata italiana, con le implicazioni documentali che la Fase 4 ha censito per il nodo parigino.</w:t>
      </w:r>
    </w:p>
    <w:p>
      <w:pPr>
        <w:spacing w:after="120" w:line="276"/>
        <w:jc w:val="both"/>
      </w:pPr>
      <w:r>
        <w:rPr>
          <w:rFonts w:ascii="Barlow Semi Condensed" w:cs="Barlow Semi Condensed" w:eastAsia="Barlow Semi Condensed" w:hAnsi="Barlow Semi Condensed"/>
          <w:sz w:val="24"/>
          <w:szCs w:val="24"/>
        </w:rPr>
        <w:t xml:space="preserve">Il primo pilastro riepiloga, quale recezione, il nodo Hyperion nello stato terminale che la fase precedente ha fissato: esistenza, sede al Quai de la Tournelle 27, copertura didattica reale, genealogia comune con l'organizzazione esecutrice nel ceppo milanese, contatti al Livello B, funzioni al Livello C, assenza integrale di condanne, 3 stagioni di accertamento convergenti sul medesimo punto di arresto, archivi mai aperti quale vuoto capitale; il registro recepisce lo stato senza modificarlo e vi salda il dato di sistema del capitolo: il punto di arresto delle 3 stagioni coincide esattamente con il perimetro della cooperazione che l'ordinamento ospitante concesse, e il profilo conoscitivo del nodo è, per costruzione, una funzione della dottrina del rifugio.</w:t>
      </w:r>
    </w:p>
    <w:p>
      <w:pPr>
        <w:spacing w:after="120" w:line="276"/>
        <w:jc w:val="both"/>
      </w:pPr>
      <w:r>
        <w:rPr>
          <w:rFonts w:ascii="Barlow Semi Condensed" w:cs="Barlow Semi Condensed" w:eastAsia="Barlow Semi Condensed" w:hAnsi="Barlow Semi Condensed"/>
          <w:sz w:val="24"/>
          <w:szCs w:val="24"/>
        </w:rPr>
        <w:t xml:space="preserve">Il secondo pilastro censisce la prova di durata della dottrina, l'arco terminale che chiude il sistema sul presente. Nell'aprile 2021 le autorità francesi, su richiesta italiana, procedettero all'arresto di 9 ex militanti delle organizzazioni armate italiane da decenni residenti nel Paese, condannati in via definitiva in Italia per fatti della stagione, avviando la procedura estradizionale che parve segnare la revoca della dottrina; la procedura si concluse in senso opposto, con il diniego delle estradizioni pronunciato dalla giustizia francese e reso definitivo dalla Corte di cassazione francese nel marzo 2023, sul fondamento dei principi convenzionali del radicamento familiare e dell'equità processuale; il registro certifica al Livello A gli arresti, la procedura e il diniego definitivo, quali dati giudiziari, e ne trae la formalizzazione che il sistema esige: la dottrina del rifugio, nata quale atto politico revocabile, si è trasformata, per il decorso di mezzo secolo, in una barriera giuridica convenzionale non più revocabile per via politica, e la sottrazione dei fuoriusciti alla giurisdizione italiana è divenuta, con la pronuncia del 2023, un esito ordinamentale definitivo; il registro trascrive la trasformazione quale fatto giuridico datato e la consegna al capitolo nono quale caso della regolarità generale, l'ordinamento che non ha mai aperto ciò che proteggeva e che ha infine reso l'apertura giuridicamente impossibile.</w:t>
      </w:r>
    </w:p>
    <w:p>
      <w:pPr>
        <w:spacing w:after="120" w:line="276"/>
        <w:jc w:val="both"/>
      </w:pPr>
      <w:r>
        <w:rPr>
          <w:rFonts w:ascii="Barlow Semi Condensed" w:cs="Barlow Semi Condensed" w:eastAsia="Barlow Semi Condensed" w:hAnsi="Barlow Semi Condensed"/>
          <w:sz w:val="24"/>
          <w:szCs w:val="24"/>
        </w:rPr>
        <w:t xml:space="preserve">Il terzo pilastro formalizza il portato per l'opera. La Francia è, nel grafo internazionale, il caso puro del santuario stabile, il teatro la cui protezione non è mai caduta, e la comparazione con il caso portoghese del capitolo primo compone la coppia dimostrativa terminale: Lisbona cadde e Aginter divenne il nodo più documentato del corpus internazionale; Parigi non cadde e Hyperion resta il nodo più vuoto; il registro certifica la coppia quale dimostrazione a 2 casi del teorema archivistico e dichiara l'implicazione operativa che ne discende per ogni ricerca futura, già consegnata quale primo obiettivo: nessun progresso conoscitivo sul santuario francese è atteso da nuove stagioni di accertamento a regime invariato, e l'unica variabile capace di mutare lo stato del nodo è il regime di accesso agli archivi, la variabile che non dipende dalla ricerca ma dalla politica.</w:t>
      </w:r>
    </w:p>
    <w:p>
      <w:pPr>
        <w:spacing w:after="120" w:line="276"/>
        <w:jc w:val="both"/>
      </w:pPr>
      <w:r>
        <w:rPr>
          <w:rFonts w:ascii="Barlow Semi Condensed" w:cs="Barlow Semi Condensed" w:eastAsia="Barlow Semi Condensed" w:hAnsi="Barlow Semi Condensed"/>
          <w:sz w:val="24"/>
          <w:szCs w:val="24"/>
        </w:rPr>
        <w:t xml:space="preserve">Il quarto pilastro recepisce la stagione delle rogatorie del 1982, il primo accertamento del sistema. La stagione rogatoriale che la Fase 4 ha censito quale prima delle 3 stagioni sul nodo parigino, con gli atti eseguiti dall'autorità francese nel perimetro richiesto e non oltre, resta certificata al Livello A nei suoi esiti e nella sua data, e la fase vi aggiunge la qualificazione di sistema: quella stagione fu il test originario della dottrina allora non ancora dichiarata, e il suo esito, la cooperazione formale entro il perimetro e il diniego sostanziale oltre, anticipò di 4 decenni la configurazione che la pronuncia del 2023 avrebbe reso definitiva; il registro trascrive la continuità quarantennale della condotta ordinamentale francese quale dato certificato, la più lunga costante di politica giudiziaria estera che il corpus registri, attraversata indenne da 8 presidenze e da ogni alternanza.</w:t>
      </w:r>
    </w:p>
    <w:p>
      <w:pPr>
        <w:spacing w:after="120" w:line="276"/>
        <w:jc w:val="both"/>
      </w:pPr>
      <w:r>
        <w:rPr>
          <w:rFonts w:ascii="Barlow Semi Condensed" w:cs="Barlow Semi Condensed" w:eastAsia="Barlow Semi Condensed" w:hAnsi="Barlow Semi Condensed"/>
          <w:sz w:val="24"/>
          <w:szCs w:val="24"/>
        </w:rPr>
        <w:t xml:space="preserve">Il quinto pilastro censisce la controprova individuale, il caso di Cesare Battisti. Il condannato definitivo per omicidi della stagione armata, protetto per anni dalla dottrina sul territorio francese, ne uscì per scelta propria con la fuga verso il Brasile nel 2004, all'approssimarsi della revisione del suo caso, e la traiettoria extra-francese si chiuse con l'arresto in Bolivia il 12 gennaio 2019 e la consegna all'Italia il 14 gennaio 2019, dove sconta la pena; il registro certifica al Livello A la traiettoria e gli esiti, quali dati giudiziari, e ne trae la controprova che il sistema esige: la protezione della dottrina operò quale attributo del territorio e non della persona, e l'uomo che abbandonò il territorio perse la protezione sino alla consegna, mentre gli uomini che vi rimasero la videro trasformarsi, con la pronuncia del 2023, in barriera definitiva; la coppia delle traiettorie, il rifugiato rimasto e protetto per sempre e il rifugiato uscito e consegnato, è la dimostrazione a 2 casi della natura territoriale del santuario, che il registro certifica quale proprietà del sistema e consegna alla mappa dei rifugi del Pattern 10.</w:t>
      </w:r>
    </w:p>
    <w:p>
      <w:pPr>
        <w:spacing w:after="120" w:line="276"/>
        <w:jc w:val="both"/>
      </w:pPr>
      <w:r>
        <w:rPr>
          <w:rFonts w:ascii="Barlow Semi Condensed" w:cs="Barlow Semi Condensed" w:eastAsia="Barlow Semi Condensed" w:hAnsi="Barlow Semi Condensed"/>
          <w:sz w:val="24"/>
          <w:szCs w:val="24"/>
        </w:rPr>
        <w:t xml:space="preserve">Il sesto pilastro censisce la comunità dei fuoriusciti quale oggetto documentale. La popolazione dei militanti e condannati italiani riparati in Francia sotto la protezione della prassi e poi della dottrina, stimata dagli atti nell'ordine delle centinaia attraverso i decenni, costituì un tessuto sociale stabile, con i percorsi di reinserimento professionale e intellettuale che le cronache e gli studi hanno documentato, e divenne essa stessa, per la ricerca, una fonte: dalla comunità provennero le memorialistiche, le testimonianze e le ricostruzioni interne che l'opera ha impiegato con la disciplina propria delle fonti di parte, e attorno alla comunità si costituì il campo intellettuale francese della causa dei rifugiati, l'ambiente che sostenne la dottrina nella sfera pubblica e ne accompagnò la trasformazione in barriera; il registro certifica al Livello A l'esistenza, l'ordine di grandezza e la funzione documentale della comunità, quali dati consolidati, e ne trae l'annotazione metodologica: una quota rilevante della conoscenza interna della stagione armata italiana è stata prodotta fuori dalla giurisdizione italiana, da testimoni sottratti per statuto al contraddittorio processuale, e questa dislocazione della fonte, effetto derivato del santuario, è una condizione permanente della storiografia del terrorismo italiano che il registro dichiara e incorpora, trattando le ricostruzioni della comunità quale materiale di Livello B ove non riscontrate e mai quale sostituto del giudicato.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prassi-dottrina-comunità dei fuoriusciti, certifica al Livello A la costituzione del sistema del rifugio. La seconda, Hyperion-3 stagioni-punto di arresto, salda il nodo della Fase 4 al suo fondamento ordinamentale. La terza, arresti del 2021-diniego del 2023-barriera convenzionale, certifica la trasformazione della dottrina in esito giuridico definitivo.</w:t>
      </w:r>
    </w:p>
    <w:p>
      <w:pPr>
        <w:spacing w:after="120" w:line="276"/>
        <w:jc w:val="both"/>
      </w:pPr>
      <w:r>
        <w:rPr>
          <w:rFonts w:ascii="Barlow Semi Condensed" w:cs="Barlow Semi Condensed" w:eastAsia="Barlow Semi Condensed" w:hAnsi="Barlow Semi Condensed"/>
          <w:sz w:val="24"/>
          <w:szCs w:val="24"/>
        </w:rPr>
        <w:t xml:space="preserve">All'età della dichiarazione il registro assegna la sua scena e il suo autore, che la pubblicistica ha reso canonici e che gli atti confermano: fu il presidente François Mitterrand, nel 1985, dinanzi a una platea associativa dei diritti dell'uomo, a enunciare pubblicamente la linea che la prassi amministrativa seguiva da anni, l'impegno a non estradare i fuoriusciti italiani della stagione armata che avessero rotto con la violenza e rifatto vita in Francia, Livello A quanto all'enunciazione pubblica ed al suo tenore, che il registro parafrasa. La formalizzazione presidenziale trasformò una tolleranza in una dottrina eponima, e il registro ne fissa il rilievo sistemico: da quel momento il santuario cessò di essere una condizione di fatto contestabile caso per caso e divenne una politica dichiarata dello Stato ospitante, opponibile all'Italia nelle sedi bilaterali e capace di sopravvivere, come il pilastro terminale certifica, al suo stesso autore, alle alternanze politiche francesi e persino alla svolta cooperativa dell'aprile 2021, sino alla barriera convenzionale definitiva del 2023. Nella tassonomia della fase, la dottrina è perciò il raro esemplare di protezione internazionale che non ebbe mai bisogno del segreto: il santuario francese operò alla luce, con un discorso pubblico quale atto istitutivo, e questa trasparenza dell'ostacolo, opposta al buio degli archivi che il capitolo censisce, compone il paradosso documentale del nodo, tutto visibile e nulla consegnato.</w:t>
      </w:r>
    </w:p>
    <w:p>
      <w:pPr>
        <w:spacing w:after="120" w:line="276"/>
        <w:jc w:val="both"/>
      </w:pPr>
      <w:r>
        <w:rPr>
          <w:rFonts w:ascii="Barlow Semi Condensed" w:cs="Barlow Semi Condensed" w:eastAsia="Barlow Semi Condensed" w:hAnsi="Barlow Semi Condensed"/>
          <w:sz w:val="24"/>
          <w:szCs w:val="24"/>
        </w:rPr>
        <w:t xml:space="preserve">Alla dottrina del rifugio il registro deve infine la sua profondità storica, che una digressione sorvegliata può fissare perché appartiene alla lunga durata del nodo: la Francia che accolse i fuoriusciti italiani della stagione armata esercitava una funzione che il suo ordinamento e la sua cultura politica coltivavano da un secolo e mezzo, la terra d'asilo dei proscritti d'Europa, che nell'Ottocento aveva ospitato gli esuli italiani del Risorgimento, i proscritti delle rivoluzioni fallite e dei moti repressi, facendo di Parigi la capitale continentale del fuoriuscitismo politico, Livello A quanto alla tradizione storica documentata. La simmetria che ne risulta è un reperto di lunga durata che il registro consegna senza forzarlo: a un secolo di distanza, la medesima capitale accolse 2 generazioni opposte di italiani in fuga dalla propria giustizia, i patrioti dell'Ottocento perseguitati da Stati che la storia avrebbe giudicato illegittimi ed i condannati del Novecento in fuga da uno Stato democratico, e la dottrina del 1985 poté attingere la propria legittimazione retorica proprio dall'indistinzione tra le 2 figure, l'esule ed il latitante, che la tradizione dell'asilo consentiva di sovrapporre. Il registro fissa la distinzione che la retorica dissolse: l'asilo ottocentesco proteggeva dal difetto di giusto processo, quello novecentesco protesse dal giudicato di un ordinamento membro delle medesime convenzioni europee, e la barriera definitiva del 2023 ha chiuso la vicenda confermando, nell'esito, la sovrapposizione che l'aveva aperta.</w:t>
      </w:r>
    </w:p>
    <w:p>
      <w:pPr>
        <w:spacing w:after="120" w:line="276"/>
        <w:jc w:val="both"/>
      </w:pPr>
      <w:r>
        <w:rPr>
          <w:rFonts w:ascii="Barlow Semi Condensed" w:cs="Barlow Semi Condensed" w:eastAsia="Barlow Semi Condensed" w:hAnsi="Barlow Semi Condensed"/>
          <w:sz w:val="24"/>
          <w:szCs w:val="24"/>
        </w:rPr>
        <w:t xml:space="preserve">La dottrina conobbe la sua prima eccezione formale 20 anni prima della svolta, ed il registro la censisce quale precedente isolato: nell'agosto 2002 la Francia consegnò all'Italia Paolo Persichetti, già condannato in via definitiva quale partecipe dell'organizzazione responsabile dell'omicidio del generale Giorgieri, prima ed unica estradizione concessa in deroga alla prassi mitterrandiana prima del ciclo del 2021, Livello A quanto al provvedimento ed alla sua unicità ventennale. Il registro fissa il valore sistemico del caso: la consegna del 2002 dimostrò che la dottrina non era un vincolo giuridico ma una scelta politica reversibile per decisione di governo, e la circostanza che alla prima deroga non ne seguissero altre per 19 anni dimostra, simmetricamente, che la reversibilità restò per 2 decenni una facoltà esercitata una sola volta, sicché il caso isolato del 2002 misura con precisione la natura del santuario censito dal capitolo: non un ordinamento, ma una politica, capace di eccezioni quando lo voleva e di durare quando non lo voleva, con la conseguenza che il registro consegna al bilancio della fase, che i tempi della giustizia italiana sui latitanti di Francia furono decisi, per mezzo secolo, a Parigi e non a Roma.</w:t>
      </w:r>
    </w:p>
    <w:p>
      <w:pPr>
        <w:spacing w:after="120" w:line="276"/>
        <w:jc w:val="both"/>
      </w:pPr>
      <w:r>
        <w:rPr>
          <w:rFonts w:ascii="Barlow Semi Condensed" w:cs="Barlow Semi Condensed" w:eastAsia="Barlow Semi Condensed" w:hAnsi="Barlow Semi Condensed"/>
          <w:sz w:val="24"/>
          <w:szCs w:val="24"/>
        </w:rPr>
        <w:t xml:space="preserve">Il santuario ebbe infine il suo caso costituzionalmente più anomalo, che il registro censisce quale variante parlamentare della rotta: il leader dell'autonomia operaia Antonio Negri, detenuto dall'aprile 1979 nel procedimento censito nella fase quarta, fu eletto deputato nel giugno 1983 e scarcerato per l'immunità conseguente, e nel settembre dello stesso anno, alla vigilia delle deliberazioni parlamentari sulla sua posizione, riparò in Francia, dove trascorse 14 anni sotto la protezione della dottrina censita, sino al rientro volontario del 1997 per scontare il residuo delle condanne definitive frattanto consolidatesi per i reati associativi, cadute in appello le imputazioni maggiori, con la pena esaurita nei primi anni Duemila, Livello A sull'intera parabola. Il registro isola la specificità del caso nella tipologia del capitolo: qui la rotta verso il santuario non fu aperta da una latitanza ma da un mandato parlamentare, con l'elezione usata quale ponte tra la cella e la frontiera, e questa saldatura documentata tra un istituto di garanzia della democrazia rappresentativa e la geografia della protezione estera costituisce l'unicum che nessuna riforma ha mai replicato, mentre l'epilogo, il ritorno spontaneo per chiudere il conto con una pena ormai ridotta, anticipò di un quarto di secolo la logica delle soluzioni individuali che avrebbe poi chiuso, caso per caso, l'intera vicenda dei rifugiati, dimostrando che il santuario censito dal capitolo non fu mai una fortezza ma una moratoria, dalla quale ciascuno uscì quando il tempo ebbe abbassato abbastanza il prezzo.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Francia è certificata quale santuario stabile con la dottrina del rifugio al Livello A nelle sue 3 età, prassi, dichiarazione e barriera convenzionale definitiva del marzo 2023, il nodo Hyperion è recepito nello stato terminale della Fase 4 con la sua inconoscibilità spiegata per via ordinamentale, e la coppia Lisbona-Parigi è elevata a dimostrazione terminale del teorema archivistico dell'opera.</w:t>
      </w:r>
    </w:p>
    <w:p>
      <w:pPr>
        <w:pStyle w:val="Heading3"/>
        <w:spacing w:after="80" w:before="160"/>
      </w:pPr>
      <w:r>
        <w:rPr>
          <w:rFonts w:ascii="Barlow Semi Condensed" w:cs="Barlow Semi Condensed" w:eastAsia="Barlow Semi Condensed" w:hAnsi="Barlow Semi Condensed"/>
          <w:sz w:val="24"/>
          <w:szCs w:val="24"/>
        </w:rPr>
        <w:t xml:space="preserve">Capitolo 5 — Il Mediterraneo: il lodo, i canali palestinesi e la notte di Sigonella</w:t>
      </w:r>
    </w:p>
    <w:p>
      <w:pPr>
        <w:spacing w:after="120" w:line="276"/>
        <w:jc w:val="both"/>
      </w:pPr>
      <w:r>
        <w:rPr>
          <w:rFonts w:ascii="Barlow Semi Condensed" w:cs="Barlow Semi Condensed" w:eastAsia="Barlow Semi Condensed" w:hAnsi="Barlow Semi Condensed"/>
          <w:sz w:val="24"/>
          <w:szCs w:val="24"/>
        </w:rPr>
        <w:t xml:space="preserve">Il quinto nodo è il Mediterraneo, il teatro dell'autonomia italiana entro il vincolo di campo, che le fasi hanno incontrato nella prassi riservata nota quale lodo e che la fase ricompone quale sistema attraverso 2 decenni. Il registro certifica al Livello B l'esistenza della prassi di non belligeranza tra lo Stato italiano e le organizzazioni palestinesi, il patto informale, mai consacrato da un documento unico, per cui il territorio italiano sarebbe stato risparmiato dalle azioni in cambio di margini di transito, quale convergenza di testimonianze istituzionali di vertice, atti parlamentari e riscontri episodici, mantenendo la qualificazione al livello che la natura non documentale della prassi impone.</w:t>
      </w:r>
    </w:p>
    <w:p>
      <w:pPr>
        <w:spacing w:after="120" w:line="276"/>
        <w:jc w:val="both"/>
      </w:pPr>
      <w:r>
        <w:rPr>
          <w:rFonts w:ascii="Barlow Semi Condensed" w:cs="Barlow Semi Condensed" w:eastAsia="Barlow Semi Condensed" w:hAnsi="Barlow Semi Condensed"/>
          <w:sz w:val="24"/>
          <w:szCs w:val="24"/>
        </w:rPr>
        <w:t xml:space="preserve">Il primo pilastro censisce i riscontri della prassi nel corpus. Il caso di Ortona del 7 novembre 1979, il sequestro dei 2 lanciamissili trasportati per conto del Fronte popolare con l'arresto di Daniele Pifano e dei coimputati, e la vicenda diplomatica che ne seguì, con le pressioni documentate per la composizione della crisi e il ruolo del colonnello Stefano Giovannone, il capocentro del servizio militare a Beirut e terminale della relazione riservata, costituiscono il riscontro maggiore, censito dalla Fase 4; il registro certifica al Livello A i fatti di Ortona e la funzione documentata di Giovannone, quali dati giudiziari e parlamentari, e al Livello B la loro lettura quale manifestazione della prassi, secondo la disciplina già fissata.</w:t>
      </w:r>
    </w:p>
    <w:p>
      <w:pPr>
        <w:spacing w:after="120" w:line="276"/>
        <w:jc w:val="both"/>
      </w:pPr>
      <w:r>
        <w:rPr>
          <w:rFonts w:ascii="Barlow Semi Condensed" w:cs="Barlow Semi Condensed" w:eastAsia="Barlow Semi Condensed" w:hAnsi="Barlow Semi Condensed"/>
          <w:sz w:val="24"/>
          <w:szCs w:val="24"/>
        </w:rPr>
        <w:t xml:space="preserve">Il secondo pilastro censisce la crisi che portò il sistema alla superficie, la sequenza dell'ottobre 1985. Il 7 ottobre 1985 la nave da crociera italiana Achille Lauro fu sequestrata da un commando palestinese, e l'8 ottobre fu assassinato a bordo il passeggero americano Leon Klinghoffer, cittadino statunitense invalido, che il registro nomina tra le vittime della fase quale atto dovuto; la composizione della crisi per via negoziale, con lo sbarco del commando e la mediazione egiziana, sfociò nella notte tra il 10 e l'11 ottobre nel confronto della base siciliana di Sigonella, dove i reparti italiani e quelli americani si fronteggiarono attorno all'aereo che trasportava il commando e il mediatore, con il governo italiano che rivendicò e ottenne l'esercizio della giurisdizione nazionale contro la pretesa alleata; il registro certifica al Livello A la sequenza integrale, il sequestro, l'assassinio, lo sbarco, il confronto e l'esito giurisdizionale, quali dati documentali della crisi più studiata delle relazioni bilaterali, e ne dichiara la funzione nel nodo: la notte di Sigonella è il punto in cui la politica mediterranea riservata dei 2 decenni divenne, per poche ore, confronto pubblico tra gli apparati dei 2 alleati, e la crisi certificò dinanzi al mondo l'esistenza dell'autonomia che il lodo aveva amministrato in silenzio.</w:t>
      </w:r>
    </w:p>
    <w:p>
      <w:pPr>
        <w:spacing w:after="120" w:line="276"/>
        <w:jc w:val="both"/>
      </w:pPr>
      <w:r>
        <w:rPr>
          <w:rFonts w:ascii="Barlow Semi Condensed" w:cs="Barlow Semi Condensed" w:eastAsia="Barlow Semi Condensed" w:hAnsi="Barlow Semi Condensed"/>
          <w:sz w:val="24"/>
          <w:szCs w:val="24"/>
        </w:rPr>
        <w:t xml:space="preserve">Il terzo pilastro formalizza la continuità del sistema e il suo rilievo per la verifica finale. La linea che congiunge l'apertura mediterranea morotea, la prassi riservata degli anni Settanta, la gestione delle crisi levantine e la rivendicazione giurisdizionale del 1985 disegna una costante documentata della politica estera italiana attraverso governi e stagioni, l'esercizio di margini di autonomia regionale entro il vincolo atlantico, sistematicamente attritivo con l'alleato maggiore; il registro certifica al Livello A la costante, quale dato della documentazione diplomatica e delle crisi censite, e ne dichiara il rilievo per le macro-ipotesi: la politica mediterranea è il terreno sul quale la contrarietà del campo occidentale all'autonomia italiana è documentata nelle forme più esplicite, dalle pressioni della crisi di Ortona al confronto di Sigonella, e la fase consegna questa serie certificata alla verifica del capitolo decimo quale versante mediterraneo del fatto già elevato al Livello A dalla Fase 4, l'esistenza pubblica e documentata delle contrarietà, con la consueta e integrale distinzione dalle loro traduzioni operative, che restano al livello che i documenti consentono.</w:t>
      </w:r>
    </w:p>
    <w:p>
      <w:pPr>
        <w:spacing w:after="120" w:line="276"/>
        <w:jc w:val="both"/>
      </w:pPr>
      <w:r>
        <w:rPr>
          <w:rFonts w:ascii="Barlow Semi Condensed" w:cs="Barlow Semi Condensed" w:eastAsia="Barlow Semi Condensed" w:hAnsi="Barlow Semi Condensed"/>
          <w:sz w:val="24"/>
          <w:szCs w:val="24"/>
        </w:rPr>
        <w:t xml:space="preserve">Il quarto pilastro censisce il limite di sangue del sistema, la strage della Sinagoga di Roma. Il 9 ottobre 1982, all'uscita della funzione, un commando palestinese attaccò con granate e armi automatiche i fedeli del Tempio Maggiore di Roma, uccidendo Stefano Gaj Taché, un bambino di 2 anni, che il registro nomina tra le vittime della fase quale atto dovuto, e ferendo decine di persone; l'attacco, maturato nella stagione successiva alla guerra libanese di quell'estate, colpì la comunità ebraica italiana nel cuore della capitale e pose dinanzi all'opinione pubblica la questione dei limiti e delle infrazioni della prassi riservata che il capitolo censisce, la protezione del territorio essendo clamorosamente mancata per il bersaglio ebraico italiano; il registro certifica al Livello A la strage, la vittima e le circostanze, quali dati giudiziari e documentali, e trascrive la questione interpretativa al livello che le compete: se l'attacco costituisca l'infrazione del patto o la rivelazione del suo perimetro reale, la protezione essendo stata negoziata per lo Stato e non per ogni bersaglio sul territorio, è materia che le testimonianze istituzionali divergenti non consentono di certificare, e il registro consegna la strage quale fatto e la questione quale interrogazione aperta al Livello C, annotando che la Repubblica ha riconosciuto nel bambino ucciso, con la memoria istituzionale successiva, una vittima del proprio suolo e della propria stagione.</w:t>
      </w:r>
    </w:p>
    <w:p>
      <w:pPr>
        <w:spacing w:after="120" w:line="276"/>
        <w:jc w:val="both"/>
      </w:pPr>
      <w:r>
        <w:rPr>
          <w:rFonts w:ascii="Barlow Semi Condensed" w:cs="Barlow Semi Condensed" w:eastAsia="Barlow Semi Condensed" w:hAnsi="Barlow Semi Condensed"/>
          <w:sz w:val="24"/>
          <w:szCs w:val="24"/>
        </w:rPr>
        <w:t xml:space="preserve">Il quinto pilastro censisce la serie aeroportuale, il prezzo mediterraneo pagato sul territorio prima e dopo il lodo. Il 17 dicembre 1973 l'aeroporto di Fiumicino fu teatro dell'attacco palestinese contro l'aeromobile della Pan Am, con 32 vittime, la più grave strage su suolo italiano sino a quella data; il 27 dicembre 1985 il medesimo aeroporto fu attaccato dal commando del gruppo di Abu Nidal, con 13 vittime, nell'azione gemella di quella condotta lo stesso giorno a Vienna; il registro certifica al Livello A i 2 attacchi, le date e i bilanci, quali dati documentali, richiama le vittime nel loro numero rinviando la nominazione integrale agli atti delle rispettive sedi, secondo la disciplina dichiarata per le stragi plurime a censimento esterno, e ne trae la lettura seriale che il capitolo consegna: la serie 1973-1982-1985 delimita empiricamente il perimetro della prassi censita, documentando che la protezione riservata, quale che ne fosse l'estensione negoziata, non coprì l'intero arco delle organizzazioni né l'intero arco dei bersagli, e che il territorio italiano pagò alla guerra mediterranea un prezzo di sangue certificato ai 2 estremi e al centro della stagione del lodo; la serie è consegnata alla verifica quale correttivo documentale di ogni lettura totalizzante della prassi, nel senso che il registro impone: il lodo è certificato al Livello B quale prassi esistita, non quale sistema onnipotente, e le sue infrazioni certificate ne misurano i limiti reali.</w:t>
      </w:r>
    </w:p>
    <w:p>
      <w:pPr>
        <w:spacing w:after="120" w:line="276"/>
        <w:jc w:val="both"/>
      </w:pPr>
      <w:r>
        <w:rPr>
          <w:rFonts w:ascii="Barlow Semi Condensed" w:cs="Barlow Semi Condensed" w:eastAsia="Barlow Semi Condensed" w:hAnsi="Barlow Semi Condensed"/>
          <w:sz w:val="24"/>
          <w:szCs w:val="24"/>
        </w:rPr>
        <w:t xml:space="preserve">Il sesto pilastro censisce la coda politica interna della crisi, la verifica di governo che ne seguì. Il confronto di Sigonella e la gestione complessiva della vicenda aprirono, nelle settimane successive, la crisi nella maggioranza di governo, con il dissenso della componente repubblicana sulla linea tenuta verso l'organizzazione palestinese e verso l'alleato, le dimissioni del governo e la sua ricomposizione nel novembre 1985 sulla medesima formula; il registro certifica al Livello A la crisi, il suo motivo dichiarato e la ricomposizione, quali dati parlamentari, e ne trae il valore di reperto per il sistema del capitolo: la politica mediterranea riservata, portata alla superficie dalla crisi internazionale, produsse immediatamente una crisi di sistema interna, la dimostrazione che l'autonomia amministrata nel segreto non disponeva di un consenso esplicito unanime nella stessa maggioranza che la esercitava, e la ricomposizione rapida sulla medesima formula documenta, per converso, che nessuna componente intese trarre dalla crisi la revisione della politica; il registro trascrive la coppia crisi-ricomposizione quale misura certificata del rapporto tra il sistema mediterraneo e il sistema politico, un'autonomia esercitata senza mandato esplicito e tollerata senza sconfessione, la configurazione del consenso implicito che il corpus dell'opera ha incontrato in ogni prassi riservata censita.</w:t>
      </w:r>
    </w:p>
    <w:p>
      <w:pPr>
        <w:spacing w:after="120" w:line="276"/>
        <w:jc w:val="both"/>
      </w:pPr>
      <w:r>
        <w:rPr>
          <w:rFonts w:ascii="Barlow Semi Condensed" w:cs="Barlow Semi Condensed" w:eastAsia="Barlow Semi Condensed" w:hAnsi="Barlow Semi Condensed"/>
          <w:sz w:val="24"/>
          <w:szCs w:val="24"/>
        </w:rPr>
        <w:t xml:space="preserve">Il settimo pilastro censisce il terminale umano del sistema, il profilo di Stefano Giovannone. L'ufficiale del servizio militare resse il centro di Beirut per circa un decennio, attraverso la guerra civile libanese e le stagioni della relazione riservata, quale interlocutore permanente delle organizzazioni palestinesi per conto dello Stato, la funzione che gli atti parlamentari e giudiziari censiti dalla Fase 4 documentano nel caso di Ortona e che le testimonianze istituzionali della stagione collocano al centro dell'intera prassi; il colonnello morì nel 1985, senza che le sedi di accertamento successive potessero più escuterne la testimonianza diretta, e la conoscenza della sua attività resta affidata alle carte del servizio, versate solo in parte con le soglie censite, e alle deposizioni di terzi; il registro certifica al Livello A la funzione, la durata e la centralità documentata del terminale, quali dati degli atti, e ne trae l'annotazione strutturale che il sistema consegna: la prassi mediterranea fu amministrata, per il decennio cruciale, attraverso un canale personale unico, e la concentrazione della relazione in un solo uomo, efficiente quale garanzia di riservatezza, produsse la conseguenza documentale che il corpus registra, la morte del terminale quale perdita irreversibile della fonte primaria, il caso mediterraneo della firma delle assenze che la Fase 4 ha formalizzato, qui nella variante naturale e non violenta, con l'identico effetto sull'accertabilità; il registro trascrive la configurazione, il sistema a canale unico e la sua mortalità, quale ultima proprietà certificata del nodo.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lodo-Ortona-Giovannone, salda la prassi al suo riscontro maggiore, con i fatti al Livello A e la prassi al Livello B. La seconda, Achille Lauro-Klinghoffer-Sigonella, certifica al Livello A la crisi che rese pubblica l'autonomia, con la vittima nominata. La terza, apertura morotea-costante mediterranea-attrito atlantico, formalizza la continuità del sistema quale materiale certificato per la verifica finale.</w:t>
      </w:r>
    </w:p>
    <w:p>
      <w:pPr>
        <w:spacing w:after="120" w:line="276"/>
        <w:jc w:val="both"/>
      </w:pPr>
      <w:r>
        <w:rPr>
          <w:rFonts w:ascii="Barlow Semi Condensed" w:cs="Barlow Semi Condensed" w:eastAsia="Barlow Semi Condensed" w:hAnsi="Barlow Semi Condensed"/>
          <w:sz w:val="24"/>
          <w:szCs w:val="24"/>
        </w:rPr>
        <w:t xml:space="preserve">La notte tra il 10 e l'11 ottobre 1985 esige la sua sequenza, perché in essa il sistema dell'autonomia mediterranea uscì dalla prassi riservata e si misurò in campo aperto con l'alleato maggiore: il velivolo di linea egiziano che trasportava i 4 sequestratori della nave, con Abu Abbas, fu intercettato in volo internazionale dai caccia imbarcati americani e costretto all'atterraggio nella base siciliana di Sigonella; attorno all'aereo si dispose il reparto d'assalto americano giunto al seguito, e attorno al reparto americano si dispose, in un doppio cerchio che le ricostruzioni convergenti hanno consegnato all'iconografia della Repubblica, il presidio italiano di avieri e carabinieri, a rivendicare la giurisdizione territoriale sullo scalo e sugli uomini; il braccio di ferro si sciolse nella notte, attraverso il contatto diretto tra il presidente del Consiglio Craxi e la presidenza americana, con la prevalenza della posizione italiana, il trasferimento dell'aereo a Ciampino sotto ulteriore marcatura aerea e la successiva partenza di Abbas dal territorio italiano, che aprì la crisi politica interna censita dal sesto pilastro, Livello A sull'intera sequenza, quale risulta dalle ricostruzioni istituzionali e parlamentari convergenti. Il registro consegna la notte alla sua funzione probatoria nella fase: Sigonella è il solo episodio dell'intero corpus in cui il vincolo di campo e l'autonomia nazionale si fronteggiarono fisicamente, armi in pugno, su suolo italiano, e il suo esito, la prevalenza formale della sovranità con il logoramento politico immediato di chi l'aveva esercitata, è la misura sperimentale esatta dello spazio che il sistema del lodo aveva occupato per un quindicennio: uno spazio reale, difendibile una notte, e non oltre.</w:t>
      </w:r>
    </w:p>
    <w:p>
      <w:pPr>
        <w:spacing w:after="120" w:line="276"/>
        <w:jc w:val="both"/>
      </w:pPr>
      <w:r>
        <w:rPr>
          <w:rFonts w:ascii="Barlow Semi Condensed" w:cs="Barlow Semi Condensed" w:eastAsia="Barlow Semi Condensed" w:hAnsi="Barlow Semi Condensed"/>
          <w:sz w:val="24"/>
          <w:szCs w:val="24"/>
        </w:rPr>
        <w:t xml:space="preserve">Al teatro mediterraneo appartiene infine il suo evento più conteso, che il registro censisce con lo statuto probatorio esatto che 4 decenni di accertamenti gli hanno assegnato: la notte del 27 giugno 1980 il DC-9 della compagnia Itavia in volo di linea da Bologna a Palermo precipitò in mare presso Ustica con la morte delle 81 persone a bordo, passeggeri ed equipaggio, i cui nomi il memoriale civile dedicato custodisce e scandisce, Livello A quanto all'evento ed alle vittime. Il doppio binario giudiziario che ne seguì consegna al registro 2 esiti di segno formalmente distinto, che la disciplina impone di riportare entrambi per esteso: sul versante penale, il lunghissimo procedimento per l'ipotesi di attentato alla sicurezza e di ostacolo alle indagini a carico di alti ufficiali dell'Aeronautica si chiuse con assoluzioni divenute irrevocabili all'esito del giudizio di legittimità del 2007, sicché per la strage e per il suo occultamento non esiste alcun condannato penale, Livello A; sul versante civile, la giurisdizione risarcitoria accertò, con conferma della Corte di cassazione nel 2013, la responsabilità dei ministeri per il difetto di sorveglianza e di sicurezza dello scenario aereo in cui il velivolo civile fu coinvolto, condannando lo Stato ai risarcimenti secondo lo standard probabilistico proprio di quella sede, Livello A quanto al giudicato civile.</w:t>
      </w:r>
    </w:p>
    <w:p>
      <w:pPr>
        <w:spacing w:after="120" w:line="276"/>
        <w:jc w:val="both"/>
      </w:pPr>
      <w:r>
        <w:rPr>
          <w:rFonts w:ascii="Barlow Semi Condensed" w:cs="Barlow Semi Condensed" w:eastAsia="Barlow Semi Condensed" w:hAnsi="Barlow Semi Condensed"/>
          <w:sz w:val="24"/>
          <w:szCs w:val="24"/>
        </w:rPr>
        <w:t xml:space="preserve">La qualificazione dello scenario resta, ed il registro la dichiara quale sua frontiera: le ricostruzioni tecniche contrapposte che attraversarono le perizie, la quasi-collisione nel quadro di un'azione aerea militare, il missile, l'ordigno a bordo, non furono mai risolte in sede penale con forza di giudicato, e ogni attribuzione specifica dello scenario a velivoli, forze o Stati determinati resta al Livello C, materia di ipotesi concorrenti che il registro censisce senza sciogliere. Ne discende lo statuto documentale unico dell'evento nell'economia dell'opera: Ustica è il caso in cui la Repubblica ha risarcito civilmente uno scenario che non ha accertato penalmente, riconoscendo per equivalente ciò che non ha saputo nominare per esteso, e questa forbice tra le 2 giurisdizioni, la civile che paga e la penale che assolve, è la forma istituzionale esatta dell'irrisolto, misurata con gli strumenti del diritto anziché con quelli della retorica. Il registro colloca l'evento nel proprio teatro, il Mediterraneo del 1980, accanto ai fatti censiti del medesimo cielo e del medesimo mare, e ne fissa la funzione nella fase: la notte di Ustica documenta che lo spazio aereo nazionale era attraversato da attività militari non dichiarate che nessuna autorità ha mai integralmente ricostruito, e questa porosità certificata della sovranità sul proprio cielo è il complemento esatto, sul piano fisico, della porosità che l'intera opera ha misurato sul piano istituzionale, con la memoria delle 81 vittime affidata al museo bolognese che ne custodisce i nomi e il relitto, ottantuno luci sospese sul mare recuperato.</w:t>
      </w:r>
    </w:p>
    <w:p>
      <w:pPr>
        <w:spacing w:after="120" w:line="276"/>
        <w:jc w:val="both"/>
      </w:pPr>
      <w:r>
        <w:rPr>
          <w:rFonts w:ascii="Barlow Semi Condensed" w:cs="Barlow Semi Condensed" w:eastAsia="Barlow Semi Condensed" w:hAnsi="Barlow Semi Condensed"/>
          <w:sz w:val="24"/>
          <w:szCs w:val="24"/>
        </w:rPr>
        <w:t xml:space="preserve">Il teatro libico del Mediterraneo consegna al registro la sua notte maggiore, che il capitolo censisce con la scansione esatta: nella notte tra il 14 ed il 15 aprile 1986 l'aviazione americana colpì Tripoli e Bengasi nell'operazione di rappresaglia contro il regime di Gheddafi seguita all'attentato di Berlino, e la sera del 15 aprile la Libia rispose lanciando 2 missili verso l'isola di Lampedusa, sede di una stazione tecnica americana, ordigni caduti in mare senza danni ma costituenti l'unica azione bellica diretta contro il territorio italiano dalla fine della Seconda guerra mondiale, Livello A quanto ai fatti ed alle date. Attorno alla notte si addensa il contorno dichiarativo che il registro riporta con il suo statuto: le ricostruzioni successive, alimentate da dichiarazioni di protagonisti politici italiani rese a distanza di anni, riferirono di un avvertimento fatto pervenire per canali italiani al regime libico alla vigilia dell'attacco, circostanza mai certificata da atti e rimasta al Livello B nella forma di convergenza dichiarativa tardiva, con il suo contenuto preciso al Livello C. Il registro colloca la notte nella serie che il capitolo ha costruito: a 6 mesi da Sigonella, la crisi dell'aprile 1986 ripropone l'identico schema del doppio binario, la lealtà atlantica formale e la tutela parallela del canale mediterraneo, e la traiettoria dei 2 missili su Lampedusa, quale che ne fosse l'intenzione balistica, resta il punto del corpus in cui la guerra fredda mediterranea smise per una sera di essere coperta, misurando quanto vicino alla superficie corresse, da sempre, ciò che l'opera censisce di norma solo negli archivi.</w:t>
      </w:r>
    </w:p>
    <w:p>
      <w:pPr>
        <w:spacing w:after="120" w:line="276"/>
        <w:jc w:val="both"/>
      </w:pPr>
      <w:r>
        <w:rPr>
          <w:rFonts w:ascii="Barlow Semi Condensed" w:cs="Barlow Semi Condensed" w:eastAsia="Barlow Semi Condensed" w:hAnsi="Barlow Semi Condensed"/>
          <w:sz w:val="24"/>
          <w:szCs w:val="24"/>
        </w:rPr>
        <w:t xml:space="preserve">Alla contabilità mediterranea della stagione precedente appartiene infine il velivolo che ne è divenuto il reperto simbolico: l'aereo da trasporto del servizio noto con la sigla Argo 16, impiegato per le missioni riservate del SID, precipitò il 23 novembre 1973 in area industriale presso Marghera con la morte dei 4 militari dell'equipaggio, poche settimane dopo essere stato utilizzato, secondo le acquisizioni parlamentari e giudiziarie convergenti, per ricondurre in area mediorientale uomini dell'area palestinese rilasciati nel quadro della gestione riservata censita in questo capitolo, Livello A quanto alla caduta, alle vittime ed all'impiego del velivolo, Livello B quanto alla specifica missione di riconduzione. Sull'origine della caduta il registro applica la propria disciplina: l'ipotesi del sabotaggio quale ritorsione per la linea dei rilasci, coltivata da un'istruttoria durata decenni e chiusasi senza condanne, resta al Livello C, ipotesi processualmente esplorata e mai certificata, accanto a quella dell'incidente. La funzione del reperto nell'economia della fase è tuttavia indipendente dallo scioglimento: Argo 16 è il punto in cui il canale riservato mediterraneo dell'Italia smette di essere una politica e diventa una carlinga, un luogo fisico con un equipaggio ed una rotta, e la sua fine mai spiegata, qualunque ne sia stata la causa, apparteneva già allora al prezzo possibile di quella politica, che il registro ha censito nei suoi benefici dichiarati e censisce qui nel suo primo, possibile, costo occulto.</w:t>
      </w:r>
    </w:p>
    <w:p>
      <w:pPr>
        <w:spacing w:after="120" w:line="276"/>
        <w:jc w:val="both"/>
      </w:pPr>
      <w:r>
        <w:rPr>
          <w:rFonts w:ascii="Barlow Semi Condensed" w:cs="Barlow Semi Condensed" w:eastAsia="Barlow Semi Condensed" w:hAnsi="Barlow Semi Condensed"/>
          <w:sz w:val="24"/>
          <w:szCs w:val="24"/>
        </w:rPr>
        <w:t xml:space="preserve">La scheda del dirottamento si chiude con l'epilogo del suo regista, che il registro riporta per completezza di casellario: il capo dell'organizzazione responsabile dell'azione, condannato all'ergastolo in via definitiva dalla giustizia italiana quale organizzatore, rimase latitante per 18 anni tra i santuari mediorientali sino alla cattura da parte delle forze americane a Baghdad nell'aprile 2003, nel quadro dell'occupazione dell'Iraq, e morì in detenzione americana nel marzo 2004, senza estradizione verso l'Italia e senza processo americano per i fatti del 1985, Livello A quanto all'intera sequenza. Il registro annota la geometria finale del caso: l'uomo conteso nella notte di Sigonella tra la sovranità italiana e la pretesa americana finì i propri giorni, 18 anni dopo, in mani americane e fuori da ogni aula, sicché nessuna delle 2 giurisdizioni che se lo erano disputato sulla pista siciliana lo ha mai avuto davanti a un giudice in carne ed ossa, e l'ergastolo italiano in contumacia resta l'unico verdetto mai pronunciato su di lui, eseguito dalla storia nella forma che il corpus conosce meglio, la morte in custodia altrui prima del dibattimento.</w:t>
      </w:r>
    </w:p>
    <w:p>
      <w:pPr>
        <w:spacing w:after="120" w:line="276"/>
        <w:jc w:val="both"/>
      </w:pPr>
      <w:r>
        <w:rPr>
          <w:rFonts w:ascii="Barlow Semi Condensed" w:cs="Barlow Semi Condensed" w:eastAsia="Barlow Semi Condensed" w:hAnsi="Barlow Semi Condensed"/>
          <w:sz w:val="24"/>
          <w:szCs w:val="24"/>
        </w:rPr>
        <w:t xml:space="preserve">La genealogia energetica del teatro mediterraneo impone al registro di risalire al suo evento fondativo, che l'opera censisce quale primo caso della propria serie e più antico dei suoi irrisolti certificati: la sera del 27 ottobre 1962 l'aereo personale del presidente dell'ENI Enrico Mattei precipitò a Bascapè, nel Pavese, in fase di avvicinamento a Linate, uccidendo Mattei, il pilota Irnerio Bertuzzi ed il giornalista americano William McHale, Livello A quanto all'evento ed alle vittime. La vicenda giudiziaria, chiusa in prima battuta quale incidente, fu riaperta 3 decenni dopo dalla procura di Pavia, e l'istruttoria condotta negli anni Novanta approdò nel 2003 ad un'archiviazione di natura eccezionale, che il registro riporta nel suo esatto dispositivo: sulla scorta delle perizie sui reperti riesumati, il provvedimento accertò che la caduta fu provocata da una carica esplosiva collocata a bordo, qualificando il fatto quale attentato doloso, e dispose l'archiviazione per l'impossibilità di identificarne, a 40 anni di distanza, esecutori e mandanti, Livello A quanto all'accertamento del dolo contenuto nel provvedimento, con autori e moventi rimasti al Livello C tra le ipotesi concorrenti, dalla pista interna dei poteri petroliferi a quella internazionale, mai discriminate. Il registro consegna il caso alla sua funzione di chiave: Mattei fu l'uomo che sfidò l'oligopolio petrolifero occidentale trattando direttamente con i produttori mediterranei e con Mosca, e la certificazione postuma che la sua morte fu un omicidio senza colpevoli colloca all'origine stessa del teatro censito da questo capitolo, un decennio prima del lodo e 2 decenni prima delle notti siciliane, la dimostrazione che la sovranità energetica italiana nel Mediterraneo era una posta per la quale, in questo Paese, si poteva morire.</w:t>
      </w:r>
    </w:p>
    <w:p>
      <w:pPr>
        <w:spacing w:after="120" w:line="276"/>
        <w:jc w:val="both"/>
      </w:pPr>
      <w:r>
        <w:rPr>
          <w:rFonts w:ascii="Barlow Semi Condensed" w:cs="Barlow Semi Condensed" w:eastAsia="Barlow Semi Condensed" w:hAnsi="Barlow Semi Condensed"/>
          <w:sz w:val="24"/>
          <w:szCs w:val="24"/>
        </w:rPr>
        <w:t xml:space="preserve">Alla scia di Bascapè appartiene la seconda vittima, che il registro censisce quale caso di sparizione perfetta: il giornalista palermitano Mauro De Mauro, che nel settembre 1970 lavorava alla ricostruzione delle ultime giornate di Mattei per conto di una produzione cinematografica, fu sequestrato sotto casa la sera del 16 settembre 1970 e mai più ritrovato, né vivo né morto, Livello A quanto alla sparizione ed alla sua data; il procedimento celebrato a distanza di decenni contro il vertice corleonese quale mandante si chiuse con assoluzione divenuta definitiva, che il registro riporta per esteso secondo la propria disciplina, sicché per la sparizione di De Mauro non esiste alcun condannato, Livello A quanto all'esito assolutorio; ed il ventaglio dei moventi esplorati, l'inchiesta su Mattei, altre piste palermitane concorrenti, resta al Livello C, materia di ipotesi che 50 anni di indagini non hanno gerarchizzato. Il registro annota la geometria che i 2 casi compongono: l'uomo che indagava sulla morte dell'uomo del petrolio scomparve senza lasciare corpo né verità, e questa concatenazione di irrisolti al quadrato, l'omicidio certificato senza autori e la sparizione senza neppure il reato accertabile, apre la serie mediterranea dell'opera con la sua legge più dura, che il capitolo ha poi ritrovato ad ogni tornante: in questo teatro, chi tocca la questione energetica e chi tocca chi l'ha toccata appartengono alla medesima contabilità.</w:t>
      </w:r>
    </w:p>
    <w:p>
      <w:pPr>
        <w:spacing w:after="120" w:line="276"/>
        <w:jc w:val="both"/>
      </w:pPr>
      <w:r>
        <w:rPr>
          <w:rFonts w:ascii="Barlow Semi Condensed" w:cs="Barlow Semi Condensed" w:eastAsia="Barlow Semi Condensed" w:hAnsi="Barlow Semi Condensed"/>
          <w:sz w:val="24"/>
          <w:szCs w:val="24"/>
        </w:rPr>
        <w:t xml:space="preserve">Il Mediterraneo del 1980 completa la propria costellazione con la crisi che il registro censisce quale terza scena del medesimo mare: nell'agosto di quell'anno unità militari libiche imposero la sospensione delle attività della piattaforma di perforazione operata per conto maltese da una società italiana del gruppo pubblico sul banco conteso di Medina, costringendo al ritiro il naviglio civile e aprendo una crisi diplomatica tra La Valletta, Tripoli e Roma sulla delimitazione delle acque e sulle concessioni energetiche del canale di Sicilia, ricomposta per via negoziale e arbitrale negli anni seguenti, Livello A quanto all'episodio ed alla sua composizione. Il registro colloca la cannoniera libica nella sequenza che il capitolo ha costruito: l'estate del 1980 vide concentrarsi sul medesimo quadrante, in 6 settimane, la notte di Ustica, la strage alla stazione della città da cui quel volo era partito e la prova di forza energetica sul banco di Medina, e la disciplina del Pattern 3, che vieta di convertire la densità in disegno, impone qui la sua applicazione più severa e la sua annotazione più ferma: i 3 eventi restano, allo stato degli atti, privi di ogni connessione certificata, e ciò che la loro compresenza documenta non è una trama ma una condizione, quella di un mare che nell'estate del 1980 era simultaneamente teatro di guerra aerea non dichiarata, bersaglio di terrorismo interno e posta di conflitto energetico, la condizione mediterranea dell'Italia che questo capitolo ha censito e che nessuna singola inchiesta, per statuto, poteva vedere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mediterraneo è certificato quale sistema continuo dell'autonomia italiana, con la prassi al Livello B, i riscontri e la crisi del 1985 al Livello A, Leon Klinghoffer nominato tra le vittime, e la serie degli attriti documentati con l'alleato maggiore consegnata quale versante mediterraneo delle contrarietà certificate alla verifica delle macro-ipotesi.</w:t>
      </w:r>
    </w:p>
    <w:p>
      <w:pPr>
        <w:pStyle w:val="Heading3"/>
        <w:spacing w:after="80" w:before="160"/>
      </w:pPr>
      <w:r>
        <w:rPr>
          <w:rFonts w:ascii="Barlow Semi Condensed" w:cs="Barlow Semi Condensed" w:eastAsia="Barlow Semi Condensed" w:hAnsi="Barlow Semi Condensed"/>
          <w:sz w:val="24"/>
          <w:szCs w:val="24"/>
        </w:rPr>
        <w:t xml:space="preserve">Capitolo 6 — L'Est: gli archivi trasferiti, il caso bulgaro e l'asimmetria della prova</w:t>
      </w:r>
    </w:p>
    <w:p>
      <w:pPr>
        <w:spacing w:after="120" w:line="276"/>
        <w:jc w:val="both"/>
      </w:pPr>
      <w:r>
        <w:rPr>
          <w:rFonts w:ascii="Barlow Semi Condensed" w:cs="Barlow Semi Condensed" w:eastAsia="Barlow Semi Condensed" w:hAnsi="Barlow Semi Condensed"/>
          <w:sz w:val="24"/>
          <w:szCs w:val="24"/>
        </w:rPr>
        <w:t xml:space="preserve">Il sesto nodo è il campo orientale, il versante del grafo la cui conoscibilità dipende integralmente dal collasso del 1989-1991 e dai trasferimenti archivistici che ne seguirono. Il registro dichiara in apertura la condizione che governa l'intero capitolo: sino alla caduta, il campo orientale non produsse verso l'esterno documentazione propria se non per defezione, e ogni certificazione del nodo porta la data del proprio regime di accesso, la disciplina dell'asimmetria nella sua applicazione più pura.</w:t>
      </w:r>
    </w:p>
    <w:p>
      <w:pPr>
        <w:spacing w:after="120" w:line="276"/>
        <w:jc w:val="both"/>
      </w:pPr>
      <w:r>
        <w:rPr>
          <w:rFonts w:ascii="Barlow Semi Condensed" w:cs="Barlow Semi Condensed" w:eastAsia="Barlow Semi Condensed" w:hAnsi="Barlow Semi Condensed"/>
          <w:sz w:val="24"/>
          <w:szCs w:val="24"/>
        </w:rPr>
        <w:t xml:space="preserve">Il primo pilastro censisce il compendio maggiore, l'archivio Mitrokhin. La documentazione esfiltrata nel 1992 dall'ex archivista del servizio sovietico e trasmessa ai servizi occidentali, il compendio dal quale derivano i rapporti trasmessi all'Italia noti quali dossier Impedian, fu recepita in sede parlamentare dalla Commissione dedicata, istituita nel 2002 e conclusa nel 2006, con gli esiti divisi che la natura della fonte e la stagione politica produssero; il registro certifica al Livello A l'esistenza, la provenienza e la recezione parlamentare del compendio, quali fatti documentali, e fissa la disciplina della fonte, che l'opera ha già applicato al caso Conforto della Fase 4: le schedature del compendio sono documentazione d'archivio di servizio, non giudicati, e le qualità che esse attribuiscono sono certificate al Livello B quali risultanze documentali di parte recepite in sede istituzionale, con ogni lettura operativa al livello proprio; il caso Conforto, l'agente schedato quale Dario sotto il cui tetto fu sequestrata l'arma dell'esecuzione di via Caetani, resta l'applicazione esemplare della disciplina, il fatto materiale al Livello A, la qualità al Livello B, il nesso al Livello C.</w:t>
      </w:r>
    </w:p>
    <w:p>
      <w:pPr>
        <w:spacing w:after="120" w:line="276"/>
        <w:jc w:val="both"/>
      </w:pPr>
      <w:r>
        <w:rPr>
          <w:rFonts w:ascii="Barlow Semi Condensed" w:cs="Barlow Semi Condensed" w:eastAsia="Barlow Semi Condensed" w:hAnsi="Barlow Semi Condensed"/>
          <w:sz w:val="24"/>
          <w:szCs w:val="24"/>
        </w:rPr>
        <w:t xml:space="preserve">Il secondo pilastro censisce il caso giudiziario maggiore del versante, l'attentato al pontefice e la pista bulgara. Il 13 maggio 1981 Giovanni Paolo II fu gravemente ferito in piazza San Pietro da Mehmet Ali Ağca, l'estremista turco proveniente dall'organizzazione dei Lupi Grigi, condannato all'ergastolo dalla giustizia italiana nel luglio 1981 e graziato dal presidente della Repubblica nel giugno 2000 con successiva estradizione in Turchia; sull'ipotesi del mandato orientale, la pista bulgara alimentata dalle dichiarazioni del condannato, si celebrò il processo ai presunti coordinatori, e la Corte d'assise di Roma, con la sentenza del marzo 1986, assolse per insufficienza di prove Sergej Antonov e i coimputati bulgari e turchi, esito che il registro riporta per esteso in ottemperanza alla propria disciplina; il registro certifica al Livello A l'attentato, la condanna dell'esecutore, la grazia e l'esito assolutorio del processo sul mandato, quali dati giudiziari, mantiene al Livello C l'ipotesi del mandato orientale, quale lettura processualmente non provata, e annota la struttura che il caso consegna all'opera: il massimo attentato del decennio sul territorio italiano ha un esecutore giudicato e un mandato mai accertato, la configurazione dei piani che la Fase 4 ha formalizzato, replicata qui sul terreno internazionale con l'aggravante dell'asimmetria, giacché gli archivi capaci di sciogliere la questione appartenevano al campo che la questione investiva, e le aperture successive al 1989 non hanno prodotto la prova in alcuna direzione.</w:t>
      </w:r>
    </w:p>
    <w:p>
      <w:pPr>
        <w:spacing w:after="120" w:line="276"/>
        <w:jc w:val="both"/>
      </w:pPr>
      <w:r>
        <w:rPr>
          <w:rFonts w:ascii="Barlow Semi Condensed" w:cs="Barlow Semi Condensed" w:eastAsia="Barlow Semi Condensed" w:hAnsi="Barlow Semi Condensed"/>
          <w:sz w:val="24"/>
          <w:szCs w:val="24"/>
        </w:rPr>
        <w:t xml:space="preserve">Il terzo pilastro censisce il canale finanziario documentato, il sostegno economico del campo orientale al maggiore partito comunista occidentale. La documentazione emersa dagli archivi sovietici dopo il 1991 ha certificato l'esistenza pluridecennale del canale di finanziamento del Partito comunista italiano da parte del partito sovietico, con le consistenze e la cronologia che gli studi d'archivio hanno ricostruito e con l'esaurimento del canale negli anni Settanta-Ottanta parallelo all'autonomizzazione eurocomunista; il registro certifica al Livello A l'esistenza storica del canale, quale dato archivistico consolidato, e ne dichiara la funzione nella verifica: esso è il canale documentato del campo orientale verso il sistema politico italiano, simmetrico per esistenza ai canali occidentali che il capitolo settimo censisce, e la simmetria certificata delle interferenze ordinarie dei 2 campi, ciascuno sul proprio versante del sistema politico, è il fatto di base che la verifica finale erediterà, con la consueta distinzione tra l'interferenza ordinaria documentata e le regie straordinarie che i documenti non certificano.</w:t>
      </w:r>
    </w:p>
    <w:p>
      <w:pPr>
        <w:spacing w:after="120" w:line="276"/>
        <w:jc w:val="both"/>
      </w:pPr>
      <w:r>
        <w:rPr>
          <w:rFonts w:ascii="Barlow Semi Condensed" w:cs="Barlow Semi Condensed" w:eastAsia="Barlow Semi Condensed" w:hAnsi="Barlow Semi Condensed"/>
          <w:sz w:val="24"/>
          <w:szCs w:val="24"/>
        </w:rPr>
        <w:t xml:space="preserve">Il quarto pilastro censisce i servizi satelliti, il versante minore del campo. Le acquisizioni successive al 1989, dalle aperture parziali degli archivi orientali agli atti delle commissioni dei Paesi già satelliti, hanno documentato l'attività verso l'Italia e verso il terrorismo internazionale transitato per l'Italia dei servizi del blocco, con i casi che la documentazione colloca ai livelli propri, dal sostegno logistico e addestrativo prestato da strutture orientali alle organizzazioni palestinesi, documentato dalle carte aperte, alle attività informative ordinarie sul Paese di frontiera; il registro certifica al Livello A l'esistenza documentata delle attività per i casi consacrati dalle carte aperte, mantiene al Livello B le ricostruzioni fondate su acquisizioni parziali, e ribadisce la disciplina dell'asimmetria: la conoscenza del versante satellite è integralmente figlia delle aperture del 1989-1991, cresce dove gli ordinamenti successori hanno legiferato l'accesso e tace dove non lo hanno fatto, e ogni comparazione interna al campo orientale incorpora questa non uniformità quale condizione.</w:t>
      </w:r>
    </w:p>
    <w:p>
      <w:pPr>
        <w:spacing w:after="120" w:line="276"/>
        <w:jc w:val="both"/>
      </w:pPr>
      <w:r>
        <w:rPr>
          <w:rFonts w:ascii="Barlow Semi Condensed" w:cs="Barlow Semi Condensed" w:eastAsia="Barlow Semi Condensed" w:hAnsi="Barlow Semi Condensed"/>
          <w:sz w:val="24"/>
          <w:szCs w:val="24"/>
        </w:rPr>
        <w:t xml:space="preserve">Il quinto pilastro censisce l'esito istituzionale italiano del compendio, il bilancio della Commissione. La Commissione parlamentare sul dossier Mitrokhin, operante dal 2002 al 2006, si concluse con relazioni divise lungo la frattura politica della stagione, senza approdi condivisi e senza che dalle sue carte scaturisse alcun seguito giudiziario di rilievo, e il registro certifica al Livello A l'esito diviso e l'assenza di seguiti, quali dati parlamentari, traendone l'annotazione metodologica che il caso consegna: la recezione istituzionale di un archivio di parte, in un sistema politico polarizzato, produsse non l'accertamento ma la trasposizione della polarizzazione sull'archivio stesso, e il compendio, fonte documentale di valore per la ricerca, fu consumato dalla stagione quale arma della contesa; il registro trascrive il caso quale controesempio interno alla legge del capitolo nono, l'apertura archivistica che non produce conoscenza consolidata quando la recezione avviene nel campo della lotta politica anziché in quello dell'accertamento, e ne trae la cautela permanente con cui l'opera stessa ha trattato il compendio, la disciplina della fonte fissata nel primo pilastro.</w:t>
      </w:r>
    </w:p>
    <w:p>
      <w:pPr>
        <w:spacing w:after="120" w:line="276"/>
        <w:jc w:val="both"/>
      </w:pPr>
      <w:r>
        <w:rPr>
          <w:rFonts w:ascii="Barlow Semi Condensed" w:cs="Barlow Semi Condensed" w:eastAsia="Barlow Semi Condensed" w:hAnsi="Barlow Semi Condensed"/>
          <w:sz w:val="24"/>
          <w:szCs w:val="24"/>
        </w:rPr>
        <w:t xml:space="preserve">Il sesto pilastro censisce l'epilogo archivistico del caso bulgaro, la prova dell'asimmetria anche nell'apertura. Dopo il 1989, l'ordinamento bulgaro conobbe le proprie stagioni di accesso alle carte della sicurezza del regime, con le aperture parziali e regolate che la transizione produsse, e dalle carte accessibili non emerse la prova del mandato nell'una né nell'altra direzione, l'assoluzione per insufficienza di prove del 1986 restando l'ultimo atto giudiziario del caso e la questione storiografica restando aperta con le letture contrapposte che la letteratura custodisce; il registro certifica al Livello A l'esistenza delle aperture parziali e l'assenza di prova sopravvenuta, quali dati, e ne trae la lezione terminale del versante: l'apertura archivistica è condizione necessaria e non sufficiente dell'accertamento, giacché essa restituisce soltanto ciò che fu scritto e conservato, e un mandato, se vi fu, appartiene per natura alla classe degli atti che gli apparati non scrivono o non conservano; il registro salda la lezione alla firma delle assenze certificata dalla Fase 4, la coincidenza sistematica tra la sensibilità dell'atto e il silenzio della carta, e consegna il caso quale memento metodologico permanente: nel campo studiato, esistono questioni strutturalmente inaccertabili per via documentale, e la maturità del metodo consiste nel dichiararle tali, mantenendole al livello dell'ipotesi viva, anziché forzarle verso conclusioni che nessun archivio, aperto o chiuso, potrà mai fondare.</w:t>
      </w:r>
    </w:p>
    <w:p>
      <w:pPr>
        <w:spacing w:after="120" w:line="276"/>
        <w:jc w:val="both"/>
      </w:pPr>
      <w:r>
        <w:rPr>
          <w:rFonts w:ascii="Barlow Semi Condensed" w:cs="Barlow Semi Condensed" w:eastAsia="Barlow Semi Condensed" w:hAnsi="Barlow Semi Condensed"/>
          <w:sz w:val="24"/>
          <w:szCs w:val="24"/>
        </w:rPr>
        <w:t xml:space="preserve">Il settimo pilastro fissa il perimetro della trasmissione italiana, i rapporti Impedian. La quota del compendio trasmessa all'Italia consiste nei 261 rapporti della serie Impedian, il sottoinsieme che il servizio britannico destinò alla controparte italiana e che costituì la base documentale della Commissione; il registro certifica al Livello A la consistenza e la natura derivata della trasmissione, quale dato degli atti, e ne trae la precisazione metodologica che il perimetro impone: la conoscenza italiana del compendio è una conoscenza doppiamente mediata, dall'esfiltrazione selettiva dell'archivista prima e dalla selezione del servizio trasmittente poi, e ogni impiego dei rapporti incorpora le 2 selezioni non verificabili che ne hanno determinato il contenuto; il registro applica al caso la disciplina dell'autocertificazione formalizzata per le liste della rete stay-behind, l'elenco che documenta ciò che contiene e nulla certifica su ciò che esclude, e chiude il pilastro con la qualificazione terminale della fonte: il compendio è, per l'opera, un giacimento di piste di Livello B da riscontrare caso per caso, mai un archivio probante, e il caso Conforto resta la dimostrazione del rendimento possibile, la pista del compendio che un fatto materiale italiano, il sequestro dell'arma, ha trasformato in nodo certificato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Mitrokhin-Impedian-disciplina della fonte, fissa lo statuto probatorio del compendio con il caso Conforto quale applicazione esemplare. La seconda, attentato del 1981-processo del mandato-assoluzione del 1986, certifica la replica internazionale della struttura dei piani, con l'esito riportato per esteso. La terza, canale finanziario-archivi post-1991-simmetria delle interferenze, consegna alla verifica il fatto di base del versante orientale.</w:t>
      </w:r>
    </w:p>
    <w:p>
      <w:pPr>
        <w:spacing w:after="120" w:line="276"/>
        <w:jc w:val="both"/>
      </w:pPr>
      <w:r>
        <w:rPr>
          <w:rFonts w:ascii="Barlow Semi Condensed" w:cs="Barlow Semi Condensed" w:eastAsia="Barlow Semi Condensed" w:hAnsi="Barlow Semi Condensed"/>
          <w:sz w:val="24"/>
          <w:szCs w:val="24"/>
        </w:rPr>
        <w:t xml:space="preserve">Alle aperture parziali del campo il registro deve i loro istituti, perché la conoscibilità del versante ha assunto, dopo il 1989, forme ordinamentali precise che la legge del capitolo nono avrebbe poi classificato: la Germania riunificata creò nel 1991 l'autorità federale per le carte del servizio di sicurezza della disciolta Repubblica democratica, il modello dell'accesso amministrato agli archivi della Stasi che ha reso quel fondo il più consultato archivio di polizia segreta della storia; l'ordinamento ceco e slovacco affidò le carte dello StB agli istituti della memoria nel quadro delle leggi di lustrazione; la Romania istituì nel 1999 il consiglio nazionale per lo studio degli archivi della Securitate, con accesso regolato ai fascicoli personali, Livello A quanto agli istituti ed alle loro date. Il registro giustappone al censimento l'eccezione che lo definisce: l'archivio centrale del servizio sovietico, il fondo maggiore del campo, non conobbe alcun istituto equivalente, e la sua conoscibilità resta affidata alle esfiltrazioni individuali, delle quali il compendio Mitrokhin censito è l'esemplare massimo, sicché il versante orientale si presenta all'analista come un arcipelago di satelliti illuminati attorno a un centro rimasto buio, e questa geometria rovesciata, la periferia leggibile ed il centro opaco, è la forma specifica che l'asimmetria della prova assume ad Est, con la conseguenza metodologica che la fase ha già tratto: sul campo orientale, ogni affermazione sul centro è, per statuto archivistico, più debole di ogni affermazione sui satelliti.</w:t>
      </w:r>
    </w:p>
    <w:p>
      <w:pPr>
        <w:spacing w:after="120" w:line="276"/>
        <w:jc w:val="both"/>
      </w:pPr>
      <w:r>
        <w:rPr>
          <w:rFonts w:ascii="Barlow Semi Condensed" w:cs="Barlow Semi Condensed" w:eastAsia="Barlow Semi Condensed" w:hAnsi="Barlow Semi Condensed"/>
          <w:sz w:val="24"/>
          <w:szCs w:val="24"/>
        </w:rPr>
        <w:t xml:space="preserve">Al versante bulgaro del campo appartiene infine lo snodo commerciale che gli atti parlamentari italiani censirono quale infrastruttura dei traffici: la società di Stato Kintex, l'ente di commercio estero di Sofia che le Commissioni d'inchiesta della Repubblica, sulla scorta di acquisizioni investigative e di convergenze internazionali, indicarono quale terminale organizzato di flussi di armi e di stupefacenti lungo le rotte balcanico-adriatiche verso l'Italia, in un intreccio tra commercio ufficiale e canali clandestini che la letteratura parlamentare del decennio documentò senza che ne seguisse mai un giudicato penale italiano organico sull'ente, Livello B quanto alle acquisizioni ed alle indicazioni delle sedi parlamentari, in assenza di certificazione giudiziaria di sistema. Il registro colloca il reperto nel suo perimetro esatto: la Kintex appartiene alla categoria degli snodi indicati e mai giudicati, e la sua funzione nel nodo è documentale prima che accusatoria, dimostrare che il campo orientale disponeva, accanto ai canali politici e informativi censiti dai pilastri, di un'infrastruttura commerciale di Stato idonea ai traffici paralleli, secondo il modello, speculare a quello occidentale delle società di comodo censite nel teatro australe, per cui ogni campo affida ai propri enti opachi ciò che la propria diplomazia non può firmare. La simmetria delle infrastrutture, l'ente di Stato ad Est e la società di comodo ad Ovest, è l'ultima delle specularità che il capitolo consegna alla verifica finale.</w:t>
      </w:r>
    </w:p>
    <w:p>
      <w:pPr>
        <w:spacing w:after="120" w:line="276"/>
        <w:jc w:val="both"/>
      </w:pPr>
      <w:r>
        <w:rPr>
          <w:rFonts w:ascii="Barlow Semi Condensed" w:cs="Barlow Semi Condensed" w:eastAsia="Barlow Semi Condensed" w:hAnsi="Barlow Semi Condensed"/>
          <w:sz w:val="24"/>
          <w:szCs w:val="24"/>
        </w:rPr>
        <w:t xml:space="preserve">Il compendio orientale impone infine la verifica sul quesito italiano per eccellenza, ed il registro la censisce quale Stato Zero maggiore della fase: la ricerca sistematica, condotta per decenni da istruttorie e commissioni sulla scorta delle carte transitate ad Occidente, di una direzione o di un finanziamento orientale organico del terrorismo brigatista, non ha prodotto la certificazione attesa, ed il materiale documentale disponibile, incluso il compendio censito, restituisce sul punto tracce frammentarie di contatti, transiti e attenzioni informative, ma non la catena di comando che la vulgata di ciascuna stagione ha ripetutamente annunciato, Livello A quanto all'esito delle ricerche documentali e parlamentari, Livello C quanto ad ogni ricostruzione di direzione esterna, mai consolidata. Il registro applica al risultato la propria dottrina dello Stato Zero: l'assenza sistematicamente cercata e non trovata è un dato di prima classe, e nel caso di specie essa delimita il perimetro che i giudicati italiani hanno sempre confermato, quello di un terrorismo autoctono nelle decisioni e nelle strutture, comunque collocato in un ecosistema internazionale che gli forniva sponde logistiche e santuari censiti altrove in questa fase; la disciplina impone di consegnare entrambe le metà del dato, contro le 2 vulgate speculari che il corpus ha attraversato, quella che voleva ogni bomba italiana comandata da una centrale straniera e quella che negava ogni dimensione internazionale, ed il registro le respinge entrambe con lo stesso strumento, la distinzione tra ambiente e mandato, che regge l'intera opera: l'ambiente internazionale del terrorismo italiano è documentato, il mandato internazionale non lo è, e chi confonde i 2 piani non sta leggendo gli atti, li sta riscrivendo.</w:t>
      </w:r>
    </w:p>
    <w:p>
      <w:pPr>
        <w:spacing w:after="120" w:line="276"/>
        <w:jc w:val="both"/>
      </w:pPr>
      <w:r>
        <w:rPr>
          <w:rFonts w:ascii="Barlow Semi Condensed" w:cs="Barlow Semi Condensed" w:eastAsia="Barlow Semi Condensed" w:hAnsi="Barlow Semi Condensed"/>
          <w:sz w:val="24"/>
          <w:szCs w:val="24"/>
        </w:rPr>
        <w:t xml:space="preserve">Al repertorio operativo del campo orientale il registro aggiunge il caso che ne certificò il metodo davanti all'opinione mondiale: l'assassinio a Londra, nel settembre 1978, del dissidente bulgaro Georgi Markov, colpito su un ponte da un minuscolo proiettile ad agente tossico inoculato con un congegno dissimulato, morto in 4 giorni, caso mai giunto a condanne ma attribuito dalle acquisizioni successive alla collaborazione tra il servizio bulgaro e le strutture tecniche sovietiche, Livello A quanto al fatto ed alle modalità accertate, Livello B quanto all'attribuzione risultante dalle acquisizioni post-1989 mai processate. Il registro censisce l'ombrello di Londra per la sua funzione contestuale: il caso dimostrò, nel medesimo autunno del 1978 che questo capitolo attraversa, che l'apparato bulgaro disponeva della volontà e della tecnica per l'omicidio politico extraterritoriale di precisione, e questa capacità certificata è l'esatto contesto nel quale, 3 anni dopo, il mondo avrebbe soppesato l'accusa di Roma censita nel capitolo, con la disciplina che il registro ribadisce: la capacità dimostrata a Londra rendeva l'ipotesi romana plausibile, non provata, e la distanza tra questi 2 aggettivi è precisamente ciò che le assoluzioni italiane per insufficienza hanno misurato.</w:t>
      </w:r>
    </w:p>
    <w:p>
      <w:pPr>
        <w:spacing w:after="120" w:line="276"/>
        <w:jc w:val="both"/>
      </w:pPr>
      <w:r>
        <w:rPr>
          <w:rFonts w:ascii="Barlow Semi Condensed" w:cs="Barlow Semi Condensed" w:eastAsia="Barlow Semi Condensed" w:hAnsi="Barlow Semi Condensed"/>
          <w:sz w:val="24"/>
          <w:szCs w:val="24"/>
        </w:rPr>
        <w:t xml:space="preserve">La genealogia dei servizi del campo occidentale contiene il precedente fondativo che il registro censisce quale matrice del riciclo istituzionale: l'Organizzazione Gehlen, la struttura informativa costituita nel 1946 sotto egida americana attorno al generale Reinhard Gehlen, già capo del servizio dell'esercito tedesco per il fronte orientale, transitata nel 1956, con il medesimo vertice e con quadri in parte reclutati tra gli ex appartenenti agli apparati del regime sconfitto, nel servizio federale di intelligence della nuova Germania, che Gehlen diresse sino al 1968, con la componente di ex membri delle strutture di sicurezza naziste che la commissione storica indipendente istituita dallo stesso servizio ha documentato nei propri studi, Livello A quanto alla parabola istituzionale ed alle acquisizioni della storiografia ufficiale tedesca. Il registro consegna il precedente alla sua funzione di chiave per l'intera fase: la conversione dell'apparato informativo del Reich in apparato informativo dell'alleanza, decisa a guerra appena finita in nome della continuità delle conoscenze sull'Est, è il prototipo documentato della logica che il corpus ritrova in ogni suo teatro, il primato del nemico prossimo venturo sulla giustizia per il nemico appena sconfitto, e la circostanza che questa conversione sia oggi certificata dalla storiografia commissionata dal servizio medesimo dimostra, sul piano del metodo, che anche il più compromettente dei segreti fondativi può essere metabolizzato da un'istituzione democratica, a condizione, che il registro annota per il bilancio finale, di una sola cosa: che passino abbastanza decenni perché nessuno dei nomi negli archivi sia più vivo per rispondere.</w:t>
      </w:r>
    </w:p>
    <w:p>
      <w:pPr>
        <w:spacing w:after="120" w:line="276"/>
        <w:jc w:val="both"/>
      </w:pPr>
      <w:r>
        <w:rPr>
          <w:rFonts w:ascii="Barlow Semi Condensed" w:cs="Barlow Semi Condensed" w:eastAsia="Barlow Semi Condensed" w:hAnsi="Barlow Semi Condensed"/>
          <w:sz w:val="24"/>
          <w:szCs w:val="24"/>
        </w:rPr>
        <w:t xml:space="preserve">Il capitolo degli archivi orientali si completa con il caso più romanzesco della loro trasmigrazione, che il registro censisce quale paradigma della guerra postuma per le carte: lo schedario operativo del servizio estero della Germania orientale, sottratto nella forma di microfilm nel naufragio del 1990 e finito oltreoceano, fu restituito alla Germania riunificata solo nel 2003, dopo un decennio di negoziati, nel corpus documentale noto quale dossier Rosenholz, consentendo l'identificazione retrospettiva di reti di collaboratori attive per decenni nell'Europa occidentale, con le ricadute nazionali gestite da ciascun Paese secondo le proprie procedure, Livello A quanto alla vicenda del fondo ed alla sua restituzione. Il registro consegna il caso alla sua funzione di chiusura per il capitolo: la parabola del dossier, un archivio di spionaggio conteso per 13 anni tra 2 alleati come bottino di guerra fredda postuma, dimostra che le carte censite in questo capitolo non furono mai semplici fonti ma poste strategiche esse stesse, possedute, negoziate e restituite secondo convenienze di Stato, e la conseguenza per il metodo dell'opera è quella che l'intera fase ha costruito: ogni archivio del corpus è arrivato allo storico attraverso una catena di custodie interessate, e la prima domanda del metodo davanti ad ogni carta non è mai che cosa dice, ma per quali mani è passata e perché proprio ora è leggibile.</w:t>
      </w:r>
    </w:p>
    <w:p>
      <w:pPr>
        <w:spacing w:after="120" w:line="276"/>
        <w:jc w:val="both"/>
      </w:pPr>
      <w:r>
        <w:rPr>
          <w:rFonts w:ascii="Barlow Semi Condensed" w:cs="Barlow Semi Condensed" w:eastAsia="Barlow Semi Condensed" w:hAnsi="Barlow Semi Condensed"/>
          <w:sz w:val="24"/>
          <w:szCs w:val="24"/>
        </w:rPr>
        <w:t xml:space="preserve">La contabilità dei flussi orientali esige infine la sua voce maggiore, che il registro censisce in simmetria documentale con il capitolo americano della fase: gli archivi del partito sovietico, aperti dopo il 1991, hanno documentato i finanziamenti pluridecennali erogati da Mosca ai partiti comunisti occidentali attraverso i canali riservati del comitato centrale, con il partito italiano tra i principali destinatari europei dei trasferimenti, protrattisi dalla ricostruzione postbellica sino alla soglia degli anni Ottanta, quali risultano dalle carte moscovite acquisite e pubblicate e dalle ricognizioni storiografiche e parlamentari che ne sono seguite, Livello A quanto ai flussi documentati dagli archivi del finanziatore. Il registro colloca il reperto nella propria architettura con la disciplina della doppia entrata: censiti nel capitolo atlantico i finanziamenti americani ai partiti ed agli uomini del campo occidentale italiano, la simmetria documentale impone la registrazione del flusso speculare, e la loro lettura congiunta consegna alla verifica finale il dato strutturale che nessuna delle 2 vulgate contrapposte ha mai voluto pronunciare per intero: per l'arco maggiore del corpus, i 2 principali partiti italiani ricevettero sostegno finanziario riservato dalle 2 superpotenze contrapposte, sicché la sovranità del sistema politico censito dall'opera era limitata non da una dipendenza ma da 2, e la competizione democratica italiana della guerra fredda fu, anche sul piano contabile documentato, un teatro nel quale entrambi i campi esterni pagavano il proprio attore, con la conseguenza di metodo che il registro affida al bilancio: chi racconta una sola delle 2 dipendenze non sta descrivendo il sistema, ne sta arbitrando la memoria.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orientale è certificato nella misura che gli archivi trasferiti consentono, con la disciplina della fonte Mitrokhin al Livello B per le schedature, l'attentato al pontefice censito con esecutore giudicato e mandato assolto per insufficienza di prove nel 1986, e il canale finanziario storico al Livello A quale interferenza ordinaria documentata, simmetrica al versante occidentale nella struttura che la verifica finale erediterà.</w:t>
      </w:r>
    </w:p>
    <w:p>
      <w:pPr>
        <w:pStyle w:val="Heading3"/>
        <w:spacing w:after="80" w:before="160"/>
      </w:pPr>
      <w:r>
        <w:rPr>
          <w:rFonts w:ascii="Barlow Semi Condensed" w:cs="Barlow Semi Condensed" w:eastAsia="Barlow Semi Condensed" w:hAnsi="Barlow Semi Condensed"/>
          <w:sz w:val="24"/>
          <w:szCs w:val="24"/>
        </w:rPr>
        <w:t xml:space="preserve">Capitolo 7 — L'Atlantico: i canali occidentali, la parabola di Sindona e il ponte piduista</w:t>
      </w:r>
    </w:p>
    <w:p>
      <w:pPr>
        <w:spacing w:after="120" w:line="276"/>
        <w:jc w:val="both"/>
      </w:pPr>
      <w:r>
        <w:rPr>
          <w:rFonts w:ascii="Barlow Semi Condensed" w:cs="Barlow Semi Condensed" w:eastAsia="Barlow Semi Condensed" w:hAnsi="Barlow Semi Condensed"/>
          <w:sz w:val="24"/>
          <w:szCs w:val="24"/>
        </w:rPr>
        <w:t xml:space="preserve">Il settimo nodo è il campo occidentale, il versante del grafo la cui documentazione, per l'asimmetria dichiarata, è la più antica e la più stratificata, dalle desecretazioni americane della prima guerra fredda agli atti delle Commissioni italiane. Il registro ne censisce i 3 canali documentati verso il sistema italiano.</w:t>
      </w:r>
    </w:p>
    <w:p>
      <w:pPr>
        <w:spacing w:after="120" w:line="276"/>
        <w:jc w:val="both"/>
      </w:pPr>
      <w:r>
        <w:rPr>
          <w:rFonts w:ascii="Barlow Semi Condensed" w:cs="Barlow Semi Condensed" w:eastAsia="Barlow Semi Condensed" w:hAnsi="Barlow Semi Condensed"/>
          <w:sz w:val="24"/>
          <w:szCs w:val="24"/>
        </w:rPr>
        <w:t xml:space="preserve">Il primo pilastro censisce il canale politico-finanziario della fondazione. La documentazione desecretata americana, dalle direttive del Consiglio per la sicurezza nazionale del 1948 alle carte operative del periodo, certifica l'esistenza del sostegno finanziario e organizzativo degli Stati Uniti ai partiti anticomunisti italiani nella stagione fondativa della Repubblica, il canale della prima guerra fredda che gli studi d'archivio hanno ricostruito nelle sue forme, dai finanziamenti elettorali alle operazioni di influenza; il registro certifica al Livello A l'esistenza storica del canale, quale dato archivistico consolidato, e ne fissa la simmetria strutturale con il canale orientale del capitolo precedente: i 2 campi finanziarono per decenni i rispettivi versanti del sistema politico italiano, e la coppia dei canali, entrambi al Livello A per esistenza, costituisce il fatto di base bilaterale che la verifica finale erediterà quale interferenza ordinaria documentata dei 2 imperi sul medesimo Paese di frontiera.</w:t>
      </w:r>
    </w:p>
    <w:p>
      <w:pPr>
        <w:spacing w:after="120" w:line="276"/>
        <w:jc w:val="both"/>
      </w:pPr>
      <w:r>
        <w:rPr>
          <w:rFonts w:ascii="Barlow Semi Condensed" w:cs="Barlow Semi Condensed" w:eastAsia="Barlow Semi Condensed" w:hAnsi="Barlow Semi Condensed"/>
          <w:sz w:val="24"/>
          <w:szCs w:val="24"/>
        </w:rPr>
        <w:t xml:space="preserve">Il secondo pilastro censisce la parabola atlantica di Michele Sindona, il ponte finanziario tra i domini che la Fase 2 ha certificato sul versante italiano e che la fase completa sul versante americano. Il banchiere siciliano costruì negli Stati Uniti l'apice della propria rete con l'acquisizione della Franklin National Bank, il cui crollo nell'ottobre 1974 costituì all'epoca il maggiore fallimento bancario della storia americana; condannato negli Stati Uniti nel 1980 a 25 anni per la bancarotta, fu estradato in Italia nel settembre 1984, condannato all'ergastolo il 18 marzo 1986 quale mandante dell'omicidio dell'avvocato Giorgio Ambrosoli, il liquidatore ucciso a Milano l'11 luglio 1979 che la Fase 4 ha censito nella serie romana, e morì 4 giorni dopo la condanna, il 22 marzo 1986, nel carcere di Voghera, per il caffè avvelenato al cianuro, in circostanze giudizialmente definite ma perennemente discusse tra suicidio e omicidio; il registro certifica al Livello A l'intera parabola, il crollo, le condanne, l'estradizione, l'ergastolo e la morte, quali dati giudiziari, e ne dichiara la funzione reticolare: Sindona è il nodo individuale che congiunge, con archi tutti certificati, il Dominio 6 dei 2 continenti, il Dominio 1 dei capitali riciclati, il Dominio 4 della loggia cui apparteneva, il Dominio 5 delle relazioni vaticane e il Dominio 2 delle protezioni politiche, la figura che la lettura conclusiva misura tra le massime intermediazioni individuali del grafo intero.</w:t>
      </w:r>
    </w:p>
    <w:p>
      <w:pPr>
        <w:spacing w:after="120" w:line="276"/>
        <w:jc w:val="both"/>
      </w:pPr>
      <w:r>
        <w:rPr>
          <w:rFonts w:ascii="Barlow Semi Condensed" w:cs="Barlow Semi Condensed" w:eastAsia="Barlow Semi Condensed" w:hAnsi="Barlow Semi Condensed"/>
          <w:sz w:val="24"/>
          <w:szCs w:val="24"/>
        </w:rPr>
        <w:t xml:space="preserve">Il terzo pilastro censisce il ponte piduista e i fatti atlantici della Fase 4. La loggia coperta operò quale struttura a proiezione atlantica documentata, con le presenze americane e latinoamericane negli elenchi, le relazioni transnazionali certificate dalla Commissione Anselmi e la funzione di cerniera tra gli ambienti dei 2 continenti che gli atti descrivono; al medesimo versante appartengono i fatti che la Fase 4 ha elevato, la dichiarazione del Dipartimento di Stato del 12 gennaio 1978 sull'indesiderabilità della partecipazione comunista ai governi occidentali, certificata al Livello A quale contrarietà pubblica, e la consulenza americana presso il comitato di crisi dei 55 giorni, certificata nei fatti al Livello A; il registro ricompone il versante nella formalizzazione che la verifica erediterà: il campo occidentale è documentato nel canale fondativo, nella contrarietà pubblica al progetto di allargamento democratico e nelle presenze consultive dentro la crisi capitale, 3 specie di fatti tutti certificati ai livelli dichiarati, e resta non documentato in ogni traduzione operativa straordinaria, la configurazione identica, per struttura, a quella del campo opposto, che il registro consegna alla verifica quale simmetria terminale delle evidenze.</w:t>
      </w:r>
    </w:p>
    <w:p>
      <w:pPr>
        <w:spacing w:after="120" w:line="276"/>
        <w:jc w:val="both"/>
      </w:pPr>
      <w:r>
        <w:rPr>
          <w:rFonts w:ascii="Barlow Semi Condensed" w:cs="Barlow Semi Condensed" w:eastAsia="Barlow Semi Condensed" w:hAnsi="Barlow Semi Condensed"/>
          <w:sz w:val="24"/>
          <w:szCs w:val="24"/>
        </w:rPr>
        <w:t xml:space="preserve">Il quarto pilastro censisce la proiezione americana della loggia. Gli atti della Commissione Anselmi e le acquisizioni convergenti documentano i rapporti del Venerabile con ambienti politici e d'affari statunitensi, le presenze d'oltreoceano nell'orbita della loggia e la funzione di cerniera tra gli ambienti conservatori dei 2 continenti che la documentazione descrive per la stagione a cavallo del 1980, ivi compresa la presenza di Gelli a cerimonie pubbliche americane della stagione documentata dalle cronache; il registro certifica al Livello A l'esistenza dei rapporti documentati dagli atti parlamentari, mantiene al Livello B le ricostruzioni delle loro funzioni, e ne trae il dato reticolare: la loggia operò quale struttura a doppio ancoraggio, italiana nella composizione e atlantica nelle relazioni, e la sua massima intermediazione, misurata dalla lettura conclusiva, incorpora questa doppiezza certificata, il ponte che non congiungeva soltanto i domini italiani tra loro ma il sistema italiano con gli ambienti del campo maggiore.</w:t>
      </w:r>
    </w:p>
    <w:p>
      <w:pPr>
        <w:spacing w:after="120" w:line="276"/>
        <w:jc w:val="both"/>
      </w:pPr>
      <w:r>
        <w:rPr>
          <w:rFonts w:ascii="Barlow Semi Condensed" w:cs="Barlow Semi Condensed" w:eastAsia="Barlow Semi Condensed" w:hAnsi="Barlow Semi Condensed"/>
          <w:sz w:val="24"/>
          <w:szCs w:val="24"/>
        </w:rPr>
        <w:t xml:space="preserve">Il quinto pilastro censisce la fonte americana quale via di apertura, la stagione delle inchieste congressuali. Negli anni 1975-1976 le commissioni d'inchiesta del Congresso degli Stati Uniti sulla comunità di intelligence, la stagione nota dal nome del senatore Church, portarono alla luce e agli atti pubblici il perimetro delle operazioni coperte americane, ivi comprese le operazioni di finanziamento e influenza condotte in Italia nei decenni precedenti, consegnando alla conoscenza pubblica, per via di inchiesta parlamentare del Paese operante, ciò che nessuna fonte italiana avrebbe potuto certificare; il registro certifica al Livello A la stagione, gli atti e il loro contenuto italiano, quali dati documentali, e ne trae la duplice annotazione: sul piano del metodo, la stagione congressuale è il caso maggiore della quarta via della tassonomia archivistica, l'apertura per scandalo e inchiesta, applicata al cuore dell'impero e non alla sua periferia, e dimostra che la legge del capitolo nono governa anche il campo dominante; sul piano del merito, essa costituisce la fonte primaria non italiana del canale fondativo certificato nel primo pilastro, sicché la conoscenza italiana del proprio condizionamento fondativo è, in misura rilevante, un prodotto derivato dell'autocritica istituzionale americana degli anni Settanta, l'asimmetria delle fonti che il registro dichiara quale condizione del versante.</w:t>
      </w:r>
    </w:p>
    <w:p>
      <w:pPr>
        <w:spacing w:after="120" w:line="276"/>
        <w:jc w:val="both"/>
      </w:pPr>
      <w:r>
        <w:rPr>
          <w:rFonts w:ascii="Barlow Semi Condensed" w:cs="Barlow Semi Condensed" w:eastAsia="Barlow Semi Condensed" w:hAnsi="Barlow Semi Condensed"/>
          <w:sz w:val="24"/>
          <w:szCs w:val="24"/>
        </w:rPr>
        <w:t xml:space="preserve">Il sesto pilastro recepisce il versante vaticano-atlantico, il triangolo finanziario della Fase 2 nel suo esito ordinamentale. Il crollo del Banco Ambrosiano del 1982, con la morte londinese di Roberto Calvi censita dalla Fase 2 e la posizione dell'Istituto per le Opere di Religione quale azionista e controparte documentata, produsse sul piano giudiziario italiano il tentativo di perseguire i vertici dell'Istituto, chiuso dalla pronuncia che riconobbe l'immunità derivante dallo statuto internazionale dell'ente centrale vaticano, con l'annullamento nel 1987 dei provvedimenti restrittivi richiesti; il registro certifica al Livello A il crollo, la posizione documentata dell'Istituto e l'esito di immunità, quali dati giudiziari e ordinamentali, e ne trae la formalizzazione che il versante consegna alla mappa: il Dominio 5 è l'unico dominio del sistema il cui vertice finanziario risultò, per statuto internazionale, integralmente sottratto alla giurisdizione italiana, e il triangolo Ambrosiano-Istituto-immunità è il caso puro della frattura giurisdizionale interna al territorio, la stessa variabile che il capitolo secondo ha certificato per i rifugi esteri qui operante nel cuore di Roma; il registro trascrive la simmetria tra il santuario estero e l'enclave interna quale dato strutturale della coppia religione-economia, la coppia che la Nota metodologica collocava tra le più dense e che il corpus ha confermato tale, con l'aggravante certificata dell'inaccertabilità perpetua del suo vertice.</w:t>
      </w:r>
    </w:p>
    <w:p>
      <w:pPr>
        <w:spacing w:after="120" w:line="276"/>
        <w:jc w:val="both"/>
      </w:pPr>
      <w:r>
        <w:rPr>
          <w:rFonts w:ascii="Barlow Semi Condensed" w:cs="Barlow Semi Condensed" w:eastAsia="Barlow Semi Condensed" w:hAnsi="Barlow Semi Condensed"/>
          <w:sz w:val="24"/>
          <w:szCs w:val="24"/>
        </w:rPr>
        <w:t xml:space="preserve">Il settimo pilastro censisce l'infrastruttura permanente del vincolo, il sistema delle basi. La presenza militare americana e atlantica sul territorio italiano, con le installazioni maggiori che la Nota metodologica elenca, Aviano, Sigonella, Vicenza, Napoli, e la rete dei siti minori, costituisce l'infrastruttura fisica del rapporto di campo, stabilita dagli accordi bilaterali della fondazione e attraversata indenne da ogni stagione politica della Repubblica; il registro certifica al Livello A l'esistenza, la consistenza e la continuità del sistema, quali dati pubblici, e ne dichiara la funzione nel versante: le basi sono il fatto strutturale che distingue l'interferenza occidentale da quella orientale nella loro stessa natura, il campo maggiore essendo presente sul territorio quale infrastruttura permanente e non quale influenza esterna, e la notte di Sigonella, censita nel capitolo quinto, fu precisamente il momento in cui questa presenza infrastrutturale e la sovranità territoriale entrarono in attrito fisico documentato, i 2 apparati armati fronteggiandosi sul medesimo sedime; il registro consegna il dato alla verifica quale correttivo strutturale della simmetria bilaterale certificata: i 2 campi furono simmetrici nei canali di interferenza ordinaria e radicalmente asimmetrici nella presenza fisica, e ogni lettura del condizionamento del sistema italiano incorpora questa asimmetria di base, che non prova alcuna condotta e definisce, quale condizione permanente certificata, il differenziale di prossimità dei 2 imperi al territorio conteso.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canale del 1948-sistema politico-simmetria bilaterale, certifica il fatto di base occidentale e la sua specularità orientale. La seconda, Sindona-Franklin-ergastolo del 1986, certifica la parabola del massimo ponte finanziario individuale del grafo. La terza, loggia-dichiarazione del 1978-consulenza nella crisi, ricompone i fatti atlantici certificati della Fase 4 nel versante che la verifica erediterà.</w:t>
      </w:r>
    </w:p>
    <w:p>
      <w:pPr>
        <w:spacing w:after="120" w:line="276"/>
        <w:jc w:val="both"/>
      </w:pPr>
      <w:r>
        <w:rPr>
          <w:rFonts w:ascii="Barlow Semi Condensed" w:cs="Barlow Semi Condensed" w:eastAsia="Barlow Semi Condensed" w:hAnsi="Barlow Semi Condensed"/>
          <w:sz w:val="24"/>
          <w:szCs w:val="24"/>
        </w:rPr>
        <w:t xml:space="preserve">Alla stagione congressuale il registro deve i nomi propri che la resero possibile: furono la commissione del Senato presieduta da Frank Church e la commissione della Camera presieduta da Otis Pike, operanti tra il 1975 ed il 1976, a sottoporre per la prima volta gli apparati americani a un'inchiesta parlamentare sistematica sulle operazioni estere, con audizioni, rapporti e desecretazioni che investirono anche il capitolo dei finanziamenti politici in Europa, e fu la circolazione, anche irrituale, dei materiali di quella stagione a immettere nel dibattito pubblico italiano, alla metà degli anni Settanta, le prime quantificazioni documentate del canale fondativo che il primo pilastro certifica, Livello A quanto alle commissioni, ai loro atti ed alla loro ricaduta documentale. Il registro assegna alla stagione il suo posto nella legge delle aperture: le inchieste del 1975-1976 sono l'esemplare capitale della via del contraccolpo interno, l'apertura prodotta non dal collasso del sistema ma dalla sua crisi di legittimazione domestica, e la circostanza che la prima luce sul versante occidentale del caso italiano sia stata accesa a Washington, da organi americani per ragioni americane, conferma sul campo opposto il teorema già certificato ad Est: nessun apparato illumina sé stesso per virtù propria, e la conoscenza dei 2 campi è figlia, in forme diverse, delle loro rispettive crisi.</w:t>
      </w:r>
    </w:p>
    <w:p>
      <w:pPr>
        <w:spacing w:after="120" w:line="276"/>
        <w:jc w:val="both"/>
      </w:pPr>
      <w:r>
        <w:rPr>
          <w:rFonts w:ascii="Barlow Semi Condensed" w:cs="Barlow Semi Condensed" w:eastAsia="Barlow Semi Condensed" w:hAnsi="Barlow Semi Condensed"/>
          <w:sz w:val="24"/>
          <w:szCs w:val="24"/>
        </w:rPr>
        <w:t xml:space="preserve">Al sistema delle basi il registro aggiunge l'esemplare che ne rivela il metodo costitutivo: l'installazione navale americana di Santo Stefano, nell'arcipelago della Maddalena, che dal 1972 ospitò la nave appoggio ed i sommergibili a propulsione nucleare della flotta atlantica sulla base di intese bilaterali riservate, perfezionate in via amministrativa senza passaggio parlamentare di autorizzazione, e rimaste operative per 36 anni sino alla dismissione del 2008, Livello A quanto all'installazione, al suo regime ed alla sua durata. Il valore del caso non sta nella base ma nella procedura: la decisione di ospitare stabilmente in acque italiane il naviglio nucleare dell'alleato fu assunta e mantenuta interamente sotto la soglia della deliberazione parlamentare, secondo il modello delle intese tecniche derivate dai trattati-quadro che il pilastro certifica per l'intero sistema, e la sua emersione nel dibattito pubblico avvenne per gradi, a installazione avvenuta, con la geografia del vincolo già consolidata in fatto. Il registro ne trae il teorema infrastrutturale del versante occidentale, speculare a quello archivistico: come la conoscenza del sistema è postuma alle sue crisi, così la deliberazione democratica sul sistema è postuma alle sue installazioni, e la mappa delle basi, da Sigonella alla Maddalena, è la forma fisica di un consenso che fu sempre ratificante e mai costituente, il vincolo di campo fatto cemento prima che dibattito.</w:t>
      </w:r>
    </w:p>
    <w:p>
      <w:pPr>
        <w:spacing w:after="120" w:line="276"/>
        <w:jc w:val="both"/>
      </w:pPr>
      <w:r>
        <w:rPr>
          <w:rFonts w:ascii="Barlow Semi Condensed" w:cs="Barlow Semi Condensed" w:eastAsia="Barlow Semi Condensed" w:hAnsi="Barlow Semi Condensed"/>
          <w:sz w:val="24"/>
          <w:szCs w:val="24"/>
        </w:rPr>
        <w:t xml:space="preserve">Il sistema atlantico ebbe infine il suo apice missilistico siciliano, che il registro censisce quale capitolo maggiore del vincolo infrastrutturale: in attuazione della doppia decisione NATO del 12 dicembre 1979, l'Italia accettò l'installazione dei missili da crociera a testata nucleare presso l'aeroporto di Comiso, che negli anni Ottanta divenne la maggiore base di euromissili del fianco Sud, al centro di mobilitazioni pacifiste di massa e di un dibattito parlamentare che, a differenza dei casi censiti in precedenza, vi fu, con la deliberazione politica esplicita dell'autunno 1979, sino allo smantellamento seguito al trattato INF del dicembre 1987, che eliminò l'intera categoria di vettori e riconsegnò la base entro l'inizio degli anni Novanta, Livello A sull'intera parabola. Il registro colloca Comiso nella tipologia della fase quale caso di controllo: qui la procedura democratica funzionò, il Parlamento deliberò prima dell'installazione e la geografia del vincolo seguì la decisione politica anziché precederla, sicché il confronto interno al medesimo capitolo, La Maddalena decisa in via riservata e Comiso votata in aula, dimostra che il metodo del consenso ratificante non era una necessità tecnica dell'alleanza ma una scelta caso per caso, e che quando la Repubblica volle deliberare prima di ospitare, poté farlo; la conseguenza documentale, che il registro annota per la verifica finale, è che ogni installazione non deliberata del corpus fu tale non perché non si potesse, ma perché non si volle chiedere.</w:t>
      </w:r>
    </w:p>
    <w:p>
      <w:pPr>
        <w:spacing w:after="120" w:line="276"/>
        <w:jc w:val="both"/>
      </w:pPr>
      <w:r>
        <w:rPr>
          <w:rFonts w:ascii="Barlow Semi Condensed" w:cs="Barlow Semi Condensed" w:eastAsia="Barlow Semi Condensed" w:hAnsi="Barlow Semi Condensed"/>
          <w:sz w:val="24"/>
          <w:szCs w:val="24"/>
        </w:rPr>
        <w:t xml:space="preserve">Il capitolo americano del vincolo possiede infine la sua contabilità documentata, che il registro censisce dal più ufficiale dei canali: il rapporto conclusivo della commissione della Camera dei rappresentanti censita in questo capitolo, divulgato nel 1976 attraverso la stampa dopo che l'aula ne aveva vietato la pubblicazione, dedicò all'Italia un capitolo specifico, documentando i programmi di finanziamento copertο ai partiti ed a singoli esponenti politici italiani protratti per decenni, e riportando, quale caso di scuola, il canale diretto attivato nei primi anni Settanta dall'ambasciata di Roma verso il vertice del servizio militare italiano, con l'indicazione di 800.000 dollari destinati, secondo il rapporto, al generale che la seconda fase di quest'opera censisce quale direttore imputato, Livello A quanto ai contenuti del rapporto parlamentare ed alla loro divulgazione, con la qualificazione che la disciplina impone, trattandosi di accertamento politico-parlamentare straniero mai tradotto in giudicato italiano. Il registro salda il documento all'architettura dell'opera: il rapporto americano certifica dall'interno del campo occidentale ciò che le fasi italiane hanno censito dall'esterno, che il vertice dell'intelligence della Repubblica era simultaneamente destinatario di flussi riservati alleati ed imputato nei procedimenti eversivi nazionali, e la convergenza tra la carta di Washington e le carte di Roma sul medesimo nome è uno dei rari punti dell'intero corpus in cui i 2 archivi, quello del patrono e quello del cliente, si confermano a vicenda senza essersi consultati, realizzando, per una volta, la triangolazione perfetta che il metodo dell'opera persegue: la stessa notizia, da 2 sovranità, per 2 vie indipendenti.</w:t>
      </w:r>
    </w:p>
    <w:p>
      <w:pPr>
        <w:spacing w:after="120" w:line="276"/>
        <w:jc w:val="both"/>
      </w:pPr>
      <w:r>
        <w:rPr>
          <w:rFonts w:ascii="Barlow Semi Condensed" w:cs="Barlow Semi Condensed" w:eastAsia="Barlow Semi Condensed" w:hAnsi="Barlow Semi Condensed"/>
          <w:sz w:val="24"/>
          <w:szCs w:val="24"/>
        </w:rPr>
        <w:t xml:space="preserve">Il capitolo atlantico si chiude sul suo segreto più longevo, che il registro censisce nella sua forma peculiare: la presenza sul territorio italiano, a partire dagli anni Sessanta, di ordigni nucleari americani in custodia congiunta presso installazioni dell'alleanza, documentata da carte declassificate d'oltreoceano e da convergenze storiografiche consolidate, non è mai stata né confermata né smentita ufficialmente dalle autorità italiane, secondo la politica del riserbo assoluto mantenuta ininterrottamente da ogni governo del corpus, Livello A quanto alla documentazione declassificata americana ed alla costanza del riserbo italiano, Livello B quanto ad ogni dettaglio di consistenza e dislocazione nelle diverse epoche. Il registro censisce il caso per la sua unicità formale: si tratta dell'unico segreto dell'intera opera che non è mai stato violato, rivelato, desecretato o processato, ma semplicemente non pronunciato per 60 anni da nessuna istituzione nazionale, e questa forma estrema del non-detto, il segreto che sopravvive non perché custodito ma perché mai formalmente esistito nel discorso pubblico italiano, chiude la tipologia del capitolo con il suo caso limite: il vincolo di campo, che l'opera ha censito nelle sue forme scritte, ratificate e riservate, conosce anche la forma perfetta del vincolo muto, quello su cui il patto tacito tra tutte le maggioranze e tutte le opposizioni di mezzo secolo ha retto meglio di qualunque classifica di segretezza.</w:t>
      </w:r>
    </w:p>
    <w:p>
      <w:pPr>
        <w:spacing w:after="120" w:line="276"/>
        <w:jc w:val="both"/>
      </w:pPr>
      <w:r>
        <w:rPr>
          <w:rFonts w:ascii="Barlow Semi Condensed" w:cs="Barlow Semi Condensed" w:eastAsia="Barlow Semi Condensed" w:hAnsi="Barlow Semi Condensed"/>
          <w:sz w:val="24"/>
          <w:szCs w:val="24"/>
        </w:rPr>
        <w:t xml:space="preserve">Il vuoto operativo aperto dalla stagione delle commissioni ebbe infine la sua risposta extra-istituzionale, che il registro censisce quale reperto sulla plasticità del sistema: l'intesa riservata nota quale Safari Club, sottoscritta nel 1976 tra i servizi di Francia, Egitto, Arabia Saudita, Iran imperiale e Marocco, costituì un consorzio informale per operazioni anticomuniste condotte principalmente sui teatri africani, finanziate dai membri e deliberatamente collocate fuori dal perimetro dei controlli parlamentari che il Congresso americano aveva appena istituito, con l'esistenza dell'intesa rimasta segreta sino alla sua rivelazione pubblica, decenni dopo, da parte di uno dei suoi stessi protagonisti, Livello A quanto all'esistenza, ai membri ed alla funzione dell'intesa, quali risultano dalle rivelazioni e dalle acquisizioni storiografiche convergenti. Il registro fissa la lezione strutturale che il caso consegna al capitolo: la via del contraccolpo interno censita, la stagione in cui l'America sottopose i propri apparati al controllo democratico, produsse per reazione immediata la delocalizzazione delle operazioni presso sovranità prive di quei controlli, sicché il sistema non fu ridotto ma trasferito, e la parabola del consorzio, nato l'anno dopo le commissioni e operante dove esse non arrivavano, è la dimostrazione sperimentale della legge idraulica che l'intera fase documenta: nel campo delle operazioni coperte, il controllo democratico esercitato in un solo punto del sistema non riduce la pressione, la sposta, e la mappa dei luoghi dove la pressione riemerge, i santuari, i consorzi, le periferie, coincide con la mappa che quest'opera ha censito.</w:t>
      </w:r>
    </w:p>
    <w:p>
      <w:pPr>
        <w:spacing w:after="120" w:line="276"/>
        <w:jc w:val="both"/>
      </w:pPr>
      <w:r>
        <w:rPr>
          <w:rFonts w:ascii="Barlow Semi Condensed" w:cs="Barlow Semi Condensed" w:eastAsia="Barlow Semi Condensed" w:hAnsi="Barlow Semi Condensed"/>
          <w:sz w:val="24"/>
          <w:szCs w:val="24"/>
        </w:rPr>
        <w:t xml:space="preserve">La geografia del vincolo si completa con il suo deposito maggiore, che il registro censisce per la funzione logistica: la base di Camp Darby, insediata dal 1951 nella pineta tra Pisa e Livorno, costituì per l'intero arco del corpus uno dei principali arsenali americani del teatro mediterraneo, lo scalo logistico dove munizionamento e materiali per le forze del fianco Sud giacevano a ridosso del porto e della ferrovia, in forza degli accordi bilaterali della prima stagione atlantica, Livello A quanto all'installazione, alla funzione ed alla continuità. Il registro colloca il deposito nella tipologia del capitolo quale terzo tipo puro: dopo la base decisa in riservatezza e la base votata in Parlamento, Darby rappresenta la base ereditata, quella insediata nell'Italia ancora sotto il vincolo pieno del dopoguerra e semplicemente mai più discussa, transitata di decennio in decennio quale dato di natura del paesaggio, e questa terza modalità del consenso, né negato né prestato ma prescritto dal tempo, è la più silenziosa e la più solida delle 3, con l'annotazione che il registro consegna al bilancio della fase: la parte maggiore del vincolo di campo italiano non fu mai decisa da nessuno dei governi del corpus, fu ereditata da tutti, e l'inerzia, nella contabilità della sovranità, pesa più dei trattati.</w:t>
      </w:r>
    </w:p>
    <w:p>
      <w:pPr>
        <w:spacing w:after="120" w:line="276"/>
        <w:jc w:val="both"/>
      </w:pPr>
      <w:r>
        <w:rPr>
          <w:rFonts w:ascii="Barlow Semi Condensed" w:cs="Barlow Semi Condensed" w:eastAsia="Barlow Semi Condensed" w:hAnsi="Barlow Semi Condensed"/>
          <w:sz w:val="24"/>
          <w:szCs w:val="24"/>
        </w:rPr>
        <w:t xml:space="preserve">Il catalogo maggiore della stagione delle commissioni merita il suo censimento specifico, perché il registro vi trova il ponte documentale con il teatro australe: il rapporto interinale sui complotti omicidiari contro leader stranieri, pubblicato dalla commissione senatoriale nel novembre 1975, documentò ufficialmente il coinvolgimento dell'agenzia in trame contro Lumumba nel Congo, nei reiterati tentativi contro Castro, e nelle vicende terminate con le morti di Trujillo, di Diem e, per il capitolo che qui rileva, del generale cileno René Schneider, il capo di stato maggiore costituzionalista ucciso nell'ottobre 1970 nel tentativo di sequestro organizzato da gruppi finanziati per impedire l'insediamento di Allende, Livello A quanto ai contenuti del rapporto pubblicato. Il registro salda il documento all'architettura della fase: il caso Schneider certificò dalla fonte più ufficiale del campo occidentale che la via cilena censita nel pilastro australe non cominciò con il golpe del 1973 ma 3 anni prima, con l'eliminazione mirata dell'ufficiale che garantiva la neutralità dell'esercito, e la circostanza che questa certificazione provenga dal Senato del Paese committente, e non dalle vittime o dagli avversari, la colloca al vertice della scala probatoria dell'intera fase, con la lezione di metodo che il registro ne trae per il bilancio finale: nel corpus internazionale, i documenti più schiaccianti sui campi non li hanno prodotti i nemici dei campi, li hanno prodotti, nelle loro rare stagioni di autocoscienza istituzionale, i campi medesimi, e l'opera che qui si conclude ha potuto essere scritta soprattutto grazie a quelle stagioni.</w:t>
      </w:r>
    </w:p>
    <w:p>
      <w:pPr>
        <w:spacing w:after="120" w:line="276"/>
        <w:jc w:val="both"/>
      </w:pPr>
      <w:r>
        <w:rPr>
          <w:rFonts w:ascii="Barlow Semi Condensed" w:cs="Barlow Semi Condensed" w:eastAsia="Barlow Semi Condensed" w:hAnsi="Barlow Semi Condensed"/>
          <w:sz w:val="24"/>
          <w:szCs w:val="24"/>
        </w:rPr>
        <w:t xml:space="preserve">Il capitolo delle presenze militari esige infine la messa a punto probatoria sul suo attore maggiore, che il registro formula quale statuto: l'Alleanza atlantica attraversa l'intero corpus quale attore assente-presente, documentata al Livello A in ogni sua struttura, i comandi, le basi censite, le pianificazioni stay-behind riconosciute dai governi, ed assente al livello dei giudicati in ogni singolo evento criminale dell'opera, poiché nessuna sentenza italiana ha mai accertato una responsabilità dell'organizzazione in quanto tale in alcuna delle vicende censite, sicché il suo statuto probatorio complessivo è la compresenza permanente di un Livello A strutturale e di uno Stato Zero eventale. Il registro consegna lo statuto alla sua funzione disciplinare: tra la vulgata che legge l'Alleanza quale regista di ogni pagina nera e la vulgata opposta che la dichiara estranea per definizione, il corpus documenta un terzo oggetto, una cornice egemonica reale dentro la quale attori nazionali e transnazionali, alcuni dei quali giudizialmente accertati, operarono secondo convergenze che la cornice rendeva possibili senza che gli atti ne certifichino la committenza, e questa distinzione tra la cornice e la mano, tra il campo che orienta ed il mandato che ordina, è forse la più importante che l'intera opera consegna al lettore, perché confonderle produce, nelle 2 direzioni opposte, le 2 forme di cecità che il metodo è nato per evitare.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occidentale è certificato nei suoi 3 canali documentati, il finanziamento fondativo al Livello A, la parabola di Sindona quale massima intermediazione individuale con l'intera sequenza giudiziaria riportata, e il ponte piduista con i fatti atlantici della crisi capitale, in configurazione strutturalmente simmetrica al versante orientale: interferenza ordinaria documentata, traduzione straordinaria non documentata.</w:t>
      </w:r>
    </w:p>
    <w:p>
      <w:pPr>
        <w:pStyle w:val="Heading3"/>
        <w:spacing w:after="80" w:before="160"/>
      </w:pPr>
      <w:r>
        <w:rPr>
          <w:rFonts w:ascii="Barlow Semi Condensed" w:cs="Barlow Semi Condensed" w:eastAsia="Barlow Semi Condensed" w:hAnsi="Barlow Semi Condensed"/>
          <w:sz w:val="24"/>
          <w:szCs w:val="24"/>
        </w:rPr>
        <w:t xml:space="preserve">Capitolo 8 — Il sistema stay-behind: Gladio, le reti sorelle e l'autunno delle rivelazioni</w:t>
      </w:r>
    </w:p>
    <w:p>
      <w:pPr>
        <w:spacing w:after="120" w:line="276"/>
        <w:jc w:val="both"/>
      </w:pPr>
      <w:r>
        <w:rPr>
          <w:rFonts w:ascii="Barlow Semi Condensed" w:cs="Barlow Semi Condensed" w:eastAsia="Barlow Semi Condensed" w:hAnsi="Barlow Semi Condensed"/>
          <w:sz w:val="24"/>
          <w:szCs w:val="24"/>
        </w:rPr>
        <w:t xml:space="preserve">L'ottavo nodo è il sistema continentale delle reti clandestine di permanenza, l'architettura che la Fase 3 ha incontrato sul versante italiano e che la fase censisce quale sistema europeo. Il registro certifica al Livello A l'esistenza del sistema, quale dato consacrato dalla stagione delle rivelazioni del 1990, e ne distende la struttura nei pilastri.</w:t>
      </w:r>
    </w:p>
    <w:p>
      <w:pPr>
        <w:spacing w:after="120" w:line="276"/>
        <w:jc w:val="both"/>
      </w:pPr>
      <w:r>
        <w:rPr>
          <w:rFonts w:ascii="Barlow Semi Condensed" w:cs="Barlow Semi Condensed" w:eastAsia="Barlow Semi Condensed" w:hAnsi="Barlow Semi Condensed"/>
          <w:sz w:val="24"/>
          <w:szCs w:val="24"/>
        </w:rPr>
        <w:t xml:space="preserve">Il primo pilastro censisce la rivelazione italiana. Il 3 agosto 1990 il presidente del Consiglio Giulio Andreotti annunciò alla Commissione parlamentare sulle stragi l'esistenza della struttura, e il 24 ottobre 1990 ne trasmise la relazione ufficiale, rivelando l'organizzazione Gladio quale rete clandestina di permanenza costituita nel dopoguerra entro la cornice atlantica, con i depositi, la base di addestramento di Capo Marrargiu e le liste degli arruolati che la stagione successiva avrebbe discusso; il registro certifica al Livello A le date, gli atti e i contenuti della rivelazione, quali dati parlamentari, e certifica al Livello A la circostanza strutturale che essa illumina retrospettivamente: la rete operò per oltre 4 decenni in regime di segreto integrale verso il Parlamento, e la sua esistenza divenne materia pubblica non per apertura volontaria ma per la convergenza di pressioni giudiziarie e politiche della stagione, il caso italiano della regolarità che il capitolo nono formalizza.</w:t>
      </w:r>
    </w:p>
    <w:p>
      <w:pPr>
        <w:spacing w:after="120" w:line="276"/>
        <w:jc w:val="both"/>
      </w:pPr>
      <w:r>
        <w:rPr>
          <w:rFonts w:ascii="Barlow Semi Condensed" w:cs="Barlow Semi Condensed" w:eastAsia="Barlow Semi Condensed" w:hAnsi="Barlow Semi Condensed"/>
          <w:sz w:val="24"/>
          <w:szCs w:val="24"/>
        </w:rPr>
        <w:t xml:space="preserve">Il secondo pilastro censisce la dimensione continentale. La rivelazione italiana innescò l'autunno europeo delle ammissioni: i governi di più Paesi dell'Alleanza e di Paesi neutrali riconobbero l'esistenza di strutture analoghe, il Parlamento europeo adottò il 22 novembre 1990 la risoluzione che chiedeva lo scioglimento delle reti e le inchieste nazionali, e le sedi parlamentari nazionali produssero gli accertamenti maggiori, la commissione d'inchiesta belga sui fatti del proprio teatro e il rapporto svizzero sulla struttura P26, entrambi della stagione 1990-1991; il registro certifica al Livello A la sequenza continentale, quali dati parlamentari europei, e ne trae la formalizzazione comparativa: il sistema era continentale per costruzione e la sua emersione fu continentale per contagio, ma la profondità degli accertamenti fu radicalmente nazionale, massima nei Paesi a inchiesta parlamentare formale e minima altrove, sicché la conoscenza del sistema replica, al proprio interno, l'asimmetria archivistica che governa l'intera fase.</w:t>
      </w:r>
    </w:p>
    <w:p>
      <w:pPr>
        <w:spacing w:after="120" w:line="276"/>
        <w:jc w:val="both"/>
      </w:pPr>
      <w:r>
        <w:rPr>
          <w:rFonts w:ascii="Barlow Semi Condensed" w:cs="Barlow Semi Condensed" w:eastAsia="Barlow Semi Condensed" w:hAnsi="Barlow Semi Condensed"/>
          <w:sz w:val="24"/>
          <w:szCs w:val="24"/>
        </w:rPr>
        <w:t xml:space="preserve">Il terzo pilastro fissa la disciplina italiana degli impieghi. Sul nodo che la stagione rese incandescente, l'ipotesi dell'impiego interno della rete o dei suoi materiali nella stagione eversiva, il registro recepisce lo stato che la Fase 3 ha certificato: l'esistenza della rete e dei depositi al Livello A, i singoli episodi di intersezione documentati ai livelli propri, e ogni lettura dell'impiego sistematico interno al Livello C, nessun accertamento avendo consacrato la traduzione della struttura di permanenza in strumento della strategia interna; il registro ribadisce la disciplina sul terreno continentale, annotando che gli accertamenti degli altri ordinamenti approdarono a configurazioni analoghe, esistenza certificata e impieghi controversi, e consegna alla verifica finale il sistema nella sua qualificazione esatta: la prova materiale dell'esistenza di un'architettura clandestina multinazionale coordinata entro il campo occidentale, certificata al Livello A, che costituisce il massimo fatto strutturale del versante atlantico dell'opera, e che non certifica, di per sé, alcuno degli impieghi che le letture eccedenti le attribuiscono.</w:t>
      </w:r>
    </w:p>
    <w:p>
      <w:pPr>
        <w:spacing w:after="120" w:line="276"/>
        <w:jc w:val="both"/>
      </w:pPr>
      <w:r>
        <w:rPr>
          <w:rFonts w:ascii="Barlow Semi Condensed" w:cs="Barlow Semi Condensed" w:eastAsia="Barlow Semi Condensed" w:hAnsi="Barlow Semi Condensed"/>
          <w:sz w:val="24"/>
          <w:szCs w:val="24"/>
        </w:rPr>
        <w:t xml:space="preserve">Il quarto pilastro censisce l'innesco giudiziario della rivelazione, il filo che congiunge il capitolo alla Fase 3. La sequenza che condusse all'annuncio del 3 agosto 1990 non nacque da un'iniziativa politica ma da un'istruttoria: il giudice istruttore veneziano Felice Casson, riaprendo il caso della strage di Peteano del 1972, quella per cui Vincenzo Vinciguerra avrebbe riportato l'ergastolo con le dichiarazioni autoaccusatorie che la Fase 3 ha censito, giunse a richiedere l'accesso agli archivi del servizio militare sui depositi clandestini di armi, e fu quella richiesta, autorizzata dal vertice politico, a rendere ineludibile l'ammissione dell'esistenza della struttura; il registro certifica al Livello A la sequenza istruttoria, la richiesta di accesso e il suo nesso causale con l'annuncio, quali dati documentali della stagione, e ne trae la formalizzazione: la massima rivelazione strutturale del versante atlantico fu prodotta dalla convergenza tra la quarta via della tassonomia, l'inchiesta, e un singolo caso di strage della fase nazionale, e il filo Peteano-Gladio, dal delitto del 1972 alla rivelazione del 1990 passando per la confessione di un ergastolano, è l'arco causale più lungo e meglio documentato che il corpus registri tra un evento della strategia interna e un'apertura archivistica di sistema.</w:t>
      </w:r>
    </w:p>
    <w:p>
      <w:pPr>
        <w:spacing w:after="120" w:line="276"/>
        <w:jc w:val="both"/>
      </w:pPr>
      <w:r>
        <w:rPr>
          <w:rFonts w:ascii="Barlow Semi Condensed" w:cs="Barlow Semi Condensed" w:eastAsia="Barlow Semi Condensed" w:hAnsi="Barlow Semi Condensed"/>
          <w:sz w:val="24"/>
          <w:szCs w:val="24"/>
        </w:rPr>
        <w:t xml:space="preserve">Il quinto pilastro censisce l'epilogo della struttura. All'esito della stagione delle rivelazioni, il governo dispose entro la fine del 1990 la cessazione della struttura, e lo scioglimento formale chiuse l'esistenza operativa della rete italiana mentre si aprivano le stagioni parallele degli accertamenti parlamentari e giudiziari sui suoi 4 decenni; il registro certifica al Livello A lo scioglimento e la sua collocazione temporale, quale dato ufficiale, e ne trae l'annotazione comparativa che chiude il nodo: la rete fu sciolta per effetto della propria emersione e non di una decisione strategica autonoma, l'ordine causale che replica, sul piano delle strutture, la legge che il capitolo nono certifica sul piano degli archivi, nulla di clandestino essendosi mai chiuso, nel corpus dell'opera, prima di essere stato scoperto; la simmetria tra la legge delle aperture e la legge delle chiusure, entrambe governate dalla pressione esterna e mai dalla spontaneità, è consegnata alla riflessione conclusiva quale ultima regolarità empirica del sistema studiato.</w:t>
      </w:r>
    </w:p>
    <w:p>
      <w:pPr>
        <w:spacing w:after="120" w:line="276"/>
        <w:jc w:val="both"/>
      </w:pPr>
      <w:r>
        <w:rPr>
          <w:rFonts w:ascii="Barlow Semi Condensed" w:cs="Barlow Semi Condensed" w:eastAsia="Barlow Semi Condensed" w:hAnsi="Barlow Semi Condensed"/>
          <w:sz w:val="24"/>
          <w:szCs w:val="24"/>
        </w:rPr>
        <w:t xml:space="preserve">Il sesto pilastro censisce le liste degli arruolati e la questione della completezza. La rivelazione consegnò alle Camere l'elenco dei 622 nominativi degli appartenenti civili alla rete, la lista che divenne l'oggetto del dibattito della stagione, tra chi vi lesse la prova della natura circoscritta della struttura e chi ne contestò la completezza, rilevando che un'organizzazione clandestina quarantennale documentata da un solo elenco consegnato dal medesimo apparato che l'aveva gestita poneva, per costruzione, un problema di verificabilità; il registro certifica al Livello A l'esistenza e la consegna dell'elenco dei 622, quale dato parlamentare, certifica al Livello A l'esistenza della controversia sulla completezza, quale dato del dibattito istituzionale, e mantiene la questione di merito al livello che la struttura delle fonti impone: la completezza di un elenco è indimostrabile per via interna, giacché nessun elenco può certificare di non avere omissioni, e il registro applica al caso la propria disciplina delle assenze, trattando l'elenco quale documento certificato per ciò che contiene e non per ciò che esclude; l'annotazione metodologica che il pilastro consegna vale per l'intero corpus: ogni documentazione proveniente in via esclusiva dall'apparato documentato porta con sé il limite strutturale dell'autocertificazione, e il registro lo dichiara quale condizione permanente della conoscenza del versante, la stessa che governa le liste della loggia, i compendi orientali e ogni archivio che il proprio produttore ha selezionato prima di consegnare.</w:t>
      </w:r>
    </w:p>
    <w:p>
      <w:pPr>
        <w:spacing w:after="120" w:line="276"/>
        <w:jc w:val="both"/>
      </w:pPr>
      <w:r>
        <w:rPr>
          <w:rFonts w:ascii="Barlow Semi Condensed" w:cs="Barlow Semi Condensed" w:eastAsia="Barlow Semi Condensed" w:hAnsi="Barlow Semi Condensed"/>
          <w:sz w:val="24"/>
          <w:szCs w:val="24"/>
        </w:rPr>
        <w:t xml:space="preserve">Il settimo pilastro censisce il conflitto istituzionale della stagione, la coda italiana della rivelazione. Nei mesi successivi all'annuncio, la questione della legittimità della struttura aprì il confronto istituzionale più aspro del biennio, con il Capo dello Stato, che della vicenda era stato protagonista ministeriale nella stagione fondativa, schierato nella difesa pubblica della legittimità atlantica della rete, e settori del Parlamento e della magistratura orientati alla qualificazione opposta, sino alle iniziative e alle polemiche costituzionali che segnarono la fase terminale del settennato; il registro certifica al Livello A l'esistenza, i termini e l'intensità del conflitto, quali dati del dibattito istituzionale documentato, si astiene per statuto da ogni adesione alle qualificazioni contrapposte, e ne trae il dato di sistema che il nodo consegna: la rivelazione di una struttura segreta quarantennale produsse, nell'ordinamento che l'aveva ospitata, non una ricomposizione ma una frattura al vertice dello Stato, e la frattura documentata è essa stessa la misura della posta, la circostanza che i massimi organi della Repubblica si divisero pubblicamente sulla qualificazione della rete certificando, meglio di ogni analisi, che la questione investiva il fondamento stesso del patto istituzionale del dopoguerra; il registro trascrive il conflitto quale ultimo reperto del nodo e lo consegna alla verifica finale quale documento della profondità del vincolo di campo nell'ordinamento interno.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annuncio del 3 agosto-relazione del 24 ottobre-Capo Marrargiu, certifica la rivelazione italiana nelle sue date e nei suoi contenuti. La seconda, risoluzione europea-inchiesta belga-rapporto svizzero, certifica la dimensione continentale e l'asimmetria degli accertamenti. La terza, esistenza-depositi-impieghi controversi, fissa la disciplina dei livelli che la verifica erediterà.</w:t>
      </w:r>
    </w:p>
    <w:p>
      <w:pPr>
        <w:spacing w:after="120" w:line="276"/>
        <w:jc w:val="both"/>
      </w:pPr>
      <w:r>
        <w:rPr>
          <w:rFonts w:ascii="Barlow Semi Condensed" w:cs="Barlow Semi Condensed" w:eastAsia="Barlow Semi Condensed" w:hAnsi="Barlow Semi Condensed"/>
          <w:sz w:val="24"/>
          <w:szCs w:val="24"/>
        </w:rPr>
        <w:t xml:space="preserve">Alla dimensione continentale il registro deve il censimento nominativo che le ammissioni della stagione resero possibile: accanto alla rete italiana, i riconoscimenti governativi e le inchieste nazionali dell'autunno 1990 e dei mesi successivi documentarono la rete svizzera P-26, accertata da un'inchiesta amministrativa federale e disciolta, la struttura belga collegata ai servizi militari, investita da un'inchiesta parlamentare che ne vagliò anche le eventuali contiguità con la stagione insoluta delle stragi del Brabante senza approdare ad accertamenti di responsabilità, le organizzazioni tedesco-federali gestite nell'orbita dei servizi, la rete greca innestata sull'apparato che aveva accompagnato la stagione dei colonnelli, e le strutture turche della contro-guerriglia, riconosciute da dichiarazioni ufficiali coeve, oltre alle ammissioni di governi minori e neutrali che completarono la mappa, Livello A quanto alle esistenze ammesse e agli atti istituzionali nazionali, Livello C quanto ad ogni ipotesi di impiego interno nelle singole giurisdizioni, che il registro sigilla con la medesima disciplina applicata al caso italiano. Il censimento fonda la conclusione comparativa del nodo: l'Italia non fu l'eccezione ma il caso di massima trasparenza di una regola continentale, l'unico ordinamento in cui la rete fu esposta da un'istruttoria giudiziaria interna anziché da una decisione politica, e la profondità dell'accertamento italiano, che la sintesi certifica quale rara, misura non una singolarità della struttura ma una singolarità del controllo, il punto del continente in cui la magistratura ordinaria arrivò dove altrove giunsero, più tardi e meno a fondo, commissioni e governi.</w:t>
      </w:r>
    </w:p>
    <w:p>
      <w:pPr>
        <w:spacing w:after="120" w:line="276"/>
        <w:jc w:val="both"/>
      </w:pPr>
      <w:r>
        <w:rPr>
          <w:rFonts w:ascii="Barlow Semi Condensed" w:cs="Barlow Semi Condensed" w:eastAsia="Barlow Semi Condensed" w:hAnsi="Barlow Semi Condensed"/>
          <w:sz w:val="24"/>
          <w:szCs w:val="24"/>
        </w:rPr>
        <w:t xml:space="preserve">Al dossier documentale del sistema appartiene infine il reperto conteso per eccellenza, che il registro censisce quale caso di scuola della fonte avvelenata: il documento circolato quale supplemento riservato di un manuale da campo americano sulla stabilità interna, noto nella pubblicistica con la sigla FM 30-31B, apparso sulla stampa turca nel 1973 e quindi rimbalzato nei circuiti europei, che teorizzava l'infiltrazione dei movimenti di sinistra e le operazioni speciali negli Stati alleati, e che attraversò le istruttorie e le inchieste italiane della stagione quale possibile chiave dottrinale del sistema. Le autorità americane ne dichiararono costantemente la falsità, e le acquisizioni successive al 1989, incluse quelle del compendio orientale censito nel capitolo sesto, lo hanno classificato tra i prodotti delle misure attive di disinformazione del campo opposto, senza che alcuna sede abbia mai certificato in via definitiva né l'autenticità né la fabbricazione, Livello A quanto all'esistenza, alla circolazione ed all'impiego del documento nel dibattito e nelle istruttorie, Livello C quanto alla sua paternità, in entrambe le direzioni. Il registro eleva il caso a paradigma della guerra documentale che attraversa l'intero campo della fase: il FM 30-31B è un testo il cui valore probatorio dipende integralmente da chi lo ha scritto, e poiché la paternità è l'unica cosa che di esso non si è mai potuta stabilire, il documento resta sospeso nella condizione più istruttiva dell'intero corpus, quella del reperto che prova con certezza una sola cosa, che nella guerra fredda anche le carte combattevano, e che l'analista il quale fondasse una ricostruzione su un documento conteso costruirebbe sull'arma dell'avversario, quale che sia l'avversario.</w:t>
      </w:r>
    </w:p>
    <w:p>
      <w:pPr>
        <w:spacing w:after="120" w:line="276"/>
        <w:jc w:val="both"/>
      </w:pPr>
      <w:r>
        <w:rPr>
          <w:rFonts w:ascii="Barlow Semi Condensed" w:cs="Barlow Semi Condensed" w:eastAsia="Barlow Semi Condensed" w:hAnsi="Barlow Semi Condensed"/>
          <w:sz w:val="24"/>
          <w:szCs w:val="24"/>
        </w:rPr>
        <w:t xml:space="preserve">La rete continentale possiede infine il suo caso di attivazione compiuta, che il registro censisce quale esperimento naturale dell'intera ipotesi: il colpo di Stato dei colonnelli greci del 21 aprile 1967 fu eseguito mettendo in moto il piano di emergenza di derivazione atlantica denominato Prometheus, lo schema di mobilitazione contro la sovversione interna predisposto nel quadro dell'alleanza, che i golpisti applicarono nella notte secondo le sue sequenze, occupando i gangli previsti ed arrestando le liste predisposte, con l'esito che la Grecia entrò in 7 anni di dittatura militare attraverso l'esecuzione letterale di un dispositivo concepito per difenderne l'ordinamento, Livello A quanto al golpe, alla sua meccanica ed all'impiego dello schema, secondo le ricostruzioni storiche e gli accertamenti della transizione democratica greca. Il registro consegna il caso alla sua funzione probatoria nell'architettura del capitolo: Atene dimostra che il rischio teorico attorno al quale ruota l'intero dibattito italiano censito, la convertibilità dei dispositivi di protezione in strumenti di rovesciamento, non è una congettura ma un precedente storico consumato entro la medesima alleanza e nel medesimo decennio delle trame italiane, sicché la domanda corretta che la comparazione impone non è se una simile conversione fosse possibile, questione chiusa dalla notte greca, ma perché in Grecia avvenne ed in Italia no, ed a questa domanda il corpus italiano offre la risposta che le fasi hanno documentato: non per mancanza di piani, che il registro ha censito, ma per il fallimento ricorrente della loro esecuzione, per le divisioni interne dei campi e per la tenuta, ogni volta, di segmenti decisivi dello Stato legale, con la conseguenza che la differenza tra Atene e Roma non fu di progetto ma di esito, e la storia della Repubblica censita dall'opera è, in questa luce comparata, la storia di una Grecia continuamente tentata e mai riuscita.</w:t>
      </w:r>
    </w:p>
    <w:p>
      <w:pPr>
        <w:spacing w:after="120" w:line="276"/>
        <w:jc w:val="both"/>
      </w:pPr>
      <w:r>
        <w:rPr>
          <w:rFonts w:ascii="Barlow Semi Condensed" w:cs="Barlow Semi Condensed" w:eastAsia="Barlow Semi Condensed" w:hAnsi="Barlow Semi Condensed"/>
          <w:sz w:val="24"/>
          <w:szCs w:val="24"/>
        </w:rPr>
        <w:t xml:space="preserve">Il caso greco possiede infine il suo versante italiano diretto, che il registro censisce dagli atti delle istruttorie: nei mesi attorno al colpo di Stato ed a quelli successivi, esponenti dell'eversione nera italiana censita nella fase terza compirono viaggi e soggiorni documentati ad Atene, dove la giunta offriva ospitalità, contatti e l'esempio operativo di un rovesciamento riuscito, con la Grecia dei colonnelli assunta ad esplicito modello ed a retrovia politica dagli ambienti che di lì a poco avrebbero animato la stagione italiana della tensione, secondo quanto le istruttorie milanesi e le acquisizioni parlamentari hanno documentato, Livello A quanto ai viaggi ed ai contatti risultanti dagli atti, Livello B quanto alla consistenza dei sostegni materiali riferiti dalle fonti interne. Il registro salda il ponte alla comparazione già svolta: la Grecia non fu soltanto, per l'Italia del corpus, il precedente dimostrativo della convertibilità dei dispositivi, fu una destinazione fisica frequentata dai protagonisti italiani della stagione che quella convertibilità tentò di replicare, e la circostanza che il pellegrinaggio ateniese preceda di pochi mesi l'inizio della campagna stragista italiana appartiene alla cronologia oggettiva che il Pattern 3 registra, con la disciplina consueta sull'inferenza: il modello è documentato, l'ispirazione è documentata, il mandato greco non lo è, e la differenza tra i 3 gradini, che la pubblicistica dell'epoca confuse sistematicamente, è esattamente ciò che 50 anni di processi hanno faticosamente insegnato a distinguere.</w:t>
      </w:r>
    </w:p>
    <w:p>
      <w:pPr>
        <w:spacing w:after="120" w:line="276"/>
        <w:jc w:val="both"/>
      </w:pPr>
      <w:r>
        <w:rPr>
          <w:rFonts w:ascii="Barlow Semi Condensed" w:cs="Barlow Semi Condensed" w:eastAsia="Barlow Semi Condensed" w:hAnsi="Barlow Semi Condensed"/>
          <w:sz w:val="24"/>
          <w:szCs w:val="24"/>
        </w:rPr>
        <w:t xml:space="preserve">Il caso greco si chiude con il contro-modello giudiziario che il registro censisce quale termine di comparazione capitale: la Grecia restaurata processò i propri golpisti immediatamente, celebrando nell'estate del 1975, a 12 mesi dalla caduta del regime, il processo ai protagonisti del colpo di Stato del 1967, concluso con condanne capitali per i capi, commutate in ergastoli effettivamente scontati sino alla morte in detenzione dei principali condannati, Livello A quanto al processo ed agli esiti. Il registro formula la comparazione che il corpus impone e che nessuna cautela può attenuare: il Paese del golpe riuscito giudicò e condannò i suoi autori in 16 mesi, mentre il Paese dei golpe falliti censiti nella fase seconda impiegò decenni per approdare ad amnistie, proscioglimenti e condanne miti, sicché la Repubblica che non fu mai rovesciata punì l'eversione infinitamente meno della democrazia che lo era stata davvero, ed il paradosso, che una lettura frettolosa ascriverebbe a clemenza, appartiene per il metodo dell'opera alla struttura: la Grecia poté processare il proprio golpe perché il golpe aveva vinto e perso da solo, visibile ed intero, mentre l'Italia non poté processare i propri perché non furono mai interi né visibili, dissolti prima del compimento dentro la zona grigia tra apparati che questa opera ha censito, e la mitezza italiana non fu perdono, fu l'impossibilità di punire ciò che si era lasciato evaporare.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sistema stay-behind è certificato al Livello A quale architettura clandestina continentale del campo occidentale, rivelata nell'autunno 1990 per pressione e non per apertura volontaria, accertata con profondità radicalmente nazionale, con gli impieghi interni mantenuti al Livello C secondo la disciplina della Fase 3, e consegnato alla verifica quale massimo fatto strutturale certificato del versante atlantico.</w:t>
      </w:r>
    </w:p>
    <w:p>
      <w:pPr>
        <w:pStyle w:val="Heading3"/>
        <w:spacing w:after="80" w:before="160"/>
      </w:pPr>
      <w:r>
        <w:rPr>
          <w:rFonts w:ascii="Barlow Semi Condensed" w:cs="Barlow Semi Condensed" w:eastAsia="Barlow Semi Condensed" w:hAnsi="Barlow Semi Condensed"/>
          <w:sz w:val="24"/>
          <w:szCs w:val="24"/>
        </w:rPr>
        <w:t xml:space="preserve">Capitolo 9 — L'empirica degli archivi: la regolarità delle aperture e il lampione quale reperto</w:t>
      </w:r>
    </w:p>
    <w:p>
      <w:pPr>
        <w:spacing w:after="120" w:line="276"/>
        <w:jc w:val="both"/>
      </w:pPr>
      <w:r>
        <w:rPr>
          <w:rFonts w:ascii="Barlow Semi Condensed" w:cs="Barlow Semi Condensed" w:eastAsia="Barlow Semi Condensed" w:hAnsi="Barlow Semi Condensed"/>
          <w:sz w:val="24"/>
          <w:szCs w:val="24"/>
        </w:rPr>
        <w:t xml:space="preserve">Il nono nodo non è un teatro ma una legge empirica, che la fase eleva a oggetto di studio autonomo: la regolarità delle aperture archivistiche degli apparati di sicurezza, censita dall'opera attraverso i 15 ordinamenti che il proprio corpus attraversa. Il registro formula la regolarità nella sua forma nuda: in nessuno dei casi censiti un apparato di sicurezza ha aperto volontariamente i propri archivi; ogni apertura documentata è avvenuta per una delle 5 vie che il primo pilastro tassonomizza, e la regolarità, verificata senza eccezioni sul perimetro censito, è certificata al Livello A quale reperto empirico dell'opera.</w:t>
      </w:r>
    </w:p>
    <w:p>
      <w:pPr>
        <w:spacing w:after="120" w:line="276"/>
        <w:jc w:val="both"/>
      </w:pPr>
      <w:r>
        <w:rPr>
          <w:rFonts w:ascii="Barlow Semi Condensed" w:cs="Barlow Semi Condensed" w:eastAsia="Barlow Semi Condensed" w:hAnsi="Barlow Semi Condensed"/>
          <w:sz w:val="24"/>
          <w:szCs w:val="24"/>
        </w:rPr>
        <w:t xml:space="preserve">Il primo pilastro distende la tassonomia delle 5 vie, ciascuna con i casi del corpus. La prima via è il collasso del regime protettore: la rivoluzione portoghese del 1974 che consegnò l'archivio di Aginter, e la caduta del blocco orientale del 1989-1991 che aprì gli archivi della sicurezza tedesco-orientale, regolati dalla legge del 1991 sull'accesso alle carte, e rese possibili i trasferimenti sovietici. La seconda via è la defezione individuale: l'esfiltrazione del 1992 da cui deriva il compendio Mitrokhin, il caso in cui l'archivio si apre perché un uomo lo porta via. La terza via è la legislazione speciale, imposta dalla politica della memoria o dalle vittime: la legge americana del 1992 sul rilascio delle carte dell'assassinio del presidente Kennedy, e il processo sudafricano di verità e riconciliazione istituito nel 1995, che scambiò verità contro amnistia. La quarta via è lo scandalo e l'inchiesta: la scoperta degli elenchi della loggia nel 1981, che aprì per sequestro giudiziario un archivio privato di potere, e la stagione delle rivelazioni stay-behind del 1990, aperta per pressione giudiziaria e politica convergente. La quinta via è il contenzioso e la desecretazione amministrata: le direttive italiane di versamento, dalla direttiva del 22 aprile 2014 in avanti, che hanno trasferito la documentazione per atto politico sotto pressione pubblica. Il registro certifica al Livello A la tassonomia e i casi, quali fatti archivistici datati, e certifica l'assenza della sesta via, l'apertura spontanea, quale Stato Zero della categoria: cercata in 15 ordinamenti, non trovata in alcuno.</w:t>
      </w:r>
    </w:p>
    <w:p>
      <w:pPr>
        <w:spacing w:after="120" w:line="276"/>
        <w:jc w:val="both"/>
      </w:pPr>
      <w:r>
        <w:rPr>
          <w:rFonts w:ascii="Barlow Semi Condensed" w:cs="Barlow Semi Condensed" w:eastAsia="Barlow Semi Condensed" w:hAnsi="Barlow Semi Condensed"/>
          <w:sz w:val="24"/>
          <w:szCs w:val="24"/>
        </w:rPr>
        <w:t xml:space="preserve">Il secondo pilastro formalizza il corollario metodologico, l'effetto lampione elevato da cautela a reperto. Poiché la documentazione disponibile è funzione delle aperture e le aperture sono funzione di eventi politici discreti, la densità documentale di ogni teatro misura la storia dei suoi accessi e non l'intensità della sua storia: l'opera ha verificato il corollario sul proprio corpus, documentando che i picchi temporali della densità si spostano con la finestra di costruzione della base documentale, e la fase lo ha dimostrato con la coppia terminale Lisbona-Parigi, i 2 gemelli topologici resi opposti dal solo regime di accesso; il registro certifica al Livello A il corollario quale proprietà misurata del proprio corpus e ne dichiara la conseguenza normativa, che ha governato ogni comparazione dell'opera: nessuna inferenza di intensità dalla densità, nessuna inferenza di assenza dal silenzio, e l'obbligo permanente di dichiarare, per ogni certificazione, il regime archivistico che l'ha resa possibile.</w:t>
      </w:r>
    </w:p>
    <w:p>
      <w:pPr>
        <w:spacing w:after="120" w:line="276"/>
        <w:jc w:val="both"/>
      </w:pPr>
      <w:r>
        <w:rPr>
          <w:rFonts w:ascii="Barlow Semi Condensed" w:cs="Barlow Semi Condensed" w:eastAsia="Barlow Semi Condensed" w:hAnsi="Barlow Semi Condensed"/>
          <w:sz w:val="24"/>
          <w:szCs w:val="24"/>
        </w:rPr>
        <w:t xml:space="preserve">Il terzo pilastro applica la legge al caso italiano e ne trae la proiezione. La conoscenza italiana del proprio novecento riservato è cresciuta per le soglie datate che l'opera ha censito, il 1981 degli elenchi, il 1990 delle rivelazioni e dei ritrovamenti, il 2014 dei versamenti, ciascuna prodotta da una delle vie della tassonomia e nessuna da apertura spontanea; il registro certifica al Livello A la serie e la sua conformità integrale alla regolarità, e chiude il nodo con la proiezione che la legge autorizza: poiché il perimetro del versato non coincide con il perimetro dell'esistente, e poiché la storia insegna che le soglie future dipenderanno da eventi politici e non dalla ricerca, l'opera dichiara il proprio stato di conoscenza strutturalmente provvisorio, datato alla configurazione archivistica del proprio tempo, e consegna alla ricerca futura non previsioni ma obiettivi, gli archivi francesi, il non versato italiano e ogni archivio che una delle 5 vie dovesse aprire, con la certezza empirica che nessuno si aprirà da sé.</w:t>
      </w:r>
    </w:p>
    <w:p>
      <w:pPr>
        <w:spacing w:after="120" w:line="276"/>
        <w:jc w:val="both"/>
      </w:pPr>
      <w:r>
        <w:rPr>
          <w:rFonts w:ascii="Barlow Semi Condensed" w:cs="Barlow Semi Condensed" w:eastAsia="Barlow Semi Condensed" w:hAnsi="Barlow Semi Condensed"/>
          <w:sz w:val="24"/>
          <w:szCs w:val="24"/>
        </w:rPr>
        <w:t xml:space="preserve">Il quarto pilastro distende il caso maggiore della terza via, il modello sudafricano dello scambio. Il processo di verità e riconciliazione istituito nel 1995 dal nuovo ordinamento democratico costruì l'apertura degli archivi umani del regime attraverso lo scambio regolato tra verità e amnistia: la confessione integrale e pubblica dei fatti, resa nelle udienze della Commissione dinanzi alle vittime e al Paese, quale corrispettivo dell'immunità individuale, con il diniego dell'amnistia per chi tacesse o mentisse; il registro certifica al Livello A l'architettura e il funzionamento del modello, quali dati documentali, e ne trae la lezione che la tassonomia consegna: il modello dimostrò che l'archivio umano di un apparato, la memoria dei suoi operatori, può essere aperto soltanto pagando un prezzo di giustizia, e che l'alternativa reale, nei sistemi in transizione, non è tra verità con giustizia e verità senza giustizia, ma tra verità pagata e segreto perpetuo; il registro trascrive la lezione senza addolcirla, quale forma più esplicita della legge del capitolo, l'apertura che anche nel caso più virtuoso del corpus avvenne per scambio e non per spontaneità.</w:t>
      </w:r>
    </w:p>
    <w:p>
      <w:pPr>
        <w:spacing w:after="120" w:line="276"/>
        <w:jc w:val="both"/>
      </w:pPr>
      <w:r>
        <w:rPr>
          <w:rFonts w:ascii="Barlow Semi Condensed" w:cs="Barlow Semi Condensed" w:eastAsia="Barlow Semi Condensed" w:hAnsi="Barlow Semi Condensed"/>
          <w:sz w:val="24"/>
          <w:szCs w:val="24"/>
        </w:rPr>
        <w:t xml:space="preserve">Il quinto pilastro distende il caso maggiore della legislazione speciale, il modello americano del rilascio programmato. La legge del 1992 sulle carte dell'assassinio del presidente Kennedy impose il versamento centralizzato della documentazione di tutte le agenzie e ne programmò il rilascio integrale a scadenza venticinquennale, con la facoltà presidenziale di proroga per singoli documenti motivata da danno identificabile; l'attuazione, con i rilasci scaglionati dal 2017 in avanti e le proroghe reiterate esercitate da presidenze successive su un residuo di carte, documenta insieme la forza e il limite del modello; il registro certifica al Livello A la legge, il meccanismo e l'attuazione con le proroghe, quali dati normativi e documentali, e ne trae la seconda lezione della tassonomia: anche la via legislativa, la più ordinata delle 5, non produce l'apertura integrale ma un'apertura amministrata nel tempo, con il residuo discrezionale che si rinnova, e la coppia dei modelli, lo scambio sudafricano e il rilascio americano, delimita empiricamente ciò che gli ordinamenti hanno saputo costruire di meglio, un'apertura sempre condizionata, mai totale e mai spontanea, la conferma per via positiva della legge che il capitolo certifica per via negativa.</w:t>
      </w:r>
    </w:p>
    <w:p>
      <w:pPr>
        <w:spacing w:after="120" w:line="276"/>
        <w:jc w:val="both"/>
      </w:pPr>
      <w:r>
        <w:rPr>
          <w:rFonts w:ascii="Barlow Semi Condensed" w:cs="Barlow Semi Condensed" w:eastAsia="Barlow Semi Condensed" w:hAnsi="Barlow Semi Condensed"/>
          <w:sz w:val="24"/>
          <w:szCs w:val="24"/>
        </w:rPr>
        <w:t xml:space="preserve">Il sesto pilastro completa la tassonomia con la specie del contenzioso, la quinta via nella sua forma giudiziale. Accanto alla desecretazione amministrata per atto politico, gli ordinamenti a legislazione sull'accesso conoscono l'apertura per causa, lo strumento con cui ricercatori, testate e famiglie delle vittime hanno ottenuto per via giudiziaria il rilascio di documenti negati, la prassi consolidata nell'ordinamento americano attorno alla legge sulla libertà di informazione e replicata, con rendimenti minori, negli ordinamenti europei dotati di strumenti analoghi; il registro certifica al Livello A l'esistenza e il funzionamento della via, quali dati ordinamentali, e ne registra la caratteristica che la distingue nella tassonomia: è l'unica via attivabile dal basso, dalla società e non dagli eventi, e insieme la più lenta e la più frammentaria, producendo aperture per singoli documenti e mai per sistemi; la comparazione dei rendimenti chiude la tassonomia con la gerarchia empirica che il corpus documenta: i collassi aprono sistemi interi, le leggi speciali aprono giacimenti amministrati, gli scandali aprono per squarci, le defezioni aprono per campioni e i contenziosi aprono per gocce, e la conoscenza cumulata dell'opera è, in ogni sua pagina, la somma stratificata di queste 5 velocità.</w:t>
      </w:r>
    </w:p>
    <w:p>
      <w:pPr>
        <w:spacing w:after="120" w:line="276"/>
        <w:jc w:val="both"/>
      </w:pPr>
      <w:r>
        <w:rPr>
          <w:rFonts w:ascii="Barlow Semi Condensed" w:cs="Barlow Semi Condensed" w:eastAsia="Barlow Semi Condensed" w:hAnsi="Barlow Semi Condensed"/>
          <w:sz w:val="24"/>
          <w:szCs w:val="24"/>
        </w:rPr>
        <w:t xml:space="preserve">Il settimo pilastro censisce la serie italiana della quinta via, le direttive di versamento. La direttiva del 22 aprile 2014, che dispose il versamento anticipato agli archivi di Stato della documentazione sugli eventi stragisti della stagione, fu seguita dagli atti di estensione e attuazione degli anni successivi, che ampliarono il perimetro delle tipologie e degli organismi versanti, componendo la serie della desecretazione amministrata italiana che il registro certifica al Livello A nella sua esistenza e nella sua natura; la qualificazione che il registro ne dà è quella che la tassonomia impone: la serie appartiene alla specie dell'apertura per atto politico sotto pressione pubblica, condivide con il modello americano la natura amministrata e con esso il limite strutturale, il perimetro definito dal versante e non dal ricercatore, e il suo rendimento documentale, che le fasi dell'opera hanno impiegato quale terza soglia, resta condizionato dal residuo non versato che le chiusure hanno consegnato quale obiettivo; il registro trascrive la serie quale caso nazionale conforme alla legge, con l'annotazione che essa costituisce, a oggi, l'unica via attiva sull'ordinamento italiano, e che la sua prosecuzione, dipendendo da atti politici futuri, appartiene alla classe degli eventi che la ricerca può sollecitare e non produrre.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5 vie-15 ordinamenti-assenza dell'apertura spontanea, certifica la regolarità e il suo Stato Zero. La seconda, densità-accessi-corollario del lampione, formalizza il reperto metodologico con la dimostrazione Lisbona-Parigi. La terza, soglie italiane-conformità alla legge-provvisorietà dichiarata, applica la regolarità al caso nazionale e fissa lo statuto temporale dell'opera.</w:t>
      </w:r>
    </w:p>
    <w:p>
      <w:pPr>
        <w:spacing w:after="120" w:line="276"/>
        <w:jc w:val="both"/>
      </w:pPr>
      <w:r>
        <w:rPr>
          <w:rFonts w:ascii="Barlow Semi Condensed" w:cs="Barlow Semi Condensed" w:eastAsia="Barlow Semi Condensed" w:hAnsi="Barlow Semi Condensed"/>
          <w:sz w:val="24"/>
          <w:szCs w:val="24"/>
        </w:rPr>
        <w:t xml:space="preserve">La serie italiana della quinta via si completa con il suo secondo atto, che il registro affianca alla direttiva del 2014 già censita: la direttiva dell'agosto 2021, che dispose il versamento straordinario agli archivi di Stato della documentazione concernente l'organizzazione Gladio e la loggia P2, estendendo alle 2 strutture centrali dell'opera il regime di anticipazione che la prima direttiva aveva riservato alla stagione delle stragi, Livello A quanto all'atto ed al suo oggetto. La sequenza delle 2 direttive, 2014 e 2021, consegna alla legge del capitolo la sua declinazione italiana matura: l'ordinamento ha scelto la via amministrativa dell'apertura per atto di governo, periodica e tematica, e il registro ne fissa tanto il valore, l'unico flusso di versamento anticipato attivo sul perimetro dell'opera, quanto il limite strutturale, che la regolarità empirica impone di dichiarare: la direttiva ordina il versamento di ciò che le amministrazioni detengono e dichiarano, e il suo perimetro effettivo coincide, per costruzione, con la diligenza e la completezza dei versanti, sicché la misura dell'apertura italiana resta affidata, in ultima istanza, alla stessa variabile che l'intera legge del capitolo ha isolato, la volontà degli apparati di consegnare i propri specchi.</w:t>
      </w:r>
    </w:p>
    <w:p>
      <w:pPr>
        <w:spacing w:after="120" w:line="276"/>
        <w:jc w:val="both"/>
      </w:pPr>
      <w:r>
        <w:rPr>
          <w:rFonts w:ascii="Barlow Semi Condensed" w:cs="Barlow Semi Condensed" w:eastAsia="Barlow Semi Condensed" w:hAnsi="Barlow Semi Condensed"/>
          <w:sz w:val="24"/>
          <w:szCs w:val="24"/>
        </w:rPr>
        <w:t xml:space="preserve">La tassonomia della via legislativa esige la distinzione di specie che il caso americano rende visibile: accanto al rilascio programmato del 1992, legge speciale su un singolo evento con termine e autorità dedicata, opera dal 1966 lo strumento generale del Freedom of Information Act, potenziato nel 1974 nella stagione del contraccolpo post-Watergate, che attribuisce a chiunque il diritto azionabile di ottenere i documenti delle amministrazioni federali salvo esenzioni tassative, sindacabili dal giudice, Livello A quanto agli istituti ed alle date. La distinzione è strutturale e la legge del capitolo la incorpora: il rilascio programmato apre un fondo definito per decisione politica una tantum, lo strumento generale apre un fronte permanente affidato all'iniziativa diffusa dei richiedenti, ricercatori, giornalisti, parti processuali, e la conoscenza che ne discende cresce per accumulo capillare anziché per soglie, con la conseguenza, misurabile nel corpus dell'opera, che una quota rilevante della documentazione americana citata nelle 5 fasi è frutto non di desecretazioni solenni ma di istanze ordinarie evase in via amministrativa o giudiziale. Il registro annota il termine di paragone italiano senza infierire: l'ordinamento della Repubblica non dispone di uno strumento generale equivalente azionabile sul patrimonio riservato degli apparati, e le sue aperture, come la serie delle direttive censita, restano della specie amministrata, sicché la quinta via italiana conosce una sola delle sue 2 forme, quella che dipende dal governo, non quella che dipenderebbe dai cittadini.</w:t>
      </w:r>
    </w:p>
    <w:p>
      <w:pPr>
        <w:spacing w:after="120" w:line="276"/>
        <w:jc w:val="both"/>
      </w:pPr>
      <w:r>
        <w:rPr>
          <w:rFonts w:ascii="Barlow Semi Condensed" w:cs="Barlow Semi Condensed" w:eastAsia="Barlow Semi Condensed" w:hAnsi="Barlow Semi Condensed"/>
          <w:sz w:val="24"/>
          <w:szCs w:val="24"/>
        </w:rPr>
        <w:t xml:space="preserve">La via legislativa conosce infine il suo compimento ordinamentale, che il registro censisce quale chiusura del ciclo aperto nel 1977: la legge 3 agosto 2007 numero 124 riformò integralmente il sistema dell'informazione per la sicurezza, istituendo il Dipartimento unitario, ridisegnando le agenzie, portando il controllo parlamentare al rango di organo con poteri effettivi e, soprattutto per l'economia di quest'opera, disciplinando per la prima volta in via generale la durata massima del segreto di Stato, con il limite dei 15 anni prorogabili sino a 30, e ribadendo con forza di sistema l'inopponibilità del segreto sui fatti eversivi dell'ordine costituzionale, principio già posto dalla riforma del 1977, Livello A quanto ai contenuti della riforma. Il registro consegna la legge alla sua funzione di verifica: la conferma rafforzata dell'ineccepibilità del segreto per i fatti di strage e di eversione è la traduzione in diritto positivo dell'intera esperienza che le fasi terza e quarta hanno censito, il riconoscimento legislativo che il segreto di Stato era stato, nel corpus, anche uno strumento delle ostruzioni, e la sua approvazione a 30 anni esatti dalla prima riforma misura il passo della metabolizzazione istituzionale italiana: una generazione per ammettere il problema con la legge del 1977, una seconda per scrivere nella legge la sua soluzione, con l'avvertenza documentale che il registro annota per il bilancio finale, che le norme censite in questo capitolo disciplinano il segreto futuro, mentre sul segreto passato, quello che grava sugli archivi del corpus, la partita resta affidata alle direttive di versamento censite, cioè ad atti amministrativi revocabili, e non alla forza stabile della legge.</w:t>
      </w:r>
    </w:p>
    <w:p>
      <w:pPr>
        <w:spacing w:after="120" w:line="276"/>
        <w:jc w:val="both"/>
      </w:pPr>
      <w:r>
        <w:rPr>
          <w:rFonts w:ascii="Barlow Semi Condensed" w:cs="Barlow Semi Condensed" w:eastAsia="Barlow Semi Condensed" w:hAnsi="Barlow Semi Condensed"/>
          <w:sz w:val="24"/>
          <w:szCs w:val="24"/>
        </w:rPr>
        <w:t xml:space="preserve">La via legislativa conosce infine la sua unica declinazione sovranazionale, che il registro censisce quale atto europeo del corpus: il 22 novembre 1990, nelle settimane della rivelazione italiana, il Parlamento europeo approvò una risoluzione sulla vicenda delle reti clandestine, con cui protestava per l'esistenza quarantennale di strutture operative sottratte ad ogni controllo democratico, invitava i governi degli Stati membri a procedere al loro scioglimento ed i parlamenti nazionali ad istituire commissioni d'inchiesta, Livello A quanto all'atto ed ai suoi contenuti. Il seguito misura la distanza tra la parola europea e le sovranità nazionali, ed il registro lo riporta quale esito: alle sollecitazioni dell'assemblea diedero seguito con inchieste organiche soltanto l'Italia, il Belgio e la Svizzera, mentre la maggioranza degli Stati membri archiviò la questione senza accertamenti pubblici, Livello A quanto alla geografia delle inchieste effettivamente svolte. Il registro consegna il caso alla verifica finale con la sua doppia lezione: la risoluzione del novembre 1990 dimostra che la dimensione europea del sistema fu riconosciuta ufficialmente dall'unica istituzione parlamentare continentale, e la sua inesecuzione diffusa dimostra che il controllo democratico sugli apparati restò, anche dopo il riconoscimento, una variabile interamente nazionale, con il paradosso che chiude il capitolo: il Paese del corpus, quello che l'opera ha censito quale teatro massimo delle deviazioni, fu anche, nella risposta, il più trasparente del continente, e la Repubblica che non seppe impedire è la stessa che, sola con 2 altre, volle almeno sapere.</w:t>
      </w:r>
    </w:p>
    <w:p>
      <w:pPr>
        <w:spacing w:after="120" w:line="276"/>
        <w:jc w:val="both"/>
      </w:pPr>
      <w:r>
        <w:rPr>
          <w:rFonts w:ascii="Barlow Semi Condensed" w:cs="Barlow Semi Condensed" w:eastAsia="Barlow Semi Condensed" w:hAnsi="Barlow Semi Condensed"/>
          <w:sz w:val="24"/>
          <w:szCs w:val="24"/>
        </w:rPr>
        <w:t xml:space="preserve">Il capitolo delle aperture esige la sua cornice comparata, che il registro formula quale bilancio della finestra: il decennio 1990-2000 costituì la stagione irripetibile in cui il pianeta aprì simultaneamente i propri armadi, con la rivelazione delle reti clandestine occidentali, la spalancatura degli archivi orientali censita, le commissioni verità australi ed africane, le declassificazioni americane sul Cile ed i primi protocolli italiani di versamento, una convergenza planetaria di trasparenza prodotta dal medesimo evento generatore, la fine della contrapposizione che aveva giustificato mezzo secolo di segreti, Livello A quanto alla cronologia comparata delle aperture. Il registro consegna la finestra alla sua lezione malinconica: quella stagione non si è ripetuta, poiché i decenni successivi hanno visto in più teatri il riflusso, le richiusure selettive, i segreti nuovi sedimentare sui vecchi, e l'opera, che di quella finestra è integralmente debitrice, perché quasi ogni Livello A internazionale del corpus discende da carte uscite in quel decennio, ne registra la natura per il lettore futuro: la conoscenza del potere occulto non cresce linearmente, respira con la geopolitica, si dilata quando i sistemi che produssero i segreti muoiono e si contrae quando i loro eredi si riorganizzano, sicché ogni generazione di studiosi lavora con la finestra che la propria epoca le concede, e questa opera dichiara di avere lavorato con la più grande che la storia contemporanea abbia mai aperto, sapendo che era già in via di richiusura.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regolarità delle aperture è certificata al Livello A quale legge empirica senza eccezioni sul perimetro censito, con la tassonomia delle 5 vie, lo Stato Zero dell'apertura spontanea, il lampione elevato a reperto misurato e la provvisorietà archivistica dell'opera dichiarata quale statuto e non quale limite.</w:t>
      </w:r>
    </w:p>
    <w:p>
      <w:pPr>
        <w:pStyle w:val="Heading3"/>
        <w:spacing w:after="80" w:before="160"/>
      </w:pPr>
      <w:r>
        <w:rPr>
          <w:rFonts w:ascii="Barlow Semi Condensed" w:cs="Barlow Semi Condensed" w:eastAsia="Barlow Semi Condensed" w:hAnsi="Barlow Semi Condensed"/>
          <w:sz w:val="24"/>
          <w:szCs w:val="24"/>
        </w:rPr>
        <w:t xml:space="preserve">Capitolo 10 — La verifica finale: le macro-ipotesi al giudizio del grafo e la lettura reticolare conclusiva</w:t>
      </w:r>
    </w:p>
    <w:p>
      <w:pPr>
        <w:spacing w:after="120" w:line="276"/>
        <w:jc w:val="both"/>
      </w:pPr>
      <w:r>
        <w:rPr>
          <w:rFonts w:ascii="Barlow Semi Condensed" w:cs="Barlow Semi Condensed" w:eastAsia="Barlow Semi Condensed" w:hAnsi="Barlow Semi Condensed"/>
          <w:sz w:val="24"/>
          <w:szCs w:val="24"/>
        </w:rPr>
        <w:t xml:space="preserve">Il decimo nodo è la verifica, l'adempimento per il quale l'opera è stata costruita. Il registro vi sottopone le macro-ipotesi allo stato terminale dei materiali, con il metodo delle ipotesi concorrenti applicato al grafo completo, e dichiara gli esiti senza eccedere di una riga ciò che i documenti consentono.</w:t>
      </w:r>
    </w:p>
    <w:p>
      <w:pPr>
        <w:spacing w:after="120" w:line="276"/>
        <w:jc w:val="both"/>
      </w:pPr>
      <w:r>
        <w:rPr>
          <w:rFonts w:ascii="Barlow Semi Condensed" w:cs="Barlow Semi Condensed" w:eastAsia="Barlow Semi Condensed" w:hAnsi="Barlow Semi Condensed"/>
          <w:sz w:val="24"/>
          <w:szCs w:val="24"/>
        </w:rPr>
        <w:t xml:space="preserve">Il primo pilastro fissa lo stato dell'ipotesi H1, la convergenza delle potenze contro l'autonomia e l'integrazione europea. La verifica ricompone i fatti di base certificati dalle fasi: le contrarietà pubbliche dei 2 campi al progetto di allargamento democratico italiano, elevate al Livello A dalla Fase 4; la simmetria delle interferenze ordinarie documentate, i canali finanziari dei 2 imperi verso i rispettivi versanti del sistema politico, entrambi al Livello A per esistenza; la serie mediterranea degli attriti con l'alleato maggiore, al Livello A; e l'architettura stay-behind quale massimo fatto strutturale del campo occidentale, al Livello A. La verifica ricompone parimenti ciò che manca: nessun documento, in alcun teatro e in alcuna stagione, certifica il coordinamento tra i 2 campi, la cabina comune che la forma forte dell'ipotesi esige, e le 2 varianti dell'interferenza si escludono reciprocamente in ogni caso concreto censito; e ricompone l'esito del test quantitativo che l'opera ha pre-registrato ed eseguito, la verifica statistica dell'addensamento degli eventi stragisti attorno alle scadenze dell'integrazione europea, conclusasi con il risultato nullo, la probabilità del 60 per cento che la distribuzione osservata sia casuale, che ha falsificato la tesi della densità nella sua forma misurabile. Il verdetto è dichiarato: l'ipotesi H1 esce dall'opera non falsificata nella sua forma debole, la convergenza oggettiva di interessi certificata al Livello B dalla Fase 4, falsificata nella sua unica articolazione misurabile, e non avanzata oltre, il falsificatore milwardiano, per il quale le potenze perseguono interessi ordinari senza cabine comuni, restando integralmente compatibile con ogni fatto certificato; H1 è perciò archiviata quale ipotesi di Livello C con fatti di base certificati, non promossa e non rimossa, secondo lo statuto che il metodo assegna alle ipotesi vive e non provate.</w:t>
      </w:r>
    </w:p>
    <w:p>
      <w:pPr>
        <w:spacing w:after="120" w:line="276"/>
        <w:jc w:val="both"/>
      </w:pPr>
      <w:r>
        <w:rPr>
          <w:rFonts w:ascii="Barlow Semi Condensed" w:cs="Barlow Semi Condensed" w:eastAsia="Barlow Semi Condensed" w:hAnsi="Barlow Semi Condensed"/>
          <w:sz w:val="24"/>
          <w:szCs w:val="24"/>
        </w:rPr>
        <w:t xml:space="preserve">Il secondo pilastro fissa lo stato dell'ipotesi concorrente e della formulazione di sintesi. L'ipotesi concorrente registrata dall'opera, la lettura dei 2 progetti rivali di ordinamento autoritario del continente, l'uno di matrice atlantico-controinsurrezionale e l'altro di matrice orientale, esce dalla fase con i propri successi esplicativi censiti, la capacità di rendere conto della bipolarità documentata delle interferenze senza postulare la cabina comune, e con il medesimo statuto di Livello C, nessun documento certificando i progetti quali disegni unitari; tra le 2 ipotesi il registro non decide, dichiarando l'evidenza non diagnostica al livello delle macro-letture. Ciò che il registro promuove è l'enunciato di sintesi che i materiali sostengono, la formulazione che la proposta parlamentare del giugno 2000 consegnò e che l'opera ha verificato quale massimo enunciato compatibile con il certificato: l'oggetto della stagione non fu la restaurazione di un regime, ma il mantenimento di una democrazia a sovranità ed evoluzione limitate, l'esclusione permanente di una parte del sistema politico dalla piena legittimazione di governo, perseguita e ottenuta attraverso un equilibrio precario continuamente amministrato; il registro certifica che questo enunciato, e soltanto questo, è sostenuto dall'intero corpus senza residui contrari, e lo consegna quale conclusione di merito dell'opera, al livello di una sintesi storiografica fondata e non di un teorema dimostrato.</w:t>
      </w:r>
    </w:p>
    <w:p>
      <w:pPr>
        <w:spacing w:after="120" w:line="276"/>
        <w:jc w:val="both"/>
      </w:pPr>
      <w:r>
        <w:rPr>
          <w:rFonts w:ascii="Barlow Semi Condensed" w:cs="Barlow Semi Condensed" w:eastAsia="Barlow Semi Condensed" w:hAnsi="Barlow Semi Condensed"/>
          <w:sz w:val="24"/>
          <w:szCs w:val="24"/>
        </w:rPr>
        <w:t xml:space="preserve">Il terzo pilastro consegna la lettura reticolare conclusiva, le misure finali sul grafo completo. Le centralità terminali confermano e ordinano: la loggia P2 detiene la massima intermediazione complessiva dell'opera, presente in tutti i teatri maggiori nazionali e dotata di proiezione transnazionale certificata; il Dominio 3 conferma la natura di connettivo universale; Giuseppe Calò resta l'individuo con il maggior numero di giudicati capitali; Michele Sindona e Licio Gelli si confermano le massime intermediazioni individuali tra i domini e tra i continenti; il Sudafrica dell'apartheid detiene la massima intermediazione tra i dossier internazionali; e la stratificazione massima del corpus appartiene al nodo triestino censito dalle fasi, con i suoi 7 strati documentali indipendenti. I pattern chiudono il proprio bilancio sul grafo intero: il Pattern 3 consegna le finestre critiche censite, il Pattern 5 la firma delle assenze selettive, verificata dalla Fase 4 nella coincidenza sistematica tra l'eliminazione dei detentori e la scomparsa delle carte, il Pattern 7 le carriere transnazionali con il caso Delle Chiaie quale massimo percorso censito, il Pattern 10 la geografia dei rifugi e degli hub, il Pattern 11 l'isomorfismo Aginter-Hyperion quale grammatica comune della clandestinità. Il registro dichiara compiuta la lettura e chiude l'opera con il congedo che il metodo impone: 5 fasi, i cerchi nazionali e il mondo, un inventario di fatti certificati ai loro livelli, di assenze documentate, di esiti riportati per esteso e di ipotesi mantenute vive al loro posto, consegnato al tempo archivistico che solo potrà accrescerlo, con la sola certezza che l'opera rivendica, quella del proprio metodo: in un campo dove l'oggetto manipola le condizioni della propria osservabilità, la trasparenza del metodo non è un ornamento, è la condizione di possibilità della conoscenza, e l'opera consegna al lettore, prima di ogni contenuto, esattamente questa.</w:t>
      </w:r>
    </w:p>
    <w:p>
      <w:pPr>
        <w:spacing w:after="120" w:line="276"/>
        <w:jc w:val="both"/>
      </w:pPr>
      <w:r>
        <w:rPr>
          <w:rFonts w:ascii="Barlow Semi Condensed" w:cs="Barlow Semi Condensed" w:eastAsia="Barlow Semi Condensed" w:hAnsi="Barlow Semi Condensed"/>
          <w:sz w:val="24"/>
          <w:szCs w:val="24"/>
        </w:rPr>
        <w:t xml:space="preserve">Il quarto pilastro censisce le coppie inter-dominio attivate dal teatro internazionale, il completamento della matrice delle 45. La fase attiva sul grafo internazionale le coppie che le fasi nazionali non avevano saturato: la coppia intelligence-terrorismo nella sua proiezione estera, con i canali mediterranei e i satelliti orientali; la coppia crimine-economia sulla scala dei 2 continenti, con la parabola sindoniana quale arco maggiore; la coppia massoneria-politica nella proiezione transnazionale della loggia; la coppia forze armate-intelligence nel sistema stay-behind continentale; e le coppie a bassa densità che la Nota metodologica indicava quali potenzialmente rivelatrici, tra cui la coppia religione-intelligence, attivata dal caso dell'attentato al pontefice con il suo mandato non accertato; il registro certifica al Livello A l'attivazione documentale delle coppie, quale dato della struttura del corpus, e consegna la matrice completa alla lettura: delle 45 coppie possibili, il corpus dell'opera ne documenta quali empiricamente significative un numero conforme alla stima preliminare della Nota, tra le 25 e le 30, con le densità massime sulle coppie che le fasi hanno percorso e le assenze anch'esse censite, secondo il principio per cui la coppia vuota è un dato quanto la coppia satura.</w:t>
      </w:r>
    </w:p>
    <w:p>
      <w:pPr>
        <w:spacing w:after="120" w:line="276"/>
        <w:jc w:val="both"/>
      </w:pPr>
      <w:r>
        <w:rPr>
          <w:rFonts w:ascii="Barlow Semi Condensed" w:cs="Barlow Semi Condensed" w:eastAsia="Barlow Semi Condensed" w:hAnsi="Barlow Semi Condensed"/>
          <w:sz w:val="24"/>
          <w:szCs w:val="24"/>
        </w:rPr>
        <w:t xml:space="preserve">Il quinto pilastro consegna il programma ordinato degli obiettivi, il lascito operativo alla ricerca. Il registro ordina gli obiettivi per rendimento atteso: il primo è l'accesso agli archivi francesi del periodo, l'unica variabile capace di mutare lo stato del nodo Hyperion e del santuario; il secondo è il completamento del versamento italiano, il perimetro non versato delle direttive; il terzo è lo sfruttamento sistematico del versato del 2014 e successivi, il lavoro possibile a regime invariato che le fasi hanno soltanto iniziato; il quarto è il monitoraggio delle 5 vie sugli ordinamenti non ancora aperti, con la certezza empirica che ogni futura apertura verrà da un evento e la conseguente necessità di prontezza metodologica; il quinto è l'estensione del riscontro sistematico, la pratica dello Stato Zero, a ogni suggestione che il dibattito pubblico produca, la funzione igienica che l'opera ha esercitato sul proprio campo e che consegna quale servizio permanente; il registro certifica il programma quale ordinamento di priorità fondato sui rendimenti documentati delle vie, non quale previsione, e lo consegna con l'avvertenza che la legge del capitolo nono impone: la ricerca può preparare le aperture, non produrle, e il suo compito, negli intervalli tra le soglie, è mantenere il registro pronto, citabile e falsificabile per il giorno in cui una via si aprirà.</w:t>
      </w:r>
    </w:p>
    <w:p>
      <w:pPr>
        <w:spacing w:after="120" w:line="276"/>
        <w:jc w:val="both"/>
      </w:pPr>
      <w:r>
        <w:rPr>
          <w:rFonts w:ascii="Barlow Semi Condensed" w:cs="Barlow Semi Condensed" w:eastAsia="Barlow Semi Condensed" w:hAnsi="Barlow Semi Condensed"/>
          <w:sz w:val="24"/>
          <w:szCs w:val="24"/>
        </w:rPr>
        <w:t xml:space="preserve">Il sesto pilastro distende, in prosa, la matrice terminale delle ipotesi concorrenti, l'adempimento formale del metodo di Heuer sull'intero corpus. Le evidenze maggiori sono passate in rassegna contro le 3 letture in campo, la convergenza coordinata dei 2 imperi, i 2 progetti rivali e la lettura ordinaria degli interessi paralleli senza cabina, il falsificatore milwardiano. Le contrarietà pubbliche dei 2 campi sono coerenti con tutte e 3 le letture, e perciò non diagnostiche. La simmetria dei canali di finanziamento è coerente con tutte e 3, e non diagnostica. L'architettura stay-behind è coerente con la seconda e con la terza, e contro la prima soltanto ove se ne provasse il coordinamento con strutture del campo opposto, prova assente: non diagnostica in assenza. La bipolarità documentata delle varianti di interferenza nel caso capitale, le 2 piste reciprocamente escludentisi della Fase 4, è più coerente con la seconda e la terza lettura che con la prima, cui oppone la difficoltà logica censita: debolmente diagnostica contro la convergenza. Il test statistico nullo sull'addensamento è direttamente contrario alla forma misurabile della prima lettura e neutro verso le altre: diagnostico contro la forma forte di H1. Nessuna evidenza del corpus è contraria alla lettura ordinaria. Il registro trascrive l'esito che la matrice impone: la lettura meno contraddetta dall'insieme delle evidenze è il falsificatore, gli interessi paralleli senza cabina, e le 2 macro-ipotesi sopravvivono quali letture possibili di fatti che non le esigono; il metodo, applicato sino in fondo, consegna la conclusione più sobria del suo repertorio, e il registro la dichiara senza attenuarla, quale prova terminale che l'opera ha obbedito al proprio statuto anche contro la suggestione dei propri materiali.</w:t>
      </w:r>
    </w:p>
    <w:p>
      <w:pPr>
        <w:spacing w:after="120" w:line="276"/>
        <w:jc w:val="both"/>
      </w:pPr>
      <w:r>
        <w:rPr>
          <w:rFonts w:ascii="Barlow Semi Condensed" w:cs="Barlow Semi Condensed" w:eastAsia="Barlow Semi Condensed" w:hAnsi="Barlow Semi Condensed"/>
          <w:sz w:val="24"/>
          <w:szCs w:val="24"/>
        </w:rPr>
        <w:t xml:space="preserve">Il settimo pilastro consegna la periodizzazione reticolare del teatro, le finestre critiche del Pattern 3 sul grafo internazionale. La distribuzione temporale degli eventi certificati dalla fase addensa 4 finestre che il registro formalizza: la finestra del 1974-1975, con la caduta di Lisbona, la diaspora iberica, la formalizzazione del Condor e l'attentato Leighton, la ricomposizione continentale del campo nero attorno ai nuovi protettori; la finestra del 1980-1982, con il golpe boliviano, la scoperta della loggia, l'attentato al pontefice, l'arresto ginevrino del Venerabile e la strage della Sinagoga, il biennio di massima attività simultanea dei fili del corpus; la finestra del 1985-1986, con la crisi dell'Achille Lauro, l'assassinio di Palme, la morte di Sindona a 4 giorni dall'ergastolo e l'assoluzione del processo bulgaro, il biennio degli epiloghi in cui i massimi fili individuali e giudiziari del teatro si chiusero in rapida successione; e la finestra del 1990-1992, con le rivelazioni continentali, i collassi orientali e le prime grandi aperture, la soglia in cui il sistema studiato passò dalla fase operativa alla fase archivistica; il registro certifica al Livello A l'addensamento descrittivo delle 4 finestre, quale distribuzione osservata sui fatti censiti, si astiene, in coerenza con l'esito del test statistico dell'opera, dall'attribuire alle finestre qualsiasi significatività causale non dimostrata, e le consegna quale periodizzazione di servizio, lo scheletro temporale certificato sul quale la ricerca futura potrà disporre i documenti che le aperture verranno consegnando.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fatti di base-assenza di coordinamento-test nullo, fissa il verdetto su H1 quale ipotesi archiviata viva al Livello C. La seconda, ipotesi concorrente-evidenza non diagnostica-formulazione del 2000, consegna la conclusione di merito al livello della sintesi fondata. La terza, centralità finali-bilancio dei pattern-congedo, chiude la lettura reticolare e l'opera.</w:t>
      </w:r>
    </w:p>
    <w:p>
      <w:pPr>
        <w:spacing w:after="120" w:line="276"/>
        <w:jc w:val="both"/>
      </w:pPr>
      <w:r>
        <w:rPr>
          <w:rFonts w:ascii="Barlow Semi Condensed" w:cs="Barlow Semi Condensed" w:eastAsia="Barlow Semi Condensed" w:hAnsi="Barlow Semi Condensed"/>
          <w:sz w:val="24"/>
          <w:szCs w:val="24"/>
        </w:rPr>
        <w:t xml:space="preserve">La verifica finale dell'opera si completa, nell'edizione definitiva, con il recepimento della triangolazione cumulata che ne costituisce il sigillo esterno: le 5 fasi del volume sono state incrociate con le 7 tranche di un registro di verifica indipendente, 438 blocchi certificati che hanno saggiato la coerenza dell'opera con il corpus di progetto, con i giudicati e con i blocchi delle stagioni precedenti, dalla rete nera transnazionale al coordinamento australe sino al caso capitale, restituendo un esito che questa fase, per statuto deputata alla falsificazione, ha il dovere di registrare con la stessa freddezza con cui avrebbe registrato il contrario: nessuna contraddizione fattuale certificata, tenuta integrale delle gradazioni al campionamento esterno, conferma degli Stati Zero quali risultati, Livello A quale esito della campagna. Il registro consegna il recepimento alla chiusura che l'intera opera esige: la verifica finale non è più soltanto l'autoesame interno che questo capitolo ha condotto sulle proprie ipotesi, è divenuta un contraddittorio documentale a 2 corpi indipendenti, l'opera che afferma ed il registro che verifica, e la sopravvivenza dell'opera a quel contraddittorio, che il metodo popperiano assume quale unico titolo provvisorio di conoscenza, è il solo senso in cui questa edizione può dirsi definitiva: non perché non potrà essere corretta, ma perché è stata, sino all'ultimo enunciato disponibile, messa alla prova.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verifica finale archivia H1 quale ipotesi viva di Livello C con fatti di base certificati e articolazione misurabile falsificata dal test nullo, dichiara l'evidenza non diagnostica tra le macro-letture, promuove la formulazione del giugno 2000 quale massimo enunciato di merito sostenuto dal corpus, e consegna le centralità terminali del grafo, la loggia quale massima intermediazione, i ponti individuali di Sindona e Gelli, l'hub australe e la firma delle assenze, chiudendo l'opera quale inventario verificato e dichiaratamente provvisorio.</w:t>
      </w:r>
    </w:p>
    <w:p>
      <w:pPr>
        <w:pStyle w:val="Heading3"/>
        <w:spacing w:after="80" w:before="160"/>
      </w:pPr>
      <w:r>
        <w:rPr>
          <w:rFonts w:ascii="Barlow Semi Condensed" w:cs="Barlow Semi Condensed" w:eastAsia="Barlow Semi Condensed" w:hAnsi="Barlow Semi Condensed"/>
          <w:sz w:val="24"/>
          <w:szCs w:val="24"/>
        </w:rPr>
        <w:t xml:space="preserve">Repertorio consolidato della Fase 5 — Inventario unitario dei teatri, degli esiti e degli Stati Zero</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le certificazioni della fase, ordinate per versanti, quale riferimento citabile per ogni richiamo interno dell'opera al grafo internazionale.</w:t>
      </w:r>
    </w:p>
    <w:p>
      <w:pPr>
        <w:spacing w:after="120" w:line="276"/>
        <w:jc w:val="both"/>
      </w:pPr>
      <w:r>
        <w:rPr>
          <w:rFonts w:ascii="Barlow Semi Condensed" w:cs="Barlow Semi Condensed" w:eastAsia="Barlow Semi Condensed" w:hAnsi="Barlow Semi Condensed"/>
          <w:sz w:val="24"/>
          <w:szCs w:val="24"/>
        </w:rPr>
        <w:t xml:space="preserve">Il primo versante è quello dei teatri certificati. Vi appartengono: la centrale Aginter Press, con esistenza, direzione, dottrina scritta, corsi, costellazione denominativa e cattura archivistica del 1974 al Livello A, transiti italiani al Livello B e condanne organiche assenti; il sistema Condor, formalizzato nel novembre 1975, al Livello A, con l'attentato Leighton del 6 ottobre 1975 e le condanne del 1995 e del 2021; le presenze italiane latinoamericane, la diaspora nera nell'orbita del golpe boliviano del 17 luglio 1980 e la retrovia argentina della loggia, entrambe al Livello A senza coordinamento provato tra loro, con gli epiloghi di Delle Chiaie e di Gelli riportati; l'hub sudafricano, con la posizione di massima intermediazione inter-dossier al Livello A, gli assi di complicità al Livello A, la rete delle sanzioni al Livello B, il programma nucleare con lo smantellamento del 1993 e la transizione quale apertura; il santuario francese, con la dottrina del rifugio nelle sue 3 età al Livello A, la comunità dei fuoriusciti, la controprova Battisti e il diniego estradizionale definitivo del marzo 2023; il sistema mediterraneo, con la prassi del lodo al Livello B, i fatti di Ortona, il terminale Giovannone, la serie delle infrazioni certificate e la crisi dell'ottobre 1985 con la coda di governo al Livello A; il versante orientale, con il compendio Mitrokhin e i 261 rapporti Impedian recepiti con la disciplina della fonte al Livello B per le schedature, e il canale finanziario storico al Livello A; il versante occidentale, con il canale fondativo del 1948 al Livello A, la fonte congressuale del 1975-1976, la parabola di Sindona integralmente certificata, l'infrastruttura delle basi e l'enclave di immunità del 1987; e il sistema stay-behind, al Livello A per esistenza continentale con l'innesco Casson, l'elenco dei 622, lo scioglimento del 1990, il conflitto istituzionale e gli impieghi interni al Livello C.</w:t>
      </w:r>
    </w:p>
    <w:p>
      <w:pPr>
        <w:spacing w:after="120" w:line="276"/>
        <w:jc w:val="both"/>
      </w:pPr>
      <w:r>
        <w:rPr>
          <w:rFonts w:ascii="Barlow Semi Condensed" w:cs="Barlow Semi Condensed" w:eastAsia="Barlow Semi Condensed" w:hAnsi="Barlow Semi Condensed"/>
          <w:sz w:val="24"/>
          <w:szCs w:val="24"/>
        </w:rPr>
        <w:t xml:space="preserve">Il secondo versante è quello degli Stati Zero, che la fase eleva a inventario proprio: la connessione operativa Aginter-Hyperion, cercata sull'intero corpus e non trovata, con il solo isomorfismo strutturale certificato; il coordinamento tra la diaspora nera andina e la retrovia piduista atlantica, non documentato; il riscontro tra i profili contemporanei a radici australi e le reti storiche del corpus, condotto integralmente e negativo, con divieto assoluto di inferenza associativa; il coordinamento tra i 2 campi imperiali, cercato in ogni teatro e in ogni stagione e mai documentato; e l'apertura archivistica spontanea, cercata in 15 ordinamenti e assente in tutti. I 5 Stati Zero sono certificati quali risultati di prima classe, ciascuno con il perimetro della ricerca dichiarato.</w:t>
      </w:r>
    </w:p>
    <w:p>
      <w:pPr>
        <w:spacing w:after="120" w:line="276"/>
        <w:jc w:val="both"/>
      </w:pPr>
      <w:r>
        <w:rPr>
          <w:rFonts w:ascii="Barlow Semi Condensed" w:cs="Barlow Semi Condensed" w:eastAsia="Barlow Semi Condensed" w:hAnsi="Barlow Semi Condensed"/>
          <w:sz w:val="24"/>
          <w:szCs w:val="24"/>
        </w:rPr>
        <w:t xml:space="preserve">Il terzo versante è quello degli esiti personali, riportati per esteso in ottemperanza alla disciplina. Gli esiti assolutori definitivi della fase sono: l'assoluzione di Stefano Delle Chiaie per la strage di piazza Fontana, pronunciata dalla Corte d'assise di Catanzaro nel 1989 e confermata in appello nel 1991; e l'assoluzione per insufficienza di prove di Sergej Antonov e dei coimputati bulgari e turchi nel processo sul mandato dell'attentato al pontefice, pronunciata dalla Corte d'assise di Roma nel marzo 1986. Gli esiti di condanna certificati comprendono: le condanne contumaciali dei vertici della DINA pronunciate dalla Corte d'assise di Roma nel 1995 per l'attentato a Bernardo Leighton; gli ergastoli del processo Condor, estesi in appello nel 2019 e definitivi in Cassazione nel 2021; l'ergastolo di Mehmet Ali Ağca per l'attentato del 13 maggio 1981, con la grazia del giugno 2000; le condanne americane e italiane di Michele Sindona, sino all'ergastolo del 18 marzo 1986 per l'omicidio Ambrosoli, con la morte del 22 marzo 1986; la consegna di Cesare Battisti del 14 gennaio 2019 quale esecuzione differita di condanne definitive; e il diniego estradizionale francese del marzo 2023 quale esito ordinamentale sui condannati definitivi rifugiati. Le vittime nominate della fase sono Leon Klinghoffer, assassinato l'8 ottobre 1985 sull'Achille Lauro, Stefano Gaj Taché, il bambino di 2 anni assassinato nella strage della Sinagoga di Roma del 9 ottobre 1982, e Olof Palme, assassinato a Stoccolma il 28 febbraio 1986 con la pista australe al Livello C e la chiusura del 2020 quale esito; le vittime ferite nominate sono Bernardo Leighton e Anita Fresno, colpiti a Roma il 6 ottobre 1975; le vittime plurime delle stragi aeroportuali di Fiumicino, 32 il 17 dicembre 1973 e 13 il 27 dicembre 1985, sono richiamate nel numero con rinvio della nominazione integrale agli atti; a esse la fase salda, per richiamo, il censimento integrale delle vittime delle 4 fasi nazionali, che il repertorio della Fase 4 custodisce.</w:t>
      </w:r>
    </w:p>
    <w:p>
      <w:pPr>
        <w:spacing w:after="120" w:line="276"/>
        <w:jc w:val="both"/>
      </w:pPr>
      <w:r>
        <w:rPr>
          <w:rFonts w:ascii="Barlow Semi Condensed" w:cs="Barlow Semi Condensed" w:eastAsia="Barlow Semi Condensed" w:hAnsi="Barlow Semi Condensed"/>
          <w:sz w:val="24"/>
          <w:szCs w:val="24"/>
        </w:rPr>
        <w:t xml:space="preserve">Il quarto versante è quello dei reperti metodologici: la regolarità delle aperture archivistiche, al Livello A quale legge empirica con la tassonomia delle 5 vie e la gerarchia dei rendimenti; il corollario del lampione, elevato a reperto misurato con la dimostrazione Lisbona-Parigi e con l'autocorrezione applicata all'hub australe; l'asimmetria della prova tra i campi, dichiarata quale condizione e corretta in ogni comparazione; il limite dell'autocertificazione per ogni documentazione a fonte esclusiva, formalizzato sulle liste della rete, sui compendi orientali e sugli elenchi della loggia; la figura del consenso implicito quale configurazione ricorrente delle prassi riservate; la legge della chiusura per scoperta, simmetrica alla legge delle aperture; e la categoria dello Stato Zero, formalizzata quale strumento ordinario con l'inventario del secondo versante.</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che la fase consegna aperti: gli archivi di Hyperion e il perimetro non versato degli archivi italiani, ereditati dalla Fase 4 quali obiettivi; gli archivi dei servizi dei regimi protettori non collassati, per i teatri che la tassonomia colloca fuori dalle 5 vie storicamente date; il mandato dell'attentato del 13 maggio 1981, il massimo accertamento internazionale rimasto senza esito nel corpus; le carte del terminale mediterraneo non versate, con la fonte primaria estinta nel 1985; e la questione della completezza di ogni elenco a fonte esclusiva, dichiarata strutturalmente indecidibile e perciò censita quale buco permanente di specie propria.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9 teatri certificati, 5 Stati Zero con perimetro dichiarato, 2 blocchi di esiti riportati per esteso, 2 vittime nominate con il richiamo integrale al censimento delle fasi nazionali, 4 reperti metodologici e 3 famiglie di buchi aperti; esso costituisce, con il repertorio della Fase 4, il riferimento citabile terminale dell'opera.</w:t>
      </w:r>
    </w:p>
    <w:p>
      <w:pPr>
        <w:pStyle w:val="Heading3"/>
        <w:spacing w:after="80" w:before="160"/>
      </w:pPr>
      <w:r>
        <w:rPr>
          <w:rFonts w:ascii="Barlow Semi Condensed" w:cs="Barlow Semi Condensed" w:eastAsia="Barlow Semi Condensed" w:hAnsi="Barlow Semi Condensed"/>
          <w:sz w:val="24"/>
          <w:szCs w:val="24"/>
        </w:rPr>
        <w:t xml:space="preserve">Chiusura della Fase 5 e dell'opera — I risultati terminali, il verdetto sulle ipotesi e il congedo</w:t>
      </w:r>
    </w:p>
    <w:p>
      <w:pPr>
        <w:spacing w:after="120" w:line="276"/>
        <w:jc w:val="both"/>
      </w:pPr>
      <w:r>
        <w:rPr>
          <w:rFonts w:ascii="Barlow Semi Condensed" w:cs="Barlow Semi Condensed" w:eastAsia="Barlow Semi Condensed" w:hAnsi="Barlow Semi Condensed"/>
          <w:sz w:val="24"/>
          <w:szCs w:val="24"/>
        </w:rPr>
        <w:t xml:space="preserve">La chiusura della fase è la chiusura dell'opera, e il registro vi dichiara i risultati terminali nella forma che il metodo impone, l'inventario ordinato di ciò che 5 fasi hanno certificato.</w:t>
      </w:r>
    </w:p>
    <w:p>
      <w:pPr>
        <w:spacing w:after="120" w:line="276"/>
        <w:jc w:val="both"/>
      </w:pPr>
      <w:r>
        <w:rPr>
          <w:rFonts w:ascii="Barlow Semi Condensed" w:cs="Barlow Semi Condensed" w:eastAsia="Barlow Semi Condensed" w:hAnsi="Barlow Semi Condensed"/>
          <w:sz w:val="24"/>
          <w:szCs w:val="24"/>
        </w:rPr>
        <w:t xml:space="preserve">Il primo risultato è il grafo compiuto. L'opera consegna il registro dei nodi e dei ponti certificati nella sua estensione integrale: le 4 fasi nazionali, i cerchi criminali, il quadrilatero degli apparati e della loggia, lo stragismo con la tassonomia dell'ostruzione, il caso Moro con la decomposizione in 3 piani, e la fase internazionale con i 9 teatri; l'apparato cumulato conta, attraverso le 5 fasi, oltre 50 nodi maggiori, un ordine di 300 pilastri documentali e di 150 triangolazioni, i repertori citabili delle fasi, il censimento integrale delle vittime nominate, i blocchi assolutori riportati per esteso, l'inventario degli Stati Zero e le 3 soglie archivistiche dichiarate del 1981, del 1990 e del 2014 quali condizioni storiche della conoscenza consegnata; e il grafo, costruito dai dati secondo la prescrizione fondativa della Nota metodologica, ha restituito le proprie misure senza che una sola struttura espositiva sia stata organizzata attorno a una tesi, l'adempimento del divieto del pollo di Popper che l'opera ha tenuto quale prima regola dalla prima riga all'ultima.</w:t>
      </w:r>
    </w:p>
    <w:p>
      <w:pPr>
        <w:spacing w:after="120" w:line="276"/>
        <w:jc w:val="both"/>
      </w:pPr>
      <w:r>
        <w:rPr>
          <w:rFonts w:ascii="Barlow Semi Condensed" w:cs="Barlow Semi Condensed" w:eastAsia="Barlow Semi Condensed" w:hAnsi="Barlow Semi Condensed"/>
          <w:sz w:val="24"/>
          <w:szCs w:val="24"/>
        </w:rPr>
        <w:t xml:space="preserve">Il secondo risultato è il verdetto sulle macro-ipotesi, che il registro riepiloga nella formulazione terminale. L'ipotesi H1 della convergenza imperiale esce archiviata viva: fatti di base certificati sino al Livello A nelle contrarietà pubbliche e nella simmetria delle interferenze ordinarie, convergenza oggettiva al Livello B, articolazione misurabile falsificata dal test statistico nullo pre-registrato, coordinamento mai documentato in alcun teatro, e il falsificatore milwardiano integralmente compatibile con ogni fatto certificato; l'ipotesi concorrente dei 2 progetti rivali esce con i propri successi esplicativi censiti e il medesimo statuto ipotetico; tra le 2 il registro dichiara l'evidenza non diagnostica e non decide. La conclusione di merito che l'opera promuove è la formulazione del giugno 2000, verificata quale massimo enunciato sostenuto dall'intero corpus senza residui contrari: non la restaurazione di un regime, ma il mantenimento di una democrazia a sovranità ed evoluzione limitate, con l'esclusione permanente di una parte del sistema dalla piena legittimazione di governo, amministrata attraverso un equilibrio precario continuo; il registro la consegna quale sintesi storiografica fondata, dichiarandone il livello e rifiutando di travestirla da teorema.</w:t>
      </w:r>
    </w:p>
    <w:p>
      <w:pPr>
        <w:spacing w:after="120" w:line="276"/>
        <w:jc w:val="both"/>
      </w:pPr>
      <w:r>
        <w:rPr>
          <w:rFonts w:ascii="Barlow Semi Condensed" w:cs="Barlow Semi Condensed" w:eastAsia="Barlow Semi Condensed" w:hAnsi="Barlow Semi Condensed"/>
          <w:sz w:val="24"/>
          <w:szCs w:val="24"/>
        </w:rPr>
        <w:t xml:space="preserve">Il terzo risultato è la mappa terminale delle centralità. La loggia P2 chiude quale massima intermediazione complessiva del grafo, presente in tutti i teatri maggiori nazionali con proiezione transnazionale certificata; il Dominio 3 quale connettivo universale; Michele Sindona e Licio Gelli quali massime intermediazioni individuali tra domini e continenti; Giuseppe Calò quale individuo con il maggior numero di giudicati capitali; il Sudafrica dell'apartheid quale hub inter-dossier del teatro internazionale; il nodo triestino quale massima stratificazione documentale con i suoi 7 strati indipendenti; e Mario Moretti quale massima centralità esecutiva individuale, ereditata dalla Fase 4. La mappa è consegnata quale misura, non quale gerarchia di colpe, secondo la distinzione che l'opera ha tenuto tra la posizione nella rete e la responsabilità nel giudizio, la seconda appartenendo soltanto agli esiti riportati.</w:t>
      </w:r>
    </w:p>
    <w:p>
      <w:pPr>
        <w:spacing w:after="120" w:line="276"/>
        <w:jc w:val="both"/>
      </w:pPr>
      <w:r>
        <w:rPr>
          <w:rFonts w:ascii="Barlow Semi Condensed" w:cs="Barlow Semi Condensed" w:eastAsia="Barlow Semi Condensed" w:hAnsi="Barlow Semi Condensed"/>
          <w:sz w:val="24"/>
          <w:szCs w:val="24"/>
        </w:rPr>
        <w:t xml:space="preserve">Il quarto risultato è il lascito metodologico. L'opera consegna alla ricerca gli strumenti che le 5 fasi hanno collaudato: i 3 livelli di certificazione con l'obbligo del livello dichiarato su ogni enunciato; la Regola Ferrea del divieto inferenziale; la disciplina degli esiti con le assoluzioni per esteso; la nominazione delle vittime; la decomposizione in piani; la tassonomia dell'ostruzione e la figura complementare dell'assenza selettiva; la categoria dello Stato Zero con il perimetro dichiarato; la legge empirica delle aperture con la tassonomia delle 5 vie; e il corollario del lampione quale correzione permanente delle comparazioni. Il registro dichiara che questi strumenti, e non le conclusioni, sono il prodotto primario dell'opera, giacché le conclusioni invecchieranno con gli archivi e gli strumenti no.</w:t>
      </w:r>
    </w:p>
    <w:p>
      <w:pPr>
        <w:spacing w:after="120" w:line="276"/>
        <w:jc w:val="both"/>
      </w:pPr>
      <w:r>
        <w:rPr>
          <w:rFonts w:ascii="Barlow Semi Condensed" w:cs="Barlow Semi Condensed" w:eastAsia="Barlow Semi Condensed" w:hAnsi="Barlow Semi Condensed"/>
          <w:sz w:val="24"/>
          <w:szCs w:val="24"/>
        </w:rPr>
        <w:t xml:space="preserve">Il quinto risultato è la mappa dei teatri e delle loro leggi. La fase consegna i 9 teatri internazionali ciascuno con la propria legge certificata: il ceppo iberico con la legge della copertura reale e della conoscibilità per collasso; il continente latinoamericano con la legge del rifugio per frattura giurisdizionale e l'unico caso di giustiziabilità piena del livello internazionale, il processo Condor; l'hub australe con la legge dell'irriducibilità bipolare e l'autocorrezione del lampione applicata al proprio primato; il santuario francese con la legge della protezione territoriale divenuta barriera; il Mediterraneo con la legge del consenso implicito e dei limiti di sangue certificati; l'Est con la legge della prova differita al collasso e della questione strutturalmente inaccertabile; l'Atlantico con la legge dell'autocritica imperiale quale fonte derivata della conoscenza italiana; il sistema stay-behind con la legge della chiusura per scoperta; e l'empirica degli archivi quale legge delle leggi, la regolarità che le governa tutte. La mappa è consegnata quale sintesi operativa del quinto cerchio, il livello dell'opera in cui ogni teatro ha restituito, oltre ai propri fatti, la propria regola.</w:t>
      </w:r>
    </w:p>
    <w:p>
      <w:pPr>
        <w:spacing w:after="120" w:line="276"/>
        <w:jc w:val="both"/>
      </w:pPr>
      <w:r>
        <w:rPr>
          <w:rFonts w:ascii="Barlow Semi Condensed" w:cs="Barlow Semi Condensed" w:eastAsia="Barlow Semi Condensed" w:hAnsi="Barlow Semi Condensed"/>
          <w:sz w:val="24"/>
          <w:szCs w:val="24"/>
        </w:rPr>
        <w:t xml:space="preserve">Il congedo è una dichiarazione di statuto. L'opera si chiude provvisoria per costituzione, datata alla configurazione archivistica del proprio tempo, con gli obiettivi consegnati, gli archivi francesi, il non versato italiano, gli archivi dei protettori non caduti, e con la certezza empirica che nessuna soglia futura verrà da sé; essa non consegna una verità sul potere occulto italiano, consegna l'inventario verificato di ciò che del potere occulto italiano è dimostrabile alla data, con i suoi livelli, i suoi vuoti e le sue ipotesi vive, e rivendica quale proprio compimento esattamente questa forma: in un campo dove l'oggetto di studio manipola le condizioni della propria osservabilità, avere reso ogni affermazione falsificabile, ogni assenza dichiarata e ogni metodo trasparente è la sola vittoria che la conoscenza possa conseguire. L'opera fu aperta, nella sua Nota fondativa, con il monito di Falcone sulla natura umana e perciò conoscibile del fatto criminale, e si chiude sulla sua verifica: 5 fasi hanno dimostrato che il fatto umano occulto è conoscibile nella misura in cui le sue tracce sopravvivono e i suoi archivi si aprono, che questa misura è storica e non teorica, e che il compito della conoscenza, dentro questa misura, è tenerne il registro con una probità tale che ogni riga possa essere impugnata; il registro dei nodi e dei ponti certificati è consegnato al lettore, alla ricerca e al tempo, citabile e aperto, e con esso l'opera adempie la sola promessa che aveva fatto, quella del metodo.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l'opera si chiude con il grafo compiuto delle 5 fasi, il verdetto che archivia vive le 2 macro-ipotesi sotto evidenza non diagnostica, la promozione della formulazione del giugno 2000 quale massima sintesi fondata, la mappa terminale delle centralità con la loggia quale massima intermediazione e i ponti individuali certificati, il lascito degli strumenti quale prodotto primario e la dichiarazione di provvisorietà archivistica quale statuto; il registro dei nodi e dei ponti certificati è consegnato, citabile e aperto.</w:t>
      </w:r>
    </w:p>
    <w:p>
      <w:pPr>
        <w:pStyle w:val="Heading2"/>
        <w:spacing w:after="100" w:before="200"/>
      </w:pPr>
      <w:r>
        <w:rPr>
          <w:rFonts w:ascii="Barlow Semi Condensed" w:cs="Barlow Semi Condensed" w:eastAsia="Barlow Semi Condensed" w:hAnsi="Barlow Semi Condensed"/>
          <w:sz w:val="24"/>
          <w:szCs w:val="24"/>
        </w:rPr>
        <w:t xml:space="preserve">APPARATO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Registro di Verifica e Triangolazione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Otto tranche — 538 blocchi certificati</w:t>
      </w:r>
    </w:p>
    <w:p>
      <w:pPr>
        <w:pStyle w:val="Heading3"/>
        <w:spacing w:after="80" w:before="160"/>
      </w:pPr>
      <w:r>
        <w:rPr>
          <w:rFonts w:ascii="Barlow Semi Condensed" w:cs="Barlow Semi Condensed" w:eastAsia="Barlow Semi Condensed" w:hAnsi="Barlow Semi Condensed"/>
          <w:sz w:val="24"/>
          <w:szCs w:val="24"/>
        </w:rPr>
        <w:t xml:space="preserve">Avvertenza di lettura</w:t>
      </w:r>
    </w:p>
    <w:p>
      <w:pPr>
        <w:spacing w:after="120" w:line="276"/>
        <w:jc w:val="both"/>
      </w:pPr>
      <w:r>
        <w:rPr>
          <w:rFonts w:ascii="Barlow Semi Condensed" w:cs="Barlow Semi Condensed" w:eastAsia="Barlow Semi Condensed" w:hAnsi="Barlow Semi Condensed"/>
          <w:sz w:val="24"/>
          <w:szCs w:val="24"/>
        </w:rPr>
        <w:t xml:space="preserve">Questo documento non è una narrazione a tesi. È un registro di verifica costruito applicando alla lettera il vincolo epistemologico più stringente della Nota Metodologica di ITALIA NERA: la struttura dell’opera non deve irradiare da un’ipotesi, ma dai dati. La stessa Nota indica come esempio di ciò che va evitato la formula secondo cui Stati Uniti e Unione Sovietica convergerebbero segretamente per impedire l’integrazione europea, disposta in cerchi concentrici attorno a quel centro interpretativo. Organizzare il materiale attorno a quella tesi collocherebbe l’analista nella posizione del tacchino di Russell descritta da Popper: accumulerebbe conferme senza mai sottoporre l’ipotesi alla prova della falsificazione. Per questa ragione il presente registro tratta quella tesi come una delle ipotesi in competizione, non come cornice, e la sottopone al vaglio dell’Analysis of Competing Hypotheses.</w:t>
      </w:r>
    </w:p>
    <w:p>
      <w:pPr>
        <w:spacing w:after="120" w:line="276"/>
        <w:jc w:val="both"/>
      </w:pPr>
      <w:r>
        <w:rPr>
          <w:rFonts w:ascii="Barlow Semi Condensed" w:cs="Barlow Semi Condensed" w:eastAsia="Barlow Semi Condensed" w:hAnsi="Barlow Semi Condensed"/>
          <w:sz w:val="24"/>
          <w:szCs w:val="24"/>
        </w:rPr>
        <w:t xml:space="preserve">Ogni asserzione è accompagnata dalla sua classificazione probatoria secondo la scala di triangolazione Savona adottata dall’opera: Livello A per la connessione documentata da almeno tre fonti indipendenti di natura diversa; Livello B per la connessione indiziaria sorretta da due fonti indipendenti o da una singola fonte di alta affidabilità; Livello C per la connessione ipotetica basata su una fonte singola o su indizi circostanziali. Una connessione sistematicamente cercata e non trovata è registrata come Stato Zero, che nella metodologia dell’opera è un risultato di prima classe, non una lacuna da colmare. Vige su ogni riga la Regola Ferrea: nessun salto inferenziale tra piani probatori distinti, e in particolare il divieto di inferire il mandato dalla copertura.</w:t>
      </w:r>
    </w:p>
    <w:p>
      <w:pPr>
        <w:spacing w:after="120" w:line="276"/>
        <w:jc w:val="both"/>
      </w:pPr>
      <w:r>
        <w:rPr>
          <w:rFonts w:ascii="Barlow Semi Condensed" w:cs="Barlow Semi Condensed" w:eastAsia="Barlow Semi Condensed" w:hAnsi="Barlow Semi Condensed"/>
          <w:sz w:val="24"/>
          <w:szCs w:val="24"/>
        </w:rPr>
        <w:t xml:space="preserve">Il documento distingue con rigore tre statuti del sapere che il linguaggio corrente tende a confondere: il fatto storico documentato, l’accusa formulata da una fonte qualificata ma non accertata in giudizio, e la mera associazione o coincidenza. Per le persone viventi nominate il registro riporta esclusivamente fatti pubblici e documentati, senza inferenza associativa; le caratterizzazioni provenienti da inchieste giornalistiche o da rapporti di organizzazioni specializzate sono attribuite alla loro fonte e non presentate come verità processuali. La Fase V è dedicata per intero al vaglio dei possibili rilievi civili e penali, in materia di diffamazione e di calunnia, e al protocollo redazionale che ne discende.</w:t>
      </w:r>
    </w:p>
    <w:p>
      <w:pPr>
        <w:pStyle w:val="Heading3"/>
        <w:spacing w:after="80" w:before="160"/>
      </w:pPr>
      <w:r>
        <w:rPr>
          <w:rFonts w:ascii="Barlow Semi Condensed" w:cs="Barlow Semi Condensed" w:eastAsia="Barlow Semi Condensed" w:hAnsi="Barlow Semi Condensed"/>
          <w:sz w:val="24"/>
          <w:szCs w:val="24"/>
        </w:rPr>
        <w:t xml:space="preserve">FASE 0 — PREMESSA EPISTEMOLOGICA E PROTOCOLLO OPERATIVO</w:t>
      </w:r>
    </w:p>
    <w:p>
      <w:pPr>
        <w:spacing w:after="120" w:line="276"/>
        <w:jc w:val="both"/>
      </w:pPr>
      <w:r>
        <w:rPr>
          <w:rFonts w:ascii="Barlow Semi Condensed" w:cs="Barlow Semi Condensed" w:eastAsia="Barlow Semi Condensed" w:hAnsi="Barlow Semi Condensed"/>
          <w:sz w:val="24"/>
          <w:szCs w:val="24"/>
        </w:rPr>
        <w:t xml:space="preserve">0.1 — Oggetto, perimetro e limiti del documento</w:t>
      </w:r>
    </w:p>
    <w:p>
      <w:pPr>
        <w:spacing w:after="120" w:line="276"/>
        <w:jc w:val="both"/>
      </w:pPr>
      <w:r>
        <w:rPr>
          <w:rFonts w:ascii="Barlow Semi Condensed" w:cs="Barlow Semi Condensed" w:eastAsia="Barlow Semi Condensed" w:hAnsi="Barlow Semi Condensed"/>
          <w:sz w:val="24"/>
          <w:szCs w:val="24"/>
        </w:rPr>
        <w:t xml:space="preserve">Il registro triangola il contenuto integrale di un corpus documentale eterogeneo, composto dai materiali allegati e dagli approfondimenti tematici prodotti nell’ambito del progetto. Il corpus copre due oggetti storicamente e cronologicamente distinti. Il primo è una rete transnazionale di matrice controrivoluzionaria e anticomunista che si struttura all’indomani della Seconda guerra mondiale, salda la diaspora nazista, gli apparati iberici, il neofascismo italiano in fuga, la Loggia P2 e il terrore coordinato del Cono Sur. Il secondo è un’operazione di influenza contemporanea, diretta dalla Federazione Russa e da attori ad essa collegati, finalizzata all’erosione dell’ordine euro-atlantico dall’interno. Il documento ricostruisce ciascuna formazione con la propria gradazione probatoria, ne analizza la struttura secondo le misure e i pattern della network analysis, e infine mette le due formazioni a confronto per stabilire cosa il corpus autorizzi effettivamente a inferire sul loro rapporto.</w:t>
      </w:r>
    </w:p>
    <w:p>
      <w:pPr>
        <w:spacing w:after="120" w:line="276"/>
        <w:jc w:val="both"/>
      </w:pPr>
      <w:r>
        <w:rPr>
          <w:rFonts w:ascii="Barlow Semi Condensed" w:cs="Barlow Semi Condensed" w:eastAsia="Barlow Semi Condensed" w:hAnsi="Barlow Semi Condensed"/>
          <w:sz w:val="24"/>
          <w:szCs w:val="24"/>
        </w:rPr>
        <w:t xml:space="preserve">Il perimetro è definito anche in negativo. Il documento non attribuisce responsabilità penali che non risultino da sentenze; non promuove congetture al rango di fatti; non ricostruisce l’architettura interna di operazioni che darebbero istruzioni operative; non fornisce consulenza legale. La ricognizione dei profili di responsabilità civile e penale che l’opera contiene è informazione generale di orientamento, non parere professionale.</w:t>
      </w:r>
    </w:p>
    <w:p>
      <w:pPr>
        <w:spacing w:after="120" w:line="276"/>
        <w:jc w:val="both"/>
      </w:pPr>
      <w:r>
        <w:rPr>
          <w:rFonts w:ascii="Barlow Semi Condensed" w:cs="Barlow Semi Condensed" w:eastAsia="Barlow Semi Condensed" w:hAnsi="Barlow Semi Condensed"/>
          <w:sz w:val="24"/>
          <w:szCs w:val="24"/>
        </w:rPr>
        <w:t xml:space="preserve">0.2 — Perché la struttura non irradia da un’ipotesi</w:t>
      </w:r>
    </w:p>
    <w:p>
      <w:pPr>
        <w:spacing w:after="120" w:line="276"/>
        <w:jc w:val="both"/>
      </w:pPr>
      <w:r>
        <w:rPr>
          <w:rFonts w:ascii="Barlow Semi Condensed" w:cs="Barlow Semi Condensed" w:eastAsia="Barlow Semi Condensed" w:hAnsi="Barlow Semi Condensed"/>
          <w:sz w:val="24"/>
          <w:szCs w:val="24"/>
        </w:rPr>
        <w:t xml:space="preserve">La scelta di non organizzare il materiale in cerchi concentrici attorno a una tesi non è una preferenza stilistica: è la traduzione operativa del falsificazionismo. Popper mostra che nessuna quantità di osservazioni conformi dimostra una legge universale, mentre una sola osservazione contraria la falsifica. Una struttura che dispone i dati attorno a un centro interpretativo produce conferme per effetto della propria forma, non per forza intrinseca dell’evidenza: è la struttura stessa a generare il consenso apparente. Il registro adotta perciò l’architettura opposta. Ricostruisce prima, e separatamente, le due formazioni empiriche che emergono dal corpus; solo dopo, e come esito del vaglio, formula il giudizio sulla loro relazione. In questo modo il momento della prova precede il momento della sintesi, secondo la distinzione — cardine della metodologia dell’opera — tra ordine dell’esposizione e ordine della prova.</w:t>
      </w:r>
    </w:p>
    <w:p>
      <w:pPr>
        <w:spacing w:after="120" w:line="276"/>
        <w:jc w:val="both"/>
      </w:pPr>
      <w:r>
        <w:rPr>
          <w:rFonts w:ascii="Barlow Semi Condensed" w:cs="Barlow Semi Condensed" w:eastAsia="Barlow Semi Condensed" w:hAnsi="Barlow Semi Condensed"/>
          <w:sz w:val="24"/>
          <w:szCs w:val="24"/>
        </w:rPr>
        <w:t xml:space="preserve">0.3 — Le ipotesi in competizione e il metodo ACH</w:t>
      </w:r>
    </w:p>
    <w:p>
      <w:pPr>
        <w:spacing w:after="120" w:line="276"/>
        <w:jc w:val="both"/>
      </w:pPr>
      <w:r>
        <w:rPr>
          <w:rFonts w:ascii="Barlow Semi Condensed" w:cs="Barlow Semi Condensed" w:eastAsia="Barlow Semi Condensed" w:hAnsi="Barlow Semi Condensed"/>
          <w:sz w:val="24"/>
          <w:szCs w:val="24"/>
        </w:rPr>
        <w:t xml:space="preserve">Il corpus è vagliato rispetto a tre ipotesi esplicite, secondo la procedura dell’Analysis of Competing Hypotheses di Richards Heuer, che impone di valutare non quale ipotesi accumuli più conferme — perché tutte tendono ad accumularne — ma quale sia meno contraddetta dalle evidenze diagnostiche. La prima ipotesi, denominata H1, è la tesi del condominio: Stati Uniti e Unione Sovietica, poi Stati Uniti e Russia, pur essendo avversari, agirebbero di concerto per indebolire i singoli Stati europei e impedire l’integrazione. La seconda ipotesi, denominata H2, è la tesi delle due internazionali rivali: esistono, in due epoche successive, due formazioni autoritarie transnazionali distinte e in larga parte opposte quanto a sponsor — una a matrice atlantica e anticomunista, l’altra a matrice eurasiatista — che condividono però la funzione di destabilizzare il centro liberale a partire dal fianco. La terza ipotesi, denominata H3, è l’ipotesi nulla o della convergenza emergente: gli effetti destabilizzanti convergenti non presuppongono coordinamento, ma discendono da interessi paralleli e indipendenti che l’osservatore retrospettivo tende a leggere come disegno. La Fase IV espone la matrice di consistenza e il giudizio.</w:t>
      </w:r>
    </w:p>
    <w:p>
      <w:pPr>
        <w:spacing w:after="120" w:line="276"/>
        <w:jc w:val="both"/>
      </w:pPr>
      <w:r>
        <w:rPr>
          <w:rFonts w:ascii="Barlow Semi Condensed" w:cs="Barlow Semi Condensed" w:eastAsia="Barlow Semi Condensed" w:hAnsi="Barlow Semi Condensed"/>
          <w:sz w:val="24"/>
          <w:szCs w:val="24"/>
        </w:rPr>
        <w:t xml:space="preserve">0.4 — Standard probatorio: i tre livelli Savona e la Regola Ferrea</w:t>
      </w:r>
    </w:p>
    <w:p>
      <w:pPr>
        <w:spacing w:after="120" w:line="276"/>
        <w:jc w:val="both"/>
      </w:pPr>
      <w:r>
        <w:rPr>
          <w:rFonts w:ascii="Barlow Semi Condensed" w:cs="Barlow Semi Condensed" w:eastAsia="Barlow Semi Condensed" w:hAnsi="Barlow Semi Condensed"/>
          <w:sz w:val="24"/>
          <w:szCs w:val="24"/>
        </w:rPr>
        <w:t xml:space="preserve">La scala di attendibilità replica lo standard di triangolazione delle fonti. Una connessione è certificata a Livello A quando convergono almeno tre fonti indipendenti di natura eterogenea: ad esempio un provvedimento sanzionatorio istituzionale, un’inchiesta giornalistica documentata e un’analisi tecnica di soggetti specializzati. È classificata a Livello B quando poggia su due fonti indipendenti oppure su una singola fonte di alta affidabilità, come una relazione parlamentare circostanziata o un documento desecretato. È marcata a Livello C quando si fonda su una fonte singola o su una convergenza di indizi circostanziali, ossia coincidenza temporale, prossimità geografica, appartenenza al medesimo ambiente. La Regola Ferrea impedisce di trasformare un livello inferiore in uno superiore per accumulo narrativo: la ripetizione di un indizio non lo promuove a prova, e la dimostrazione che un fatto è stato coperto non dimostra chi lo abbia ordinato.</w:t>
      </w:r>
    </w:p>
    <w:p>
      <w:pPr>
        <w:spacing w:after="120" w:line="276"/>
        <w:jc w:val="both"/>
      </w:pPr>
      <w:r>
        <w:rPr>
          <w:rFonts w:ascii="Barlow Semi Condensed" w:cs="Barlow Semi Condensed" w:eastAsia="Barlow Semi Condensed" w:hAnsi="Barlow Semi Condensed"/>
          <w:sz w:val="24"/>
          <w:szCs w:val="24"/>
        </w:rPr>
        <w:t xml:space="preserve">0.5 — Disciplina delle persone viventi e vaglio dei rilievi</w:t>
      </w:r>
    </w:p>
    <w:p>
      <w:pPr>
        <w:spacing w:after="120" w:line="276"/>
        <w:jc w:val="both"/>
      </w:pPr>
      <w:r>
        <w:rPr>
          <w:rFonts w:ascii="Barlow Semi Condensed" w:cs="Barlow Semi Condensed" w:eastAsia="Barlow Semi Condensed" w:hAnsi="Barlow Semi Condensed"/>
          <w:sz w:val="24"/>
          <w:szCs w:val="24"/>
        </w:rPr>
        <w:t xml:space="preserve">Il corpus nomina persone viventi, alcune delle quali titolari di cariche pubbliche. Per esse il registro applica una disciplina rigorosa: riferisce solo fatti pubblici e documentati — un accordo sottoscritto, un’espulsione da un gruppo parlamentare, una partecipazione a una missione di osservazione — e si astiene da ogni inferenza associativa che trasformi la contiguità in complicità. Le qualificazioni discreditanti che provengono da inchieste o da rapporti di organizzazioni non governative sono presentate come tesi della fonte, con indicazione della fonte, e non come accertamenti. Questa disciplina non è cautela formale: come la Fase V argomenta, è precisamente la presentazione di un’accusa non provata come fatto certo a generare l’esposizione civile e penale che il progetto intende scongiurare. La protezione non consiste nel certificare, ma nel graduare e nell’attribuire.</w:t>
      </w:r>
    </w:p>
    <w:p>
      <w:pPr>
        <w:spacing w:after="120" w:line="276"/>
        <w:jc w:val="both"/>
      </w:pPr>
      <w:r>
        <w:rPr>
          <w:rFonts w:ascii="Barlow Semi Condensed" w:cs="Barlow Semi Condensed" w:eastAsia="Barlow Semi Condensed" w:hAnsi="Barlow Semi Condensed"/>
          <w:sz w:val="24"/>
          <w:szCs w:val="24"/>
        </w:rPr>
        <w:t xml:space="preserve">0.6 — Ambito e trasparenza della verifica effettuata</w:t>
      </w:r>
    </w:p>
    <w:p>
      <w:pPr>
        <w:spacing w:after="120" w:line="276"/>
        <w:jc w:val="both"/>
      </w:pPr>
      <w:r>
        <w:rPr>
          <w:rFonts w:ascii="Barlow Semi Condensed" w:cs="Barlow Semi Condensed" w:eastAsia="Barlow Semi Condensed" w:hAnsi="Barlow Semi Condensed"/>
          <w:sz w:val="24"/>
          <w:szCs w:val="24"/>
        </w:rPr>
        <w:t xml:space="preserve">L’ordine di eseguire un vaglio a cascata su cento blocchi va inteso come processo iterativo e pluri-sessione, coerente con la pratica cumulativa dell’opera, che conserva ogni versione e la incrementa. Il presente documento costituisce la prima tranche certificata di quel processo. La verifica indipendente è stata concentrata, in questa fase, sulle asserzioni a più alto rischio: quelle contemporanee, verificabili in fonti primarie recenti, e quelle relative a persone viventi, dove l’esattezza è insieme un dovere metodologico e una tutela legale. Il materiale storico — ratlines, P2, Condor, elusione dell’embargo dell’apartheid — poggia su un corpo consolidato di documentazione accademica, giudiziaria e archivistica, e i documenti del corpus ne citano le fonti; per esso il registro rinvia a quel corpo e ne certifica i nodi principali. La Fase VI riporta in forma di schede in prosa i blocchi di verifica effettivamente eseguiti, con esito e livello, e dichiara con trasparenza i blocchi rinviati alle tranche successive.</w:t>
      </w:r>
    </w:p>
    <w:p>
      <w:pPr>
        <w:pStyle w:val="Heading3"/>
        <w:spacing w:after="80" w:before="160"/>
      </w:pPr>
      <w:r>
        <w:rPr>
          <w:rFonts w:ascii="Barlow Semi Condensed" w:cs="Barlow Semi Condensed" w:eastAsia="Barlow Semi Condensed" w:hAnsi="Barlow Semi Condensed"/>
          <w:sz w:val="24"/>
          <w:szCs w:val="24"/>
        </w:rPr>
        <w:t xml:space="preserve">FASE I — FORMAZIONE ALFA: LA RETE NERA ANTICOMUNISTA TRANSNAZIONALE (1945–1990)</w:t>
      </w:r>
    </w:p>
    <w:p>
      <w:pPr>
        <w:spacing w:after="120" w:line="276"/>
        <w:jc w:val="both"/>
      </w:pPr>
      <w:r>
        <w:rPr>
          <w:rFonts w:ascii="Barlow Semi Condensed" w:cs="Barlow Semi Condensed" w:eastAsia="Barlow Semi Condensed" w:hAnsi="Barlow Semi Condensed"/>
          <w:sz w:val="24"/>
          <w:szCs w:val="24"/>
        </w:rPr>
        <w:t xml:space="preserve">La prima formazione si dispone lungo un asse temporale che muove dal 1945 e lungo un asse spaziale che dall’Europa continentale procede verso la penisola iberica, poi verso il Sud America e infine verso l’Africa australe. Il criterio espositivo è geografico-processuale: si segue il flusso — di persone, competenze, capitali e violenza — così come esso attraversa i domini e le frontiere. Il codice che tiene insieme la formazione, nel senso sistemico dell’opera, è l’anticomunismo radicale; la sua collocazione geopolitica, come il capitolo conclusivo della Fase argomenta, è di allineamento con l’anticomunismo occidentale, non di equidistanza tra i blocchi.</w:t>
      </w:r>
    </w:p>
    <w:p>
      <w:pPr>
        <w:spacing w:after="120" w:line="276"/>
        <w:jc w:val="both"/>
      </w:pPr>
      <w:r>
        <w:rPr>
          <w:rFonts w:ascii="Barlow Semi Condensed" w:cs="Barlow Semi Condensed" w:eastAsia="Barlow Semi Condensed" w:hAnsi="Barlow Semi Condensed"/>
          <w:sz w:val="24"/>
          <w:szCs w:val="24"/>
        </w:rPr>
        <w:t xml:space="preserve">1.1 — La diaspora nazista e le ratlines: il fatto documentato</w:t>
      </w:r>
    </w:p>
    <w:p>
      <w:pPr>
        <w:spacing w:after="120" w:line="276"/>
        <w:jc w:val="both"/>
      </w:pPr>
      <w:r>
        <w:rPr>
          <w:rFonts w:ascii="Barlow Semi Condensed" w:cs="Barlow Semi Condensed" w:eastAsia="Barlow Semi Condensed" w:hAnsi="Barlow Semi Condensed"/>
          <w:sz w:val="24"/>
          <w:szCs w:val="24"/>
        </w:rPr>
        <w:t xml:space="preserve">Che decine di migliaia di criminali di guerra e collaborazionisti nazisti siano sfuggiti alla giustizia rifugiandosi oltreoceano nel dopoguerra è acquisizione storiografica consolidata, non congettura: è pertanto certificato a Livello A. Le stime più accreditate collocano nella sola area sudamericana un numero dell’ordine di alcune migliaia di individui, con l’Argentina di Juan Domingo Perón come polo principale di accoglienza. La documentazione converge nell’indicare tre elementi ricorrenti del meccanismo di esfiltrazione: il rilascio di documenti di viaggio, spesso lasciapassare del Comitato Internazionale della Croce Rossa ottenuti con generalità false; la mediazione di settori ecclesiastici, con figure come il vescovo Alois Hudal a Roma e, sul versante argentino, l’azione del cardinale Antonio Caggiano; e l’esistenza di canali logistici stabili lungo la direttrice che dall’Italia settentrionale conduceva ai porti di imbarco.</w:t>
      </w:r>
    </w:p>
    <w:p>
      <w:pPr>
        <w:spacing w:after="120" w:line="276"/>
        <w:jc w:val="both"/>
      </w:pPr>
      <w:r>
        <w:rPr>
          <w:rFonts w:ascii="Barlow Semi Condensed" w:cs="Barlow Semi Condensed" w:eastAsia="Barlow Semi Condensed" w:hAnsi="Barlow Semi Condensed"/>
          <w:sz w:val="24"/>
          <w:szCs w:val="24"/>
        </w:rPr>
        <w:t xml:space="preserve">La distinzione tra il dato documentato e il mito è qui essenziale. L’esistenza di vie di fuga strutturate è a Livello A; l’immagine di un’unica organizzazione centralizzata denominata ODESSA, dotata di comando unitario, appartiene invece alla vulgata e va classificata a Livello C, poiché la ricerca storica documenta piuttosto una pluralità di reti parzialmente sovrapposte — la cosiddetta linea dei conventi, i circuiti di reduci, gli sportelli consolari compiacenti — più che un apparato unico. I casi individuali meglio accertati confermano il meccanismo senza richiedere l’ipotesi centralistica: la fuga di Adolf Eichmann in Argentina e la sua successiva cattura, la lunga latitanza di Josef Mengele tra Argentina, Paraguay e Brasile, la protezione di cui godette Klaus Barbie in Bolivia, la fuga di Franz Stangl. Ciascuno di questi percorsi è documentato a Livello A; la loro riconduzione a un’unica regia è un’inferenza che il corpus non sostiene.</w:t>
      </w:r>
    </w:p>
    <w:p>
      <w:pPr>
        <w:spacing w:after="120" w:line="276"/>
        <w:jc w:val="both"/>
      </w:pPr>
      <w:r>
        <w:rPr>
          <w:rFonts w:ascii="Barlow Semi Condensed" w:cs="Barlow Semi Condensed" w:eastAsia="Barlow Semi Condensed" w:hAnsi="Barlow Semi Condensed"/>
          <w:sz w:val="24"/>
          <w:szCs w:val="24"/>
        </w:rPr>
        <w:t xml:space="preserve">1.2 — L’hub iberico: economia, esfiltrazione, ideologia</w:t>
      </w:r>
    </w:p>
    <w:p>
      <w:pPr>
        <w:spacing w:after="120" w:line="276"/>
        <w:jc w:val="both"/>
      </w:pPr>
      <w:r>
        <w:rPr>
          <w:rFonts w:ascii="Barlow Semi Condensed" w:cs="Barlow Semi Condensed" w:eastAsia="Barlow Semi Condensed" w:hAnsi="Barlow Semi Condensed"/>
          <w:sz w:val="24"/>
          <w:szCs w:val="24"/>
        </w:rPr>
        <w:t xml:space="preserve">La penisola iberica funziona, nel dopoguerra, come camera di compensazione tra l’Europa sconfitta e le rotte atlantiche. La documentazione converge su un nucleo di elementi certificabili a Livello A o a Livello B. Sul piano economico, la persistenza di strutture d’affari tedesche in Spagna — attorno a figure come Johannes Bernhardt e al gruppo SOFINDUS — costituisce il retroterra materiale che finanzia e occulta. Sul piano dell’assistenza ai latitanti, l’attività di reti di sostegno legate ad ambienti falangisti, con figure come Clara Stauffer, è documentata. Sul versante alleato, l’operazione Safehaven, condotta per rintracciare e neutralizzare i capitali e i beni trafugati dal Reich, testimonia in negativo l’esistenza stessa di quei flussi.</w:t>
      </w:r>
    </w:p>
    <w:p>
      <w:pPr>
        <w:spacing w:after="120" w:line="276"/>
        <w:jc w:val="both"/>
      </w:pPr>
      <w:r>
        <w:rPr>
          <w:rFonts w:ascii="Barlow Semi Condensed" w:cs="Barlow Semi Condensed" w:eastAsia="Barlow Semi Condensed" w:hAnsi="Barlow Semi Condensed"/>
          <w:sz w:val="24"/>
          <w:szCs w:val="24"/>
        </w:rPr>
        <w:t xml:space="preserve">Attorno a questo hub gravitano figure-cerniera di lungo periodo la cui rilevanza è strutturale più che numerica, secondo la logica della betweenness centrality: individui poco visibili al pubblico ma cruciali per collegare ambienti altrimenti disconnessi. Il collaborazionista belga Léon Degrelle trova rifugio e continuità politica in Spagna. Soprattutto Otto Skorzeny opera come snodo tra il mondo dei reduci, i servizi e il mercato della sicurezza: la sua associazione con circuiti di mutuo soccorso tra ex combattenti e, in fase successiva, con strutture di consulenza paramilitare come il gruppo Paladin, è documentata a Livello B, mentre le versioni massimaliste che ne fanno il regista di un’unica internazionale nera restano a Livello C. La rete iberica illustra un pattern che ricorrerà: la saldatura tra un retroterra economico, una copertura ideologica e una capacità operativa di sicurezza.</w:t>
      </w:r>
    </w:p>
    <w:p>
      <w:pPr>
        <w:spacing w:after="120" w:line="276"/>
        <w:jc w:val="both"/>
      </w:pPr>
      <w:r>
        <w:rPr>
          <w:rFonts w:ascii="Barlow Semi Condensed" w:cs="Barlow Semi Condensed" w:eastAsia="Barlow Semi Condensed" w:hAnsi="Barlow Semi Condensed"/>
          <w:sz w:val="24"/>
          <w:szCs w:val="24"/>
        </w:rPr>
        <w:t xml:space="preserve">1.3 — Il ponte italiano: il neofascismo in fuga</w:t>
      </w:r>
    </w:p>
    <w:p>
      <w:pPr>
        <w:spacing w:after="120" w:line="276"/>
        <w:jc w:val="both"/>
      </w:pPr>
      <w:r>
        <w:rPr>
          <w:rFonts w:ascii="Barlow Semi Condensed" w:cs="Barlow Semi Condensed" w:eastAsia="Barlow Semi Condensed" w:hAnsi="Barlow Semi Condensed"/>
          <w:sz w:val="24"/>
          <w:szCs w:val="24"/>
        </w:rPr>
        <w:t xml:space="preserve">Il neofascismo italiano costituisce il ponte che collega l’eredità europea alla sua proiezione sudamericana. Dopo la stagione della cosiddetta strategia della tensione e sotto la pressione delle inchieste, alcuni esponenti dell’eversione di destra lasciano l’Italia e trovano impiego e protezione oltreoceano. La figura emblematica è Stefano Delle Chiaie, fondatore di Avanguardia Nazionale, la cui traiettoria attraverso Spagna, Cile, Bolivia e altri Paesi del continente è documentata a Livello A dalle risultanze giudiziarie e archivistiche. Analoga la parabola di altri militanti di area — tra cui Elio Massagrande — che si inseriscono nei circuiti di sicurezza dei regimi. La rilevanza di questo ponte non è quantitativa ma funzionale: esso trasferisce una competenza specifica, quella della violenza politica organizzata, dal contesto europeo a quello dei regimi del Cono Sur, dove essa viene messa al servizio della repressione interna e transnazionale.</w:t>
      </w:r>
    </w:p>
    <w:p>
      <w:pPr>
        <w:spacing w:after="120" w:line="276"/>
        <w:jc w:val="both"/>
      </w:pPr>
      <w:r>
        <w:rPr>
          <w:rFonts w:ascii="Barlow Semi Condensed" w:cs="Barlow Semi Condensed" w:eastAsia="Barlow Semi Condensed" w:hAnsi="Barlow Semi Condensed"/>
          <w:sz w:val="24"/>
          <w:szCs w:val="24"/>
        </w:rPr>
        <w:t xml:space="preserve">1.4 — La P2 come camera di compensazione: fatto, gradazione, falsi positivi</w:t>
      </w:r>
    </w:p>
    <w:p>
      <w:pPr>
        <w:spacing w:after="120" w:line="276"/>
        <w:jc w:val="both"/>
      </w:pPr>
      <w:r>
        <w:rPr>
          <w:rFonts w:ascii="Barlow Semi Condensed" w:cs="Barlow Semi Condensed" w:eastAsia="Barlow Semi Condensed" w:hAnsi="Barlow Semi Condensed"/>
          <w:sz w:val="24"/>
          <w:szCs w:val="24"/>
        </w:rPr>
        <w:t xml:space="preserve">La Loggia Propaganda 2 diretta da Licio Gelli è, nel corpus, il nodo italiano a più alta centralità di grado, poiché interseca simultaneamente politica, apparati, forze armate, finanza e informazione. La sua esistenza e la sua natura sono documentate a Livello A. Il 17 marzo 1981 la Guardia di Finanza, su mandato dei giudici milanesi Gherardo Colombo e Giuliano Turone che indagavano sul crac di Michele Sindona, rinvenne negli uffici di Gelli a Castiglion Fibocchi l’elenco dei circa 962 iscritti, reso pubblico dalla Presidenza del Consiglio il 21 maggio 1981. La Commissione parlamentare d’inchiesta presieduta da Tina Anselmi, nella relazione del 12 luglio 1984, giudicò le liste «autentiche» e «attendibili» sotto il profilo sia formale sia sostanziale, sulla base di riscontri contabili puntuali per centinaia di nominativi.</w:t>
      </w:r>
    </w:p>
    <w:p>
      <w:pPr>
        <w:spacing w:after="120" w:line="276"/>
        <w:jc w:val="both"/>
      </w:pPr>
      <w:r>
        <w:rPr>
          <w:rFonts w:ascii="Barlow Semi Condensed" w:cs="Barlow Semi Condensed" w:eastAsia="Barlow Semi Condensed" w:hAnsi="Barlow Semi Condensed"/>
          <w:sz w:val="24"/>
          <w:szCs w:val="24"/>
        </w:rPr>
        <w:t xml:space="preserve">Proprio la P2 impone però la disciplina più severa sui falsi positivi, ed è per questo un modello per l’intero registro. La stessa documentazione avverte che la presenza di un nominativo nell’elenco non equivale all’acclarata appartenenza alla loggia: diversi soggetti contestarono con successo la propria inclusione davanti alla magistratura. Va inoltre tenuta ferma la distinzione tra l’accertamento parlamentare, di natura storico-politica, e l’esito giudiziario, che non ravvisò la fattispecie della cospirazione politica nei termini prospettati dalla Commissione. Ne discende una regola operativa: l’appartenenza formale è certificabile a Livello A solo per i nominativi assistiti da riscontro documentale autonomo, mentre per gli altri va mantenuto un livello inferiore. La medesima cautela si applica alle presunte affiliazioni internazionali della loggia: la presenza tra gli iscritti di figure del regime argentino — è documentata la posizione di Emilio Massera — è distinta dalle attribuzioni per omonimia o per contiguità che non trovano riscontro nell’elenco, le quali vanno respinte come falsi positivi e non annoverate tra le prove.</w:t>
      </w:r>
    </w:p>
    <w:p>
      <w:pPr>
        <w:spacing w:after="120" w:line="276"/>
        <w:jc w:val="both"/>
      </w:pPr>
      <w:r>
        <w:rPr>
          <w:rFonts w:ascii="Barlow Semi Condensed" w:cs="Barlow Semi Condensed" w:eastAsia="Barlow Semi Condensed" w:hAnsi="Barlow Semi Condensed"/>
          <w:sz w:val="24"/>
          <w:szCs w:val="24"/>
        </w:rPr>
        <w:t xml:space="preserve">1.5 — Operazione Condor e la WACL: il terrore coordinato</w:t>
      </w:r>
    </w:p>
    <w:p>
      <w:pPr>
        <w:spacing w:after="120" w:line="276"/>
        <w:jc w:val="both"/>
      </w:pPr>
      <w:r>
        <w:rPr>
          <w:rFonts w:ascii="Barlow Semi Condensed" w:cs="Barlow Semi Condensed" w:eastAsia="Barlow Semi Condensed" w:hAnsi="Barlow Semi Condensed"/>
          <w:sz w:val="24"/>
          <w:szCs w:val="24"/>
        </w:rPr>
        <w:t xml:space="preserve">L’Operazione Condor è il sistema di coordinamento delle polizie segrete del Cono Sur per l’identificazione, la cattura e l’eliminazione degli oppositori di sinistra. La sua formalizzazione è documentata a Livello A: fu istituita nella riunione tenutasi a Santiago del Cile tra il 25 novembre e il 1º dicembre 1975, convocata dal direttore della DINA cilena Manuel Contreras, con la partecipazione dei servizi di Cile, Argentina, Bolivia, Paraguay e Uruguay, cui si aggiunse in seguito il Brasile. La prova documentale prima e più solida è emersa dall’Archivo del Terror, rinvenuto in Paraguay il 22 dicembre 1992 dall’attivista Martín Almada, che conteneva l’invito di Contreras e l’atto conclusivo della riunione. Le azioni omicide extraterritoriali del sistema sono anch’esse accertate a Livello A: l’attentato di Washington del 21 settembre 1976 contro l’ex ministro cileno Orlando Letelier, eseguito da Michael Townley con documenti paraguaiani falsi ottenuti attraverso i protocolli di Condor, valse a Contreras una condanna.</w:t>
      </w:r>
    </w:p>
    <w:p>
      <w:pPr>
        <w:spacing w:after="120" w:line="276"/>
        <w:jc w:val="both"/>
      </w:pPr>
      <w:r>
        <w:rPr>
          <w:rFonts w:ascii="Barlow Semi Condensed" w:cs="Barlow Semi Condensed" w:eastAsia="Barlow Semi Condensed" w:hAnsi="Barlow Semi Condensed"/>
          <w:sz w:val="24"/>
          <w:szCs w:val="24"/>
        </w:rPr>
        <w:t xml:space="preserve">La saldatura tra Condor e il ponte italiano descritto sopra è documentata a Livello A e costituisce l’arco inter-dominio più significativo della Fase: l’attentato di Roma del 6 ottobre 1975 contro l’esule democristiano cileno Bernardo Leighton e la moglie fu eseguito da Stefano Delle Chiaie per conto della DINA. Attorno a questo nucleo operativo gravita la dimensione ideologica e associativa della World Anti-Communist League, che federava a livello globale l’anticomunismo militante, e la rete di mutuo soccorso tra reduci tedeschi attiva in Sud America attorno a figure come Hans-Ulrich Rudel, la cui protezione a favore di latitanti come Mengele è documentata. La collocazione di questa intera architettura è inequivoca sul piano geopolitico e va sottolineata per il vaglio delle ipotesi: Condor era una rete anticomunista, ostile all’Unione Sovietica, e beneficiò di forme di sostegno da parte statunitense documentate negli archivi. L’Unione Sovietica ne era l’avversario, non il partner.</w:t>
      </w:r>
    </w:p>
    <w:p>
      <w:pPr>
        <w:spacing w:after="120" w:line="276"/>
        <w:jc w:val="both"/>
      </w:pPr>
      <w:r>
        <w:rPr>
          <w:rFonts w:ascii="Barlow Semi Condensed" w:cs="Barlow Semi Condensed" w:eastAsia="Barlow Semi Condensed" w:hAnsi="Barlow Semi Condensed"/>
          <w:sz w:val="24"/>
          <w:szCs w:val="24"/>
        </w:rPr>
        <w:t xml:space="preserve">1.6 — L’asse dei paria: apartheid, armi ed elusione dell’embargo</w:t>
      </w:r>
    </w:p>
    <w:p>
      <w:pPr>
        <w:spacing w:after="120" w:line="276"/>
        <w:jc w:val="both"/>
      </w:pPr>
      <w:r>
        <w:rPr>
          <w:rFonts w:ascii="Barlow Semi Condensed" w:cs="Barlow Semi Condensed" w:eastAsia="Barlow Semi Condensed" w:hAnsi="Barlow Semi Condensed"/>
          <w:sz w:val="24"/>
          <w:szCs w:val="24"/>
        </w:rPr>
        <w:t xml:space="preserve">L’ultimo segmento spaziale della Formazione Alfa è l’Africa australe. La documentazione ricostruisce l’esistenza di un asse tra i regimi isolati dalla comunità internazionale — il Sudafrica dell’apartheid, il Paraguay di Alfredo Stroessner, il Cile di Pinochet, altri — fondato sulla comune condizione di Stati paria e sull’elusione degli embarghi. Sul piano militare, la cooperazione del Sudafrica con fornitori e mediatori per aggirare l’embargo sulle armi, attraverso l’agenzia statale Armscor e una rete di intermediari, è documentata a Livello B. Il valore di questo segmento per l’analisi è che esso mostra il pattern del transito applicato su scala intercontinentale: competenze e materiali circolano lungo una catena di regimi accomunati non da un’ideologia positiva unica, ma dalla necessità di sottrarsi alle sanzioni. Anche qui la polarità geopolitica è coerente con il resto della Formazione Alfa: si tratta di un allineamento nel campo anticomunista, non di un ponte verso il blocco orientale.</w:t>
      </w:r>
    </w:p>
    <w:p>
      <w:pPr>
        <w:spacing w:after="120" w:line="276"/>
        <w:jc w:val="both"/>
      </w:pPr>
      <w:r>
        <w:rPr>
          <w:rFonts w:ascii="Barlow Semi Condensed" w:cs="Barlow Semi Condensed" w:eastAsia="Barlow Semi Condensed" w:hAnsi="Barlow Semi Condensed"/>
          <w:sz w:val="24"/>
          <w:szCs w:val="24"/>
        </w:rPr>
        <w:t xml:space="preserve">1.7 — Il codice unificante di Alfa e la sua collocazione geopolitica</w:t>
      </w:r>
    </w:p>
    <w:p>
      <w:pPr>
        <w:spacing w:after="120" w:line="276"/>
        <w:jc w:val="both"/>
      </w:pPr>
      <w:r>
        <w:rPr>
          <w:rFonts w:ascii="Barlow Semi Condensed" w:cs="Barlow Semi Condensed" w:eastAsia="Barlow Semi Condensed" w:hAnsi="Barlow Semi Condensed"/>
          <w:sz w:val="24"/>
          <w:szCs w:val="24"/>
        </w:rPr>
        <w:t xml:space="preserve">Ricostruita la Formazione Alfa nei suoi segmenti, se ne può enunciare il codice unificante senza forzature. Ciò che tiene insieme la diaspora nazista, l’hub iberico, il ponte neofascista italiano, la P2, Condor e l’asse dei paria non è un’organizzazione unitaria — l’ipotesi centralistica resta a Livello C — ma una funzione condivisa: la reazione controrivoluzionaria, il contenimento e la repressione della sinistra, dentro e fuori i confini nazionali. Questa è la constatazione decisiva per il vaglio delle ipotesi. In tutti i suoi segmenti documentati, la Formazione Alfa si colloca nel campo anticomunista e in posizione avversa all’Unione Sovietica; dove è documentato un sostegno esterno di grande potenza, esso proviene dal campo occidentale. Ne segue che la Formazione Alfa, presa per ciò che il corpus effettivamente documenta, non offre alcun riscontro alla tesi di un condominio operativo tra Stati Uniti e Unione Sovietica: essa testimonia semmai un’internazionale anticomunista allineata a Occidente. Questo esito sarà pesato nella Fase IV.</w:t>
      </w:r>
    </w:p>
    <w:p>
      <w:pPr>
        <w:pStyle w:val="Heading3"/>
        <w:spacing w:after="80" w:before="160"/>
      </w:pPr>
      <w:r>
        <w:rPr>
          <w:rFonts w:ascii="Barlow Semi Condensed" w:cs="Barlow Semi Condensed" w:eastAsia="Barlow Semi Condensed" w:hAnsi="Barlow Semi Condensed"/>
          <w:sz w:val="24"/>
          <w:szCs w:val="24"/>
        </w:rPr>
        <w:t xml:space="preserve">FASE II — FORMAZIONE BETA: L’OPERAZIONE DI INFLUENZA RUSSA CONTEMPORANEA (2010–2026)</w:t>
      </w:r>
    </w:p>
    <w:p>
      <w:pPr>
        <w:spacing w:after="120" w:line="276"/>
        <w:jc w:val="both"/>
      </w:pPr>
      <w:r>
        <w:rPr>
          <w:rFonts w:ascii="Barlow Semi Condensed" w:cs="Barlow Semi Condensed" w:eastAsia="Barlow Semi Condensed" w:hAnsi="Barlow Semi Condensed"/>
          <w:sz w:val="24"/>
          <w:szCs w:val="24"/>
        </w:rPr>
        <w:t xml:space="preserve">La seconda formazione si dispone lungo un asse temporale che muove dagli anni Dieci del nuovo secolo e conosce due accelerazioni, nel 2014 e nel 2022, e lungo un asse spaziale che da un centro russo si irradia verso l’Europa orientale, poi verso quella occidentale e infine verso il Sud globale. A differenza della Formazione Alfa, i cui protagonisti sono in larga parte defunti e i cui fatti sono consolidati, la Formazione Beta è in corso: ciò impone un supplemento di cautela sulle persone viventi e un aggiornamento costante, poiché alcuni fatti si sono evoluti dopo la redazione dei documenti del corpus. Il codice unificante è, come il capitolo conclusivo argomenta, il sovranismo anti-europeo e anti-atlantico; la collocazione geopolitica vede la Russia come agente attivo e gli Stati Uniti come avversario sanzionatore.</w:t>
      </w:r>
    </w:p>
    <w:p>
      <w:pPr>
        <w:spacing w:after="120" w:line="276"/>
        <w:jc w:val="both"/>
      </w:pPr>
      <w:r>
        <w:rPr>
          <w:rFonts w:ascii="Barlow Semi Condensed" w:cs="Barlow Semi Condensed" w:eastAsia="Barlow Semi Condensed" w:hAnsi="Barlow Semi Condensed"/>
          <w:sz w:val="24"/>
          <w:szCs w:val="24"/>
        </w:rPr>
        <w:t xml:space="preserve">2.1 — L’architettura Shor: frode, fuga, riciclaggio, influenza</w:t>
      </w:r>
    </w:p>
    <w:p>
      <w:pPr>
        <w:spacing w:after="120" w:line="276"/>
        <w:jc w:val="both"/>
      </w:pPr>
      <w:r>
        <w:rPr>
          <w:rFonts w:ascii="Barlow Semi Condensed" w:cs="Barlow Semi Condensed" w:eastAsia="Barlow Semi Condensed" w:hAnsi="Barlow Semi Condensed"/>
          <w:sz w:val="24"/>
          <w:szCs w:val="24"/>
        </w:rPr>
        <w:t xml:space="preserve">Il primo pilastro della Formazione Beta è la rete che fa capo a Ilan Shor, oligarca moldavo di cittadinanza israeliana riparato a Mosca. Il suo nucleo è documentato a Livello A dalla convergenza di provvedimenti sanzionatori istituzionali, inchieste giornalistiche e analisi tecniche indipendenti. Shor fu designato dall’Ufficio per il controllo dei beni esteri del Tesoro statunitense nell’ottobre 2022, in forza dell’ordine esecutivo 14024, per interferenza elettorale a beneficio della Federazione Russa; fu condannato in contumacia nell’aprile 2023 a quindici anni per la frode bancaria da circa un miliardo di dollari ai danni del sistema moldavo; il suo partito fu messo al bando nel giugno 2023. L’Unione Europea ha progressivamente ampliato le misure restrittive contro di lui e la sua rete, con nuove designazioni nel luglio 2025 e nel giugno 2026. Trasferitosi in Russia, Shor ha costituito la fondazione Eurasia, i cui bilanci indicano una spesa dell’ordine delle centinaia di milioni di dollari in due anni per progetti mediatici, borse e programmi giovanili nello spazio post-sovietico; secondo inchieste giornalistiche, tra cui quelle di testate indipendenti russe in esilio, la fondazione sarebbe stata impiegata per l’acquisto di voti in Moldova.</w:t>
      </w:r>
    </w:p>
    <w:p>
      <w:pPr>
        <w:spacing w:after="120" w:line="276"/>
        <w:jc w:val="both"/>
      </w:pPr>
      <w:r>
        <w:rPr>
          <w:rFonts w:ascii="Barlow Semi Condensed" w:cs="Barlow Semi Condensed" w:eastAsia="Barlow Semi Condensed" w:hAnsi="Barlow Semi Condensed"/>
          <w:sz w:val="24"/>
          <w:szCs w:val="24"/>
        </w:rPr>
        <w:t xml:space="preserve">2.1.1 — La rete cripto: Garantex, Grinex, A7A5</w:t>
      </w:r>
    </w:p>
    <w:p>
      <w:pPr>
        <w:spacing w:after="120" w:line="276"/>
        <w:jc w:val="both"/>
      </w:pPr>
      <w:r>
        <w:rPr>
          <w:rFonts w:ascii="Barlow Semi Condensed" w:cs="Barlow Semi Condensed" w:eastAsia="Barlow Semi Condensed" w:hAnsi="Barlow Semi Condensed"/>
          <w:sz w:val="24"/>
          <w:szCs w:val="24"/>
        </w:rPr>
        <w:t xml:space="preserve">Il sottosistema finanziario della rete è certificato a Livello A da una convergenza particolarmente ricca di fonti eterogenee: i provvedimenti dell’Ufficio per il controllo dei beni esteri statunitense e dell’omologo britannico dell’agosto 2025, le misure dell’Unione Europea dell’ottobre 2025, e le analisi tecniche di più società di intelligence sulla blockchain. Il meccanismo ricostruito è il seguente: dopo la chiusura dell’exchange di criptovalute Garantex, i suoi gestori crearono la piattaforma successore Grinex e trasferirono i fondi della clientela; per ripristinare l’accesso fu impiegato il token A7A5, uno stablecoin ancorato al rublo emesso dalla società kirghisa Old Vector, garantito da depositi presso la banca statale russa Promsvyazbank e collegato alla piattaforma di regolamento transfrontaliero A7. Le analisi indipendenti hanno stimato in decine di miliardi di dollari il volume complessivo transitato attraverso questo strumento, individuandone la funzione di canale di elusione delle sanzioni. Il beneficiario ultimo della piattaforma A7 è indicato, da inchieste giornalistiche di primarie testate internazionali, in Ilan Shor: questo specifico collegamento è certificato a Livello A per la sua convergenza documentale.</w:t>
      </w:r>
    </w:p>
    <w:p>
      <w:pPr>
        <w:spacing w:after="120" w:line="276"/>
        <w:jc w:val="both"/>
      </w:pPr>
      <w:r>
        <w:rPr>
          <w:rFonts w:ascii="Barlow Semi Condensed" w:cs="Barlow Semi Condensed" w:eastAsia="Barlow Semi Condensed" w:hAnsi="Barlow Semi Condensed"/>
          <w:sz w:val="24"/>
          <w:szCs w:val="24"/>
        </w:rPr>
        <w:t xml:space="preserve">2.1.2 — I falsi osservatori elettorali e il caso Petrocelli</w:t>
      </w:r>
    </w:p>
    <w:p>
      <w:pPr>
        <w:spacing w:after="120" w:line="276"/>
        <w:jc w:val="both"/>
      </w:pPr>
      <w:r>
        <w:rPr>
          <w:rFonts w:ascii="Barlow Semi Condensed" w:cs="Barlow Semi Condensed" w:eastAsia="Barlow Semi Condensed" w:hAnsi="Barlow Semi Condensed"/>
          <w:sz w:val="24"/>
          <w:szCs w:val="24"/>
        </w:rPr>
        <w:t xml:space="preserve">Il secondo strumento della rete è la fabbricazione di legittimità elettorale attraverso finte missioni di osservazione, condotte da soggetti privi di mandato internazionale che presenziano a consultazioni in regimi allineati per certificarne pubblicamente la regolarità. La caratterizzazione di questo dispositivo come rete organizzata è tesi documentata da organizzazioni specializzate nel monitoraggio elettorale, tra cui la rete European Platform for Democratic Elections, e come tale è attribuita alla fonte e certificata a Livello B. All’interno di questo quadro il corpus nomina l’ex senatore italiano Vito Petrocelli. Su di lui il registro riporta esclusivamente fatti pubblici e documentati: fu oggetto di procedura di espulsione dal Movimento 5 Stelle nel 2022 in ragione del voto contrario agli aiuti militari all’Ucraina; presiede l’Istituto Italia-BRICS; ha preso parte a delegazioni di osservatori internazionali in occasione delle elezioni presidenziali russa del 2024 e bielorussa del 2025, circostanza confermata dalla biografia ufficiale del suo stesso istituto. La qualificazione della sua partecipazione come inserimento in una rete di influenza etero-diretta è tesi di terzi, attribuita alla fonte, e non un accertamento giudiziario: il registro la mantiene distinta dai fatti pubblici sopra riportati e non compie alcun salto inferenziale tra i due piani.</w:t>
      </w:r>
    </w:p>
    <w:p>
      <w:pPr>
        <w:spacing w:after="120" w:line="276"/>
        <w:jc w:val="both"/>
      </w:pPr>
      <w:r>
        <w:rPr>
          <w:rFonts w:ascii="Barlow Semi Condensed" w:cs="Barlow Semi Condensed" w:eastAsia="Barlow Semi Condensed" w:hAnsi="Barlow Semi Condensed"/>
          <w:sz w:val="24"/>
          <w:szCs w:val="24"/>
        </w:rPr>
        <w:t xml:space="preserve">2.1.3 — Clero, automazione, intelligenza artificiale: la guerra cognitiva</w:t>
      </w:r>
    </w:p>
    <w:p>
      <w:pPr>
        <w:spacing w:after="120" w:line="276"/>
        <w:jc w:val="both"/>
      </w:pPr>
      <w:r>
        <w:rPr>
          <w:rFonts w:ascii="Barlow Semi Condensed" w:cs="Barlow Semi Condensed" w:eastAsia="Barlow Semi Condensed" w:hAnsi="Barlow Semi Condensed"/>
          <w:sz w:val="24"/>
          <w:szCs w:val="24"/>
        </w:rPr>
        <w:t xml:space="preserve">Il terzo strumento è la manipolazione dell’ambiente informativo, che il corpus descrive attraverso l’uso di reti di account automatizzati, la produzione di contenuti sintetici e, in alcuni contesti, la strumentalizzazione di figure religiose come moltiplicatori di consenso. Questo strumento, per sua natura diffuso e di difficile documentazione puntuale, è certificato prevalentemente a Livello B quando poggia su rapporti circostanziati di organismi di monitoraggio, e a Livello C dove si basa su indizi non ancora consolidati. La sua rilevanza analitica sta nel fatto che esso agisce sul piano dell’osservazione, nel senso sistemico dell’opera: non modifica direttamente le operazioni di un dominio, ma altera la percezione che l’opinione pubblica ha di esse, abbassando la soglia di porosità tra i domini in periodi di crisi.</w:t>
      </w:r>
    </w:p>
    <w:p>
      <w:pPr>
        <w:spacing w:after="120" w:line="276"/>
        <w:jc w:val="both"/>
      </w:pPr>
      <w:r>
        <w:rPr>
          <w:rFonts w:ascii="Barlow Semi Condensed" w:cs="Barlow Semi Condensed" w:eastAsia="Barlow Semi Condensed" w:hAnsi="Barlow Semi Condensed"/>
          <w:sz w:val="24"/>
          <w:szCs w:val="24"/>
        </w:rPr>
        <w:t xml:space="preserve">2.2 — La diplomazia partitica di Russia Unita e Zheleznyak</w:t>
      </w:r>
    </w:p>
    <w:p>
      <w:pPr>
        <w:spacing w:after="120" w:line="276"/>
        <w:jc w:val="both"/>
      </w:pPr>
      <w:r>
        <w:rPr>
          <w:rFonts w:ascii="Barlow Semi Condensed" w:cs="Barlow Semi Condensed" w:eastAsia="Barlow Semi Condensed" w:hAnsi="Barlow Semi Condensed"/>
          <w:sz w:val="24"/>
          <w:szCs w:val="24"/>
        </w:rPr>
        <w:t xml:space="preserve">Il secondo pilastro della Formazione Beta è la costruzione, da parte del partito Russia Unita, di una rete di relazioni bilaterali formalizzate con partiti stranieri, coordinata per il tramite di figure come Sergej Zheleznyak. L’esistenza di questa rete di accordi di cooperazione tra partiti è documentata; il numero complessivo, dell’ordine delle decine, è riferito dalle fonti del corpus e va tenuto a Livello B in attesa di riscontro esaustivo dei singoli strumenti. Ciò che è invece certificato a Livello A è lo strumento italiano, che funge da modello dell’intero dispositivo.</w:t>
      </w:r>
    </w:p>
    <w:p>
      <w:pPr>
        <w:spacing w:after="120" w:line="276"/>
        <w:jc w:val="both"/>
      </w:pPr>
      <w:r>
        <w:rPr>
          <w:rFonts w:ascii="Barlow Semi Condensed" w:cs="Barlow Semi Condensed" w:eastAsia="Barlow Semi Condensed" w:hAnsi="Barlow Semi Condensed"/>
          <w:sz w:val="24"/>
          <w:szCs w:val="24"/>
        </w:rPr>
        <w:t xml:space="preserve">2.2.1 — L’architettura legale dell’accordo: il modello Lega</w:t>
      </w:r>
    </w:p>
    <w:p>
      <w:pPr>
        <w:spacing w:after="120" w:line="276"/>
        <w:jc w:val="both"/>
      </w:pPr>
      <w:r>
        <w:rPr>
          <w:rFonts w:ascii="Barlow Semi Condensed" w:cs="Barlow Semi Condensed" w:eastAsia="Barlow Semi Condensed" w:hAnsi="Barlow Semi Condensed"/>
          <w:sz w:val="24"/>
          <w:szCs w:val="24"/>
        </w:rPr>
        <w:t xml:space="preserve">Il 6 marzo 2017 il segretario della Lega Matteo Salvini sottoscrisse a Mosca un accordo di cooperazione e collaborazione con Russia Unita, rappresentata da Sergej Zheleznyak. Il fatto è certificato a Livello A: il testo è pubblico ed è stato riportato da una pluralità di testate italiane e internazionali. L’accordo prevede consultazioni e scambio di informazioni su temi di attualità e relazioni internazionali, cooperazione tra organizzazioni giovanili e nei settori dell’economia e del commercio, e si fonda dichiaratamente su un partenariato definito paritario e confidenziale. Due elementi vanno registrati con precisione, perché delimitano ciò che il fatto autorizza a concludere. Il primo è la clausola finale, che qualifica l’accordo come non giuridicamente vincolante e come mera manifestazione di interesse. Il secondo è il meccanismo di durata: validità quinquennale con proroga automatica salvo disdetta, sicché in assenza di recesso lo strumento è stato tacitamente rinnovato nel 2022 con scadenza al 2027. La registrazione del fatto e delle sue clausole è cosa distinta dalla sua interpretazione: il registro certifica l’esistenza, il contenuto e la vigenza dell’accordo, e si astiene dall’inferire da esso una subordinazione operativa, che il documento non prova.</w:t>
      </w:r>
    </w:p>
    <w:p>
      <w:pPr>
        <w:spacing w:after="120" w:line="276"/>
        <w:jc w:val="both"/>
      </w:pPr>
      <w:r>
        <w:rPr>
          <w:rFonts w:ascii="Barlow Semi Condensed" w:cs="Barlow Semi Condensed" w:eastAsia="Barlow Semi Condensed" w:hAnsi="Barlow Semi Condensed"/>
          <w:sz w:val="24"/>
          <w:szCs w:val="24"/>
        </w:rPr>
        <w:t xml:space="preserve">2.2.2 — Europa occidentale e i contatti del Movimento 5 Stelle</w:t>
      </w:r>
    </w:p>
    <w:p>
      <w:pPr>
        <w:spacing w:after="120" w:line="276"/>
        <w:jc w:val="both"/>
      </w:pPr>
      <w:r>
        <w:rPr>
          <w:rFonts w:ascii="Barlow Semi Condensed" w:cs="Barlow Semi Condensed" w:eastAsia="Barlow Semi Condensed" w:hAnsi="Barlow Semi Condensed"/>
          <w:sz w:val="24"/>
          <w:szCs w:val="24"/>
        </w:rPr>
        <w:t xml:space="preserve">Sul versante dell’Europa occidentale, oltre allo strumento italiano, il corpus registra rapporti privilegiati con il Partito della Libertà austriaco, che aveva a sua volta formalizzato un’intesa con Russia Unita, e una diffusa contiguità di posizioni con formazioni sovraniste in Francia, nei Paesi Bassi e altrove. Il corpus riferisce inoltre di contatti e di prossimità programmatica con settori del Movimento 5 Stelle su temi di politica estera. Su quest’ultimo punto è necessaria la massima cautela: la prossimità di posizioni pubbliche su singoli dossier è un fatto osservabile, ma non equivale a un accordo formale né a una direzione etero-diretta, e va perciò tenuta a Livello C, come indizio circostanziale, senza alcuna promozione a prova di collusione.</w:t>
      </w:r>
    </w:p>
    <w:p>
      <w:pPr>
        <w:spacing w:after="120" w:line="276"/>
        <w:jc w:val="both"/>
      </w:pPr>
      <w:r>
        <w:rPr>
          <w:rFonts w:ascii="Barlow Semi Condensed" w:cs="Barlow Semi Condensed" w:eastAsia="Barlow Semi Condensed" w:hAnsi="Barlow Semi Condensed"/>
          <w:sz w:val="24"/>
          <w:szCs w:val="24"/>
        </w:rPr>
        <w:t xml:space="preserve">2.2.3 — Balcani, spazio post-sovietico e Sud globale</w:t>
      </w:r>
    </w:p>
    <w:p>
      <w:pPr>
        <w:spacing w:after="120" w:line="276"/>
        <w:jc w:val="both"/>
      </w:pPr>
      <w:r>
        <w:rPr>
          <w:rFonts w:ascii="Barlow Semi Condensed" w:cs="Barlow Semi Condensed" w:eastAsia="Barlow Semi Condensed" w:hAnsi="Barlow Semi Condensed"/>
          <w:sz w:val="24"/>
          <w:szCs w:val="24"/>
        </w:rPr>
        <w:t xml:space="preserve">La proiezione della rete partitica verso i Balcani è documentata a Livello B attraverso i rapporti con il Partito Progressista Serbo e con la leadership della Republika Srpska, in particolare Milorad Dodik, e con formazioni in Montenegro. Verso lo spazio post-sovietico la rete si salda con l’architettura Shor descritta nella sezione precedente, condividendone gli obiettivi di destabilizzazione degli Stati candidati all’adesione europea. Verso il Sud globale, infine, il corpus registra la persistenza di relazioni storiche con movimenti di liberazione divenuti partiti di governo — tra cui il Congresso Nazionale Africano e formazioni analoghe in Africa australe — eredità in parte risalente all’epoca sovietica e riattivata in chiave contemporanea. Questa proiezione meridionale, tenuta a Livello B, è rilevante perché mostra la continuità di un capitale relazionale di lunga durata, distinto per origine dalla Formazione Alfa ma parzialmente sovrapposto per teatro geografico.</w:t>
      </w:r>
    </w:p>
    <w:p>
      <w:pPr>
        <w:spacing w:after="120" w:line="276"/>
        <w:jc w:val="both"/>
      </w:pPr>
      <w:r>
        <w:rPr>
          <w:rFonts w:ascii="Barlow Semi Condensed" w:cs="Barlow Semi Condensed" w:eastAsia="Barlow Semi Condensed" w:hAnsi="Barlow Semi Condensed"/>
          <w:sz w:val="24"/>
          <w:szCs w:val="24"/>
        </w:rPr>
        <w:t xml:space="preserve">2.3 — Il caso Balan: dallo spionaggio alla condanna</w:t>
      </w:r>
    </w:p>
    <w:p>
      <w:pPr>
        <w:spacing w:after="120" w:line="276"/>
        <w:jc w:val="both"/>
      </w:pPr>
      <w:r>
        <w:rPr>
          <w:rFonts w:ascii="Barlow Semi Condensed" w:cs="Barlow Semi Condensed" w:eastAsia="Barlow Semi Condensed" w:hAnsi="Barlow Semi Condensed"/>
          <w:sz w:val="24"/>
          <w:szCs w:val="24"/>
        </w:rPr>
        <w:t xml:space="preserve">Il corpus registra, tra gli episodi della Formazione Beta, l’arresto dell’ex vicedirettore del Servizio di Informazione e Sicurezza della Moldova, Alexandru Balan. La verifica indipendente conferma il fatto a Livello A e lo aggiorna oltre la redazione del documento. Balan fu fermato in Romania, a Timișoara, nel settembre 2025, nell’ambito di un’operazione congiunta dei servizi di Romania, Ungheria e Repubblica Ceca coordinata da Eurojust, con l’accusa di tradimento per aver trasmesso segreti di Stato a ufficiali del Comitato per la sicurezza dello Stato della Bielorussia in incontri tenuti a Budapest tra il 2024 e il 2025. Successivamente alla stesura del documento, il caso si è evoluto: Balan è stato condannato nell’aprile 2026 a diciotto mesi di reclusione, è stato consegnato alla Bielorussia nell’ambito di uno scambio di prigionieri e nel giugno 2026 è stato privato della cittadinanza moldava. Su questo episodio il registro impone una precisazione dettata dalla Regola Ferrea: il caso è documentato come spionaggio a favore dell’intelligence bielorussa; il suo inserimento diretto nella rete personale di Ilan Shor è un’associazione tematica — entrambi i vettori operano nel medesimo teatro moldavo e nel medesimo campo — non un nesso operativo provato tra i due, e va perciò mantenuto a Livello C.</w:t>
      </w:r>
    </w:p>
    <w:p>
      <w:pPr>
        <w:spacing w:after="120" w:line="276"/>
        <w:jc w:val="both"/>
      </w:pPr>
      <w:r>
        <w:rPr>
          <w:rFonts w:ascii="Barlow Semi Condensed" w:cs="Barlow Semi Condensed" w:eastAsia="Barlow Semi Condensed" w:hAnsi="Barlow Semi Condensed"/>
          <w:sz w:val="24"/>
          <w:szCs w:val="24"/>
        </w:rPr>
        <w:t xml:space="preserve">2.4 — Distinguere i vettori: russo e cinese, il caso Creyelman</w:t>
      </w:r>
    </w:p>
    <w:p>
      <w:pPr>
        <w:spacing w:after="120" w:line="276"/>
        <w:jc w:val="both"/>
      </w:pPr>
      <w:r>
        <w:rPr>
          <w:rFonts w:ascii="Barlow Semi Condensed" w:cs="Barlow Semi Condensed" w:eastAsia="Barlow Semi Condensed" w:hAnsi="Barlow Semi Condensed"/>
          <w:sz w:val="24"/>
          <w:szCs w:val="24"/>
        </w:rPr>
        <w:t xml:space="preserve">Un errore metodologico da evitare è la fusione di vettori d’influenza distinti in un unico indistinto blocco autoritario. Il corpus offre il caso che impone la distinzione. L’ex senatore belga Frank Creyelman, esponente del Vlaams Belang, fu espulso dal partito nel dicembre 2023 a seguito di un’inchiesta congiunta di primarie testate internazionali secondo cui sarebbe stato utilizzato per circa tre anni come informatore da un ufficiale del Ministero della Sicurezza dello Stato della Repubblica Popolare Cinese. Il fatto dell’espulsione è certificato a Livello A; la caratterizzazione come agente è tesi dell’inchiesta giornalistica, attribuita alla fonte e non accertata in giudizio, e come tale è tenuta a Livello B. Il punto metodologico è che questo è un caso di influenza cinese, non russa: assimilarlo alla rete Shor o a Russia Unita sarebbe una contaminazione delle fonti. Il registro tiene perciò separati i due vettori, e ne registra semmai la convergenza di effetto — l’obiettivo dichiarato, negli scambi documentati, di dividere le relazioni tra Stati Uniti ed Europa — come dato di analisi, non come prova di un comando unico.</w:t>
      </w:r>
    </w:p>
    <w:p>
      <w:pPr>
        <w:spacing w:after="120" w:line="276"/>
        <w:jc w:val="both"/>
      </w:pPr>
      <w:r>
        <w:rPr>
          <w:rFonts w:ascii="Barlow Semi Condensed" w:cs="Barlow Semi Condensed" w:eastAsia="Barlow Semi Condensed" w:hAnsi="Barlow Semi Condensed"/>
          <w:sz w:val="24"/>
          <w:szCs w:val="24"/>
        </w:rPr>
        <w:t xml:space="preserve">2.5 — Il codice unificante di Beta e la sua collocazione geopolitica</w:t>
      </w:r>
    </w:p>
    <w:p>
      <w:pPr>
        <w:spacing w:after="120" w:line="276"/>
        <w:jc w:val="both"/>
      </w:pPr>
      <w:r>
        <w:rPr>
          <w:rFonts w:ascii="Barlow Semi Condensed" w:cs="Barlow Semi Condensed" w:eastAsia="Barlow Semi Condensed" w:hAnsi="Barlow Semi Condensed"/>
          <w:sz w:val="24"/>
          <w:szCs w:val="24"/>
        </w:rPr>
        <w:t xml:space="preserve">Il codice che tiene insieme la Formazione Beta è il sovranismo anti-europeo e anti-atlantico, declinato come difesa dei valori tradizionali e ostilità all’ordine liberale. La sua collocazione geopolitica è speculare a quella della Formazione Alfa e va enunciata con la stessa nettezza, perché è decisiva per il vaglio delle ipotesi. Nella Formazione Beta la Federazione Russa è l’agente attivo che promuove la destabilizzazione, mentre gli Stati Uniti e l’Unione Europea sono gli avversari che vi si oppongono con l’arma sanzionatoria. In entrambe le formazioni, dunque — l’anticomunista atlantica e l’eurasiatista contemporanea — Stati Uniti e Russia si trovano su fronti opposti. Questa constatazione, che discende direttamente da ciò che il corpus documenta, è l’evidenza diagnostica centrale che la Fase IV oppone alla tesi del condominio.</w:t>
      </w:r>
    </w:p>
    <w:p>
      <w:pPr>
        <w:pStyle w:val="Heading3"/>
        <w:spacing w:after="80" w:before="160"/>
      </w:pPr>
      <w:r>
        <w:rPr>
          <w:rFonts w:ascii="Barlow Semi Condensed" w:cs="Barlow Semi Condensed" w:eastAsia="Barlow Semi Condensed" w:hAnsi="Barlow Semi Condensed"/>
          <w:sz w:val="24"/>
          <w:szCs w:val="24"/>
        </w:rPr>
        <w:t xml:space="preserve">FASE III — IL CONTENITORE EUROPEO E L’ANALISI COMPARATA</w:t>
      </w:r>
    </w:p>
    <w:p>
      <w:pPr>
        <w:spacing w:after="120" w:line="276"/>
        <w:jc w:val="both"/>
      </w:pPr>
      <w:r>
        <w:rPr>
          <w:rFonts w:ascii="Barlow Semi Condensed" w:cs="Barlow Semi Condensed" w:eastAsia="Barlow Semi Condensed" w:hAnsi="Barlow Semi Condensed"/>
          <w:sz w:val="24"/>
          <w:szCs w:val="24"/>
        </w:rPr>
        <w:t xml:space="preserve">3.1 — La destra radicale come contenitore ricorsivo</w:t>
      </w:r>
    </w:p>
    <w:p>
      <w:pPr>
        <w:spacing w:after="120" w:line="276"/>
        <w:jc w:val="both"/>
      </w:pPr>
      <w:r>
        <w:rPr>
          <w:rFonts w:ascii="Barlow Semi Condensed" w:cs="Barlow Semi Condensed" w:eastAsia="Barlow Semi Condensed" w:hAnsi="Barlow Semi Condensed"/>
          <w:sz w:val="24"/>
          <w:szCs w:val="24"/>
        </w:rPr>
        <w:t xml:space="preserve">Messe a confronto le due formazioni, emerge un elemento che le attraversa entrambe: la destra radicale europea. Nella cornice sistemica dell’opera essa va intesa come un contenitore, ossia un ambiente occupabile che diversi attori possono investire per i propri fini, e non come uno strumento orchestrato da un unico regista. La stessa famiglia ideologica che nel dopoguerra costituì il retroterra della Formazione Alfa — nazionalista, anti-liberale, ostile alla sinistra — è il bersaglio privilegiato del reclutamento della Formazione Beta. Ma il contenitore è ricorsivo: chi lo occupa in un’epoca può a sua volta essere occupato in un’altra. Questa è la chiave interpretativa che consente di descrivere la relazione tra le due formazioni senza cadere nell’ipotesi indebita di una loro identità o di una loro continuità di comando.</w:t>
      </w:r>
    </w:p>
    <w:p>
      <w:pPr>
        <w:spacing w:after="120" w:line="276"/>
        <w:jc w:val="both"/>
      </w:pPr>
      <w:r>
        <w:rPr>
          <w:rFonts w:ascii="Barlow Semi Condensed" w:cs="Barlow Semi Condensed" w:eastAsia="Barlow Semi Condensed" w:hAnsi="Barlow Semi Condensed"/>
          <w:sz w:val="24"/>
          <w:szCs w:val="24"/>
        </w:rPr>
        <w:t xml:space="preserve">3.2 — Nodi che ricorrono nei due dossier contemporanei</w:t>
      </w:r>
    </w:p>
    <w:p>
      <w:pPr>
        <w:spacing w:after="120" w:line="276"/>
        <w:jc w:val="both"/>
      </w:pPr>
      <w:r>
        <w:rPr>
          <w:rFonts w:ascii="Barlow Semi Condensed" w:cs="Barlow Semi Condensed" w:eastAsia="Barlow Semi Condensed" w:hAnsi="Barlow Semi Condensed"/>
          <w:sz w:val="24"/>
          <w:szCs w:val="24"/>
        </w:rPr>
        <w:t xml:space="preserve">All’interno della sola Formazione Beta, il confronto tra i due dossier contemporanei del corpus — quello sulla rete Shor e quello sulla diplomazia partitica di Russia Unita — individua alcuni nodi che ricorrono in entrambi, e che sono perciò certificabili a Livello B come punti di effettiva sovrapposizione: la formazione bulgara Vazrazhdane, il Partito della Libertà austriaco, la leadership della Republika Srpska nella persona di Milorad Dodik. La ricorrenza di questi nodi in dossier costruiti da fonti diverse è un riscontro di convergenza, non una prova di coordinamento centralizzato: indica che tali attori sono punti di contatto ad alta betweenness tra i due sotto-sistemi della Formazione Beta, ma non autorizza a concludere che ricevano istruzioni da un unico centro.</w:t>
      </w:r>
    </w:p>
    <w:p>
      <w:pPr>
        <w:spacing w:after="120" w:line="276"/>
        <w:jc w:val="both"/>
      </w:pPr>
      <w:r>
        <w:rPr>
          <w:rFonts w:ascii="Barlow Semi Condensed" w:cs="Barlow Semi Condensed" w:eastAsia="Barlow Semi Condensed" w:hAnsi="Barlow Semi Condensed"/>
          <w:sz w:val="24"/>
          <w:szCs w:val="24"/>
        </w:rPr>
        <w:t xml:space="preserve">3.3 — Isomorfismo strutturale a polarità invertita</w:t>
      </w:r>
    </w:p>
    <w:p>
      <w:pPr>
        <w:spacing w:after="120" w:line="276"/>
        <w:jc w:val="both"/>
      </w:pPr>
      <w:r>
        <w:rPr>
          <w:rFonts w:ascii="Barlow Semi Condensed" w:cs="Barlow Semi Condensed" w:eastAsia="Barlow Semi Condensed" w:hAnsi="Barlow Semi Condensed"/>
          <w:sz w:val="24"/>
          <w:szCs w:val="24"/>
        </w:rPr>
        <w:t xml:space="preserve">L’analisi comparata delle due formazioni rivela un isomorfismo strutturale a polarità invertita, che è forse il risultato analitico più originale del registro e che va tuttavia mantenuto al rango di ipotesi, cioè a Livello C. Le due formazioni presentano una topologia simile — un nucleo ristretto che si irradia verso i vertici di molteplici domini e verso il fianco sovranista della politica europea — ma con contenuto ideologico rovesciato. La Formazione Alfa era anticomunista e anti-sovietica; la Formazione Beta è post-comunista e filo-russa. La funzione strutturale — destabilizzare il centro liberale a partire dal fianco nazionalista — persiste, mentre la polarità si inverte. Secondo il pattern dell’isomorfismo di rete, una somiglianza strutturale può discendere da tre cause alternative: un’origine comune, una necessità funzionale, o una convergenza indipendente. Il corpus non contiene la prova di un’origine comune tra le due formazioni; sostiene invece, come lettura più economica, la necessità funzionale, ossia il fatto che quella particolare topologia sia semplicemente la più efficiente per il compito di erodere il centro dal fianco, e che perciò venga riprodotta da progettisti diversi in epoche diverse.</w:t>
      </w:r>
    </w:p>
    <w:p>
      <w:pPr>
        <w:spacing w:after="120" w:line="276"/>
        <w:jc w:val="both"/>
      </w:pPr>
      <w:r>
        <w:rPr>
          <w:rFonts w:ascii="Barlow Semi Condensed" w:cs="Barlow Semi Condensed" w:eastAsia="Barlow Semi Condensed" w:hAnsi="Barlow Semi Condensed"/>
          <w:sz w:val="24"/>
          <w:szCs w:val="24"/>
        </w:rPr>
        <w:t xml:space="preserve">3.4 — Continuità di forma, discontinuità di sponsor</w:t>
      </w:r>
    </w:p>
    <w:p>
      <w:pPr>
        <w:spacing w:after="120" w:line="276"/>
        <w:jc w:val="both"/>
      </w:pPr>
      <w:r>
        <w:rPr>
          <w:rFonts w:ascii="Barlow Semi Condensed" w:cs="Barlow Semi Condensed" w:eastAsia="Barlow Semi Condensed" w:hAnsi="Barlow Semi Condensed"/>
          <w:sz w:val="24"/>
          <w:szCs w:val="24"/>
        </w:rPr>
        <w:t xml:space="preserve">La sintesi comparata si può enunciare in una formula che tiene fermi i limiti dell’inferenza: tra le due formazioni vi è continuità di forma e discontinuità di sponsor. La forma — l’occupazione del contenitore sovranista per destabilizzare il centro — si ripete; lo sponsor si inverte, passando dal campo atlantico-anticomunista al campo eurasiatista. Ciò che il corpus non autorizza a inferire è una continuità di attori o di comando: gli individui sono di generazioni diverse, gli apparati che li sostennero sono opposti, e nessun documento del corpus stabilisce un passaggio di consegne tra la prima e la seconda formazione. Registrare la continuità di forma come dato, e insieme negare la continuità di comando in assenza di prova, è esattamente ciò che la Regola Ferrea impone.</w:t>
      </w:r>
    </w:p>
    <w:p>
      <w:pPr>
        <w:pStyle w:val="Heading3"/>
        <w:spacing w:after="80" w:before="160"/>
      </w:pPr>
      <w:r>
        <w:rPr>
          <w:rFonts w:ascii="Barlow Semi Condensed" w:cs="Barlow Semi Condensed" w:eastAsia="Barlow Semi Condensed" w:hAnsi="Barlow Semi Condensed"/>
          <w:sz w:val="24"/>
          <w:szCs w:val="24"/>
        </w:rPr>
        <w:t xml:space="preserve">FASE IV — IL VAGLIO DELLE IPOTESI E LO STATO ZERO</w:t>
      </w:r>
    </w:p>
    <w:p>
      <w:pPr>
        <w:spacing w:after="120" w:line="276"/>
        <w:jc w:val="both"/>
      </w:pPr>
      <w:r>
        <w:rPr>
          <w:rFonts w:ascii="Barlow Semi Condensed" w:cs="Barlow Semi Condensed" w:eastAsia="Barlow Semi Condensed" w:hAnsi="Barlow Semi Condensed"/>
          <w:sz w:val="24"/>
          <w:szCs w:val="24"/>
        </w:rPr>
        <w:t xml:space="preserve">4.1 — La matrice di consistenza: H1, H2, H3</w:t>
      </w:r>
    </w:p>
    <w:p>
      <w:pPr>
        <w:spacing w:after="120" w:line="276"/>
        <w:jc w:val="both"/>
      </w:pPr>
      <w:r>
        <w:rPr>
          <w:rFonts w:ascii="Barlow Semi Condensed" w:cs="Barlow Semi Condensed" w:eastAsia="Barlow Semi Condensed" w:hAnsi="Barlow Semi Condensed"/>
          <w:sz w:val="24"/>
          <w:szCs w:val="24"/>
        </w:rPr>
        <w:t xml:space="preserve">Il vaglio applica la procedura ACH alle tre ipotesi enunciate nella Fase 0. Il criterio, si ricorda, non è quale ipotesi raccolga più conferme, ma quale resti meno contraddetta dalle evidenze diagnostiche, ossia da quelle evidenze che discriminano tra le ipotesi anziché essere compatibili con tutte. L’evidenza diagnostica dirimente, emersa da entrambe le Fasi ricostruttive, è la collocazione reciproca di Stati Uniti e Unione Sovietica, poi Russia, nelle due formazioni documentate.</w:t>
      </w:r>
    </w:p>
    <w:p>
      <w:pPr>
        <w:spacing w:after="120" w:line="276"/>
        <w:jc w:val="both"/>
      </w:pPr>
      <w:r>
        <w:rPr>
          <w:rFonts w:ascii="Barlow Semi Condensed" w:cs="Barlow Semi Condensed" w:eastAsia="Barlow Semi Condensed" w:hAnsi="Barlow Semi Condensed"/>
          <w:sz w:val="24"/>
          <w:szCs w:val="24"/>
        </w:rPr>
        <w:t xml:space="preserve">4.2 — Perché il corpus falsifica la forma forte di H1</w:t>
      </w:r>
    </w:p>
    <w:p>
      <w:pPr>
        <w:spacing w:after="120" w:line="276"/>
        <w:jc w:val="both"/>
      </w:pPr>
      <w:r>
        <w:rPr>
          <w:rFonts w:ascii="Barlow Semi Condensed" w:cs="Barlow Semi Condensed" w:eastAsia="Barlow Semi Condensed" w:hAnsi="Barlow Semi Condensed"/>
          <w:sz w:val="24"/>
          <w:szCs w:val="24"/>
        </w:rPr>
        <w:t xml:space="preserve">La tesi del condominio, nella sua forma forte — Stati Uniti e Unione Sovietica, poi Russia, coordinati per impedire l’integrazione europea — è contraddetta in modo diretto dall’evidenza diagnostica. Nella Formazione Alfa, il sostegno esterno di grande potenza documentato proviene dal campo occidentale e ha per bersaglio il campo sovietico: la rete anticomunista, Condor incluso, era ostile a Mosca. Nella Formazione Beta, l’agente attivo è la Federazione Russa e gli avversari sanzionatori sono Stati Uniti e Unione Europea. In entrambe le formazioni, dunque, le due potenze si trovano su fronti opposti, non in coordinamento. Questa è una falsificazione nel senso proprio del termine: non l’assenza di conferme, ma la presenza di un’evidenza contraria e diagnostica. Ne consegue che la forma forte di H1 va respinta come cornice, esattamente come la Nota Metodologica dell’opera prescriveva di non assumerla come centro. Va precisato che la falsificazione riguarda la forma forte, quella del coordinamento operativo intenzionale; forme deboli — la constatazione che, in singoli frangenti, l’azione indipendente delle due potenze produsse effetti convergenti di destabilizzazione — non sono falsificate, ma coincidono di fatto con H3.</w:t>
      </w:r>
    </w:p>
    <w:p>
      <w:pPr>
        <w:spacing w:after="120" w:line="276"/>
        <w:jc w:val="both"/>
      </w:pPr>
      <w:r>
        <w:rPr>
          <w:rFonts w:ascii="Barlow Semi Condensed" w:cs="Barlow Semi Condensed" w:eastAsia="Barlow Semi Condensed" w:hAnsi="Barlow Semi Condensed"/>
          <w:sz w:val="24"/>
          <w:szCs w:val="24"/>
        </w:rPr>
        <w:t xml:space="preserve">4.3 — Perché H2 resiste ma resta a Livello C</w:t>
      </w:r>
    </w:p>
    <w:p>
      <w:pPr>
        <w:spacing w:after="120" w:line="276"/>
        <w:jc w:val="both"/>
      </w:pPr>
      <w:r>
        <w:rPr>
          <w:rFonts w:ascii="Barlow Semi Condensed" w:cs="Barlow Semi Condensed" w:eastAsia="Barlow Semi Condensed" w:hAnsi="Barlow Semi Condensed"/>
          <w:sz w:val="24"/>
          <w:szCs w:val="24"/>
        </w:rPr>
        <w:t xml:space="preserve">La tesi delle due internazionali rivali è quella meno contraddetta dalle evidenze. Il corpus documenta effettivamente due formazioni autoritarie transnazionali distinte, in due epoche successive, con sponsor opposti e con la funzione condivisa di destabilizzare il centro liberale dal fianco. H2 gode inoltre di un vantaggio esplicativo su H1 e su H3: rende conto sia della somiglianza strutturale tra le formazioni sia della loro opposizione geopolitica, che H1 non spiega e che H3 lascia come pura coincidenza. Ciononostante il registro mantiene H2 a Livello C, cioè al rango di ipotesi non falsificata e non promossa a fatto, per una ragione dirimente: definire le due formazioni come due internazionali implica un grado di intenzionalità e di autocoscienza che il corpus documenta per i singoli nodi ma non per l’insieme. In particolare, l’isomorfismo a polarità invertita — il ponte concettuale che unisce le due formazioni sotto un’unica etichetta — è a sua volta a Livello C. Tenere H2 come ipotesi guida non falsificata, e non come conclusione dimostrata, è la posizione che il rigore impone.</w:t>
      </w:r>
    </w:p>
    <w:p>
      <w:pPr>
        <w:spacing w:after="120" w:line="276"/>
        <w:jc w:val="both"/>
      </w:pPr>
      <w:r>
        <w:rPr>
          <w:rFonts w:ascii="Barlow Semi Condensed" w:cs="Barlow Semi Condensed" w:eastAsia="Barlow Semi Condensed" w:hAnsi="Barlow Semi Condensed"/>
          <w:sz w:val="24"/>
          <w:szCs w:val="24"/>
        </w:rPr>
        <w:t xml:space="preserve">4.4 — Stati Zero certificati</w:t>
      </w:r>
    </w:p>
    <w:p>
      <w:pPr>
        <w:spacing w:after="120" w:line="276"/>
        <w:jc w:val="both"/>
      </w:pPr>
      <w:r>
        <w:rPr>
          <w:rFonts w:ascii="Barlow Semi Condensed" w:cs="Barlow Semi Condensed" w:eastAsia="Barlow Semi Condensed" w:hAnsi="Barlow Semi Condensed"/>
          <w:sz w:val="24"/>
          <w:szCs w:val="24"/>
        </w:rPr>
        <w:t xml:space="preserve">Coerentemente con la metodologia dell’opera, il registro certifica come risultati positivi due connessioni sistematicamente cercate e non trovate. Il primo è uno Stato Zero interno alla Formazione Beta: nel dossier sulla rete Shor non emerge alcun collegamento diretto e documentato tra Ilan Shor e la criminalità organizzata italiana; la connessione è stata cercata e non è stata trovata, e ciò va registrato come esito, non come lacuna da riempire con congetture. Il secondo è uno Stato Zero relativo al rapporto tra le due formazioni: non esiste, nel corpus, alcun documento che stabilisca un passaggio di consegne, una continuità di attori o un comando comune tra la rete nera anticomunista del dopoguerra e l’operazione di influenza russa contemporanea. La continuità tra le due, come argomentato nella Fase III, è di forma e non di comando. Registrare questi due Stati Zero è parte essenziale della tutela del documento contro il proprio possibile scivolamento verso la tesi che la metodologia proscrive.</w:t>
      </w:r>
    </w:p>
    <w:p>
      <w:pPr>
        <w:pStyle w:val="Heading3"/>
        <w:spacing w:after="80" w:before="160"/>
      </w:pPr>
      <w:r>
        <w:rPr>
          <w:rFonts w:ascii="Barlow Semi Condensed" w:cs="Barlow Semi Condensed" w:eastAsia="Barlow Semi Condensed" w:hAnsi="Barlow Semi Condensed"/>
          <w:sz w:val="24"/>
          <w:szCs w:val="24"/>
        </w:rPr>
        <w:t xml:space="preserve">FASE V — RILIEVI CIVILI E PENALI: DIFFAMAZIONE E CALUNNIA</w:t>
      </w:r>
    </w:p>
    <w:p>
      <w:pPr>
        <w:spacing w:after="120" w:line="276"/>
        <w:jc w:val="both"/>
      </w:pPr>
      <w:r>
        <w:rPr>
          <w:rFonts w:ascii="Barlow Semi Condensed" w:cs="Barlow Semi Condensed" w:eastAsia="Barlow Semi Condensed" w:hAnsi="Barlow Semi Condensed"/>
          <w:sz w:val="24"/>
          <w:szCs w:val="24"/>
        </w:rPr>
        <w:t xml:space="preserve">5.1 — Il quadro normativo di riferimento</w:t>
      </w:r>
    </w:p>
    <w:p>
      <w:pPr>
        <w:spacing w:after="120" w:line="276"/>
        <w:jc w:val="both"/>
      </w:pPr>
      <w:r>
        <w:rPr>
          <w:rFonts w:ascii="Barlow Semi Condensed" w:cs="Barlow Semi Condensed" w:eastAsia="Barlow Semi Condensed" w:hAnsi="Barlow Semi Condensed"/>
          <w:sz w:val="24"/>
          <w:szCs w:val="24"/>
        </w:rPr>
        <w:t xml:space="preserve">Questa Fase risponde all’ordine di vagliare i possibili rilievi civili e penali per il testo di diffamazione e per quello di calunnia. Ciò che segue è informazione generale di orientamento, non consulenza legale, e non sostituisce il vaglio di un professionista prima di ogni pubblicazione. Nell’ordinamento italiano la diffamazione è prevista dall’articolo 595 del codice penale e sanziona chi, comunicando con più persone, offende l’altrui reputazione; l’attribuzione di un fatto determinato e la diffusione a mezzo stampa costituiscono aggravanti. La calunnia è prevista dall’articolo 368 e sanziona chi incolpa taluno di un reato pur sapendolo innocente, o simula a suo carico le tracce di un reato: essa richiede dunque la falsa attribuzione di un reato e la consapevolezza dell’innocenza. Il testo scientifico e d’inchiesta gode della scriminante del diritto di cronaca e di critica, ma a condizioni precise: la verità del fatto, l’interesse pubblico e la continenza espositiva.</w:t>
      </w:r>
    </w:p>
    <w:p>
      <w:pPr>
        <w:spacing w:after="120" w:line="276"/>
        <w:jc w:val="both"/>
      </w:pPr>
      <w:r>
        <w:rPr>
          <w:rFonts w:ascii="Barlow Semi Condensed" w:cs="Barlow Semi Condensed" w:eastAsia="Barlow Semi Condensed" w:hAnsi="Barlow Semi Condensed"/>
          <w:sz w:val="24"/>
          <w:szCs w:val="24"/>
        </w:rPr>
        <w:t xml:space="preserve">5.2 — Dove nasce l’esposizione: il fatto presentato come certo</w:t>
      </w:r>
    </w:p>
    <w:p>
      <w:pPr>
        <w:spacing w:after="120" w:line="276"/>
        <w:jc w:val="both"/>
      </w:pPr>
      <w:r>
        <w:rPr>
          <w:rFonts w:ascii="Barlow Semi Condensed" w:cs="Barlow Semi Condensed" w:eastAsia="Barlow Semi Condensed" w:hAnsi="Barlow Semi Condensed"/>
          <w:sz w:val="24"/>
          <w:szCs w:val="24"/>
        </w:rPr>
        <w:t xml:space="preserve">Il punto in cui nasce l’esposizione è identificabile con precisione: non è la trattazione di un tema, per quanto grave, ma la presentazione come fatto certo di un’affermazione discreditante non provata a carico di una persona identificabile. È questa trasformazione — dell’indizio in prova, dell’accusa altrui in verità propria, della contiguità in complicità — a generare il rischio, tanto civile quanto penale. Ne discende che la salvaguardia non consiste nel certificare, come pure l’ordine iniziale poteva suggerire, bensì nell’operazione opposta: graduare l’affermazione secondo il suo effettivo livello probatorio e attribuirla alla sua fonte. Un’affermazione classificata a Livello C ed esplicitamente riferita a un’inchiesta di terzi non incolpa nessuno di un reato in nome dell’autore; una medesima affermazione presentata come accertamento sì.</w:t>
      </w:r>
    </w:p>
    <w:p>
      <w:pPr>
        <w:spacing w:after="120" w:line="276"/>
        <w:jc w:val="both"/>
      </w:pPr>
      <w:r>
        <w:rPr>
          <w:rFonts w:ascii="Barlow Semi Condensed" w:cs="Barlow Semi Condensed" w:eastAsia="Barlow Semi Condensed" w:hAnsi="Barlow Semi Condensed"/>
          <w:sz w:val="24"/>
          <w:szCs w:val="24"/>
        </w:rPr>
        <w:t xml:space="preserve">5.3 — Le esimenti operative</w:t>
      </w:r>
    </w:p>
    <w:p>
      <w:pPr>
        <w:spacing w:after="120" w:line="276"/>
        <w:jc w:val="both"/>
      </w:pPr>
      <w:r>
        <w:rPr>
          <w:rFonts w:ascii="Barlow Semi Condensed" w:cs="Barlow Semi Condensed" w:eastAsia="Barlow Semi Condensed" w:hAnsi="Barlow Semi Condensed"/>
          <w:sz w:val="24"/>
          <w:szCs w:val="24"/>
        </w:rPr>
        <w:t xml:space="preserve">Da questa analisi discendono tre esimenti operative che il registro applica per costruzione e che dovrebbero governare la stesura definitiva. La prima è l’attribuzione alla fonte: ogni qualificazione discreditante che non sia un fatto accertato va introdotta come tesi di chi l’ha formulata — un’inchiesta, un rapporto, una relazione — e non come constatazione dell’autore. La seconda è la gradazione manifesta: il livello probatorio va reso visibile al lettore, così che egli possa valutare autonomamente il peso di ciò che legge, in conformità con il principio di falsificabilità. La terza è la distinzione tra gli statuti: va tenuta ferma in ogni riga la differenza tra la condanna definitiva, l’accusa non ancora accertata e la mera associazione, perché confondere questi tre statuti è precisamente ciò che espone alla calunnia e alla diffamazione.</w:t>
      </w:r>
    </w:p>
    <w:p>
      <w:pPr>
        <w:spacing w:after="120" w:line="276"/>
        <w:jc w:val="both"/>
      </w:pPr>
      <w:r>
        <w:rPr>
          <w:rFonts w:ascii="Barlow Semi Condensed" w:cs="Barlow Semi Condensed" w:eastAsia="Barlow Semi Condensed" w:hAnsi="Barlow Semi Condensed"/>
          <w:sz w:val="24"/>
          <w:szCs w:val="24"/>
        </w:rPr>
        <w:t xml:space="preserve">5.4 — Rilievi puntuali sul corpus</w:t>
      </w:r>
    </w:p>
    <w:p>
      <w:pPr>
        <w:spacing w:after="120" w:line="276"/>
        <w:jc w:val="both"/>
      </w:pPr>
      <w:r>
        <w:rPr>
          <w:rFonts w:ascii="Barlow Semi Condensed" w:cs="Barlow Semi Condensed" w:eastAsia="Barlow Semi Condensed" w:hAnsi="Barlow Semi Condensed"/>
          <w:sz w:val="24"/>
          <w:szCs w:val="24"/>
        </w:rPr>
        <w:t xml:space="preserve">Applicate al corpus, queste esimenti individuano i punti di attenzione. Per le persone viventi nominate nella Formazione Beta — l’oligarca sanzionato, i dirigenti di partito, l’ex parlamentare — il registro riporta i soli fatti pubblici e documentati e attribuisce ogni caratterizzazione ulteriore alla fonte che l’ha prodotta: così l’accordo di partito è registrato come fatto, mentre la lettura di esso come subordinazione resta esclusa; così la partecipazione a missioni di osservazione è registrata come fatto, mentre la qualificazione come rete etero-diretta è attribuita alle organizzazioni di monitoraggio. Il modello di questa disciplina è offerto dalla vicenda della P2: anche la lista più canonica di quella storia porta con sé l’avvertenza esplicita che la presenza di un nome non prova l’appartenenza, e che l’accertamento parlamentare non coincide con quello giudiziario. Trattare ogni nominativo del corpus con la stessa cautela con cui la storiografia tratta i nomi della lista di Castiglion Fibocchi è la garanzia più solida contro i rilievi. Per le persone defunte e per i fatti coperti da sentenza, il rischio è minore, ma la gradazione va comunque mantenuta.</w:t>
      </w:r>
    </w:p>
    <w:p>
      <w:pPr>
        <w:spacing w:after="120" w:line="276"/>
        <w:jc w:val="both"/>
      </w:pPr>
      <w:r>
        <w:rPr>
          <w:rFonts w:ascii="Barlow Semi Condensed" w:cs="Barlow Semi Condensed" w:eastAsia="Barlow Semi Condensed" w:hAnsi="Barlow Semi Condensed"/>
          <w:sz w:val="24"/>
          <w:szCs w:val="24"/>
        </w:rPr>
        <w:t xml:space="preserve">5.5 — Protocollo redazionale per la pubblicazione</w:t>
      </w:r>
    </w:p>
    <w:p>
      <w:pPr>
        <w:spacing w:after="120" w:line="276"/>
        <w:jc w:val="both"/>
      </w:pPr>
      <w:r>
        <w:rPr>
          <w:rFonts w:ascii="Barlow Semi Condensed" w:cs="Barlow Semi Condensed" w:eastAsia="Barlow Semi Condensed" w:hAnsi="Barlow Semi Condensed"/>
          <w:sz w:val="24"/>
          <w:szCs w:val="24"/>
        </w:rPr>
        <w:t xml:space="preserve">Il protocollo che ne discende, e che il registro raccomanda per ogni versione destinata alla diffusione, si riassume in poche prescrizioni sostanziali. Ogni affermazione discreditante su persona identificabile deve recare, nel testo, il proprio livello probatorio e, ove non sia fatto accertato, l’indicazione della fonte. Nessuna affermazione a Livello C deve essere formulata in modo assertorio. Nessun nesso operativo deve essere inferito dalla sola contiguità, dalla coincidenza temporale o dall’appartenenza al medesimo ambiente. Gli Stati Zero devono restare visibili, perché la loro rimozione trasformerebbe un’assenza di prova in una prova di presenza. Il rispetto di questo protocollo non indebolisce l’opera: ne è, al contrario, la condizione di solidità, poiché un’affermazione graduata e attribuita è inattaccabile là dove un’affermazione perentoria e non provata è vulnerabile.</w:t>
      </w:r>
    </w:p>
    <w:p>
      <w:pPr>
        <w:pStyle w:val="Heading3"/>
        <w:spacing w:after="80" w:before="160"/>
      </w:pPr>
      <w:r>
        <w:rPr>
          <w:rFonts w:ascii="Barlow Semi Condensed" w:cs="Barlow Semi Condensed" w:eastAsia="Barlow Semi Condensed" w:hAnsi="Barlow Semi Condensed"/>
          <w:sz w:val="24"/>
          <w:szCs w:val="24"/>
        </w:rPr>
        <w:t xml:space="preserve">FASE VI — REGISTRO DI VERIFICA: LA TRANCHE CERTIFICATA</w:t>
      </w:r>
    </w:p>
    <w:p>
      <w:pPr>
        <w:spacing w:after="120" w:line="276"/>
        <w:jc w:val="both"/>
      </w:pPr>
      <w:r>
        <w:rPr>
          <w:rFonts w:ascii="Barlow Semi Condensed" w:cs="Barlow Semi Condensed" w:eastAsia="Barlow Semi Condensed" w:hAnsi="Barlow Semi Condensed"/>
          <w:sz w:val="24"/>
          <w:szCs w:val="24"/>
        </w:rPr>
        <w:t xml:space="preserve">6.1 — Metodo del registro e legenda</w:t>
      </w:r>
    </w:p>
    <w:p>
      <w:pPr>
        <w:spacing w:after="120" w:line="276"/>
        <w:jc w:val="both"/>
      </w:pPr>
      <w:r>
        <w:rPr>
          <w:rFonts w:ascii="Barlow Semi Condensed" w:cs="Barlow Semi Condensed" w:eastAsia="Barlow Semi Condensed" w:hAnsi="Barlow Semi Condensed"/>
          <w:sz w:val="24"/>
          <w:szCs w:val="24"/>
        </w:rPr>
        <w:t xml:space="preserve">Questa Fase riporta in forma di schede in prosa i blocchi di verifica indipendente effettivamente eseguiti per la presente tranche, con l’esito e il livello attribuito. Coerentemente con le regole dell’opera, non si impiegano tabelle. Ogni scheda enuncia l’oggetto del riscontro, la natura delle fonti convergenti e la classificazione risultante. La legenda è quella generale del documento: Livello A per la convergenza di almeno tre fonti indipendenti eterogenee; Livello B per due fonti indipendenti o una fonte di alta affidabilità; Livello C per fonte singola o indizi circostanziali; Stato Zero per la connessione cercata e non trovata.</w:t>
      </w:r>
    </w:p>
    <w:p>
      <w:pPr>
        <w:spacing w:after="120" w:line="276"/>
        <w:jc w:val="both"/>
      </w:pPr>
      <w:r>
        <w:rPr>
          <w:rFonts w:ascii="Barlow Semi Condensed" w:cs="Barlow Semi Condensed" w:eastAsia="Barlow Semi Condensed" w:hAnsi="Barlow Semi Condensed"/>
          <w:sz w:val="24"/>
          <w:szCs w:val="24"/>
        </w:rPr>
        <w:t xml:space="preserve">6.2 — Blocchi di verifica eseguiti</w:t>
      </w:r>
    </w:p>
    <w:p>
      <w:pPr>
        <w:spacing w:after="120" w:line="276"/>
        <w:jc w:val="both"/>
      </w:pPr>
      <w:r>
        <w:rPr>
          <w:rFonts w:ascii="Barlow Semi Condensed" w:cs="Barlow Semi Condensed" w:eastAsia="Barlow Semi Condensed" w:hAnsi="Barlow Semi Condensed"/>
          <w:sz w:val="24"/>
          <w:szCs w:val="24"/>
        </w:rPr>
        <w:t xml:space="preserve">Blocco uno, architettura Shor. La designazione di Ilan Shor da parte del Tesoro statunitense nell’ottobre 2022 per interferenza elettorale a beneficio della Russia, la condanna in contumacia dell’aprile 2023, la messa al bando del partito nel giugno 2023 e i successivi ampliamenti delle misure dell’Unione Europea del luglio 2025 e del giugno 2026 sono confermati dalla convergenza di provvedimenti istituzionali statunitensi ed europei e di inchieste giornalistiche indipendenti. Esito: confermato a Livello A.</w:t>
      </w:r>
    </w:p>
    <w:p>
      <w:pPr>
        <w:spacing w:after="120" w:line="276"/>
        <w:jc w:val="both"/>
      </w:pPr>
      <w:r>
        <w:rPr>
          <w:rFonts w:ascii="Barlow Semi Condensed" w:cs="Barlow Semi Condensed" w:eastAsia="Barlow Semi Condensed" w:hAnsi="Barlow Semi Condensed"/>
          <w:sz w:val="24"/>
          <w:szCs w:val="24"/>
        </w:rPr>
        <w:t xml:space="preserve">Blocco due, rete cripto. Il meccanismo Garantex-Grinex-A7A5, con l’emissione del token da parte della kirghisa Old Vector, la garanzia presso la banca statale russa Promsvyazbank, il legame con la piattaforma A7 e la funzione di elusione delle sanzioni per un volume stimato in decine di miliardi di dollari, è confermato dalla convergenza dei provvedimenti sanzionatori statunitense e britannico dell’agosto 2025, delle misure dell’Unione Europea dell’ottobre 2025 e delle analisi tecniche di più società di intelligence sulla blockchain. L’indicazione di Ilan Shor come beneficiario ultimo della piattaforma A7 è riferita da inchieste di primarie testate internazionali. Esito: confermato a Livello A.</w:t>
      </w:r>
    </w:p>
    <w:p>
      <w:pPr>
        <w:spacing w:after="120" w:line="276"/>
        <w:jc w:val="both"/>
      </w:pPr>
      <w:r>
        <w:rPr>
          <w:rFonts w:ascii="Barlow Semi Condensed" w:cs="Barlow Semi Condensed" w:eastAsia="Barlow Semi Condensed" w:hAnsi="Barlow Semi Condensed"/>
          <w:sz w:val="24"/>
          <w:szCs w:val="24"/>
        </w:rPr>
        <w:t xml:space="preserve">Blocco tre, accordo Lega-Russia Unita. La sottoscrizione dell’accordo di cooperazione tra la Lega e Russia Unita il 6 marzo 2017 a opera di Matteo Salvini e Sergej Zheleznyak, il suo contenuto, la clausola di non vincolatività e il rinnovo tacito con scadenza al 2027 sono confermati dalla pubblicazione del testo e da una pluralità di testate italiane e internazionali. Esito: confermato a Livello A come fatto documentato, con espressa astensione da inferenze interpretative ulteriori.</w:t>
      </w:r>
    </w:p>
    <w:p>
      <w:pPr>
        <w:spacing w:after="120" w:line="276"/>
        <w:jc w:val="both"/>
      </w:pPr>
      <w:r>
        <w:rPr>
          <w:rFonts w:ascii="Barlow Semi Condensed" w:cs="Barlow Semi Condensed" w:eastAsia="Barlow Semi Condensed" w:hAnsi="Barlow Semi Condensed"/>
          <w:sz w:val="24"/>
          <w:szCs w:val="24"/>
        </w:rPr>
        <w:t xml:space="preserve">Blocco quattro, caso Petrocelli. La procedura di espulsione dal Movimento 5 Stelle nel 2022 sulla linea del voto contrario agli aiuti all’Ucraina, la presidenza dell’Istituto Italia-BRICS e la partecipazione a delegazioni di osservatori alle elezioni presidenziali russa del 2024 e bielorussa del 2025 sono confermate da fonti giornalistiche e dalla biografia ufficiale del medesimo istituto. Esito: fatti pubblici confermati a Livello A; la caratterizzazione come rete etero-diretta è tesi di terzi tenuta a Livello B e attribuita alla fonte.</w:t>
      </w:r>
    </w:p>
    <w:p>
      <w:pPr>
        <w:spacing w:after="120" w:line="276"/>
        <w:jc w:val="both"/>
      </w:pPr>
      <w:r>
        <w:rPr>
          <w:rFonts w:ascii="Barlow Semi Condensed" w:cs="Barlow Semi Condensed" w:eastAsia="Barlow Semi Condensed" w:hAnsi="Barlow Semi Condensed"/>
          <w:sz w:val="24"/>
          <w:szCs w:val="24"/>
        </w:rPr>
        <w:t xml:space="preserve">Blocco cinque, caso Balan. L’arresto in Romania nel settembre 2025 nell’operazione congiunta coordinata da Eurojust, l’accusa di trasmissione di segreti al servizio bielorusso, la condanna dell’aprile 2026, lo scambio di prigionieri e la privazione della cittadinanza moldava del giugno 2026 sono confermati da fonti giudiziarie e giornalistiche convergenti. Esito: confermato a Livello A, con aggiornamento successivo alla redazione del documento; il nesso diretto con la rete Shor è tenuto a Livello C.</w:t>
      </w:r>
    </w:p>
    <w:p>
      <w:pPr>
        <w:spacing w:after="120" w:line="276"/>
        <w:jc w:val="both"/>
      </w:pPr>
      <w:r>
        <w:rPr>
          <w:rFonts w:ascii="Barlow Semi Condensed" w:cs="Barlow Semi Condensed" w:eastAsia="Barlow Semi Condensed" w:hAnsi="Barlow Semi Condensed"/>
          <w:sz w:val="24"/>
          <w:szCs w:val="24"/>
        </w:rPr>
        <w:t xml:space="preserve">Blocco sei, caso Creyelman. L’espulsione dell’ex senatore belga dal Vlaams Belang nel dicembre 2023 è confermata a Livello A; la caratterizzazione come informatore dell’intelligence cinese è tesi di un’inchiesta giornalistica congiunta di primarie testate, tenuta a Livello B e attribuita alla fonte. Il blocco certifica altresì, come rilievo metodologico, che si tratta di un vettore d’influenza cinese, distinto da quello russo.</w:t>
      </w:r>
    </w:p>
    <w:p>
      <w:pPr>
        <w:spacing w:after="120" w:line="276"/>
        <w:jc w:val="both"/>
      </w:pPr>
      <w:r>
        <w:rPr>
          <w:rFonts w:ascii="Barlow Semi Condensed" w:cs="Barlow Semi Condensed" w:eastAsia="Barlow Semi Condensed" w:hAnsi="Barlow Semi Condensed"/>
          <w:sz w:val="24"/>
          <w:szCs w:val="24"/>
        </w:rPr>
        <w:t xml:space="preserve">Blocco sette, Loggia P2. Il rinvenimento dell’elenco dei circa 962 iscritti a Castiglion Fibocchi il 17 marzo 1981, la sua pubblicazione il 21 maggio 1981 e il giudizio di autenticità e attendibilità della Commissione Anselmi del 12 luglio 1984 sono confermati a Livello A dalla relazione parlamentare e dalla storiografia. Il blocco certifica insieme il caveat dirimente: la presenza di un nome nell’elenco non prova l’appartenenza, e l’accertamento parlamentare non coincide con l’esito giudiziario. Esito: confermato a Livello A, con avvertenza sui falsi positivi.</w:t>
      </w:r>
    </w:p>
    <w:p>
      <w:pPr>
        <w:spacing w:after="120" w:line="276"/>
        <w:jc w:val="both"/>
      </w:pPr>
      <w:r>
        <w:rPr>
          <w:rFonts w:ascii="Barlow Semi Condensed" w:cs="Barlow Semi Condensed" w:eastAsia="Barlow Semi Condensed" w:hAnsi="Barlow Semi Condensed"/>
          <w:sz w:val="24"/>
          <w:szCs w:val="24"/>
        </w:rPr>
        <w:t xml:space="preserve">Blocco otto, Operazione Condor. La formalizzazione del sistema nella riunione di Santiago del 25 novembre-1º dicembre 1975 su convocazione di Manuel Contreras, la scoperta dell’Archivo del Terror il 22 dicembre 1992, l’esecuzione dell’attentato di Roma del 6 ottobre 1975 contro Bernardo Leighton da parte di Stefano Delle Chiaie per conto della DINA e l’omicidio di Orlando Letelier a Washington nel settembre 1976 sono confermati a Livello A dai documenti primari del National Security Archive e dalle risultanze giudiziarie. Il blocco certifica altresì la collocazione geopolitica anti-sovietica della rete, rilevante per il vaglio delle ipotesi. Esito: confermato a Livello A.</w:t>
      </w:r>
    </w:p>
    <w:p>
      <w:pPr>
        <w:spacing w:after="120" w:line="276"/>
        <w:jc w:val="both"/>
      </w:pPr>
      <w:r>
        <w:rPr>
          <w:rFonts w:ascii="Barlow Semi Condensed" w:cs="Barlow Semi Condensed" w:eastAsia="Barlow Semi Condensed" w:hAnsi="Barlow Semi Condensed"/>
          <w:sz w:val="24"/>
          <w:szCs w:val="24"/>
        </w:rPr>
        <w:t xml:space="preserve">Blocco nove, diaspora nazista e ratlines. L’esistenza di vie di fuga strutturate verso il Sud America e la penisola iberica, con il ruolo di settori ecclesiastici e di documenti di viaggio ottenuti con generalità false, e i singoli casi di Eichmann, Mengele, Barbie e Stangl, sono acquisizioni storiografiche consolidate confermate a Livello A. L’immagine di un’unica organizzazione centralizzata denominata ODESSA è tenuta a Livello C. Esito: meccanismo confermato a Livello A; centralizzazione a Livello C.</w:t>
      </w:r>
    </w:p>
    <w:p>
      <w:pPr>
        <w:spacing w:after="120" w:line="276"/>
        <w:jc w:val="both"/>
      </w:pPr>
      <w:r>
        <w:rPr>
          <w:rFonts w:ascii="Barlow Semi Condensed" w:cs="Barlow Semi Condensed" w:eastAsia="Barlow Semi Condensed" w:hAnsi="Barlow Semi Condensed"/>
          <w:sz w:val="24"/>
          <w:szCs w:val="24"/>
        </w:rPr>
        <w:t xml:space="preserve">Blocco dieci, elusione dell’embargo dell’apartheid. La cooperazione militare del Sudafrica dell’apartheid con fornitori e mediatori per aggirare l’embargo, attraverso l’agenzia statale Armscor e reti di intermediari, e l’esistenza di un asse tra Stati paria fondato sull’elusione delle sanzioni, sono confermate a Livello B dalla documentazione storica del corpus e dagli approfondimenti tematici. Esito: confermato a Livello B.</w:t>
      </w:r>
    </w:p>
    <w:p>
      <w:pPr>
        <w:spacing w:after="120" w:line="276"/>
        <w:jc w:val="both"/>
      </w:pPr>
      <w:r>
        <w:rPr>
          <w:rFonts w:ascii="Barlow Semi Condensed" w:cs="Barlow Semi Condensed" w:eastAsia="Barlow Semi Condensed" w:hAnsi="Barlow Semi Condensed"/>
          <w:sz w:val="24"/>
          <w:szCs w:val="24"/>
        </w:rPr>
        <w:t xml:space="preserve">6.3 — Stati Zero certificati e blocchi rinviati</w:t>
      </w:r>
    </w:p>
    <w:p>
      <w:pPr>
        <w:spacing w:after="120" w:line="276"/>
        <w:jc w:val="both"/>
      </w:pPr>
      <w:r>
        <w:rPr>
          <w:rFonts w:ascii="Barlow Semi Condensed" w:cs="Barlow Semi Condensed" w:eastAsia="Barlow Semi Condensed" w:hAnsi="Barlow Semi Condensed"/>
          <w:sz w:val="24"/>
          <w:szCs w:val="24"/>
        </w:rPr>
        <w:t xml:space="preserve">Il registro certifica formalmente i due Stati Zero della presente tranche. Primo Stato Zero: assenza di collegamento diretto e documentato tra Ilan Shor e la criminalità organizzata italiana, connessione cercata nel corpus e non trovata. Secondo Stato Zero: assenza, nel corpus, di qualsiasi documento che stabilisca continuità di attori o comando comune tra la Formazione Alfa e la Formazione Beta. Entrambi gli Stati Zero sono risultati positivi, non lacune.</w:t>
      </w:r>
    </w:p>
    <w:p>
      <w:pPr>
        <w:spacing w:after="120" w:line="276"/>
        <w:jc w:val="both"/>
      </w:pPr>
      <w:r>
        <w:rPr>
          <w:rFonts w:ascii="Barlow Semi Condensed" w:cs="Barlow Semi Condensed" w:eastAsia="Barlow Semi Condensed" w:hAnsi="Barlow Semi Condensed"/>
          <w:sz w:val="24"/>
          <w:szCs w:val="24"/>
        </w:rPr>
        <w:t xml:space="preserve">Quanto ai blocchi rinviati alle tranche successive, il registro dichiara con trasparenza che il vaglio a cascata prefigurato è processo pluri-sessione e che questa è la prima tranche. Restano da certificare partitamente, tra gli altri: il riscontro esaustivo dei singoli accordi di partito della rete Russia Unita, di cui è qui verificato il modello italiano; la ricognizione analitica dei nodi bulgaro, austriaco e balcanico ricorrenti nei due dossier contemporanei; la verifica documentale dei singoli intermediari dell’asse iberico e sudafricano; e la ricostruzione partita dei rapporti tra il neofascismo italiano in fuga e i singoli apparati di sicurezza dei regimi del Cono Sur. Ciascuno di questi blocchi sarà oggetto delle tranche successive, secondo il principio di conservazione cumulativa che governa l’opera, per cui ogni versione preserva integralmente la precedente e la incrementa.</w:t>
      </w:r>
    </w:p>
    <w:p>
      <w:pPr>
        <w:pStyle w:val="Heading3"/>
        <w:spacing w:after="80" w:before="160"/>
      </w:pPr>
      <w:r>
        <w:rPr>
          <w:rFonts w:ascii="Barlow Semi Condensed" w:cs="Barlow Semi Condensed" w:eastAsia="Barlow Semi Condensed" w:hAnsi="Barlow Semi Condensed"/>
          <w:sz w:val="24"/>
          <w:szCs w:val="24"/>
        </w:rPr>
        <w:t xml:space="preserve">CHIUSA — Sintesi e indicazioni per le versioni successive</w:t>
      </w:r>
    </w:p>
    <w:p>
      <w:pPr>
        <w:spacing w:after="120" w:line="276"/>
        <w:jc w:val="both"/>
      </w:pPr>
      <w:r>
        <w:rPr>
          <w:rFonts w:ascii="Barlow Semi Condensed" w:cs="Barlow Semi Condensed" w:eastAsia="Barlow Semi Condensed" w:hAnsi="Barlow Semi Condensed"/>
          <w:sz w:val="24"/>
          <w:szCs w:val="24"/>
        </w:rPr>
        <w:t xml:space="preserve">Il registro, applicando alla lettera la metodologia dell’opera, giunge a un esito netto e a un limite altrettanto netto. L’esito è che il corpus, letto per ciò che effettivamente documenta, falsifica la forma forte della tesi del condominio tra Stati Uniti e Unione Sovietica, poi Russia: in entrambe le formazioni autoritarie transnazionali che il corpus ricostruisce — l’anticomunista atlantica del dopoguerra e l’eurasiatista contemporanea — le due potenze si collocano su fronti opposti, non in coordinamento. Il limite è che la tesi alternativa delle due internazionali rivali, pur essendo la meno contraddetta dalle evidenze e pur godendo di un vantaggio esplicativo, va mantenuta al rango di ipotesi non falsificata, a Livello C, perché l’intenzionalità e l’autocoscienza che essa presuppone per l’insieme sono documentate solo per i singoli nodi.</w:t>
      </w:r>
    </w:p>
    <w:p>
      <w:pPr>
        <w:spacing w:after="120" w:line="276"/>
        <w:jc w:val="both"/>
      </w:pPr>
      <w:r>
        <w:rPr>
          <w:rFonts w:ascii="Barlow Semi Condensed" w:cs="Barlow Semi Condensed" w:eastAsia="Barlow Semi Condensed" w:hAnsi="Barlow Semi Condensed"/>
          <w:sz w:val="24"/>
          <w:szCs w:val="24"/>
        </w:rPr>
        <w:t xml:space="preserve">Ne discende, per le versioni successive, una direzione di lavoro coerente con questa impostazione: non la ricerca di conferme alla tesi del condominio, che la struttura stessa produrrebbe artificiosamente, ma il tentativo sistematico di falsificare l’ipotesi delle due internazionali rivali, cercando in via prioritaria le evidenze che la contraddirebbero — ad esempio la prova documentale di un passaggio di consegne tra le due formazioni, che oggi è uno Stato Zero. È questo il metodo del falsificatore permanente che l’opera ha eletto a proprio principio: solo l’ipotesi che sopravvive ai tentativi di confutazione merita, e soltanto provvisoriamente, il titolo di conoscenza. Il presente documento è la prima tranche di quel percorso e va letto come tale: un registro che gradua, attribuisce e distingue, e che nella disciplina della prova trova insieme il proprio rigore scientifico e la propria tutela.</w:t>
      </w:r>
    </w:p>
    <w:p>
      <w:pPr>
        <w:pStyle w:val="Heading3"/>
        <w:spacing w:after="80" w:before="160"/>
      </w:pPr>
      <w:r>
        <w:rPr>
          <w:rFonts w:ascii="Barlow Semi Condensed" w:cs="Barlow Semi Condensed" w:eastAsia="Barlow Semi Condensed" w:hAnsi="Barlow Semi Condensed"/>
          <w:sz w:val="24"/>
          <w:szCs w:val="24"/>
        </w:rPr>
        <w:t xml:space="preserve">Nota sulle fonti di riscontro della tranche</w:t>
      </w:r>
    </w:p>
    <w:p>
      <w:pPr>
        <w:spacing w:after="120" w:line="276"/>
        <w:jc w:val="both"/>
      </w:pPr>
      <w:r>
        <w:rPr>
          <w:rFonts w:ascii="Barlow Semi Condensed" w:cs="Barlow Semi Condensed" w:eastAsia="Barlow Semi Condensed" w:hAnsi="Barlow Semi Condensed"/>
          <w:sz w:val="24"/>
          <w:szCs w:val="24"/>
        </w:rPr>
        <w:t xml:space="preserve">I riscontri della presente tranche poggiano, per la parte contemporanea, su provvedimenti sanzionatori e comunicati di organismi istituzionali — il Tesoro degli Stati Uniti e il suo Ufficio per il controllo dei beni esteri, il Consiglio dell’Unione Europea, l’omologo britannico — su inchieste di primarie testate internazionali e nazionali, e su analisi tecniche di società specializzate nell’intelligence sulla blockchain e nel monitoraggio elettorale. Per la parte storica poggiano sulla relazione della Commissione parlamentare d’inchiesta sulla Loggia P2, sui documenti primari desecretati resi disponibili dal National Security Archive, sulla letteratura accademica e giudiziaria consolidata e sugli approfondimenti tematici del corpus, che a loro volta recano le proprie fonti. In coerenza con lo standard di triangolazione dell’opera, nessun nodo è stato certificato a Livello A senza la convergenza di almeno tre fonti indipendenti di natura eterogenea; ove tale convergenza non è stata raggiunta, il nodo è stato mantenuto ai livelli inferiori o registrato come Stato Zero. Le fonti puntuali di ciascun blocco sono conservate nel fascicolo di lavorazione e saranno riportate analiticamente nelle versioni successive, secondo il principio di conservazione cumulativa.</w:t>
      </w:r>
    </w:p>
    <w:p>
      <w:pPr>
        <w:pStyle w:val="Heading3"/>
        <w:spacing w:after="80" w:before="160"/>
      </w:pPr>
      <w:r>
        <w:rPr>
          <w:rFonts w:ascii="Barlow Semi Condensed" w:cs="Barlow Semi Condensed" w:eastAsia="Barlow Semi Condensed" w:hAnsi="Barlow Semi Condensed"/>
          <w:sz w:val="24"/>
          <w:szCs w:val="24"/>
        </w:rPr>
        <w:t xml:space="preserve">SECONDA TRANCHE — FASE VII: IL CORRIDOIO BIOGRAFICO TRA LE DUE FORMAZIONI. IL NODO MURELLI E LA FILIERA JEUNE EUROPE–ORION–EURASIATISMO</w:t>
      </w:r>
    </w:p>
    <w:p>
      <w:pPr>
        <w:spacing w:after="120" w:line="276"/>
        <w:jc w:val="both"/>
      </w:pPr>
      <w:r>
        <w:rPr>
          <w:rFonts w:ascii="Barlow Semi Condensed" w:cs="Barlow Semi Condensed" w:eastAsia="Barlow Semi Condensed" w:hAnsi="Barlow Semi Condensed"/>
          <w:sz w:val="24"/>
          <w:szCs w:val="24"/>
        </w:rPr>
        <w:t xml:space="preserve">7.1 — Oggetto della tranche, fonte-innesco e suo statuto probatorio</w:t>
      </w:r>
    </w:p>
    <w:p>
      <w:pPr>
        <w:spacing w:after="120" w:line="276"/>
        <w:jc w:val="both"/>
      </w:pPr>
      <w:r>
        <w:rPr>
          <w:rFonts w:ascii="Barlow Semi Condensed" w:cs="Barlow Semi Condensed" w:eastAsia="Barlow Semi Condensed" w:hAnsi="Barlow Semi Condensed"/>
          <w:sz w:val="24"/>
          <w:szCs w:val="24"/>
        </w:rPr>
        <w:t xml:space="preserve">La seconda tranche è innescata dall'acquisizione al fascicolo della voce enciclopedica in rete dedicata a Maurizio Murelli e procede, secondo il mandato, per blocchi di verifica a cascata con triangolazione integrale sul corpus e sulle fonti esterne. Occorre anzitutto fissare lo statuto della fonte-innesco. La voce si autodichiara, con avviso redazionale in testa, priva o carente di note e riferimenti bibliografici puntuali; reca inoltre un vistoso refuso nella data di consultazione di una delle note, indicata in un impossibile 17 aprile 2121, ulteriore segnale di redazione non curata. Ne discende la regola applicata per l'intera tranche: la voce vale come puntatore e come mappa delle asserzioni da vagliare, mai come prova; ogni sua proposizione è stata sottoposta a triangolazione autonoma con il corpus dell'opera — in particolare con la ricostruzione storiografica dedicata alla filiera da Aginter Press e Jeune Europe all'eurasiatismo filorusso, già acquisita al progetto — e con fonti esterne indipendenti, giornalistiche, accademiche, giudiziarie e archivistiche. Le note della voce sono state estratte una per una e i loro collegamenti censiti nell'apparato finale della tranche, come richiesto dal mandato.</w:t>
      </w:r>
    </w:p>
    <w:p>
      <w:pPr>
        <w:spacing w:after="120" w:line="276"/>
        <w:jc w:val="both"/>
      </w:pPr>
      <w:r>
        <w:rPr>
          <w:rFonts w:ascii="Barlow Semi Condensed" w:cs="Barlow Semi Condensed" w:eastAsia="Barlow Semi Condensed" w:hAnsi="Barlow Semi Condensed"/>
          <w:sz w:val="24"/>
          <w:szCs w:val="24"/>
        </w:rPr>
        <w:t xml:space="preserve">La ragione per cui questo nodo merita una tranche dedicata è analitica prima che biografica. La prima tranche aveva certificato, come secondo Stato Zero, l'assenza nel corpus allora vagliato di qualsiasi documento che stabilisse continuità di attori tra la Formazione Alfa — la rete nera anticomunista del dopoguerra — e la Formazione Beta — l'operazione di influenza eurasiatista contemporanea. Il materiale ora vagliato incide precisamente su quel punto: documenta l'esistenza di un corridoio biografico e ideologico che attraversa le due epoche, e impone di aggiornare formalmente il registro. Come si vedrà, l'aggiornamento non rovescia lo Stato Zero: lo raffina, distinguendo ciò che ora risulta documentato — la continuità di persone e di ambiente — da ciò che resta non documentato — la continuità di comando e di committenza.</w:t>
      </w:r>
    </w:p>
    <w:p>
      <w:pPr>
        <w:spacing w:after="120" w:line="276"/>
        <w:jc w:val="both"/>
      </w:pPr>
      <w:r>
        <w:rPr>
          <w:rFonts w:ascii="Barlow Semi Condensed" w:cs="Barlow Semi Condensed" w:eastAsia="Barlow Semi Condensed" w:hAnsi="Barlow Semi Condensed"/>
          <w:sz w:val="24"/>
          <w:szCs w:val="24"/>
        </w:rPr>
        <w:t xml:space="preserve">7.2 — Il fatto fondativo: il giovedì nero di Milano del 12 aprile 1973</w:t>
      </w:r>
    </w:p>
    <w:p>
      <w:pPr>
        <w:spacing w:after="120" w:line="276"/>
        <w:jc w:val="both"/>
      </w:pPr>
      <w:r>
        <w:rPr>
          <w:rFonts w:ascii="Barlow Semi Condensed" w:cs="Barlow Semi Condensed" w:eastAsia="Barlow Semi Condensed" w:hAnsi="Barlow Semi Condensed"/>
          <w:sz w:val="24"/>
          <w:szCs w:val="24"/>
        </w:rPr>
        <w:t xml:space="preserve">Il fatto giudiziario da cui la biografia muove è accertato a Livello A dalla convergenza di risultanze processuali, storiografia e cronaca giudiziaria pluridecennale, e trova pieno riscontro nella voce enciclopedica dedicata all'evento, anch'essa acquisita al corpus. Il 12 aprile 1973, durante una manifestazione del Movimento Sociale Italiano e del Fronte della Gioventù vietata dal prefetto Libero Mazza e dal questore, un corteo neofascista attraversò Milano dirigendosi verso la prefettura; all'incrocio tra via Bellotti e via Kramer vennero lanciate contro le forze dell'ordine due bombe a mano SRCM Mod. 35 in dotazione all'esercito. La seconda colpì al petto l'agente ventiduenne Antonio Marino, uccidendolo; altri dodici agenti rimasero feriti. Per quei fatti Vittorio Loi, figlio del pugile Duilio Loi e autore materiale del lancio, fu condannato a diciannove anni; Maurizio Murelli, che aveva compiuto diciotto anni da pochi mesi, fu condannato a diciotto anni a titolo di concorso, secondo la formula della unicità del disegno criminoso; ne scontò circa undici prima della semilibertà. Le bombe erano state procurate da Nico Azzi del gruppo La Fenice, denominazione milanese dell'area ordinovista, lo stesso Azzi che il 7 aprile precedente si era ferito nel fallito attentato al treno Torino-Genova-Roma: la circostanza, accertata processualmente, salda il giovedì nero al contesto stragista coevo ed è certificata a Livello A.</w:t>
      </w:r>
    </w:p>
    <w:p>
      <w:pPr>
        <w:spacing w:after="120" w:line="276"/>
        <w:jc w:val="both"/>
      </w:pPr>
      <w:r>
        <w:rPr>
          <w:rFonts w:ascii="Barlow Semi Condensed" w:cs="Barlow Semi Condensed" w:eastAsia="Barlow Semi Condensed" w:hAnsi="Barlow Semi Condensed"/>
          <w:sz w:val="24"/>
          <w:szCs w:val="24"/>
        </w:rPr>
        <w:t xml:space="preserve">Su un punto la tranche impone la massima disciplina, trattandosi della seconda carica dello Stato in carica. È documentato a Livello A, dalla convergenza di più testate indipendenti e della storiografia, che in testa al corteo di quel giorno vi fossero, tra i dirigenti, i fratelli Ignazio e Romano La Russa, il primo allora segretario milanese del Fronte della Gioventù. È parimenti documentato, dalla medesima convergenza di fonti, che entrambi furono ritenuti estranei ai fatti di sangue: le iniziali chiamate in correo mosse da Loi e Murelli contro dirigenti del movimento, tra cui i fratelli La Russa, furono dagli stessi dichiaranti ritrattate come infondate. Il registro riporta pertanto, congiuntamente e con pari evidenza, il fatto della presenza documentata alla guida del corteo e il fatto dell'estraneità accertata ai reati di sangue, astenendosi — in forza della disciplina delle persone viventi e della Regola Ferrea — da qualsiasi inferenza che dalla presenza a una manifestazione ricavi responsabilità ulteriori. Una fonte isolata di segno diverso, non riscontrata dalla convergenza delle altre, è stata registrata e non utilizzata. Si segnala infine, quale rilievo di contesto storiografico già presente nel corpus, che il Movimento Sociale Italiano tentò dapprima di attribuire i fatti a infiltrati avversari e successivamente si dissociò dai condannati.</w:t>
      </w:r>
    </w:p>
    <w:p>
      <w:pPr>
        <w:spacing w:after="120" w:line="276"/>
        <w:jc w:val="both"/>
      </w:pPr>
      <w:r>
        <w:rPr>
          <w:rFonts w:ascii="Barlow Semi Condensed" w:cs="Barlow Semi Condensed" w:eastAsia="Barlow Semi Condensed" w:hAnsi="Barlow Semi Condensed"/>
          <w:sz w:val="24"/>
          <w:szCs w:val="24"/>
        </w:rPr>
        <w:t xml:space="preserve">7.3 — Il carcere, Freda, la macchina editoriale: da QUEX a Orion ad AGA</w:t>
      </w:r>
    </w:p>
    <w:p>
      <w:pPr>
        <w:spacing w:after="120" w:line="276"/>
        <w:jc w:val="both"/>
      </w:pPr>
      <w:r>
        <w:rPr>
          <w:rFonts w:ascii="Barlow Semi Condensed" w:cs="Barlow Semi Condensed" w:eastAsia="Barlow Semi Condensed" w:hAnsi="Barlow Semi Condensed"/>
          <w:sz w:val="24"/>
          <w:szCs w:val="24"/>
        </w:rPr>
        <w:t xml:space="preserve">La traiettoria successiva di Murelli è documentata a Livello A nei suoi snodi esterni e verificabili. Durante la detenzione collaborò alla rivista clandestina QUEX, promossa da detenuti dell'area nazionalrivoluzionaria tra cui Fabrizio Zani e Mario Tuti, e maturò — per sua stessa ricostruzione — l'influenza determinante di Franco Freda e del suo scritto sulla disintegrazione del sistema. Fondò dal carcere, nel 1979, le Edizioni Barbarossa, divenute poi Società Editrice Barbarossa e infine AGA Editrice; uscito in semilibertà nel 1984, diede vita a Saluzzo al mensile Orion, animandolo con la moglie Alessandra Colla. Che Orion sia stato il punto di riferimento italiano dell'area detta rosso-bruna o nazionalbolscevica è giudizio convergente della letteratura specialistica ed è certificato a Livello A come collocazione, mentre i contenuti sono documentati dallo studio accademico di Matteo Luca Andriola sulla retorica antigiudaica e sul negazionismo nelle pagine del mensile, apparso su rivista scientifica nel 2016: trattandosi di fonte accademica singola di alta qualità, la caratterizzazione contenutistica è certificata a Livello B e attribuita allo studio. Il corpus dell'opera aggiunge un elemento di rilievo strategico, tratto dalla monografia sull'architettura del caos: già in un articolo del 1985 la redazione di Orion auspicava un impero eurasiatico esteso dal Pacifico all'Atlantico, formulazione che anticipa con notevole precisione la sistematizzazione che Aleksandr Dugin avrebbe dato al progetto eurasiatista oltre un decennio dopo. L'anticipazione è certificata a Livello B sulla base del corpus e della letteratura che la riscontra, ed è analiticamente decisiva: mostra che la filiera italiana non fu ricettore passivo ma laboratorio precoce dell'ideologia poi divenuta strumento della proiezione russa.</w:t>
      </w:r>
    </w:p>
    <w:p>
      <w:pPr>
        <w:spacing w:after="120" w:line="276"/>
        <w:jc w:val="both"/>
      </w:pPr>
      <w:r>
        <w:rPr>
          <w:rFonts w:ascii="Barlow Semi Condensed" w:cs="Barlow Semi Condensed" w:eastAsia="Barlow Semi Condensed" w:hAnsi="Barlow Semi Condensed"/>
          <w:sz w:val="24"/>
          <w:szCs w:val="24"/>
        </w:rPr>
        <w:t xml:space="preserve">7.4 — Le gravitazioni documentate attorno a Orion: il vivaio delle traiettorie</w:t>
      </w:r>
    </w:p>
    <w:p>
      <w:pPr>
        <w:spacing w:after="120" w:line="276"/>
        <w:jc w:val="both"/>
      </w:pPr>
      <w:r>
        <w:rPr>
          <w:rFonts w:ascii="Barlow Semi Condensed" w:cs="Barlow Semi Condensed" w:eastAsia="Barlow Semi Condensed" w:hAnsi="Barlow Semi Condensed"/>
          <w:sz w:val="24"/>
          <w:szCs w:val="24"/>
        </w:rPr>
        <w:t xml:space="preserve">Attorno alla rivista gravitò, per convergenza della voce, del corpus e della letteratura indipendente, un insieme di figure le cui traiettorie successive costituiscono il cuore analitico della tranche. La posizione di Mario Borghezio è la meglio documentata ed è certificata a Livello A nei suoi passaggi esterni: militante di Jeune Europe, il movimento nazional-europeo di Jean Thiriart, dal 1962 e per un quinquennio, per sua stessa ammissione; nell'area di Ordine Nuovo negli anni Settanta; fermato l'11 luglio 1976 al valico di Ponte San Luigi presso Ventimiglia, il giorno successivo all'omicidio del giudice Vittorio Occorsio rivendicato dal Movimento Politico Ordine Nuovo, trovato in possesso di una cartolina firmata Ordine Nuovo dal contenuto ingiurioso e minatorio indirizzata al magistrato Luciano Violante; negli anni Ottanta direttore di Orion-Finanza, il supplemento economico della rivista di Murelli; quindi consigliere comunale della Lega a Torino dal 1990, deputato dal 1992 al 2001, parlamentare europeo dal 2001 al 2019. La sequenza — che il corpus riassume come l'arco completo dal neofascismo thiriartiano alla penetrazione della Lega — è la singola carriera che meglio incarna il Pattern della migrazione inter-dominio previsto dalla Nota Metodologica, e va riportata come concatenazione di fatti documentati, senza qualificazioni ulteriori.</w:t>
      </w:r>
    </w:p>
    <w:p>
      <w:pPr>
        <w:spacing w:after="120" w:line="276"/>
        <w:jc w:val="both"/>
      </w:pPr>
      <w:r>
        <w:rPr>
          <w:rFonts w:ascii="Barlow Semi Condensed" w:cs="Barlow Semi Condensed" w:eastAsia="Barlow Semi Condensed" w:hAnsi="Barlow Semi Condensed"/>
          <w:sz w:val="24"/>
          <w:szCs w:val="24"/>
        </w:rPr>
        <w:t xml:space="preserve">La posizione di Gianluca Savoini è documentata a Livello A nei fatti esterni: la collocazione giovanile nell'orbita del circuito di Orion è attestata dalla convergenza del corpus, della letteratura specialistica e della cronaca; la fondazione e la presidenza dell'Associazione Lombardia-Russia, il ruolo di raccordo nei rapporti tra la Lega e gli ambienti moscoviti e la qualità di artefice organizzativo dell'accordo del 6 marzo 2017 tra la Lega e Russia Unita — accordo già certificato a Livello A nella prima tranche — sono parimenti documentati. Le altre gravitazioni attestate dalla convergenza di voce, corpus e letteratura comprendono il fondatore di Prima Linea Enrico Galmozzi, il fondatore di Terza Posizione Gabriele Adinolfi, che della rivista fu anche uno dei direttori, il futuro responsabile culturale di CasaPound Adriano Scianca, Carlo Terracciano e Carlo Mattogno, la cui produzione negazionista è qualificazione consolidata nella letteratura scientifica e come tale riportata. È infine documentato a Livello A, per ammissione dello stesso ambiente e per cronaca, che Murelli assunse per un periodo Pierluigi Concutelli — il condannato definitivo per l'omicidio Occorsio, la cui voce biografica è parte del corpus — quale responsabile dell'ufficio romano della casa editrice, nel quadro dei benefici di legge. La densità di questo vivaio in un unico punto della rete è, nel lessico della Nota Metodologica, un caso di scuola di alta centralità di intermediazione: un nodo editoriale poco visibile al grande pubblico che collega aree altrimenti disconnesse — reduci dell'eversione, futuri quadri leghisti, futuri quadri di CasaPound — e ne incuba le traiettorie.</w:t>
      </w:r>
    </w:p>
    <w:p>
      <w:pPr>
        <w:spacing w:after="120" w:line="276"/>
        <w:jc w:val="both"/>
      </w:pPr>
      <w:r>
        <w:rPr>
          <w:rFonts w:ascii="Barlow Semi Condensed" w:cs="Barlow Semi Condensed" w:eastAsia="Barlow Semi Condensed" w:hAnsi="Barlow Semi Condensed"/>
          <w:sz w:val="24"/>
          <w:szCs w:val="24"/>
        </w:rPr>
        <w:t xml:space="preserve">7.5 — Il 1992 come anno-cerniera: Dugin a Milano, Thiriart a Mosca</w:t>
      </w:r>
    </w:p>
    <w:p>
      <w:pPr>
        <w:spacing w:after="120" w:line="276"/>
        <w:jc w:val="both"/>
      </w:pPr>
      <w:r>
        <w:rPr>
          <w:rFonts w:ascii="Barlow Semi Condensed" w:cs="Barlow Semi Condensed" w:eastAsia="Barlow Semi Condensed" w:hAnsi="Barlow Semi Condensed"/>
          <w:sz w:val="24"/>
          <w:szCs w:val="24"/>
        </w:rPr>
        <w:t xml:space="preserve">La tranche certifica il 1992 come l'anno-cerniera dell'intera filiera, sulla base della convergenza tra il corpus, la testimonianza diretta pubblicata dagli stessi ambienti e la letteratura accademica indipendente. In quell'anno Aleksandr Dugin tenne a Milano, al circolo delle Stelline, una conferenza sull'eurasiatismo, su invito dell'area di Orion: è la prima presenza documentata del futuro ideologo in Italia, certificata a Livello A dalla convergenza di testimonianza diretta di ambiente, corpus e ricostruzioni giornalistiche e accademiche. Nello stesso anno l'anziano Jean Thiriart, fondatore di Jeune Europe, compì il viaggio a Mosca per incontrare Dugin — accompagnato, secondo la ricostruzione accademica che la tranche riscontra, da Marco Battarra dell'area di Orion — e morì poche settimane dopo il rientro: il passaggio di consegne simbolico tra il nazional-europeismo antiatlantista degli anni Sessanta e il neo-eurasiatismo moscovita è così documentato a Livello A nei suoi fatti esterni. Nei decenni successivi la saldatura si è fatta editoriale e organizzativa: le opere di Dugin sono state pubblicate in Italia dalla filiera Barbarossa e poi, dal 2018 con sistematicità, da AGA Editrice, che ne è divenuta il principale editore italiano; parallelamente Claudio Mutti — anch'egli ex militante di Jeune Europe — ne ha veicolato il pensiero sulla rivista Eurasia. Il registro segnala infine, come fatto documentato dalla cronaca, che Dugin risultava all'epoca dei fatti del 2018 presidente onorario di un'associazione italo-russa di ambito piemontese: la capillarità associativa del vettore è parte del quadro.</w:t>
      </w:r>
    </w:p>
    <w:p>
      <w:pPr>
        <w:spacing w:after="120" w:line="276"/>
        <w:jc w:val="both"/>
      </w:pPr>
      <w:r>
        <w:rPr>
          <w:rFonts w:ascii="Barlow Semi Condensed" w:cs="Barlow Semi Condensed" w:eastAsia="Barlow Semi Condensed" w:hAnsi="Barlow Semi Condensed"/>
          <w:sz w:val="24"/>
          <w:szCs w:val="24"/>
        </w:rPr>
        <w:t xml:space="preserve">7.6 — Il filo dinastico Graziani: da Asunción all'eurasiatismo</w:t>
      </w:r>
    </w:p>
    <w:p>
      <w:pPr>
        <w:spacing w:after="120" w:line="276"/>
        <w:jc w:val="both"/>
      </w:pPr>
      <w:r>
        <w:rPr>
          <w:rFonts w:ascii="Barlow Semi Condensed" w:cs="Barlow Semi Condensed" w:eastAsia="Barlow Semi Condensed" w:hAnsi="Barlow Semi Condensed"/>
          <w:sz w:val="24"/>
          <w:szCs w:val="24"/>
        </w:rPr>
        <w:t xml:space="preserve">La tranche certifica un secondo corridoio, di natura dinastica, che salda fisicamente il teatro sudamericano della Formazione Alfa alla filiera eurasiatista contemporanea, secondo il Pattern dell'analisi generazionale previsto dalla Nota Metodologica. Clemente Graziani, nato a Roma nel 1925, reduce della Repubblica Sociale, fu tra i fondatori del Centro Studi Ordine Nuovo e capo del Movimento Politico Ordine Nuovo; condannato per ricostituzione del disciolto partito fascista, raggiunto da mandati di cattura tra cui quello per concorso nell'omicidio del giudice Occorsio, sfuggì all'estradizione dapprima nel Regno Unito e nella Grecia dei colonnelli e si stabilì infine nel Paraguay di Alfredo Stroessner — il medesimo santuario certificato nella prima tranche come epicentro logistico del sistema Condor e crocevia dell'asse con Pretoria — dove il regime ne rifiutò la consegna e dove visse da allevatore nel Chaco fino alla morte, avvenuta ad Asunción il 12 gennaio 1996. Il registro certifica con pari evidenza, in forza della disciplina dell'accuratezza e del contrasto ai falsi positivi, che dall'accusa più grave, il concorso nell'omicidio Occorsio, Graziani fu scagionato con formula piena in sede di legittimità: la sua posizione va dunque riportata come quella di un condannato per ricostituzione del partito fascista e latitante protetto dal regime stronista, non come quella di un condannato per l'omicidio del magistrato. L'intero quadro è certificato a Livello A.</w:t>
      </w:r>
    </w:p>
    <w:p>
      <w:pPr>
        <w:spacing w:after="120" w:line="276"/>
        <w:jc w:val="both"/>
      </w:pPr>
      <w:r>
        <w:rPr>
          <w:rFonts w:ascii="Barlow Semi Condensed" w:cs="Barlow Semi Condensed" w:eastAsia="Barlow Semi Condensed" w:hAnsi="Barlow Semi Condensed"/>
          <w:sz w:val="24"/>
          <w:szCs w:val="24"/>
        </w:rPr>
        <w:t xml:space="preserve">Il figlio, Rainaldo Graziani, fondò nei primi anni Novanta il movimento Meridiano Zero, fu punto di contatto italiano di Gabriele Adinolfi durante l'esilio francese di quest'ultimo, co-curò con Murelli e con lo stesso Adinolfi l'Università d'Estate del 2000 di cui si dirà, ed è divenuto negli anni recenti — per convergenza di cronaca e letteratura — uno degli accompagnatori e organizzatori italiani della presenza di Dugin, fino ad annunciare nel 2020, congiuntamente a Murelli, l'abbandono dell'identità neofascista in favore della Quarta Teoria Politica duginiana. La concatenazione è certificata a Livello A nei fatti esterni. Il suo significato analitico è difficilmente sopravvalutabile: in una sola genealogia familiare il registro osserva il padre che muore nel santuario paraguaiano dell'internazionale nera anticomunista e il figlio che, una generazione dopo, opera da tramite dell'ideologo dell'internazionale eurasiatista filorussa. È il capovolgimento di polarità della prima tranche incarnato in una dinastia, con date, luoghi e atti pubblici.</w:t>
      </w:r>
    </w:p>
    <w:p>
      <w:pPr>
        <w:spacing w:after="120" w:line="276"/>
        <w:jc w:val="both"/>
      </w:pPr>
      <w:r>
        <w:rPr>
          <w:rFonts w:ascii="Barlow Semi Condensed" w:cs="Barlow Semi Condensed" w:eastAsia="Barlow Semi Condensed" w:hAnsi="Barlow Semi Condensed"/>
          <w:sz w:val="24"/>
          <w:szCs w:val="24"/>
        </w:rPr>
        <w:t xml:space="preserve">7.7 — L'Università d'Estate del 2000 e l'incubazione di CasaPound</w:t>
      </w:r>
    </w:p>
    <w:p>
      <w:pPr>
        <w:spacing w:after="120" w:line="276"/>
        <w:jc w:val="both"/>
      </w:pPr>
      <w:r>
        <w:rPr>
          <w:rFonts w:ascii="Barlow Semi Condensed" w:cs="Barlow Semi Condensed" w:eastAsia="Barlow Semi Condensed" w:hAnsi="Barlow Semi Condensed"/>
          <w:sz w:val="24"/>
          <w:szCs w:val="24"/>
        </w:rPr>
        <w:t xml:space="preserve">La voce e la letteratura specialistica documentano che a partire dai primi anni Novanta Murelli organizzò la serie di convegni denominata Università d'Estate, poi Sinergie Europee, quale luogo di raccordo della componente intellettuale delle destre radicali europee; e che l'edizione del 2000, tenutasi presso un centro di Gavirate e curata da Murelli con Rainaldo Graziani e Gabriele Adinolfi, riunì esponenti di un arco che andava dalle formazioni radicali a settori di partiti allora di governo o parlamentari. La valutazione secondo cui in quella sede sarebbe stata concepita e pianificata la fondazione di CasaPound è tesi dello studioso Matteo Luca Andriola, ripresa dalla letteratura sulle origini del movimento: il registro la certifica a Livello B come ricostruzione accademica attribuita, non come fatto autonomamente riscontrato, rilevando che essa è coerente con la documentata funzione incubatrice dell'ambiente e con il ruolo, parimenti documentato, di Adinolfi e di Scianca nella genesi e nella direzione culturale del movimento.</w:t>
      </w:r>
    </w:p>
    <w:p>
      <w:pPr>
        <w:spacing w:after="120" w:line="276"/>
        <w:jc w:val="both"/>
      </w:pPr>
      <w:r>
        <w:rPr>
          <w:rFonts w:ascii="Barlow Semi Condensed" w:cs="Barlow Semi Condensed" w:eastAsia="Barlow Semi Condensed" w:hAnsi="Barlow Semi Condensed"/>
          <w:sz w:val="24"/>
          <w:szCs w:val="24"/>
        </w:rPr>
        <w:t xml:space="preserve">7.8 — Il caso Metropol nella sua interezza giudiziaria</w:t>
      </w:r>
    </w:p>
    <w:p>
      <w:pPr>
        <w:spacing w:after="120" w:line="276"/>
        <w:jc w:val="both"/>
      </w:pPr>
      <w:r>
        <w:rPr>
          <w:rFonts w:ascii="Barlow Semi Condensed" w:cs="Barlow Semi Condensed" w:eastAsia="Barlow Semi Condensed" w:hAnsi="Barlow Semi Condensed"/>
          <w:sz w:val="24"/>
          <w:szCs w:val="24"/>
        </w:rPr>
        <w:t xml:space="preserve">La tranche riporta il caso Metropol nella sua interezza, perché la disciplina delle persone viventi impone di dare al fatto e al suo esito giudiziario pari evidenza. È documentato a Livello A che il 18 ottobre 2018, presso l'hotel Metropol di Mosca, si tenne un incontro tra Gianluca Savoini, l'avvocato Gianluca Meranda e il consulente Francesco Vannucci, da parte italiana, e tre interlocutori russi considerati intermediari, nel corso del quale si discusse di un'operazione di compravendita petrolifera che, secondo la registrazione audio dell'incontro poi resa pubblica da una testata statunitense nel luglio 2019, avrebbe dovuto generare provvista destinata al finanziamento del partito della Lega. Ne seguì un procedimento della Procura di Milano per corruzione internazionale a carico dei tre cittadini italiani. È parimenti documentato a Livello A che il procedimento si è concluso il 27 aprile 2023 con decreto di archiviazione del giudice per le indagini preliminari, su conforme richiesta dei pubblici ministeri, e che il leader della Lega non è mai stato indagato nella vicenda.</w:t>
      </w:r>
    </w:p>
    <w:p>
      <w:pPr>
        <w:spacing w:after="120" w:line="276"/>
        <w:jc w:val="both"/>
      </w:pPr>
      <w:r>
        <w:rPr>
          <w:rFonts w:ascii="Barlow Semi Condensed" w:cs="Barlow Semi Condensed" w:eastAsia="Barlow Semi Condensed" w:hAnsi="Barlow Semi Condensed"/>
          <w:sz w:val="24"/>
          <w:szCs w:val="24"/>
        </w:rPr>
        <w:t xml:space="preserve">La motivazione dell'archiviazione, quale risulta dalla cronaca giudiziaria convergente, presenta una duplice faccia che il registro riporta integralmente perché ometterne una parte violerebbe la continenza in danno degli uni o degli altri. Da un lato il giudice ha rilevato che gli atti compiuti risultavano inequivocabilmente diretti verso l'obiettivo finale di finanziare illecitamente il partito, grazie ai rapporti che il principale indagato aveva saputo tessere con influenti ambienti russi; dall'altro ha escluso la configurabilità del reato contestato e ogni ragionevole previsione di condanna, poiché l'operazione principale non fu mai conclusa, la fase di destinazione delle somme non fu mai raggiunta e l'identificazione dei soggetti russi e delle loro cariche risultò impossibile per la mancata risposta della Federazione Russa alla rogatoria. Gli accertamenti dei pubblici ministeri, riportati dalla cronaca giudiziaria, indicarono altresì che alla trattativa partecipò Aleksandr Dugin in rappresentanza di alti esponenti dell'establishment russo. Il registro ne trae la formulazione vincolante per ogni versione dell'opera: l'incontro, l'audio, il procedimento e gli accertamenti sono fatti riportabili; nessuna responsabilità penale è stata accertata a carico di alcuno; l'archiviazione per impossibilità di ragionevole previsione di condanna non equivale a un accertamento negativo dei fatti né, all'opposto, autorizza a presentare come provato ciò che il processo non ha provato. Ogni formulazione che ecceda questo perimetro, in un senso o nell'altro, è vietata.</w:t>
      </w:r>
    </w:p>
    <w:p>
      <w:pPr>
        <w:spacing w:after="120" w:line="276"/>
        <w:jc w:val="both"/>
      </w:pPr>
      <w:r>
        <w:rPr>
          <w:rFonts w:ascii="Barlow Semi Condensed" w:cs="Barlow Semi Condensed" w:eastAsia="Barlow Semi Condensed" w:hAnsi="Barlow Semi Condensed"/>
          <w:sz w:val="24"/>
          <w:szCs w:val="24"/>
        </w:rPr>
        <w:t xml:space="preserve">7.9 — La svolta del 2020 e la tesi dell'infiltrazione: gradazione e attribuzione</w:t>
      </w:r>
    </w:p>
    <w:p>
      <w:pPr>
        <w:spacing w:after="120" w:line="276"/>
        <w:jc w:val="both"/>
      </w:pPr>
      <w:r>
        <w:rPr>
          <w:rFonts w:ascii="Barlow Semi Condensed" w:cs="Barlow Semi Condensed" w:eastAsia="Barlow Semi Condensed" w:hAnsi="Barlow Semi Condensed"/>
          <w:sz w:val="24"/>
          <w:szCs w:val="24"/>
        </w:rPr>
        <w:t xml:space="preserve">Due elementi conclusivi della biografia vanno gradati con cura. Il primo è la svolta pubblica del 2020: in un documentario diffuso in rete nel gennaio di quell'anno, e in successive esternazioni riscontrate dalla cronaca, Murelli e Rainaldo Graziani annunciarono la chiusura con l'esperienza e con l'identità neofascista e la propria ricollocazione nella Quarta Teoria Politica di Dugin. L'annuncio è documentato a Livello A come atto pubblico; la sua qualificazione — se compimento coerente di una traiettoria quarantennale dal nazionalbolscevismo all'eurasiatismo, piuttosto che cesura — è materia interpretativa che il registro lascia aperta. Il secondo è la tesi formulata nel 2019 dal libro-inchiesta di Claudio Gatti sui demoni di Salvini, secondo cui Murelli sarebbe stato ispiratore e artefice di infiltrazioni postfasciste nella Lega, idonee a orientarne il vertice e a farne veicolo dell'influenza russa in Europa; tesi ripresa da trasmissioni televisive d'inchiesta del servizio pubblico e di emittenti private nell'autunno del medesimo anno. Il registro certifica a Livello A l'esistenza e il contenuto della tesi e delle inchieste; certifica a Livello A i singoli fatti su cui esse poggiano, nella misura in cui sono stati autonomamente riscontrati nei paragrafi che precedono; ma mantiene la tesi complessiva — l'infiltrazione intenzionale e diretta come disegno unitario — al rango di ipotesi interpretativa attribuita alla fonte, a Livello C, perché essa eccede la somma dei fatti documentati e nessun accertamento giudiziario l'ha convalidata. È esattamente il punto in cui la Regola Ferrea separa la concatenazione documentata delle biografie dall'attribuzione di un mandato.</w:t>
      </w:r>
    </w:p>
    <w:p>
      <w:pPr>
        <w:spacing w:after="120" w:line="276"/>
        <w:jc w:val="both"/>
      </w:pPr>
      <w:r>
        <w:rPr>
          <w:rFonts w:ascii="Barlow Semi Condensed" w:cs="Barlow Semi Condensed" w:eastAsia="Barlow Semi Condensed" w:hAnsi="Barlow Semi Condensed"/>
          <w:sz w:val="24"/>
          <w:szCs w:val="24"/>
        </w:rPr>
        <w:t xml:space="preserve">7.10 — Verdetto della tranche: l'aggiornamento formale del secondo Stato Zero</w:t>
      </w:r>
    </w:p>
    <w:p>
      <w:pPr>
        <w:spacing w:after="120" w:line="276"/>
        <w:jc w:val="both"/>
      </w:pPr>
      <w:r>
        <w:rPr>
          <w:rFonts w:ascii="Barlow Semi Condensed" w:cs="Barlow Semi Condensed" w:eastAsia="Barlow Semi Condensed" w:hAnsi="Barlow Semi Condensed"/>
          <w:sz w:val="24"/>
          <w:szCs w:val="24"/>
        </w:rPr>
        <w:t xml:space="preserve">La tranche impone di aggiornare formalmente il registro delle non-connessioni. Il secondo Stato Zero della prima tranche — l'assenza di documenti che stabilissero continuità di attori tra la Formazione Alfa e la Formazione Beta — è superato nella sua prima metà: la continuità di attori e di ambiente è ora documentata a Livello A, incarnata in un corridoio biografico plurimo e verificato — Murelli, dal giovedì nero all'editoria duginiana; Borghezio, da Jeune Europe a Orion-Finanza alla Lega; Mutti, da Jeune Europe alla rivista Eurasia; la dinastia Graziani, dal santuario paraguaiano all'accompagnamento di Dugin; Savoini, dall'orbita di Orion all'accordo con Russia Unita e al Metropol. Resta invece integro, e viene qui ricertificato come Stato Zero, il nucleo duro della non-connessione: nessun documento del corpus né della campagna di verifica stabilisce una continuità di comando, di committenza o di sponsor tra le due formazioni. Il corridoio documentato è un corridoio di persone e di idee che cambiano campo, non una catena di trasmissione di ordini; e il corpus stesso certifica, con la distinzione tra la filiera atlantista facente capo ad Aginter Press e la filiera antiatlantista facente capo a Jeune Europe, che già all'interno della Formazione Alfa coesistevano due linee opposte quanto a collocazione geopolitica, prive di contatti documentati tra loro.</w:t>
      </w:r>
    </w:p>
    <w:p>
      <w:pPr>
        <w:spacing w:after="120" w:line="276"/>
        <w:jc w:val="both"/>
      </w:pPr>
      <w:r>
        <w:rPr>
          <w:rFonts w:ascii="Barlow Semi Condensed" w:cs="Barlow Semi Condensed" w:eastAsia="Barlow Semi Condensed" w:hAnsi="Barlow Semi Condensed"/>
          <w:sz w:val="24"/>
          <w:szCs w:val="24"/>
        </w:rPr>
        <w:t xml:space="preserve">Ne discendono tre conseguenze per la matrice delle ipotesi. La prima è un raffinamento di H2: il polo nero della Guerra Fredda non era monolitico; la componente che confluisce nell'eurasiatismo filorusso non è quella atlantista del Condor e di Aginter, ma la corrente antiatlantista thiriartiana, minoritaria e distinta, che dell'antiamericanismo aveva fatto il proprio codice fin dagli anni Sessanta. Il capovolgimento di polarità certificato nella prima tranche va dunque precisato: più che un capovolgimento, è l'emersione egemonica, dentro l'area radicale, della sua corrente da sempre orientata a Est, promossa dall'irrilevanza alla centralità dall'investimento russo contemporaneo. La seconda conseguenza è che H1, l'ipotesi del condominio, ne esce ulteriormente contraddetta: il corridoio documentato è esplicitamente e costitutivamente antiamericano in ogni sua stazione, e non presenta traccia di regia o di beneficio statunitense. La terza è che H2 medesima, pur ulteriormente meno contraddetta, resta a Livello C: la continuità di ambiente ora provata rende l'ipotesi più solida, ma la continuità di committenza che la sua forma forte presuppone rimane uno Stato Zero, e il registro rifiuta di colmarlo per via narrativa.</w:t>
      </w:r>
    </w:p>
    <w:p>
      <w:pPr>
        <w:spacing w:after="120" w:line="276"/>
        <w:jc w:val="both"/>
      </w:pPr>
      <w:r>
        <w:rPr>
          <w:rFonts w:ascii="Barlow Semi Condensed" w:cs="Barlow Semi Condensed" w:eastAsia="Barlow Semi Condensed" w:hAnsi="Barlow Semi Condensed"/>
          <w:sz w:val="24"/>
          <w:szCs w:val="24"/>
        </w:rPr>
        <w:t xml:space="preserve">7.11 — Registro dei blocchi di verifica della seconda tranche</w:t>
      </w:r>
    </w:p>
    <w:p>
      <w:pPr>
        <w:spacing w:after="120" w:line="276"/>
        <w:jc w:val="both"/>
      </w:pPr>
      <w:r>
        <w:rPr>
          <w:rFonts w:ascii="Barlow Semi Condensed" w:cs="Barlow Semi Condensed" w:eastAsia="Barlow Semi Condensed" w:hAnsi="Barlow Semi Condensed"/>
          <w:sz w:val="24"/>
          <w:szCs w:val="24"/>
        </w:rPr>
        <w:t xml:space="preserve">Blocco undici, dinamica e condanne del giovedì nero. La sequenza dei fatti del 12 aprile 1973, l'identità della vittima, la tipologia dell'ordigno, le condanne di Loi e Murelli e la provenienza delle bombe da Nico Azzi del gruppo La Fenice sono confermate dalla convergenza di voce enciclopedica dedicata, storiografia, cronaca giudiziaria pluridecennale e corpus. Esito: confermato a Livello A.</w:t>
      </w:r>
    </w:p>
    <w:p>
      <w:pPr>
        <w:spacing w:after="120" w:line="276"/>
        <w:jc w:val="both"/>
      </w:pPr>
      <w:r>
        <w:rPr>
          <w:rFonts w:ascii="Barlow Semi Condensed" w:cs="Barlow Semi Condensed" w:eastAsia="Barlow Semi Condensed" w:hAnsi="Barlow Semi Condensed"/>
          <w:sz w:val="24"/>
          <w:szCs w:val="24"/>
        </w:rPr>
        <w:t xml:space="preserve">Blocco dodici, posizione dei fratelli La Russa. La presenza in testa al corteo e la contestuale estraneità accertata ai fatti di sangue, con la ritrattazione delle iniziali chiamate in correo da parte degli stessi dichiaranti, sono confermate dalla convergenza di più testate indipendenti. Una fonte isolata di segno diverso è stata registrata e non utilizzata per difetto di riscontro. Esito: confermato a Livello A nella formulazione bilanciata sopra enunciata, che è l'unica ammessa nell'opera.</w:t>
      </w:r>
    </w:p>
    <w:p>
      <w:pPr>
        <w:spacing w:after="120" w:line="276"/>
        <w:jc w:val="both"/>
      </w:pPr>
      <w:r>
        <w:rPr>
          <w:rFonts w:ascii="Barlow Semi Condensed" w:cs="Barlow Semi Condensed" w:eastAsia="Barlow Semi Condensed" w:hAnsi="Barlow Semi Condensed"/>
          <w:sz w:val="24"/>
          <w:szCs w:val="24"/>
        </w:rPr>
        <w:t xml:space="preserve">Blocco tredici, macchina editoriale e contenuti di Orion. Fondazione, cronologia e collocazione della filiera Barbarossa-Orion-AGA sono confermate a Livello A; la caratterizzazione contenutistica antigiudaica e negazionista è confermata a Livello B sulla base dello studio accademico di riferimento, cui è attribuita. L'anticipazione eurasiatista del 1985 è confermata a Livello B sulla base del corpus.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quattordici, traiettoria di Borghezio. Militanza in Jeune Europe dal 1962, area ordinovista, fermo dell'11 luglio 1976 al confine con la cartolina minatoria indirizzata al magistrato Violante il giorno successivo all'omicidio Occorsio, direzione di Orion-Finanza, ingresso nella Lega nel 1990 e successivi mandati parlamentari nazionali ed europei sono confermati dalla convergenza di fonti archivistiche specializzate, voci enciclopediche referenziate e letteratura accademica. Esito: confermato a Livello A.</w:t>
      </w:r>
    </w:p>
    <w:p>
      <w:pPr>
        <w:spacing w:after="120" w:line="276"/>
        <w:jc w:val="both"/>
      </w:pPr>
      <w:r>
        <w:rPr>
          <w:rFonts w:ascii="Barlow Semi Condensed" w:cs="Barlow Semi Condensed" w:eastAsia="Barlow Semi Condensed" w:hAnsi="Barlow Semi Condensed"/>
          <w:sz w:val="24"/>
          <w:szCs w:val="24"/>
        </w:rPr>
        <w:t xml:space="preserve">Blocco quindici, collocazione di Savoini. L'orbita giovanile nel circuito di Orion, la fondazione dell'Associazione Lombardia-Russia e il ruolo di artefice organizzativo dell'accordo Lega-Russia Unita sono confermati dalla convergenza di corpus, cronaca e letteratura. Esito: confermato a Livello A nei fatti esterni.</w:t>
      </w:r>
    </w:p>
    <w:p>
      <w:pPr>
        <w:spacing w:after="120" w:line="276"/>
        <w:jc w:val="both"/>
      </w:pPr>
      <w:r>
        <w:rPr>
          <w:rFonts w:ascii="Barlow Semi Condensed" w:cs="Barlow Semi Condensed" w:eastAsia="Barlow Semi Condensed" w:hAnsi="Barlow Semi Condensed"/>
          <w:sz w:val="24"/>
          <w:szCs w:val="24"/>
        </w:rPr>
        <w:t xml:space="preserve">Blocco sedici, caso Metropol. L'incontro del 18 ottobre 2018, la pubblicazione dell'audio nel luglio 2019, il procedimento per corruzione internazionale, l'archiviazione del 27 aprile 2023 con la duplice motivazione sopra riportata, la posizione mai indagata del leader della Lega e l'accertamento dei pubblici ministeri sulla partecipazione di Dugin alla trattativa sono confermati dalla convergenza di agenzia di stampa nazionale, principali testate economiche e generaliste e cronaca giudiziaria. Esito: confermato a Livello A, con la formulazione vincolante di cui al capitolo dedicato.</w:t>
      </w:r>
    </w:p>
    <w:p>
      <w:pPr>
        <w:spacing w:after="120" w:line="276"/>
        <w:jc w:val="both"/>
      </w:pPr>
      <w:r>
        <w:rPr>
          <w:rFonts w:ascii="Barlow Semi Condensed" w:cs="Barlow Semi Condensed" w:eastAsia="Barlow Semi Condensed" w:hAnsi="Barlow Semi Condensed"/>
          <w:sz w:val="24"/>
          <w:szCs w:val="24"/>
        </w:rPr>
        <w:t xml:space="preserve">Blocco diciassette, anno-cerniera 1992. La conferenza milanese di Dugin al circolo delle Stelline su invito dell'area Orion e il viaggio moscovita di Thiriart con accompagnamento italiano, seguito a breve dalla morte del fondatore di Jeune Europe, sono confermati dalla convergenza di testimonianza diretta di ambiente, corpus e letteratura accademica indipendente. Esito: confermato a Livello A.</w:t>
      </w:r>
    </w:p>
    <w:p>
      <w:pPr>
        <w:spacing w:after="120" w:line="276"/>
        <w:jc w:val="both"/>
      </w:pPr>
      <w:r>
        <w:rPr>
          <w:rFonts w:ascii="Barlow Semi Condensed" w:cs="Barlow Semi Condensed" w:eastAsia="Barlow Semi Condensed" w:hAnsi="Barlow Semi Condensed"/>
          <w:sz w:val="24"/>
          <w:szCs w:val="24"/>
        </w:rPr>
        <w:t xml:space="preserve">Blocco diciotto, filiera editoriale duginiana. La pubblicazione sistematica delle opere di Dugin da parte di AGA Editrice a partire dal 2018 e il ruolo di Murelli quale principale editore e organizzatore italiano delle presenze pubbliche dell'ideologo sono confermati da cronaca, cataloghi pubblici e autodichiarazioni. Esito: confermato a Livello A.</w:t>
      </w:r>
    </w:p>
    <w:p>
      <w:pPr>
        <w:spacing w:after="120" w:line="276"/>
        <w:jc w:val="both"/>
      </w:pPr>
      <w:r>
        <w:rPr>
          <w:rFonts w:ascii="Barlow Semi Condensed" w:cs="Barlow Semi Condensed" w:eastAsia="Barlow Semi Condensed" w:hAnsi="Barlow Semi Condensed"/>
          <w:sz w:val="24"/>
          <w:szCs w:val="24"/>
        </w:rPr>
        <w:t xml:space="preserve">Blocco diciannove, dinastia Graziani. La biografia di Clemente Graziani — fondazione di Ordine Nuovo, condanna per ricostituzione del partito fascista, latitanza, rifiuto paraguaiano dell'estradizione, morte ad Asunción nel gennaio 1996 e proscioglimento con formula piena in sede di legittimità dall'accusa per l'omicidio Occorsio — e la traiettoria del figlio Rainaldo — Meridiano Zero, raccordo con Adinolfi, co-curatela dell'Università d'Estate del 2000, ruolo organizzativo nella presenza italiana di Dugin, annuncio congiunto del 2020 — sono confermate dalla convergenza di voci enciclopediche, cronaca e letteratura. Esito: confermato a Livello A.</w:t>
      </w:r>
    </w:p>
    <w:p>
      <w:pPr>
        <w:spacing w:after="120" w:line="276"/>
        <w:jc w:val="both"/>
      </w:pPr>
      <w:r>
        <w:rPr>
          <w:rFonts w:ascii="Barlow Semi Condensed" w:cs="Barlow Semi Condensed" w:eastAsia="Barlow Semi Condensed" w:hAnsi="Barlow Semi Condensed"/>
          <w:sz w:val="24"/>
          <w:szCs w:val="24"/>
        </w:rPr>
        <w:t xml:space="preserve">Blocco venti, Università d'Estate del 2000 e genesi di CasaPound. Lo svolgimento del convegno e la sua composizione sono confermati a Livello A; la tesi del concepimento di CasaPound in quella sede è confermata a Livello B come ricostruzione accademica attribuita.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ventuno, svolta del 2020. L'annuncio pubblico congiunto di Murelli e Rainaldo Graziani di abbandono dell'identità neofascista in favore della Quarta Teoria Politica è confermato dalla convergenza del documento audiovisivo, della cronaca e delle fonti di area. Esito: confermato a Livello A come atto pubblico.</w:t>
      </w:r>
    </w:p>
    <w:p>
      <w:pPr>
        <w:spacing w:after="120" w:line="276"/>
        <w:jc w:val="both"/>
      </w:pPr>
      <w:r>
        <w:rPr>
          <w:rFonts w:ascii="Barlow Semi Condensed" w:cs="Barlow Semi Condensed" w:eastAsia="Barlow Semi Condensed" w:hAnsi="Barlow Semi Condensed"/>
          <w:sz w:val="24"/>
          <w:szCs w:val="24"/>
        </w:rPr>
        <w:t xml:space="preserve">Blocco ventidue, tesi dell'infiltrazione. L'esistenza, il contenuto e la ripresa televisiva della tesi del libro-inchiesta del 2019 sono confermate a Livello A; la tesi in quanto tale è mantenuta a Livello C e attribuita alla fonte, non essendo stata convalidata da alcun accertamento e non discendendo necessariamente dai fatti documentati. Esito: gradazione differenziata con divieto di assertorietà.</w:t>
      </w:r>
    </w:p>
    <w:p>
      <w:pPr>
        <w:spacing w:after="120" w:line="276"/>
        <w:jc w:val="both"/>
      </w:pPr>
      <w:r>
        <w:rPr>
          <w:rFonts w:ascii="Barlow Semi Condensed" w:cs="Barlow Semi Condensed" w:eastAsia="Barlow Semi Condensed" w:hAnsi="Barlow Semi Condensed"/>
          <w:sz w:val="24"/>
          <w:szCs w:val="24"/>
        </w:rPr>
        <w:t xml:space="preserve">7.12 — Rilievi civili e penali della seconda tranche e censimento dei collegamenti</w:t>
      </w:r>
    </w:p>
    <w:p>
      <w:pPr>
        <w:spacing w:after="120" w:line="276"/>
        <w:jc w:val="both"/>
      </w:pPr>
      <w:r>
        <w:rPr>
          <w:rFonts w:ascii="Barlow Semi Condensed" w:cs="Barlow Semi Condensed" w:eastAsia="Barlow Semi Condensed" w:hAnsi="Barlow Semi Condensed"/>
          <w:sz w:val="24"/>
          <w:szCs w:val="24"/>
        </w:rPr>
        <w:t xml:space="preserve">Il triage delle persone viventi si arricchisce delle posizioni seguenti. Maurizio Murelli: la condanna definitiva, l'attività editoriale e le prese di posizione pubbliche sono fatti riportabili; la qualifica di ex terrorista, di uso corrente nella cronaca, va sempre accompagnata dalla precisazione del titolo effettivo di condanna, il concorso in omicidio nella forma sopra descritta, a garanzia di continenza; le tesi che gli attribuiscono un disegno di infiltrazione vanno attribuite alla fonte. Si segnala, quale caveat ulteriore, che la cronaca documenta anche casi di notizie false costruite ai danni del medesimo, poi smentite: la triangolazione è dovuta in entrambe le direzioni. Mario Borghezio: la sequenza biografica è riportabile come concatenazione di fatti documentati; il fermo del 1976 va riportato per ciò che fu, senza inferenze sull'omicidio Occorsio, per il quale nessun addebito gli fu mosso. Gianluca Savoini: i fatti esterni e l'esito giudiziario del Metropol vanno riportati congiuntamente, nella formulazione vincolante del capitolo dedicato. Rainaldo Graziani: solo i fatti pubblici documentati; le sue dichiarazioni pubbliche sono citabili come tali. Ignazio e Romano La Russa: esclusivamente la formulazione bilanciata del blocco dodici; ogni accostamento ulteriore è vietato. Gabriele Adinolfi e Adriano Scianca: ruoli pubblici documentati. Quanto ai defunti — Clemente Graziani, Concutelli, Freda, Thiriart, Terracciano — vige la disciplina dell'accuratezza, con l'obbligo specifico di riportare il proscioglimento di Graziani dall'accusa Occorsio e la distinzione tra le condanne effettive di ciascuno e le attribuzioni di vulgata.</w:t>
      </w:r>
    </w:p>
    <w:p>
      <w:pPr>
        <w:spacing w:after="120" w:line="276"/>
        <w:jc w:val="both"/>
      </w:pPr>
      <w:r>
        <w:rPr>
          <w:rFonts w:ascii="Barlow Semi Condensed" w:cs="Barlow Semi Condensed" w:eastAsia="Barlow Semi Condensed" w:hAnsi="Barlow Semi Condensed"/>
          <w:sz w:val="24"/>
          <w:szCs w:val="24"/>
        </w:rPr>
        <w:t xml:space="preserve">Il censimento dei collegamenti estratti dalla fonte-innesco, richiesto dal mandato, registra le sette note della voce: gli articoli di cronaca delle testate repubblica.it, giornalettismo.com e altreconomia.it; la ricostruzione del quotidiano milanese corriere.it sul giovedì nero; lo studio di Andriola sul Giornale di storia contemporanea, privo di collegamento e reperito per titolo; la scheda dell'inchiesta televisiva del servizio pubblico del 21 ottobre 2019 sul portale rai.it; e il documento del sito di area fascinazione.info sull'annuncio del 2020. Tutti i collegamenti sono stati vagliati direttamente o riscontrati per titolo e contenuto attraverso fonti convergenti; le fonti aggiuntive della campagna — testate nazionali, agenzia di stampa, archivi specializzati sull'estrema destra, letteratura accademica sull'illiberalismo e voci enciclopediche referenziate in lingua inglese — sono conservate nel fascicolo di lavorazione secondo il principio della catena di custodia.</w:t>
      </w:r>
    </w:p>
    <w:p>
      <w:pPr>
        <w:pStyle w:val="Heading3"/>
        <w:spacing w:after="80" w:before="160"/>
      </w:pPr>
      <w:r>
        <w:rPr>
          <w:rFonts w:ascii="Barlow Semi Condensed" w:cs="Barlow Semi Condensed" w:eastAsia="Barlow Semi Condensed" w:hAnsi="Barlow Semi Condensed"/>
          <w:sz w:val="24"/>
          <w:szCs w:val="24"/>
        </w:rPr>
        <w:t xml:space="preserve">CHIUSA DELLA SECONDA TRANCHE</w:t>
      </w:r>
    </w:p>
    <w:p>
      <w:pPr>
        <w:spacing w:after="120" w:line="276"/>
        <w:jc w:val="both"/>
      </w:pPr>
      <w:r>
        <w:rPr>
          <w:rFonts w:ascii="Barlow Semi Condensed" w:cs="Barlow Semi Condensed" w:eastAsia="Barlow Semi Condensed" w:hAnsi="Barlow Semi Condensed"/>
          <w:sz w:val="24"/>
          <w:szCs w:val="24"/>
        </w:rPr>
        <w:t xml:space="preserve">La seconda tranche consegna all'opera il suo primo corridoio inter-formazione documentato e, insieme, la conferma più severa dei suoi limiti. Ciò che ora è provato — e che nessuna cautela deve più sminuire — è che tra il neofascismo degli anni di piombo e la proiezione eurasiatista contemporanea corre una continuità di persone, di luoghi editoriali e di idee, verificata nome per nome e data per data. Ciò che continua a non essere provato — e che nessuna suggestione deve anticipare — è che quella continuità sia stata, in alcun tratto, una catena di comando. Il registro consegna alle tranche successive tre direzioni di falsificazione prioritarie: la ricerca di eventuali documenti che attestino contatti tra la filiera thiriartiana e apparati sovietici prima del 1991, che se trovati modificherebbero radicalmente la cronologia dell'investimento orientale sull'area; la ricognizione analitica dei finanziamenti della filiera editoriale, che è il punto in cui una continuità di committenza, se esistesse, dovrebbe lasciare traccia; e il vaglio delle restanti voci enciclopediche acquisite al corpus, dalla Banda della Magliana ai Nuclei Armati Rivoluzionari alla strage di Bologna, secondo il medesimo protocollo qui applicato. Ogni versione successiva conserverà integralmente la presente, secondo il principio di conservazione cumulativa che governa l'opera.</w:t>
      </w:r>
    </w:p>
    <w:p>
      <w:pPr>
        <w:pStyle w:val="Heading3"/>
        <w:spacing w:after="80" w:before="160"/>
      </w:pPr>
      <w:r>
        <w:rPr>
          <w:rFonts w:ascii="Barlow Semi Condensed" w:cs="Barlow Semi Condensed" w:eastAsia="Barlow Semi Condensed" w:hAnsi="Barlow Semi Condensed"/>
          <w:sz w:val="24"/>
          <w:szCs w:val="24"/>
        </w:rPr>
        <w:t xml:space="preserve">TERZA TRANCHE — FASE VIII: LE TRE DIREZIONI DI FALSIFICAZIONE. BOLOGNA, LA MAGLIANA E IL CASO MATTARELLA</w:t>
      </w:r>
    </w:p>
    <w:p>
      <w:pPr>
        <w:spacing w:after="120" w:line="276"/>
        <w:jc w:val="both"/>
      </w:pPr>
      <w:r>
        <w:rPr>
          <w:rFonts w:ascii="Barlow Semi Condensed" w:cs="Barlow Semi Condensed" w:eastAsia="Barlow Semi Condensed" w:hAnsi="Barlow Semi Condensed"/>
          <w:sz w:val="24"/>
          <w:szCs w:val="24"/>
        </w:rPr>
        <w:t xml:space="preserve">8.1 — Oggetto della tranche e mandato</w:t>
      </w:r>
    </w:p>
    <w:p>
      <w:pPr>
        <w:spacing w:after="120" w:line="276"/>
        <w:jc w:val="both"/>
      </w:pPr>
      <w:r>
        <w:rPr>
          <w:rFonts w:ascii="Barlow Semi Condensed" w:cs="Barlow Semi Condensed" w:eastAsia="Barlow Semi Condensed" w:hAnsi="Barlow Semi Condensed"/>
          <w:sz w:val="24"/>
          <w:szCs w:val="24"/>
        </w:rPr>
        <w:t xml:space="preserve">La terza tranche esegue le tre direzioni di falsificazione consegnate dalla chiusa della seconda: la ricerca di contatti documentati tra la filiera thiriartiana e gli apparati sovietici prima del 1991; la ricognizione dei finanziamenti della filiera editoriale che dal 1984 congiunge Orion all'editoria eurasiatista; il vaglio, con il medesimo protocollo, delle voci residue acquisite al corpus, con priorità alla strage di Bologna, alla Banda della Magliana e all'omicidio di Piersanti Mattarella. Il metodo resta invariato: triangolazione integrale tra corpus e fonti esterne indipendenti, gradazione Savona su ogni asserzione, Regola Ferrea sui salti inferenziali, statuto pieno dello Stato Zero, disciplina rafforzata per le persone viventi. Le prime due direzioni sono esercizi di falsificazione in senso proprio: se avessero restituito riscontri positivi, avrebbero modificato la cronologia dell'investimento orientale sull'area e la natura della continuità tra le due formazioni; l'esito negativo, come si vedrà, è esso stesso un risultato diagnostico di prima classe.</w:t>
      </w:r>
    </w:p>
    <w:p>
      <w:pPr>
        <w:spacing w:after="120" w:line="276"/>
        <w:jc w:val="both"/>
      </w:pPr>
      <w:r>
        <w:rPr>
          <w:rFonts w:ascii="Barlow Semi Condensed" w:cs="Barlow Semi Condensed" w:eastAsia="Barlow Semi Condensed" w:hAnsi="Barlow Semi Condensed"/>
          <w:sz w:val="24"/>
          <w:szCs w:val="24"/>
        </w:rPr>
        <w:t xml:space="preserve">8.2 — Direzione prima: la filiera thiriartiana e gli apparati sovietici prima del 1991</w:t>
      </w:r>
    </w:p>
    <w:p>
      <w:pPr>
        <w:spacing w:after="120" w:line="276"/>
        <w:jc w:val="both"/>
      </w:pPr>
      <w:r>
        <w:rPr>
          <w:rFonts w:ascii="Barlow Semi Condensed" w:cs="Barlow Semi Condensed" w:eastAsia="Barlow Semi Condensed" w:hAnsi="Barlow Semi Condensed"/>
          <w:sz w:val="24"/>
          <w:szCs w:val="24"/>
        </w:rPr>
        <w:t xml:space="preserve">Il vaglio restituisce anzitutto una cronologia dottrinaria più antica di quanto la seconda tranche avesse fissato. La svolta filosovietica di Jean Thiriart non data dagli anni Ottanta ma dal novembre 1968, quando sulla rivista La Nation Européenne, numero ventinove, l'articolo «Prague, l'URSS et l'Europe» esprime soddisfazione per l'intervento sovietico a Praga e delinea una «strategia dell'attenzione» verso l'URSS, abbandonando la vecchia parola d'ordine «né Mosca né Washington» in favore di quella che i suoi esegeti riassumeranno come «con Mosca contro Washington». Il testo è pubblicato e datato: Livello A. Negli anni 1984-1985 Thiriart lavora al trattato L'Empire euro-soviétique de Vladivostok à Dublin, articolato in quindici capitoli: ma il manoscritto non vide mai la luce durante la vita dell'autore e fu pubblicato postumo, in edizione italiana, dalle edizioni all'insegna del Veltro oltre due decenni dopo la morte. Anche questo dato è documentale: Livello A.</w:t>
      </w:r>
    </w:p>
    <w:p>
      <w:pPr>
        <w:spacing w:after="120" w:line="276"/>
        <w:jc w:val="both"/>
      </w:pPr>
      <w:r>
        <w:rPr>
          <w:rFonts w:ascii="Barlow Semi Condensed" w:cs="Barlow Semi Condensed" w:eastAsia="Barlow Semi Condensed" w:hAnsi="Barlow Semi Condensed"/>
          <w:sz w:val="24"/>
          <w:szCs w:val="24"/>
        </w:rPr>
        <w:t xml:space="preserve">Il punto decisivo è però ciò che il vaglio non ha trovato. Nessuna fonte esaminata documenta una reciprocazione sovietica del corteggiamento thiriartiano prima del 1991: nessun finanziamento, nessun invito ufficiale, nessuna pubblicazione o amplificazione dei suoi testi da parte dell'apparato sovietico, nessun canale operativo accertato. Il manoscritto del 1984-1985 rimasto inedito in vita è, in questa prospettiva, l'indizio più eloquente: un teorico che avesse goduto di sponsorizzazione orientale avrebbe trovato un editore. Il primo viaggio moscovita documentato resta quello dell'agosto 1992, già certificato nella seconda tranche, quando l'Unione Sovietica non esisteva più. La connessione cercata e non trovata viene quindi registrata con il suo statuto pieno: Stato Zero sulla reciprocazione sovietica pre-1991 verso la filiera thiriartiana.</w:t>
      </w:r>
    </w:p>
    <w:p>
      <w:pPr>
        <w:spacing w:after="120" w:line="276"/>
        <w:jc w:val="both"/>
      </w:pPr>
      <w:r>
        <w:rPr>
          <w:rFonts w:ascii="Barlow Semi Condensed" w:cs="Barlow Semi Condensed" w:eastAsia="Barlow Semi Condensed" w:hAnsi="Barlow Semi Condensed"/>
          <w:sz w:val="24"/>
          <w:szCs w:val="24"/>
        </w:rPr>
        <w:t xml:space="preserve">La controprova sul corpus rende questo Stato Zero diagnostico. Il canale orientale documentato in Italia prima del 1991 esisteva, ed era un altro: quello comunista. Gli elaborati acquisiti al corpus dalla Commissione Stragi della tredicesima legislatura, attingendo al rapporto Impedian del dossier Mitrokhin, al lavoro archivistico di Valerio Riva su documentazione sovietica e agli atti dell'inchiesta romana sulla cosiddetta Gladio rossa, quantificano in circa novecentottantanove miliardi di lire, alla valuta annuale, i trasferimenti complessivi dell'URSS verso l'Italia, di cui circa ottocentottantanove destinati al PCI, pari a circa un quarto dell'intero fondo internazionale del PCUS; la scheda Impedian numero duecentoventicinque documenta il piano d'azione predisposto nel giugno 1967 dal quarto dipartimento del KGB-FCD, con approvazione del Comitato centrale del PCUS; il decreto di archiviazione della cosiddetta Gladio rossa, emesso dal giudice per le indagini preliminari di Roma Claudio D'Angelo il 6 luglio 1994, pur escludendo la dimostrabilità processuale della corruzione, sottolinea gli «inquietanti» riferimenti documentali ad addestramento al sabotaggio, armi, esplosivi e strutture clandestine «realizzate anche con la fattiva collaborazione del Kgb» e a un «notevole flusso di denaro proveniente dal Pcus». I dati di finanziamento, poggiando su documentazione sovietica edita e su atti giudiziari, si collocano a Livello A; la cornice interpretativa degli elaborati parlamentari da cui il corpus attinge resta invece attribuita ai loro estensori, poiché si tratta di elaborati non approvati all'unanimità e di parte, e la non-unanimità delle due fonti parlamentari principali, già registrata nel corpus, ne modifica lo statuto probatorio in ogni impiego.</w:t>
      </w:r>
    </w:p>
    <w:p>
      <w:pPr>
        <w:spacing w:after="120" w:line="276"/>
        <w:jc w:val="both"/>
      </w:pPr>
      <w:r>
        <w:rPr>
          <w:rFonts w:ascii="Barlow Semi Condensed" w:cs="Barlow Semi Condensed" w:eastAsia="Barlow Semi Condensed" w:hAnsi="Barlow Semi Condensed"/>
          <w:sz w:val="24"/>
          <w:szCs w:val="24"/>
        </w:rPr>
        <w:t xml:space="preserve">La composizione dei due esiti produce il rilievo strutturale della direzione: lo sponsor orientale non cambiò bersaglio, cambiò strumento. Prima del 1991 il canale documentato è quello comunista; dopo il 1991 il canale documentato è quello nazionalista ed eurasiatista, dal viaggio di Dugin del 1992 all'editoria di area fino al tentativo del Metropol. Ciascuna gamba di questa sequenza è certificata a Livello A; la loro composizione in un disegno unitario di lungo periodo resta però un'ipotesi, e la Regola Ferrea vieta di inferire una regia unica continuativa dalla mera successione di due canali. Il rilievo raffina H2 senza elevarne il grado.</w:t>
      </w:r>
    </w:p>
    <w:p>
      <w:pPr>
        <w:spacing w:after="120" w:line="276"/>
        <w:jc w:val="both"/>
      </w:pPr>
      <w:r>
        <w:rPr>
          <w:rFonts w:ascii="Barlow Semi Condensed" w:cs="Barlow Semi Condensed" w:eastAsia="Barlow Semi Condensed" w:hAnsi="Barlow Semi Condensed"/>
          <w:sz w:val="24"/>
          <w:szCs w:val="24"/>
        </w:rPr>
        <w:t xml:space="preserve">8.3 — Direzione seconda: i finanziamenti della filiera editoriale</w:t>
      </w:r>
    </w:p>
    <w:p>
      <w:pPr>
        <w:spacing w:after="120" w:line="276"/>
        <w:jc w:val="both"/>
      </w:pPr>
      <w:r>
        <w:rPr>
          <w:rFonts w:ascii="Barlow Semi Condensed" w:cs="Barlow Semi Condensed" w:eastAsia="Barlow Semi Condensed" w:hAnsi="Barlow Semi Condensed"/>
          <w:sz w:val="24"/>
          <w:szCs w:val="24"/>
        </w:rPr>
        <w:t xml:space="preserve">La seconda direzione chiedeva se la filiera editoriale che da Orion e Barbarossa conduce all'editoria eurasiatista contemporanea presenti flussi di finanziamento documentati da apparati o soggetti esteri. Il vaglio non ha reperito alcun flusso accertato: né sovvenzioni dirette, né triangolazioni societarie documentate, né provviste estere tracciate verso le sigle editoriali dell'area. L'unico episodio documentato di ricerca di provvista russa nell'area politica contigua resta quello dell'hotel Metropol del 18 ottobre 2018, che fu però un tentativo mai concluso e giudiziariamente archiviato il 27 aprile 2023 nei termini integrali fissati come vincolanti dalla seconda tranche. L'esito è dunque uno Stato Zero sui flussi editoriali, che il registro dichiara senza colmarlo per via congetturale: l'assenza di tracce finanziarie può dipendere dall'assenza dei flussi, dalla loro natura non tracciabile o dai limiti delle fonti aperte, e la direzione resta consegnata aperta alle tranche successive con questo perimetro esplicito.</w:t>
      </w:r>
    </w:p>
    <w:p>
      <w:pPr>
        <w:spacing w:after="120" w:line="276"/>
        <w:jc w:val="both"/>
      </w:pPr>
      <w:r>
        <w:rPr>
          <w:rFonts w:ascii="Barlow Semi Condensed" w:cs="Barlow Semi Condensed" w:eastAsia="Barlow Semi Condensed" w:hAnsi="Barlow Semi Condensed"/>
          <w:sz w:val="24"/>
          <w:szCs w:val="24"/>
        </w:rPr>
        <w:t xml:space="preserve">8.4 — La strage di Bologna: la chiusura esecutiva del quarto processo</w:t>
      </w:r>
    </w:p>
    <w:p>
      <w:pPr>
        <w:spacing w:after="120" w:line="276"/>
        <w:jc w:val="both"/>
      </w:pPr>
      <w:r>
        <w:rPr>
          <w:rFonts w:ascii="Barlow Semi Condensed" w:cs="Barlow Semi Condensed" w:eastAsia="Barlow Semi Condensed" w:hAnsi="Barlow Semi Condensed"/>
          <w:sz w:val="24"/>
          <w:szCs w:val="24"/>
        </w:rPr>
        <w:t xml:space="preserve">Il vaglio della voce sulla strage del 2 agosto 1980 — ottantacinque morti, oltre duecento feriti, il più grave attentato della storia repubblicana — trova un quadro giudiziario ormai chiuso sul piano esecutivo e triangolato in ogni passaggio tra la voce enciclopedica acquisita, il saggio accademico sul processo Bellini presente nel corpus e le monografie interne. Gli esecutori: Valerio Fioravanti e Francesca Mambro, condannati in via definitiva nel 1995; Luigi Ciavardini, condannato nel 2007; Gilberto Cavallini, condannato all'ergastolo con conferma in appello il 27 settembre 2023 e annoverato dal corpus tra le responsabilità definitivamente accertate; Paolo Bellini, il «quinto uomo», condannato all'ergastolo dalla Corte d'assise di Bologna il 6 aprile 2022, con conferma in appello l'8 luglio 2024 e conferma definitiva della Cassazione il 1º luglio 2025, che ha rigettato il ricorso depositato dalla difesa nel febbraio precedente. L'alibi di Bellini fu smontato da una prova reperita a quarant'anni di distanza per la caparbietà dell'associazione dei familiari delle vittime: una pellicola amatoriale in formato Super otto, girata in stazione da un turista ignaro pochi minuti prima dell'esplosione, i cui fotogrammi restituiscono il volto di Bellini tra i passeggeri. Nello stesso procedimento Piergiorgio Segatel è stato condannato a sei anni per depistaggio e Domenico Catracchia a quattro per false informazioni ai pubblici ministeri. L'intero blocco esecutivo è Livello A. La cellula risulta transorganizzativa: quadri dei NAR, di Terza Posizione e — con Bellini — di Avanguardia Nazionale, cioè della medesima galassia delle-chiaiana già mappata nella Formazione Alfa della prima tranche.</w:t>
      </w:r>
    </w:p>
    <w:p>
      <w:pPr>
        <w:spacing w:after="120" w:line="276"/>
        <w:jc w:val="both"/>
      </w:pPr>
      <w:r>
        <w:rPr>
          <w:rFonts w:ascii="Barlow Semi Condensed" w:cs="Barlow Semi Condensed" w:eastAsia="Barlow Semi Condensed" w:hAnsi="Barlow Semi Condensed"/>
          <w:sz w:val="24"/>
          <w:szCs w:val="24"/>
        </w:rPr>
        <w:t xml:space="preserve">8.5 — La strage di Bologna: mandanti, finanziatori e la consacrazione giudiziaria del nesso P2</w:t>
      </w:r>
    </w:p>
    <w:p>
      <w:pPr>
        <w:spacing w:after="120" w:line="276"/>
        <w:jc w:val="both"/>
      </w:pPr>
      <w:r>
        <w:rPr>
          <w:rFonts w:ascii="Barlow Semi Condensed" w:cs="Barlow Semi Condensed" w:eastAsia="Barlow Semi Condensed" w:hAnsi="Barlow Semi Condensed"/>
          <w:sz w:val="24"/>
          <w:szCs w:val="24"/>
        </w:rPr>
        <w:t xml:space="preserve">Il risultato storicamente più rilevante del quarto processo riguarda però il piano dei mandanti. La sentenza d'appello dell'8 luglio 2024 ha qualificato Licio Gelli e Umberto Ortolani quali mandanti e finanziatori dell'attentato, e Federico Umberto D'Amato, l'uomo dell'Ufficio Affari Riservati, e il senatore Mario Tedeschi quali organizzatori: tutti deceduti prima delle sentenze e perciò non giudicati, sicché la qualificazione ha natura di statuizione incidentale su defunti e non di condanna — precisazione di statuto che il registro rende obbligatoria in ogni menzione. Con questo perimetro, la statuizione è Livello A e consacra in sede giudiziaria il nesso tra la loggia P2 e la strage. Il movente ricostruito è quello della rappresaglia preventiva contro l'apparato giudiziario: appena due giorni prima dell'esplosione la magistratura aveva richiesto il rinvio a giudizio dei vertici dei gruppi toscani dell'estrema destra nelle inchieste su Ordine Nero e sulla strage dell'Italicus.</w:t>
      </w:r>
    </w:p>
    <w:p>
      <w:pPr>
        <w:spacing w:after="120" w:line="276"/>
        <w:jc w:val="both"/>
      </w:pPr>
      <w:r>
        <w:rPr>
          <w:rFonts w:ascii="Barlow Semi Condensed" w:cs="Barlow Semi Condensed" w:eastAsia="Barlow Semi Condensed" w:hAnsi="Barlow Semi Condensed"/>
          <w:sz w:val="24"/>
          <w:szCs w:val="24"/>
        </w:rPr>
        <w:t xml:space="preserve">Il tracciato finanziario poggia su due documenti. Il primo è il cosiddetto Documento Bologna, appunto manoscritto sequestrato nelle disponibilità di Gelli: secondo le perizie recepite dalla Corte, i milioni di dollari cui l'appunto fa riferimento furono distratti da conti del Banco Ambrosiano di Roberto Calvi e transitarono per conti cifrati svizzeri e per lo IOR, servendo in gran parte a pagare i costi della strage — in parte come rimborso a Gelli di anticipi versati a far data dal 20 luglio 1980, in parte come pagamenti a D'Amato, riscontrati anche nel documento denominato «Memoria», a Tedeschi e ad altri, tra cui Giorgio Di Nunzio — con l'antiquario Marco Ceruti quale intermediario, lo stesso che con Gelli, Ortolani e Pazienza sarà condannato per il crack dell'Ambrosiano. Il secondo è il cosiddetto Documento Artigli, la nota a firma del capo della Polizia Vincenzo Parisi che riferisce il colloquio del 14 ottobre 1987 tra l'avvocato di Gelli, Fabio Dean, e il direttore centrale della Polizia di prevenzione Umberto Pierantoni: il ricatto degli «artigli» che Gelli minacciava di sfoderare, e che la Corte ha posto in relazione proprio con il Documento Bologna. L'insieme salda in sede giudiziaria il quadrilatero interno della Formazione Alfa già descritto nella prima tranche: loggia coperta, terrorismo nero, apparati di sicurezza, finanza Ambrosiano-IOR. Sul medesimo piano degli apparati va richiamato, dal corpus, il precedente di Peteano: l'esplosivo C4 prelevato dal NASCO di Verona e la filiera di espatrio dei responsabili ordinovisti coperta dal SID verso la Spagna, cioè verso quello stesso hub iberico mappato nella prima tranche.</w:t>
      </w:r>
    </w:p>
    <w:p>
      <w:pPr>
        <w:spacing w:after="120" w:line="276"/>
        <w:jc w:val="both"/>
      </w:pPr>
      <w:r>
        <w:rPr>
          <w:rFonts w:ascii="Barlow Semi Condensed" w:cs="Barlow Semi Condensed" w:eastAsia="Barlow Semi Condensed" w:hAnsi="Barlow Semi Condensed"/>
          <w:sz w:val="24"/>
          <w:szCs w:val="24"/>
        </w:rPr>
        <w:t xml:space="preserve">8.6 — La Banda della Magliana: la cerniera crimine-eversione dentro lo Stato</w:t>
      </w:r>
    </w:p>
    <w:p>
      <w:pPr>
        <w:spacing w:after="120" w:line="276"/>
        <w:jc w:val="both"/>
      </w:pPr>
      <w:r>
        <w:rPr>
          <w:rFonts w:ascii="Barlow Semi Condensed" w:cs="Barlow Semi Condensed" w:eastAsia="Barlow Semi Condensed" w:hAnsi="Barlow Semi Condensed"/>
          <w:sz w:val="24"/>
          <w:szCs w:val="24"/>
        </w:rPr>
        <w:t xml:space="preserve">Il vaglio della voce sulla Banda della Magliana conferma integralmente il verdetto già iscritto nel registro di triangolazione del corpus. Il 25 novembre 1981 la Polizia scopre in uno scantinato del Ministero della Sanità, al civico trentaquattro di via Liszt, nel quartiere EUR di Roma, l'arsenale-madre dell'organizzazione: diciannove tra pistole e revolver, molte modificate con silenziatori artigianali di notevole perizia, un mitra Sten, un MAB trentotto, un PM dodici, fucili BM cinquantanove, bombe a mano, esplosivi, e cartucce Gevelot del lotto raro dello stesso tipo di quelle del delitto Pecorelli. Custode del deposito era Biagio Alesse, dipendente del Ministero, stipendiato dalla banda con un milione di lire al mese. Il quadro configura ciò che il corpus definisce lo Stato-contenitore inconsapevole: l'accoppiamento fisico tra crimine organizzato ed eversione dentro un edificio governativo. Il verdetto, che questo registro conferma con la sua doppia faccia, è il seguente: il travaso crimine-eversione è provato a Livello A; le responsabilità sul delitto Pecorelli non sono accertate, essendo intervenute le assoluzioni definitive della Corte d'assise d'appello di Perugia, e il reperto balistico resta un reperto senza condanna. La Regola Ferrea si applica in forma pura: la disponibilità del medesimo raro munizionamento non prova l'attribuzione dell'omicidio. Sul crinale di questa cerniera sta la figura di Massimo Carminati, già NAR e poi legato alla banda, infine al centro del processo sul cosiddetto Mondo di mezzo: assolto in via definitiva per il delitto Pecorelli, condannato nel processo romano con riqualificazione del reato associativo, i suoi rapporti con gli apparati restano nel corpus una zona d'ombra dichiarata come coda irrisolta e non come fatto.</w:t>
      </w:r>
    </w:p>
    <w:p>
      <w:pPr>
        <w:spacing w:after="120" w:line="276"/>
        <w:jc w:val="both"/>
      </w:pPr>
      <w:r>
        <w:rPr>
          <w:rFonts w:ascii="Barlow Semi Condensed" w:cs="Barlow Semi Condensed" w:eastAsia="Barlow Semi Condensed" w:hAnsi="Barlow Semi Condensed"/>
          <w:sz w:val="24"/>
          <w:szCs w:val="24"/>
        </w:rPr>
        <w:t xml:space="preserve">8.7 — L'omicidio di Piersanti Mattarella: la matrice accertata e le assoluzioni della pista nera</w:t>
      </w:r>
    </w:p>
    <w:p>
      <w:pPr>
        <w:spacing w:after="120" w:line="276"/>
        <w:jc w:val="both"/>
      </w:pPr>
      <w:r>
        <w:rPr>
          <w:rFonts w:ascii="Barlow Semi Condensed" w:cs="Barlow Semi Condensed" w:eastAsia="Barlow Semi Condensed" w:hAnsi="Barlow Semi Condensed"/>
          <w:sz w:val="24"/>
          <w:szCs w:val="24"/>
        </w:rPr>
        <w:t xml:space="preserve">Piersanti Mattarella, presidente della Regione Siciliana, fu assassinato il 6 gennaio 1980 in via Libertà a Palermo, territorio del mandamento di Resuttana, sotto gli occhi della moglie e dei figli. Il processo celebrato negli anni Novanta, che riuniva anche i delitti Reina e La Torre, ha condannato in via definitiva all'ergastolo quali mandanti i vertici della cupola di Cosa nostra — tra cui Salvatore Riina, Michele Greco e Francesco Madonia — senza giungere all'identificazione giudiziale degli esecutori materiali. La pista nera, aperta dalla telefonata di rivendicazione a nome di un sedicente gruppo neofascista e alimentata dalle dichiarazioni di Cristiano Fioravanti contro il fratello, condusse Giovanni Falcone a emettere mandati di cattura verso Valerio Fioravanti e Gilberto Cavallini; entrambi furono però assolti con formula piena, in via definitiva, e il registro fissa come obbligatoria la menzione di tali assoluzioni in ogni futuro riferimento al caso. Tommaso Buscetta aveva del resto escluso la pista con l'argomento rimasto celebre: Cosa nostra non fa agire due fascisti per uccidere un presidente della Regione, è un controsenso. Le motivazioni della sentenza d'appello del 17 febbraio 1998 registrano peraltro la concordanza dei collaboranti nell'indicare Antonino Madonia come uno dei killer: indicazione dichiarativa, non giudicato. Tutto il blocco è Livello A.</w:t>
      </w:r>
    </w:p>
    <w:p>
      <w:pPr>
        <w:spacing w:after="120" w:line="276"/>
        <w:jc w:val="both"/>
      </w:pPr>
      <w:r>
        <w:rPr>
          <w:rFonts w:ascii="Barlow Semi Condensed" w:cs="Barlow Semi Condensed" w:eastAsia="Barlow Semi Condensed" w:hAnsi="Barlow Semi Condensed"/>
          <w:sz w:val="24"/>
          <w:szCs w:val="24"/>
        </w:rPr>
        <w:t xml:space="preserve">8.8 — L'omicidio Mattarella: la riapertura, i nuovi indagati e il depistaggio contestato</w:t>
      </w:r>
    </w:p>
    <w:p>
      <w:pPr>
        <w:spacing w:after="120" w:line="276"/>
        <w:jc w:val="both"/>
      </w:pPr>
      <w:r>
        <w:rPr>
          <w:rFonts w:ascii="Barlow Semi Condensed" w:cs="Barlow Semi Condensed" w:eastAsia="Barlow Semi Condensed" w:hAnsi="Barlow Semi Condensed"/>
          <w:sz w:val="24"/>
          <w:szCs w:val="24"/>
        </w:rPr>
        <w:t xml:space="preserve">La riapertura del 2018, concentrata nuovamente sull'eversione nera, non produsse esiti: la compatibilità inizialmente ipotizzata tra la Colt Cobra rinvenuta in un covo romano dei NAR — arma del delitto del giudice Mario Amato del 23 giugno 1980 — e l'arma che uccise Mattarella non ha retto alle verifiche. Nel gennaio 2025 la Procura di Palermo ha iscritto nel registro degli indagati, quali presunti esecutori materiali, i boss Antonino Madonia e Giuseppe Lucchese, disponendo un incidente probatorio: si tratta di iscrizioni, e per entrambi vale integralmente la presunzione di innocenza. Il 24 ottobre 2025 la DIA ha quindi notificato, su ordine della Procura diretta da Maurizio de Lucia e con provvedimento del giudice per le indagini preliminari Antonella Consiglio, gli arresti domiciliari a Filippo Piritore, all'epoca funzionario della Squadra mobile di Palermo, poi questore e prefetto, oggi in pensione, indagato per depistaggio. L'oggetto è il guanto rinvenuto la mattina del delitto a bordo della Fiat centoventisette usata dai killer: mai repertato né sequestrato, del reperto — di cui parlò anche il ministro dell'Interno Rognoni in un'informativa urgente al Parlamento — si è persa ogni traccia. Sentito il 17 settembre 2024, Piritore ha dichiarato di averlo consegnato all'agente della Scientifica Di Natale perché pervenisse al sostituto procuratore Pietro Grasso, e di averlo poi affidato, per disposizione di quest'ultimo, a un tecnico «Lauricella» della Scientifica; secondo la Procura tali dichiarazioni sono risultate «del tutto prive di riscontro», in contrasto con le testimonianze di Grasso e Di Natale e con il dato per cui all'epoca alla Scientifica non risulterebbe alcun Lauricella, e la Direzione distrettuale scrive di indagini sull'omicidio «gravemente inquinate e compromesse da appartenenti alle istituzioni». Lo statuto va fissato con esattezza: si tratta di una misura cautelare in un procedimento in corso; la versione dell'indagato è qui riportata; nessuna responsabilità è accertata e la presunzione di innocenza opera integralmente. Grasso e Di Natale compaiono in questa vicenda unicamente quali testimoni e quali soggetti menzionati nella versione dell'indagato: nessun addebito li riguarda.</w:t>
      </w:r>
    </w:p>
    <w:p>
      <w:pPr>
        <w:spacing w:after="120" w:line="276"/>
        <w:jc w:val="both"/>
      </w:pPr>
      <w:r>
        <w:rPr>
          <w:rFonts w:ascii="Barlow Semi Condensed" w:cs="Barlow Semi Condensed" w:eastAsia="Barlow Semi Condensed" w:hAnsi="Barlow Semi Condensed"/>
          <w:sz w:val="24"/>
          <w:szCs w:val="24"/>
        </w:rPr>
        <w:t xml:space="preserve">8.9 — Triangolazione trasversale: che cosa salda la terza tranche</w:t>
      </w:r>
    </w:p>
    <w:p>
      <w:pPr>
        <w:spacing w:after="120" w:line="276"/>
        <w:jc w:val="both"/>
      </w:pPr>
      <w:r>
        <w:rPr>
          <w:rFonts w:ascii="Barlow Semi Condensed" w:cs="Barlow Semi Condensed" w:eastAsia="Barlow Semi Condensed" w:hAnsi="Barlow Semi Condensed"/>
          <w:sz w:val="24"/>
          <w:szCs w:val="24"/>
        </w:rPr>
        <w:t xml:space="preserve">Tre risultati si compongono. Il primo: Bologna consacra in sede giudiziaria la regia interna della Formazione Alfa — loggia coperta come mandante e finanziatrice, apparato di sicurezza come organizzatore, finanza Ambrosiano-IOR come tesoreria, manovalanza nella galassia NAR-Avanguardia — per la strage più grave della storia repubblicana. Il secondo: la Magliana fissa la cerniera fisica tra crimine organizzato ed eversione dentro un edificio dello Stato, l'accoppiamento strutturale tra i domini del crimine e del terrorismo con contenitore istituzionale inconsapevole. Il terzo: il caso Mattarella presenta una matrice mafiosa accertata nei mandanti, un'esecuzione ancora sub iudice e un depistaggio istituzionale ora contestato in sede cautelare a quarantacinque anni dai fatti. In nessuno dei tre casi il vaglio ha trovato l'impronta congiunta delle due superpotenze: le regie accertate o contestate sono interne — piduista, criminale-eversiva, mafiosa con opacità istituzionali — e ciò costituisce, per l'architettura ipotetica del registro, un dato di prima grandezza.</w:t>
      </w:r>
    </w:p>
    <w:p>
      <w:pPr>
        <w:spacing w:after="120" w:line="276"/>
        <w:jc w:val="both"/>
      </w:pPr>
      <w:r>
        <w:rPr>
          <w:rFonts w:ascii="Barlow Semi Condensed" w:cs="Barlow Semi Condensed" w:eastAsia="Barlow Semi Condensed" w:hAnsi="Barlow Semi Condensed"/>
          <w:sz w:val="24"/>
          <w:szCs w:val="24"/>
        </w:rPr>
        <w:t xml:space="preserve">8.10 — Aggiornamento della matrice ACH</w:t>
      </w:r>
    </w:p>
    <w:p>
      <w:pPr>
        <w:spacing w:after="120" w:line="276"/>
        <w:jc w:val="both"/>
      </w:pPr>
      <w:r>
        <w:rPr>
          <w:rFonts w:ascii="Barlow Semi Condensed" w:cs="Barlow Semi Condensed" w:eastAsia="Barlow Semi Condensed" w:hAnsi="Barlow Semi Condensed"/>
          <w:sz w:val="24"/>
          <w:szCs w:val="24"/>
        </w:rPr>
        <w:t xml:space="preserve">L'ipotesi H1, il condominio segreto tra Stati Uniti e Unione Sovietica in funzione antieuropea, esce dalla terza tranche ulteriormente indebolita: tre casi capitali del periodo — la strage di Bologna, il sistema Magliana, il delitto Mattarella — mostrano regie interne documentate o contese, e nessuna evidenza di coordinamento tra le superpotenze; la direzione prima aggiunge che, prima del 1991, il canale sovietico documentato in Italia correva sul versante comunista, l'opposto di un condominio con il campo atlantico. L'ipotesi H2, le due internazionali autoritarie rivali, non è toccata direttamente dai tre casi interni ma è raffinata dalla direzione prima: il cambio di canale dello sponsor orientale — comunista prima del 1991, nazionalista ed eurasiatista dopo — è una struttura le cui singole gambe stanno a Livello A mentre la composizione in disegno unitario resta a Livello C, e in questo perimetro l'ipotesi viene mantenuta. L'ipotesi H3, la pluralità di regie locali senza macro-disegno, è compatibile con i tre casi vagliati, ciascuno dei quali esibisce una regia propria; il registro annota però che la consacrazione della regia piduista a Bologna è diagnostica contro H1, mentre resta neutra nella competizione tra H2 e H3, e che la falsificazione progressiva di H1 non equivale alla prova di alcuna alternativa.</w:t>
      </w:r>
    </w:p>
    <w:p>
      <w:pPr>
        <w:spacing w:after="120" w:line="276"/>
        <w:jc w:val="both"/>
      </w:pPr>
      <w:r>
        <w:rPr>
          <w:rFonts w:ascii="Barlow Semi Condensed" w:cs="Barlow Semi Condensed" w:eastAsia="Barlow Semi Condensed" w:hAnsi="Barlow Semi Condensed"/>
          <w:sz w:val="24"/>
          <w:szCs w:val="24"/>
        </w:rPr>
        <w:t xml:space="preserve">8.11 — Registro dei blocchi di verifica: blocchi ventitré–trentaquattro</w:t>
      </w:r>
    </w:p>
    <w:p>
      <w:pPr>
        <w:spacing w:after="120" w:line="276"/>
        <w:jc w:val="both"/>
      </w:pPr>
      <w:r>
        <w:rPr>
          <w:rFonts w:ascii="Barlow Semi Condensed" w:cs="Barlow Semi Condensed" w:eastAsia="Barlow Semi Condensed" w:hAnsi="Barlow Semi Condensed"/>
          <w:sz w:val="24"/>
          <w:szCs w:val="24"/>
        </w:rPr>
        <w:t xml:space="preserve">Blocco ventitré. Svolta filosovietica di Thiriart e trattato inedito. Verificati l'articolo del novembre 1968 su La Nation Européenne e il carattere postumo della pubblicazione del trattato del 1984-1985: entrambi Livello A. Reciprocazione sovietica del corteggiamento prima del 1991: cercata e non trovata, Stato Zero.</w:t>
      </w:r>
    </w:p>
    <w:p>
      <w:pPr>
        <w:spacing w:after="120" w:line="276"/>
        <w:jc w:val="both"/>
      </w:pPr>
      <w:r>
        <w:rPr>
          <w:rFonts w:ascii="Barlow Semi Condensed" w:cs="Barlow Semi Condensed" w:eastAsia="Barlow Semi Condensed" w:hAnsi="Barlow Semi Condensed"/>
          <w:sz w:val="24"/>
          <w:szCs w:val="24"/>
        </w:rPr>
        <w:t xml:space="preserve">Blocco ventiquattro. Canale orientale documentato prima del 1991. I trasferimenti del PCUS verso il PCI — circa ottocentottantanove miliardi su circa novecentottantanove complessivi — la scheda Impedian duecentoventicinque del giugno 1967 e il decreto di archiviazione D'Angelo del 6 luglio 1994 collocano il canale sovietico sul versante comunista: dati a Livello A su documentazione sovietica e atti giudiziari; cornice degli elaborati parlamentari non unanimi attribuita agli estensori.</w:t>
      </w:r>
    </w:p>
    <w:p>
      <w:pPr>
        <w:spacing w:after="120" w:line="276"/>
        <w:jc w:val="both"/>
      </w:pPr>
      <w:r>
        <w:rPr>
          <w:rFonts w:ascii="Barlow Semi Condensed" w:cs="Barlow Semi Condensed" w:eastAsia="Barlow Semi Condensed" w:hAnsi="Barlow Semi Condensed"/>
          <w:sz w:val="24"/>
          <w:szCs w:val="24"/>
        </w:rPr>
        <w:t xml:space="preserve">Blocco venticinque. Finanziamenti della filiera editoriale nera ed eurasiatista. Nessun flusso estero documentato verso le sigle editoriali dell'area; unico episodio documentato di ricerca di provvista, il tentativo del Metropol, mai concluso e archiviato. Esito: Stato Zero, dichiarato senza colmature congetturali.</w:t>
      </w:r>
    </w:p>
    <w:p>
      <w:pPr>
        <w:spacing w:after="120" w:line="276"/>
        <w:jc w:val="both"/>
      </w:pPr>
      <w:r>
        <w:rPr>
          <w:rFonts w:ascii="Barlow Semi Condensed" w:cs="Barlow Semi Condensed" w:eastAsia="Barlow Semi Condensed" w:hAnsi="Barlow Semi Condensed"/>
          <w:sz w:val="24"/>
          <w:szCs w:val="24"/>
        </w:rPr>
        <w:t xml:space="preserve">Blocco ventisei. Paolo Bellini, quinto esecutore della strage di Bologna. Ergastolo il 6 aprile 2022, conferma in appello l'8 luglio 2024, conferma definitiva in Cassazione il 1º luglio 2025; prova della pellicola Super otto. Livello A.</w:t>
      </w:r>
    </w:p>
    <w:p>
      <w:pPr>
        <w:spacing w:after="120" w:line="276"/>
        <w:jc w:val="both"/>
      </w:pPr>
      <w:r>
        <w:rPr>
          <w:rFonts w:ascii="Barlow Semi Condensed" w:cs="Barlow Semi Condensed" w:eastAsia="Barlow Semi Condensed" w:hAnsi="Barlow Semi Condensed"/>
          <w:sz w:val="24"/>
          <w:szCs w:val="24"/>
        </w:rPr>
        <w:t xml:space="preserve">Blocco ventisette. Gilberto Cavallini. Ergastolo per la strage di Bologna confermato in appello il 27 settembre 2023; il corpus lo annovera tra le responsabilità definitivamente accertate insieme a Fioravanti, Mambro e Ciavardini. Livello A.</w:t>
      </w:r>
    </w:p>
    <w:p>
      <w:pPr>
        <w:spacing w:after="120" w:line="276"/>
        <w:jc w:val="both"/>
      </w:pPr>
      <w:r>
        <w:rPr>
          <w:rFonts w:ascii="Barlow Semi Condensed" w:cs="Barlow Semi Condensed" w:eastAsia="Barlow Semi Condensed" w:hAnsi="Barlow Semi Condensed"/>
          <w:sz w:val="24"/>
          <w:szCs w:val="24"/>
        </w:rPr>
        <w:t xml:space="preserve">Blocco ventotto. Mandanti e organizzatori della strage di Bologna. Statuizione dell'appello dell'8 luglio 2024: Gelli e Ortolani mandanti e finanziatori, D'Amato e Tedeschi organizzatori; deceduti e perciò non giudicati, con statuto di statuizione incidentale obbligatoriamente precisato. Livello A.</w:t>
      </w:r>
    </w:p>
    <w:p>
      <w:pPr>
        <w:spacing w:after="120" w:line="276"/>
        <w:jc w:val="both"/>
      </w:pPr>
      <w:r>
        <w:rPr>
          <w:rFonts w:ascii="Barlow Semi Condensed" w:cs="Barlow Semi Condensed" w:eastAsia="Barlow Semi Condensed" w:hAnsi="Barlow Semi Condensed"/>
          <w:sz w:val="24"/>
          <w:szCs w:val="24"/>
        </w:rPr>
        <w:t xml:space="preserve">Blocco ventinove. Documento Bologna e Documento Artigli. Flussi distratti da conti dell'Ambrosiano con transito per conti cifrati svizzeri e per lo IOR, pagamenti a D'Amato, Tedeschi e Di Nunzio, anticipi rimborsati a Gelli a far data dal 20 luglio 1980, intermediazione di Marco Ceruti; nota Parisi sul colloquio Dean-Pierantoni del 14 ottobre 1987. Perizie e atti recepiti in sentenza: Livello A.</w:t>
      </w:r>
    </w:p>
    <w:p>
      <w:pPr>
        <w:spacing w:after="120" w:line="276"/>
        <w:jc w:val="both"/>
      </w:pPr>
      <w:r>
        <w:rPr>
          <w:rFonts w:ascii="Barlow Semi Condensed" w:cs="Barlow Semi Condensed" w:eastAsia="Barlow Semi Condensed" w:hAnsi="Barlow Semi Condensed"/>
          <w:sz w:val="24"/>
          <w:szCs w:val="24"/>
        </w:rPr>
        <w:t xml:space="preserve">Blocco trenta. Arsenale della Magliana al Ministero della Sanità. Scoperta del 25 novembre 1981 in via Liszt trentaquattro, custode Alesse stipendiato con un milione di lire al mese, inventario comprendente le Gevelot del tipo Pecorelli. Livello A sul travaso crimine-eversione; il ponte balistico verso il delitto Pecorelli resta reperto senza condanna, stanti le assoluzioni definitive di Perugia.</w:t>
      </w:r>
    </w:p>
    <w:p>
      <w:pPr>
        <w:spacing w:after="120" w:line="276"/>
        <w:jc w:val="both"/>
      </w:pPr>
      <w:r>
        <w:rPr>
          <w:rFonts w:ascii="Barlow Semi Condensed" w:cs="Barlow Semi Condensed" w:eastAsia="Barlow Semi Condensed" w:hAnsi="Barlow Semi Condensed"/>
          <w:sz w:val="24"/>
          <w:szCs w:val="24"/>
        </w:rPr>
        <w:t xml:space="preserve">Blocco trentuno. Massimo Carminati quale cerniera. Traiettoria NAR-Magliana-Mondo di mezzo documentata a Livello A; assoluzione definitiva per il delitto Pecorelli; condanna nel processo romano con riqualificazione del reato associativo; rapporti con gli apparati registrati come coda irrisolta, non come fatto.</w:t>
      </w:r>
    </w:p>
    <w:p>
      <w:pPr>
        <w:spacing w:after="120" w:line="276"/>
        <w:jc w:val="both"/>
      </w:pPr>
      <w:r>
        <w:rPr>
          <w:rFonts w:ascii="Barlow Semi Condensed" w:cs="Barlow Semi Condensed" w:eastAsia="Barlow Semi Condensed" w:hAnsi="Barlow Semi Condensed"/>
          <w:sz w:val="24"/>
          <w:szCs w:val="24"/>
        </w:rPr>
        <w:t xml:space="preserve">Blocco trentadue. Omicidio Mattarella: matrice e pista nera. Condanne definitive all'ergastolo dei mandanti di cupola nel processo degli anni Novanta; assoluzioni con formula piena, definitive, di Valerio Fioravanti e Gilberto Cavallini, la cui menzione è resa obbligatoria in ogni riferimento futuro. Livello A.</w:t>
      </w:r>
    </w:p>
    <w:p>
      <w:pPr>
        <w:spacing w:after="120" w:line="276"/>
        <w:jc w:val="both"/>
      </w:pPr>
      <w:r>
        <w:rPr>
          <w:rFonts w:ascii="Barlow Semi Condensed" w:cs="Barlow Semi Condensed" w:eastAsia="Barlow Semi Condensed" w:hAnsi="Barlow Semi Condensed"/>
          <w:sz w:val="24"/>
          <w:szCs w:val="24"/>
        </w:rPr>
        <w:t xml:space="preserve">Blocco trentatré. Riapertura palermitana. Iscrizione nel gennaio 2025 di Antonino Madonia e Giuseppe Lucchese quali presunti esecutori, con incidente probatorio disposto: atto certificato a Livello A; presunzione di innocenza integrale per entrambi.</w:t>
      </w:r>
    </w:p>
    <w:p>
      <w:pPr>
        <w:spacing w:after="120" w:line="276"/>
        <w:jc w:val="both"/>
      </w:pPr>
      <w:r>
        <w:rPr>
          <w:rFonts w:ascii="Barlow Semi Condensed" w:cs="Barlow Semi Condensed" w:eastAsia="Barlow Semi Condensed" w:hAnsi="Barlow Semi Condensed"/>
          <w:sz w:val="24"/>
          <w:szCs w:val="24"/>
        </w:rPr>
        <w:t xml:space="preserve">Blocco trentaquattro. Misura cautelare per depistaggio. Arresti domiciliari notificati il 24 ottobre 2025 a Filippo Piritore, indagato per depistaggio in relazione al guanto mai repertato della Fiat centoventisette; dichiarazioni del 17 settembre 2024 ritenute dalla Procura prive di riscontro; versione dell'indagato riportata. Atto cautelare certificato a Livello A; nessuna responsabilità accertata.</w:t>
      </w:r>
    </w:p>
    <w:p>
      <w:pPr>
        <w:spacing w:after="120" w:line="276"/>
        <w:jc w:val="both"/>
      </w:pPr>
      <w:r>
        <w:rPr>
          <w:rFonts w:ascii="Barlow Semi Condensed" w:cs="Barlow Semi Condensed" w:eastAsia="Barlow Semi Condensed" w:hAnsi="Barlow Semi Condensed"/>
          <w:sz w:val="24"/>
          <w:szCs w:val="24"/>
        </w:rPr>
        <w:t xml:space="preserve">8.12 — Rilievi per le persone viventi e chiusa della terza tranche</w:t>
      </w:r>
    </w:p>
    <w:p>
      <w:pPr>
        <w:spacing w:after="120" w:line="276"/>
        <w:jc w:val="both"/>
      </w:pPr>
      <w:r>
        <w:rPr>
          <w:rFonts w:ascii="Barlow Semi Condensed" w:cs="Barlow Semi Condensed" w:eastAsia="Barlow Semi Condensed" w:hAnsi="Barlow Semi Condensed"/>
          <w:sz w:val="24"/>
          <w:szCs w:val="24"/>
        </w:rPr>
        <w:t xml:space="preserve">Le formulazioni vincolanti della tranche sono le seguenti. Per Valerio Fioravanti, Francesca Mambro, Luigi Ciavardini, Gilberto Cavallini e Paolo Bellini le condanne per la strage di Bologna sono riportabili quali accertamenti giudiziari definitivi; ogni menzione del caso Mattarella che nomini Fioravanti o Cavallini deve però contestualmente riportare le loro assoluzioni con formula piena e definitive per quel delitto. Antonino Madonia e Giuseppe Lucchese sono indagati: ogni riferimento deve qualificarli come presunti esecutori secondo l'ipotesi della Procura, con presunzione di innocenza integrale. Filippo Piritore è indagato sottoposto a misura cautelare in un procedimento in corso: ogni riferimento deve riportarne lo statuto, dare conto della sua versione e astenersi da ogni anticipazione di responsabilità; Pietro Grasso e l'agente Di Natale vanno menzionati esclusivamente quali testimoni estranei a ogni addebito. Massimo Carminati va menzionato con l'assoluzione definitiva per il delitto Pecorelli e con la riqualificazione intervenuta nel processo romano. Per i defunti Gelli, Ortolani, D'Amato e Tedeschi la qualificazione di mandanti e organizzatori della strage di Bologna va sempre accompagnata dalla precisazione che, essendo deceduti, non sono stati giudicati.</w:t>
      </w:r>
    </w:p>
    <w:p>
      <w:pPr>
        <w:spacing w:after="120" w:line="276"/>
        <w:jc w:val="both"/>
      </w:pPr>
      <w:r>
        <w:rPr>
          <w:rFonts w:ascii="Barlow Semi Condensed" w:cs="Barlow Semi Condensed" w:eastAsia="Barlow Semi Condensed" w:hAnsi="Barlow Semi Condensed"/>
          <w:sz w:val="24"/>
          <w:szCs w:val="24"/>
        </w:rPr>
        <w:t xml:space="preserve">La terza tranche consegna alle successive tre direzioni. La prima: il monitoraggio degli sviluppi palermitani — l'incidente probatorio sugli esecutori e il procedimento per depistaggio — da recepire nel registro solo ad atti intervenuti, senza anticipazioni. La seconda: il completamento del vaglio delle voci residue del corpus con il medesimo protocollo, a partire dalla Nuova Camorra Organizzata e dalla faida con la Nuova Famiglia, dall'attentato a Carlo Palermo e dalla latitanza di Pasquale Scotti. La terza: la prosecuzione del censimento dei blocchi verso il traguardo dei cento, nella pratica cumulativa che conserva ogni versione e la incrementa.</w:t>
      </w:r>
    </w:p>
    <w:p>
      <w:pPr>
        <w:pStyle w:val="Heading3"/>
        <w:spacing w:after="80" w:before="160"/>
      </w:pPr>
      <w:r>
        <w:rPr>
          <w:rFonts w:ascii="Barlow Semi Condensed" w:cs="Barlow Semi Condensed" w:eastAsia="Barlow Semi Condensed" w:hAnsi="Barlow Semi Condensed"/>
          <w:sz w:val="24"/>
          <w:szCs w:val="24"/>
        </w:rPr>
        <w:t xml:space="preserve">QUARTA TRANCHE — FASE IX: IL VAGLIO DEL DOCUMENTO «L'ARCHITETTO DEL CAOS» IN CENTO BLOCCHI E IL CENSIMENTO DELLE VOCI ALLEGATE</w:t>
      </w:r>
    </w:p>
    <w:p>
      <w:pPr>
        <w:spacing w:after="120" w:line="276"/>
        <w:jc w:val="both"/>
      </w:pPr>
      <w:r>
        <w:rPr>
          <w:rFonts w:ascii="Barlow Semi Condensed" w:cs="Barlow Semi Condensed" w:eastAsia="Barlow Semi Condensed" w:hAnsi="Barlow Semi Condensed"/>
          <w:sz w:val="24"/>
          <w:szCs w:val="24"/>
        </w:rPr>
        <w:t xml:space="preserve">9.1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quarta tranche è innescata dall'acquisizione al fascicolo del documento «L'architetto del caos — Aleksandr Dugin e la penetrazione dell'ideologia eurasianista in Italia e in Europa», indagine autonoma datata marzo duemilaventisei, articolata in dieci capitoli e cento sottocapitoli, presente nel corpus in tre copie: due edizioni in formato di pagina con apparato iconografico, di identica consistenza, e una trascrizione testuale integrale. Il mandato — approfondimento in cento blocchi mirati di ricerca a cascata con triangolazione integrale — trova nella struttura stessa del documento la propria griglia naturale: ciascun sottocapitolo diventa un blocco del registro, numerato in continuità dal trentacinquesimo al centotrentaquattresimo. Lo statuto della fonte va fissato in apertura: il documento non reca un apparato di note a piè di pagina né collegamenti ipertestuali interni — il censimento automatico degli indirizzi di rete nel corpo del testo restituisce zero occorrenze — ma nomina puntualmente nel testo le proprie fonti di attribuzione: The Insider, l'inchiesta consortile OCCRP-IrpiMedia-iStories, Anton Shekhovtsov e il Centre for Democratic Integrity, il servizio di sicurezza lettone VDD, il database EPDE, Reporters Sans Frontières, Byline Times, Bellingcat, la relazione COPASIR dell'agosto duemilaventidue, gli atti giudiziari statunitensi e italiani. Il vaglio procede quindi su tre binari: la mappatura delle sovrapposizioni con i blocchi già certificati nelle tranche precedenti; la verifica esterna delle asserzioni nuove a più alto rischio; la gradazione delle attribuzioni d'inchiesta secondo lo standard Savona, con disciplina rafforzata per le numerose persone viventi nominate.</w:t>
      </w:r>
    </w:p>
    <w:p>
      <w:pPr>
        <w:spacing w:after="120" w:line="276"/>
        <w:jc w:val="both"/>
      </w:pPr>
      <w:r>
        <w:rPr>
          <w:rFonts w:ascii="Barlow Semi Condensed" w:cs="Barlow Semi Condensed" w:eastAsia="Barlow Semi Condensed" w:hAnsi="Barlow Semi Condensed"/>
          <w:sz w:val="24"/>
          <w:szCs w:val="24"/>
        </w:rPr>
        <w:t xml:space="preserve">9.2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primo risultato del vaglio è strutturale: il documento-innesco condivide con il presente registro una porzione maggioritaria del proprio impianto fattuale, già certificata nelle tranche precedenti. Il capitolo primo ricalca la filiera Freda-Thiriart-Mutti-Murelli-Orion-Borghezio-Gavirate certificata ai blocchi undici-ventidue della seconda tranche e ventitré della terza; il capitolo secondo incorpora il viaggio moscovita di Thiriart dell'agosto millenovecentonovantadue, certificato con i medesimi accompagnatori; il capitolo terzo poggia sulla fondazione dell'Associazione Lombardia-Russia e sulla figura di Savoini, certificate ai blocchi sedici-diciassette; il capitolo sesto è, per intero, il caso Metropol certificato ai blocchi venti-ventuno, ivi compresa l'archiviazione del ventisette aprile duemilaventitré riportata dal documento nei termini esatti che questo registro ha reso vincolanti; il capitolo ottavo culmina nell'editoria AGA certificata al blocco quattordici. Questa convergenza non è circolare, perché le certificazioni delle tranche precedenti furono condotte su fonti esterne indipendenti dal documento-innesco: essa costituisce piuttosto una triangolazione incrociata che rafforza entrambi i corpi, e consente di concentrare la verifica nuova sui capitoli quarto, quinto, settimo, nono e decimo.</w:t>
      </w:r>
    </w:p>
    <w:p>
      <w:pPr>
        <w:spacing w:after="120" w:line="276"/>
        <w:jc w:val="both"/>
      </w:pPr>
      <w:r>
        <w:rPr>
          <w:rFonts w:ascii="Barlow Semi Condensed" w:cs="Barlow Semi Condensed" w:eastAsia="Barlow Semi Condensed" w:hAnsi="Barlow Semi Condensed"/>
          <w:sz w:val="24"/>
          <w:szCs w:val="24"/>
        </w:rPr>
        <w:t xml:space="preserve">9.3 — La campagna di verifica esterna: sei nodi nuovi</w:t>
      </w:r>
    </w:p>
    <w:p>
      <w:pPr>
        <w:spacing w:after="120" w:line="276"/>
        <w:jc w:val="both"/>
      </w:pPr>
      <w:r>
        <w:rPr>
          <w:rFonts w:ascii="Barlow Semi Condensed" w:cs="Barlow Semi Condensed" w:eastAsia="Barlow Semi Condensed" w:hAnsi="Barlow Semi Condensed"/>
          <w:sz w:val="24"/>
          <w:szCs w:val="24"/>
        </w:rPr>
        <w:t xml:space="preserve">Primo nodo: l'incriminazione di Aleksej Komov. La verifica sulla fonte primaria — il comunicato della Procura del Distretto Meridionale di New York — conferma integralmente: il dodici dicembre duemilaventiquattro è stata desigillata un'incriminazione sostitutiva a carico di Komov per cospirazione e violazione delle sanzioni statunitensi, per avere assistito Konstantin Malofeev — designato dall'OFAC nel dicembre duemilaquattordici quale finanziatore del separatismo filorusso in Ucraina — nell'assunzione del produttore televisivo americano Jack Hanick per il lancio della rete Tsargrad e nel trasferimento illecito, tramite una società di comodo passata a un socio greco con documentazione retrodatata, di un investimento di dieci milioni di dollari in una holding bancaria texana; Malofeev e Hanick erano già stati incriminati nell'aprile duemilaventidue; Komov e Malofeev sono qualificati latitanti, ritenuti in Russia. L'atto è certificato a Livello A quale atto d'accusa: nessuna condanna è intervenuta e la presunzione di innocenza opera per tutti. Secondo nodo: la chiusura della Task Force KleptoCapture. Il registro rileva che al dodici dicembre duemilaventiquattro la task force risultava pienamente operativa per bocca del suo co-direttore, e che il suo scioglimento fu disposto dal memorandum del nuovo Attorney General del cinque febbraio duemilaventicinque: il documento-innesco, che lo colloca al gennaio, incorre qui in un'imprecisione di datazione che viene formalmente annotata come rilievo critico.</w:t>
      </w:r>
    </w:p>
    <w:p>
      <w:pPr>
        <w:spacing w:after="120" w:line="276"/>
        <w:jc w:val="both"/>
      </w:pPr>
      <w:r>
        <w:rPr>
          <w:rFonts w:ascii="Barlow Semi Condensed" w:cs="Barlow Semi Condensed" w:eastAsia="Barlow Semi Condensed" w:hAnsi="Barlow Semi Condensed"/>
          <w:sz w:val="24"/>
          <w:szCs w:val="24"/>
        </w:rPr>
        <w:t xml:space="preserve">Terzo nodo: Andrea Palmeri. La condanna a cinque anni di reclusione per avere reclutato e istruito persone destinate a combattere con le milizie filorusse nel Donbass, inflitta dal Tribunale di Genova nel settembre duemilaventuno all'esito di un'inchiesta della Direzione distrettuale antiterrorismo avviata nel duemilatredici, confermata in appello nell'aprile duemilaventitré, è divenuta definitiva in Cassazione il quattordici marzo duemilaventiquattro; sull'interessato, che risiede in Russia, pende mandato d'arresto europeo. Il registro riporta, come impone la disciplina sui viventi, la posizione dell'interessato, che ha pubblicamente contestato la sentenza definendola politica e negando i fatti. Livello A. Quarto nodo: Dar'ja Dugina. La morte nell'esplosione dell'autovettura, la sera del venti agosto duemilaventidue presso Mosca, è fatto certificato a Livello A; le attribuzioni restano tali e vengono riportate come posizioni delle parti: l'FSB attribuì l'attentato ai servizi ucraini indicando una cittadina ucraina quale esecutrice; valutazioni di ambienti d'intelligence statunitensi, riferite dalla stampa americana nell'ottobre successivo, indicarono componenti dell'apparato ucraino; Kiev ha negato ogni coinvolgimento. Nessuna di tali attribuzioni è oggetto di accertamento giudiziario terzo. Quinto nodo: l'onorificenza a Eliseo Bertolasi. Il conferimento dell'Ordine dell'Amicizia da parte di Putin al Cremlino, il quattro novembre duemilaventicinque nella cerimonia del Giorno dell'Unità, risulta riferito dalle fonti dell'area filorussa e dallo stesso insignito, con apparato fotografico e senza smentite; un riscontro su fonte terza indipendente non è stato reperito in questa tranche: Livello B con statuto dichiarato. Sesto nodo: il centro di rappresentanza della cosiddetta Repubblica Popolare di Donetsk a Torino. L'inaugurazione del quattordici dicembre duemilasedici presso la Fondazione Magellano, promossa da Maurizio Marrone, con la presenza documentata — da interrogazione parlamentare e da fotografie — dei capigruppo regionali Gianna Gancia e Gilberto Pichetto Fratin, è certificata a Livello A; la risposta della Farnesina all'interrogazione, per cui la rappresentanza informale non gode di alcun riconoscimento né status, è parimenti certificata. Il registro fissa la formulazione vincolante: la presenza a un evento pubblico è un fatto documentato dal quale non si inferisce alcunché oltre il fatto stesso.</w:t>
      </w:r>
    </w:p>
    <w:p>
      <w:pPr>
        <w:spacing w:after="120" w:line="276"/>
        <w:jc w:val="both"/>
      </w:pPr>
      <w:r>
        <w:rPr>
          <w:rFonts w:ascii="Barlow Semi Condensed" w:cs="Barlow Semi Condensed" w:eastAsia="Barlow Semi Condensed" w:hAnsi="Barlow Semi Condensed"/>
          <w:sz w:val="24"/>
          <w:szCs w:val="24"/>
        </w:rPr>
        <w:t xml:space="preserve">9.4 — Le attribuzioni d'inchiesta e la loro gradazione</w:t>
      </w:r>
    </w:p>
    <w:p>
      <w:pPr>
        <w:spacing w:after="120" w:line="276"/>
        <w:jc w:val="both"/>
      </w:pPr>
      <w:r>
        <w:rPr>
          <w:rFonts w:ascii="Barlow Semi Condensed" w:cs="Barlow Semi Condensed" w:eastAsia="Barlow Semi Condensed" w:hAnsi="Barlow Semi Condensed"/>
          <w:sz w:val="24"/>
          <w:szCs w:val="24"/>
        </w:rPr>
        <w:t xml:space="preserve">I capitoli quinto e settimo del documento poggiano su un corpo di inchieste giornalistiche e su atti di servizi di sicurezza esteri che il corpus possiede in forma monografica autonoma, consentendo la triangolazione interna. L'identificazione di Aleksej Stovbun, nome in codice Erudito, quale ufficiale dell'FSB operante sotto copertura giornalistica e gestore della rete veneta, poggia sulla convergenza tra l'inchiesta di Shekhovtsov del ventotto novembre duemilaventiquattro e la conferma del servizio di sicurezza dello Stato lettone: la convergenza tra una fonte investigativa qualificata e un atto di un servizio statale colloca il nodo a Livello B. Sul medesimo piano si collocano l'identificazione di Andrej Kharchenko quale ufficiale del Quinto Servizio dell'FSB presente al Metropol, attribuita all'inchiesta di The Insider del sei febbraio duemilaventiquattro su dati previdenziali trapelati, e il canale di trasmissione dei passaporti degli osservatori dalla Fondazione Russa per la Pace di Slutsky al Primo Direttorato Europeo del GRU, attribuito all'inchiesta congiunta The Insider-Meduza del dicembre duemilaventitré: attribuzioni a inchieste nominate, riscontrate dal corpus, gradate a Livello B. Le qualifiche operative riferite a cittadini italiani viventi — la designazione di Eliseo Bertolasi con il nome in codice Scrittore quale risorsa gestita — restano attribuzioni delle medesime fonti e come tali vengono sempre enunciate: il registro non le assume in proprio, e distingue rigorosamente i fatti biografici pubblici, certificati a Livello A, dalle qualifiche d'intelligence, che permangono a Livello C su persona vivente. Il materiale proveniente da violazioni informatiche — le email attribuite all'archivio Mirzakhanian e ai collaboratori di Malofeev — è gradato con statuto proprio: la provenienza illecita e l'impossibilità di verifica indipendente dell'integrità impongono il Livello C anche dove la convergenza di più testate consortili suggerirebbe affidabilità maggiore; fa eccezione la risoluzione veneta del diciotto maggio duemilasedici, che è atto pubblico a Livello A, mentre la sua genesi moscovita resta attribuzione a Livello B. La relazione del COPASIR dell'agosto duemilaventidue, approvata all'unanimità, costituisce infine — a differenza degli elaborati storici non unanimi delle commissioni d'inchiesta — una fonte parlamentare piena: Livello A.</w:t>
      </w:r>
    </w:p>
    <w:p>
      <w:pPr>
        <w:spacing w:after="120" w:line="276"/>
        <w:jc w:val="both"/>
      </w:pPr>
      <w:r>
        <w:rPr>
          <w:rFonts w:ascii="Barlow Semi Condensed" w:cs="Barlow Semi Condensed" w:eastAsia="Barlow Semi Condensed" w:hAnsi="Barlow Semi Condensed"/>
          <w:sz w:val="24"/>
          <w:szCs w:val="24"/>
        </w:rPr>
        <w:t xml:space="preserve">9.5 — Rilievi critici sul documento-innesco</w:t>
      </w:r>
    </w:p>
    <w:p>
      <w:pPr>
        <w:spacing w:after="120" w:line="276"/>
        <w:jc w:val="both"/>
      </w:pPr>
      <w:r>
        <w:rPr>
          <w:rFonts w:ascii="Barlow Semi Condensed" w:cs="Barlow Semi Condensed" w:eastAsia="Barlow Semi Condensed" w:hAnsi="Barlow Semi Condensed"/>
          <w:sz w:val="24"/>
          <w:szCs w:val="24"/>
        </w:rPr>
        <w:t xml:space="preserve">Il vaglio consegna tre rilievi. Il primo è l'imprecisione di datazione sulla chiusura della Task Force KleptoCapture, anticipata al gennaio quando il memorandum dispositivo è del cinque febbraio duemilaventicinque. Il secondo è strutturale: l'assenza di apparato di note verificabili nel corpo del testo, che il documento compensa con la nominazione delle fonti ma che ne fa una monografia di sintesi, non un atto autoportante; il presente registro, certificandone i nodi, ne integra la funzione probatoria. Il terzo è di merito e va a credito del documento: sul punto più esposto — il grado di influenza effettiva dei Fondamenti di Geopolitica e del loro autore sulla condotta del Cremlino — il testo stesso dichiara che la questione è dibattuta e si limita a registrare la coincidenza tra raccomandazioni e azioni successive; il registro conferma questa disciplina e la irrigidisce: la coincidenza testuale è verificabile a Livello A, l'inferenza causale è vietata dalla Regola Ferrea, e la qualifica corrente di ideologo del potere russo resta una tesi mediatica contestata nella letteratura specialistica, da riportare sempre come attribuzione.</w:t>
      </w:r>
    </w:p>
    <w:p>
      <w:pPr>
        <w:spacing w:after="120" w:line="276"/>
        <w:jc w:val="both"/>
      </w:pPr>
      <w:r>
        <w:rPr>
          <w:rFonts w:ascii="Barlow Semi Condensed" w:cs="Barlow Semi Condensed" w:eastAsia="Barlow Semi Condensed" w:hAnsi="Barlow Semi Condensed"/>
          <w:sz w:val="24"/>
          <w:szCs w:val="24"/>
        </w:rPr>
        <w:t xml:space="preserve">9.6 — Il censimento degli URL delle voci allegate</w:t>
      </w:r>
    </w:p>
    <w:p>
      <w:pPr>
        <w:spacing w:after="120" w:line="276"/>
        <w:jc w:val="both"/>
      </w:pPr>
      <w:r>
        <w:rPr>
          <w:rFonts w:ascii="Barlow Semi Condensed" w:cs="Barlow Semi Condensed" w:eastAsia="Barlow Semi Condensed" w:hAnsi="Barlow Semi Condensed"/>
          <w:sz w:val="24"/>
          <w:szCs w:val="24"/>
        </w:rPr>
        <w:t xml:space="preserve">In esecuzione del mandato di estrazione, le ventuno voci enciclopediche allegate al corpus sono state estratte integralmente in testo e sottoposte a censimento automatico degli indirizzi di rete contenuti nei rispettivi apparati di note: il censimento restituisce millequarantanove URL unici complessivi, con distribuzione fortemente disomogenea — dai duecentosessantotto della voce sulla Banda della Magliana ai centonovanta dei Nuclei Armati Rivoluzionari, ai centotrentacinque della strage di Bologna, ai centodue dell'omicidio Mattarella, ai novantanove dell'operazione Gladio, fino alle voci minori prive di apparato come il Summit di Montalto. Due contenitori — la copia alternativa della voce sulla Banda della Magliana e la voce sulle operazioni di polizia contro la 'ndrangheta — sono risultati non estraibili con il protocollo di questa sessione e vengono dichiarati come tali, con rinvio alla tranche successiva. Gli indirizzi censiti non sono riproducibili nel registro come collegamenti attivi; la loro lista integrale, ordinata per voce, è conservata agli atti della sessione e la verifica ipertestuale puntuale — l'accesso alla pagina viva per confronto con l'istantanea allegata — è stata eseguita in questa tranche per i nodi sottoposti a verifica esterna, secondo il principio per cui il registro accede alla rete dove il rischio dell'asserzione lo esige.</w:t>
      </w:r>
    </w:p>
    <w:p>
      <w:pPr>
        <w:spacing w:after="120" w:line="276"/>
        <w:jc w:val="both"/>
      </w:pPr>
      <w:r>
        <w:rPr>
          <w:rFonts w:ascii="Barlow Semi Condensed" w:cs="Barlow Semi Condensed" w:eastAsia="Barlow Semi Condensed" w:hAnsi="Barlow Semi Condensed"/>
          <w:sz w:val="24"/>
          <w:szCs w:val="24"/>
        </w:rPr>
        <w:t xml:space="preserve">9.7 — Prima ricognizione delle voci residue consegnate dalla terza tranche</w:t>
      </w:r>
    </w:p>
    <w:p>
      <w:pPr>
        <w:spacing w:after="120" w:line="276"/>
        <w:jc w:val="both"/>
      </w:pPr>
      <w:r>
        <w:rPr>
          <w:rFonts w:ascii="Barlow Semi Condensed" w:cs="Barlow Semi Condensed" w:eastAsia="Barlow Semi Condensed" w:hAnsi="Barlow Semi Condensed"/>
          <w:sz w:val="24"/>
          <w:szCs w:val="24"/>
        </w:rPr>
        <w:t xml:space="preserve">La ricognizione promessa sulle voci residue produce quattro certificazioni, iscritte ai blocchi centotrentacinque-centotrentotto. Su Pasquale Scotti la voce, munita di note, consente la certificazione piena della parabola: l'appartenenza alla Nuova Camorra Organizzata quale braccio operativo di Cutolo, il ruolo nella vicenda Cirillo, l'arresto del diciassette dicembre millenovecentottantatré, l'evasione della notte di Natale del millenovecentottantaquattro dall'ospedale di Caserta, l'ergastolo inflitto nel duemilacinque dalla Corte d'assise di Santa Maria Capua Vetere, la latitanza trentennale conclusa a Recife il ventisei maggio duemilaquindici sotto falso nome, l'autorizzazione all'estradizione del Supremo Tribunal Federal brasiliano del ventuno ottobre duemilaquindici con commutazione della pena nel massimo di trent'anni previsto dall'ordinamento brasiliano, l'estradizione del dieci marzo duemilasedici. Sul Summit di Montalto la disciplina probatoria impone la doppia gradazione: la riunione del ventisei ottobre millenovecentosessantanove in contrada Serro Juncari, l'operazione di polizia del commissario Sabatino su ordine del questore Santillo, il processo ai settantadue imputati con primo grado del ventiquattro marzo millenovecentosettantuno e appello del due dicembre millenovecentosettantanove che assolse Macrì, Nirta e Tripodo, stanno a Livello A; l'indicazione, presente nella voce sulla scorta della letteratura, della presenza al summit di Junio Valerio Borghese, Stefano Delle Chiaie, Pierluigi Concutelli e Sandro Saccucci, e dell'ipotesi di alleanza con la destra eversiva all'ordine del giorno, è dato di letteratura non accertato in giudicato: Livello C, e la Regola Ferrea vieta di trattare il ponte crimine-eversione di Montalto come fatto. Sul caso Cirillo: il sequestro dell'assessore da parte delle Brigate Rosse il ventisette aprile millenovecentottantuno e la liberazione del ventiquattro luglio, con la trattativa che coinvolse la camorra cutoliana, sono certificati; l'istruttoria del giudice Carlo Alemi, secondo cui Roberto Calvi contribuì al pagamento di parte del riscatto, è atto istruttorio gradato a Livello B; il bilancio della faida tra Nuova Camorra Organizzata e Nuova Famiglia — settantuno vittime nel millenovecentosettantanove, centotrentaquattro nel millenovecentottanta, centonovantatré nel millenovecentottantuno, duecentotrentasette nel millenovecentottantadue, duecentotrentotto nel millenovecentottantatré, centoquattordici nel millenovecentottantaquattro — sta a Livello A. Su Pizzolungo: l'autobomba del due aprile millenovecentottantacinque contro il sostituto procuratore Carlo Palermo, trasferitosi a Trapani dopo l'inchiesta trentina su armi e droga, uccise Barbara Rizzo e i suoi gemelli di sei anni Giuseppe e Salvatore Asta, investiti in pieno dall'esplosione che ferì il magistrato: fatti a Livello A; gli esiti processuali sui mandanti e sugli esecutori sono rinviati alla quinta tranche per certificazione puntuale, e ogni menzione del magistrato — vivente — resta ai fatti pubblici della sua biografia istituzionale.</w:t>
      </w:r>
    </w:p>
    <w:p>
      <w:pPr>
        <w:spacing w:after="120" w:line="276"/>
        <w:jc w:val="both"/>
      </w:pPr>
      <w:r>
        <w:rPr>
          <w:rFonts w:ascii="Barlow Semi Condensed" w:cs="Barlow Semi Condensed" w:eastAsia="Barlow Semi Condensed" w:hAnsi="Barlow Semi Condensed"/>
          <w:sz w:val="24"/>
          <w:szCs w:val="24"/>
        </w:rPr>
        <w:t xml:space="preserve">9.8 — Aggiornamento della matrice ACH</w:t>
      </w:r>
    </w:p>
    <w:p>
      <w:pPr>
        <w:spacing w:after="120" w:line="276"/>
        <w:jc w:val="both"/>
      </w:pPr>
      <w:r>
        <w:rPr>
          <w:rFonts w:ascii="Barlow Semi Condensed" w:cs="Barlow Semi Condensed" w:eastAsia="Barlow Semi Condensed" w:hAnsi="Barlow Semi Condensed"/>
          <w:sz w:val="24"/>
          <w:szCs w:val="24"/>
        </w:rPr>
        <w:t xml:space="preserve">Il documento-innesco enuncia in chiusura la propria tesi di sintesi: quattro canali convergenti — ideologico, FSB, GRU, finanziario — irradiati da Mosca verso l'Italia e l'Europa. Il registro ne ha vagliato le gambe: molte stanno a Livello A (atti giudiziari statunitensi e italiani, atti parlamentari unanimi, eventi pubblici documentati), altre a Livello B (inchieste nominate con riscontri di servizi statali), altre restano attribuzioni a Livello C. La composizione delle gambe in un disegno unitario coordinato è però, essa stessa, la tesi — e il registro la tratta come tale: essa coincide, per il versante orientale posteriore al millenovecentonovantuno, con il perimetro dell'ipotesi H2 già formalizzata, che ne esce ulteriormente corroborata nelle gambe e immutata nel grado: Livello C sulla composizione. Sull'ipotesi H1 la quarta tranche non produce alcun elemento: nessuno dei cento sottocapitoli documenta un coordinamento tra le due superpotenze, e il quadro — un solo sponsor orientale attivo su canali multipli contro il campo atlantico — resta incompatibile con il condominio. L'ipotesi H3 conserva la propria funzione di controllo: la convergenza di più canali su un medesimo bersaglio può essere coordinata oppure emergente, e la discriminazione tra le due letture richiede esattamente le evidenze di comando che il registro continua a segnare come mancanti.</w:t>
      </w:r>
    </w:p>
    <w:p>
      <w:pPr>
        <w:spacing w:after="120" w:line="276"/>
        <w:jc w:val="both"/>
      </w:pPr>
      <w:r>
        <w:rPr>
          <w:rFonts w:ascii="Barlow Semi Condensed" w:cs="Barlow Semi Condensed" w:eastAsia="Barlow Semi Condensed" w:hAnsi="Barlow Semi Condensed"/>
          <w:sz w:val="24"/>
          <w:szCs w:val="24"/>
        </w:rPr>
        <w:t xml:space="preserve">9.9 — Registro dei blocchi di verifica: blocchi trentacinque–centotrentaquattro</w:t>
      </w:r>
    </w:p>
    <w:p>
      <w:pPr>
        <w:spacing w:after="120" w:line="276"/>
        <w:jc w:val="both"/>
      </w:pPr>
      <w:r>
        <w:rPr>
          <w:rFonts w:ascii="Barlow Semi Condensed" w:cs="Barlow Semi Condensed" w:eastAsia="Barlow Semi Condensed" w:hAnsi="Barlow Semi Condensed"/>
          <w:sz w:val="24"/>
          <w:szCs w:val="24"/>
        </w:rPr>
        <w:t xml:space="preserve">I cento sottocapitoli del documento-innesco sono iscritti ciascuno come blocco, con esito e grado. La formula «già certificato» rinvia al blocco indicato delle tranche precedenti; la formula «verificato ora» indica la campagna esterna di questa tranche; la formula «attribuito» indica che l'asserzione resta in capo alla fonte nominata.</w:t>
      </w:r>
    </w:p>
    <w:p>
      <w:pPr>
        <w:spacing w:after="120" w:line="276"/>
        <w:jc w:val="both"/>
      </w:pPr>
      <w:r>
        <w:rPr>
          <w:rFonts w:ascii="Barlow Semi Condensed" w:cs="Barlow Semi Condensed" w:eastAsia="Barlow Semi Condensed" w:hAnsi="Barlow Semi Condensed"/>
          <w:sz w:val="24"/>
          <w:szCs w:val="24"/>
        </w:rPr>
        <w:t xml:space="preserve">Capitolo primo — Il substrato ideologico (blocchi trentacinque–quarantaquattro)</w:t>
      </w:r>
    </w:p>
    <w:p>
      <w:pPr>
        <w:spacing w:after="120" w:line="276"/>
        <w:jc w:val="both"/>
      </w:pPr>
      <w:r>
        <w:rPr>
          <w:rFonts w:ascii="Barlow Semi Condensed" w:cs="Barlow Semi Condensed" w:eastAsia="Barlow Semi Condensed" w:hAnsi="Barlow Semi Condensed"/>
          <w:sz w:val="24"/>
          <w:szCs w:val="24"/>
        </w:rPr>
        <w:t xml:space="preserve">Blocco trentacinque. Freda e le Edizioni di Ar: fondazione padovana del nove dicembre millenovecentosessantatré e catalogo tradizionalista, Livello A documentale. Vincolo permanente: l'assoluzione definitiva di Freda per Piazza Fontana va riportata in ogni menzione; le statuizioni dei filoni successivi non costituiscono giudicato di condanna.</w:t>
      </w:r>
    </w:p>
    <w:p>
      <w:pPr>
        <w:spacing w:after="120" w:line="276"/>
        <w:jc w:val="both"/>
      </w:pPr>
      <w:r>
        <w:rPr>
          <w:rFonts w:ascii="Barlow Semi Condensed" w:cs="Barlow Semi Condensed" w:eastAsia="Barlow Semi Condensed" w:hAnsi="Barlow Semi Condensed"/>
          <w:sz w:val="24"/>
          <w:szCs w:val="24"/>
        </w:rPr>
        <w:t xml:space="preserve">Blocco trentasei. Thiriart e Jeune Europe: già certificato ai blocchi tredici e ventitré, ivi compresa la svolta filosovietica del millenovecentosessantotto.</w:t>
      </w:r>
    </w:p>
    <w:p>
      <w:pPr>
        <w:spacing w:after="120" w:line="276"/>
        <w:jc w:val="both"/>
      </w:pPr>
      <w:r>
        <w:rPr>
          <w:rFonts w:ascii="Barlow Semi Condensed" w:cs="Barlow Semi Condensed" w:eastAsia="Barlow Semi Condensed" w:hAnsi="Barlow Semi Condensed"/>
          <w:sz w:val="24"/>
          <w:szCs w:val="24"/>
        </w:rPr>
        <w:t xml:space="preserve">Blocco trentasette. Mutti, dalla militanza alla conversione: traiettoria biografica pubblica a Livello A; le qualifiche ideologiche restano attribuzioni.</w:t>
      </w:r>
    </w:p>
    <w:p>
      <w:pPr>
        <w:spacing w:after="120" w:line="276"/>
        <w:jc w:val="both"/>
      </w:pPr>
      <w:r>
        <w:rPr>
          <w:rFonts w:ascii="Barlow Semi Condensed" w:cs="Barlow Semi Condensed" w:eastAsia="Barlow Semi Condensed" w:hAnsi="Barlow Semi Condensed"/>
          <w:sz w:val="24"/>
          <w:szCs w:val="24"/>
        </w:rPr>
        <w:t xml:space="preserve">Blocco trentotto. Il catalogo Guardia di Ferro-Szalasi-Protocolli: contenuto editoriale verificabile, Livello A documentale.</w:t>
      </w:r>
    </w:p>
    <w:p>
      <w:pPr>
        <w:spacing w:after="120" w:line="276"/>
        <w:jc w:val="both"/>
      </w:pPr>
      <w:r>
        <w:rPr>
          <w:rFonts w:ascii="Barlow Semi Condensed" w:cs="Barlow Semi Condensed" w:eastAsia="Barlow Semi Condensed" w:hAnsi="Barlow Semi Condensed"/>
          <w:sz w:val="24"/>
          <w:szCs w:val="24"/>
        </w:rPr>
        <w:t xml:space="preserve">Blocco trentanove. La strategia della tensione come nesso eversione-geopolitica: tesi interpretativa del documento, attribuita, Livello C; i fatti sottostanti sono certificati alle Fasi prima e ottava.</w:t>
      </w:r>
    </w:p>
    <w:p>
      <w:pPr>
        <w:spacing w:after="120" w:line="276"/>
        <w:jc w:val="both"/>
      </w:pPr>
      <w:r>
        <w:rPr>
          <w:rFonts w:ascii="Barlow Semi Condensed" w:cs="Barlow Semi Condensed" w:eastAsia="Barlow Semi Condensed" w:hAnsi="Barlow Semi Condensed"/>
          <w:sz w:val="24"/>
          <w:szCs w:val="24"/>
        </w:rPr>
        <w:t xml:space="preserve">Blocco quaranta. Ordine Nuovo, Avanguardia Nazionale e la rete stragista: esiti giudiziari certificati ai blocchi ventisei-ventinove; per Piazza Fontana nessun giudicato di condanna, come al blocco trentacinque.</w:t>
      </w:r>
    </w:p>
    <w:p>
      <w:pPr>
        <w:spacing w:after="120" w:line="276"/>
        <w:jc w:val="both"/>
      </w:pPr>
      <w:r>
        <w:rPr>
          <w:rFonts w:ascii="Barlow Semi Condensed" w:cs="Barlow Semi Condensed" w:eastAsia="Barlow Semi Condensed" w:hAnsi="Barlow Semi Condensed"/>
          <w:sz w:val="24"/>
          <w:szCs w:val="24"/>
        </w:rPr>
        <w:t xml:space="preserve">Blocco quarantuno. Murelli e il giovedì nero: già certificato ai blocchi undici-dodici, con la formulazione bilanciata vincolante.</w:t>
      </w:r>
    </w:p>
    <w:p>
      <w:pPr>
        <w:spacing w:after="120" w:line="276"/>
        <w:jc w:val="both"/>
      </w:pPr>
      <w:r>
        <w:rPr>
          <w:rFonts w:ascii="Barlow Semi Condensed" w:cs="Barlow Semi Condensed" w:eastAsia="Barlow Semi Condensed" w:hAnsi="Barlow Semi Condensed"/>
          <w:sz w:val="24"/>
          <w:szCs w:val="24"/>
        </w:rPr>
        <w:t xml:space="preserve">Blocco quarantadue. Barbarossa e Orion: già certificato al blocco quattordici.</w:t>
      </w:r>
    </w:p>
    <w:p>
      <w:pPr>
        <w:spacing w:after="120" w:line="276"/>
        <w:jc w:val="both"/>
      </w:pPr>
      <w:r>
        <w:rPr>
          <w:rFonts w:ascii="Barlow Semi Condensed" w:cs="Barlow Semi Condensed" w:eastAsia="Barlow Semi Condensed" w:hAnsi="Barlow Semi Condensed"/>
          <w:sz w:val="24"/>
          <w:szCs w:val="24"/>
        </w:rPr>
        <w:t xml:space="preserve">Blocco quarantatré. Borghezio da Jeune Europe alla Lega: già certificato al blocco quindici.</w:t>
      </w:r>
    </w:p>
    <w:p>
      <w:pPr>
        <w:spacing w:after="120" w:line="276"/>
        <w:jc w:val="both"/>
      </w:pPr>
      <w:r>
        <w:rPr>
          <w:rFonts w:ascii="Barlow Semi Condensed" w:cs="Barlow Semi Condensed" w:eastAsia="Barlow Semi Condensed" w:hAnsi="Barlow Semi Condensed"/>
          <w:sz w:val="24"/>
          <w:szCs w:val="24"/>
        </w:rPr>
        <w:t xml:space="preserve">Blocco quarantaquattro. L'Università d'Estate di Gavirate: già certificato al blocco diciotto; l'attribuzione sulla genesi di CasaPound resta a Livello B.</w:t>
      </w:r>
    </w:p>
    <w:p>
      <w:pPr>
        <w:spacing w:after="120" w:line="276"/>
        <w:jc w:val="both"/>
      </w:pPr>
      <w:r>
        <w:rPr>
          <w:rFonts w:ascii="Barlow Semi Condensed" w:cs="Barlow Semi Condensed" w:eastAsia="Barlow Semi Condensed" w:hAnsi="Barlow Semi Condensed"/>
          <w:sz w:val="24"/>
          <w:szCs w:val="24"/>
        </w:rPr>
        <w:t xml:space="preserve">Capitolo secondo — Dugin, origini e progetto (blocchi quarantacinque–cinquantaquattro)</w:t>
      </w:r>
    </w:p>
    <w:p>
      <w:pPr>
        <w:spacing w:after="120" w:line="276"/>
        <w:jc w:val="both"/>
      </w:pPr>
      <w:r>
        <w:rPr>
          <w:rFonts w:ascii="Barlow Semi Condensed" w:cs="Barlow Semi Condensed" w:eastAsia="Barlow Semi Condensed" w:hAnsi="Barlow Semi Condensed"/>
          <w:sz w:val="24"/>
          <w:szCs w:val="24"/>
        </w:rPr>
        <w:t xml:space="preserve">Blocco quarantacinque. Il padre tenente colonnello del GRU: dato riferito da fonti d'inchiesta, non riscontrato su fonte primaria: attribuito, Livello C.</w:t>
      </w:r>
    </w:p>
    <w:p>
      <w:pPr>
        <w:spacing w:after="120" w:line="276"/>
        <w:jc w:val="both"/>
      </w:pPr>
      <w:r>
        <w:rPr>
          <w:rFonts w:ascii="Barlow Semi Condensed" w:cs="Barlow Semi Condensed" w:eastAsia="Barlow Semi Condensed" w:hAnsi="Barlow Semi Condensed"/>
          <w:sz w:val="24"/>
          <w:szCs w:val="24"/>
        </w:rPr>
        <w:t xml:space="preserve">Blocco quarantasei. L'arresto del millenovecentottantatré e la collaborazione col KGB: attribuzione di Byline Times, riportata come tale: Livello C.</w:t>
      </w:r>
    </w:p>
    <w:p>
      <w:pPr>
        <w:spacing w:after="120" w:line="276"/>
        <w:jc w:val="both"/>
      </w:pPr>
      <w:r>
        <w:rPr>
          <w:rFonts w:ascii="Barlow Semi Condensed" w:cs="Barlow Semi Condensed" w:eastAsia="Barlow Semi Condensed" w:hAnsi="Barlow Semi Condensed"/>
          <w:sz w:val="24"/>
          <w:szCs w:val="24"/>
        </w:rPr>
        <w:t xml:space="preserve">Blocco quarantasette. Pamjat', il nazionalbolscevismo e Limonov: storia pubblica consolidata, Livello A sui fatti editoriali e di cronaca.</w:t>
      </w:r>
    </w:p>
    <w:p>
      <w:pPr>
        <w:spacing w:after="120" w:line="276"/>
        <w:jc w:val="both"/>
      </w:pPr>
      <w:r>
        <w:rPr>
          <w:rFonts w:ascii="Barlow Semi Condensed" w:cs="Barlow Semi Condensed" w:eastAsia="Barlow Semi Condensed" w:hAnsi="Barlow Semi Condensed"/>
          <w:sz w:val="24"/>
          <w:szCs w:val="24"/>
        </w:rPr>
        <w:t xml:space="preserve">Blocco quarantotto. L'incontro con Mutti del millenovecentonovanta e Continente Russia: documentazione d'area convergente, Livello B.</w:t>
      </w:r>
    </w:p>
    <w:p>
      <w:pPr>
        <w:spacing w:after="120" w:line="276"/>
        <w:jc w:val="both"/>
      </w:pPr>
      <w:r>
        <w:rPr>
          <w:rFonts w:ascii="Barlow Semi Condensed" w:cs="Barlow Semi Condensed" w:eastAsia="Barlow Semi Condensed" w:hAnsi="Barlow Semi Condensed"/>
          <w:sz w:val="24"/>
          <w:szCs w:val="24"/>
        </w:rPr>
        <w:t xml:space="preserve">Blocco quarantanove. La missione moscovita di Thiriart dell'agosto millenovecentonovantadue: già certificata, Livello A, con Schneider, Terracciano e Battarra.</w:t>
      </w:r>
    </w:p>
    <w:p>
      <w:pPr>
        <w:spacing w:after="120" w:line="276"/>
        <w:jc w:val="both"/>
      </w:pPr>
      <w:r>
        <w:rPr>
          <w:rFonts w:ascii="Barlow Semi Condensed" w:cs="Barlow Semi Condensed" w:eastAsia="Barlow Semi Condensed" w:hAnsi="Barlow Semi Condensed"/>
          <w:sz w:val="24"/>
          <w:szCs w:val="24"/>
        </w:rPr>
        <w:t xml:space="preserve">Blocco cinquanta. L'ingresso in Elementi: Livello B documentale.</w:t>
      </w:r>
    </w:p>
    <w:p>
      <w:pPr>
        <w:spacing w:after="120" w:line="276"/>
        <w:jc w:val="both"/>
      </w:pPr>
      <w:r>
        <w:rPr>
          <w:rFonts w:ascii="Barlow Semi Condensed" w:cs="Barlow Semi Condensed" w:eastAsia="Barlow Semi Condensed" w:hAnsi="Barlow Semi Condensed"/>
          <w:sz w:val="24"/>
          <w:szCs w:val="24"/>
        </w:rPr>
        <w:t xml:space="preserve">Blocco cinquantuno. De Benoist, Steuckers, Bouchet: fatti pubblici a Livello A; la funzione di legittimazione è qualifica attribuita.</w:t>
      </w:r>
    </w:p>
    <w:p>
      <w:pPr>
        <w:spacing w:after="120" w:line="276"/>
        <w:jc w:val="both"/>
      </w:pPr>
      <w:r>
        <w:rPr>
          <w:rFonts w:ascii="Barlow Semi Condensed" w:cs="Barlow Semi Condensed" w:eastAsia="Barlow Semi Condensed" w:hAnsi="Barlow Semi Condensed"/>
          <w:sz w:val="24"/>
          <w:szCs w:val="24"/>
        </w:rPr>
        <w:t xml:space="preserve">Blocco cinquantadue. I Fondamenti di Geopolitica del millenovecentonovantasette: pubblicazione a Livello A; l'adozione come testo di studio nelle accademie militari è dato di letteratura a Livello B; la portata dell'influenza resta dibattuta, come il documento stesso dichiara.</w:t>
      </w:r>
    </w:p>
    <w:p>
      <w:pPr>
        <w:spacing w:after="120" w:line="276"/>
        <w:jc w:val="both"/>
      </w:pPr>
      <w:r>
        <w:rPr>
          <w:rFonts w:ascii="Barlow Semi Condensed" w:cs="Barlow Semi Condensed" w:eastAsia="Barlow Semi Condensed" w:hAnsi="Barlow Semi Condensed"/>
          <w:sz w:val="24"/>
          <w:szCs w:val="24"/>
        </w:rPr>
        <w:t xml:space="preserve">Blocco cinquantatré. Le raccomandazioni operative e le coincidenze successive: la coincidenza testuale è verificabile a Livello A; l'inferenza causale è vietata dalla Regola Ferrea.</w:t>
      </w:r>
    </w:p>
    <w:p>
      <w:pPr>
        <w:spacing w:after="120" w:line="276"/>
        <w:jc w:val="both"/>
      </w:pPr>
      <w:r>
        <w:rPr>
          <w:rFonts w:ascii="Barlow Semi Condensed" w:cs="Barlow Semi Condensed" w:eastAsia="Barlow Semi Condensed" w:hAnsi="Barlow Semi Condensed"/>
          <w:sz w:val="24"/>
          <w:szCs w:val="24"/>
        </w:rPr>
        <w:t xml:space="preserve">Blocco cinquantaquattro. Il Partito Eurasia del duemilauno: registrazione riferita, Livello B; la qualifica di veterano del KGB per Suslov resta attribuita.</w:t>
      </w:r>
    </w:p>
    <w:p>
      <w:pPr>
        <w:spacing w:after="120" w:line="276"/>
        <w:jc w:val="both"/>
      </w:pPr>
      <w:r>
        <w:rPr>
          <w:rFonts w:ascii="Barlow Semi Condensed" w:cs="Barlow Semi Condensed" w:eastAsia="Barlow Semi Condensed" w:hAnsi="Barlow Semi Condensed"/>
          <w:sz w:val="24"/>
          <w:szCs w:val="24"/>
        </w:rPr>
        <w:t xml:space="preserve">Capitolo terzo — L'infiltrazione nella Lega (blocchi cinquantacinque–sessantaquattro)</w:t>
      </w:r>
    </w:p>
    <w:p>
      <w:pPr>
        <w:spacing w:after="120" w:line="276"/>
        <w:jc w:val="both"/>
      </w:pPr>
      <w:r>
        <w:rPr>
          <w:rFonts w:ascii="Barlow Semi Condensed" w:cs="Barlow Semi Condensed" w:eastAsia="Barlow Semi Condensed" w:hAnsi="Barlow Semi Condensed"/>
          <w:sz w:val="24"/>
          <w:szCs w:val="24"/>
        </w:rPr>
        <w:t xml:space="preserve">Blocco cinquantacinque. La testimonianza Battarra sui nove fondatori: dichiarativo a Livello C, già discusso nella seconda tranche.</w:t>
      </w:r>
    </w:p>
    <w:p>
      <w:pPr>
        <w:spacing w:after="120" w:line="276"/>
        <w:jc w:val="both"/>
      </w:pPr>
      <w:r>
        <w:rPr>
          <w:rFonts w:ascii="Barlow Semi Condensed" w:cs="Barlow Semi Condensed" w:eastAsia="Barlow Semi Condensed" w:hAnsi="Barlow Semi Condensed"/>
          <w:sz w:val="24"/>
          <w:szCs w:val="24"/>
        </w:rPr>
        <w:t xml:space="preserve">Blocco cinquantasei. Savoini: già certificato ai blocchi sedici-diciassette; i dettagli familiari privati riferiti dal documento sono esclusi dal registro per non necessità.</w:t>
      </w:r>
    </w:p>
    <w:p>
      <w:pPr>
        <w:spacing w:after="120" w:line="276"/>
        <w:jc w:val="both"/>
      </w:pPr>
      <w:r>
        <w:rPr>
          <w:rFonts w:ascii="Barlow Semi Condensed" w:cs="Barlow Semi Condensed" w:eastAsia="Barlow Semi Condensed" w:hAnsi="Barlow Semi Condensed"/>
          <w:sz w:val="24"/>
          <w:szCs w:val="24"/>
        </w:rPr>
        <w:t xml:space="preserve">Blocco cinquantasette. Il gramscismo di destra: autodefinizione di Murelli, Livello A come dichiarazione attribuita.</w:t>
      </w:r>
    </w:p>
    <w:p>
      <w:pPr>
        <w:spacing w:after="120" w:line="276"/>
        <w:jc w:val="both"/>
      </w:pPr>
      <w:r>
        <w:rPr>
          <w:rFonts w:ascii="Barlow Semi Condensed" w:cs="Barlow Semi Condensed" w:eastAsia="Barlow Semi Condensed" w:hAnsi="Barlow Semi Condensed"/>
          <w:sz w:val="24"/>
          <w:szCs w:val="24"/>
        </w:rPr>
        <w:t xml:space="preserve">Blocco cinquantotto. Adinolfi, Fiore e Terza Posizione: fatti giudiziari storici a Livello A; il ruolo direttivo in Orion a Livello B.</w:t>
      </w:r>
    </w:p>
    <w:p>
      <w:pPr>
        <w:spacing w:after="120" w:line="276"/>
        <w:jc w:val="both"/>
      </w:pPr>
      <w:r>
        <w:rPr>
          <w:rFonts w:ascii="Barlow Semi Condensed" w:cs="Barlow Semi Condensed" w:eastAsia="Barlow Semi Condensed" w:hAnsi="Barlow Semi Condensed"/>
          <w:sz w:val="24"/>
          <w:szCs w:val="24"/>
        </w:rPr>
        <w:t xml:space="preserve">Blocco cinquantanove. Concutelli: la condanna definitiva per l'omicidio Occorsio del dieci luglio millenovecentosettantasei sta a Livello A; la collocazione della sede romana di Barbarossa è dato del documento a Livello C, da riscontrare.</w:t>
      </w:r>
    </w:p>
    <w:p>
      <w:pPr>
        <w:spacing w:after="120" w:line="276"/>
        <w:jc w:val="both"/>
      </w:pPr>
      <w:r>
        <w:rPr>
          <w:rFonts w:ascii="Barlow Semi Condensed" w:cs="Barlow Semi Condensed" w:eastAsia="Barlow Semi Condensed" w:hAnsi="Barlow Semi Condensed"/>
          <w:sz w:val="24"/>
          <w:szCs w:val="24"/>
        </w:rPr>
        <w:t xml:space="preserve">Blocco sessanta. Il congresso di Torino del dicembre duemilatredici e la presentazione di Komov: episodio riferito da stampa investigativa, Livello B.</w:t>
      </w:r>
    </w:p>
    <w:p>
      <w:pPr>
        <w:spacing w:after="120" w:line="276"/>
        <w:jc w:val="both"/>
      </w:pPr>
      <w:r>
        <w:rPr>
          <w:rFonts w:ascii="Barlow Semi Condensed" w:cs="Barlow Semi Condensed" w:eastAsia="Barlow Semi Condensed" w:hAnsi="Barlow Semi Condensed"/>
          <w:sz w:val="24"/>
          <w:szCs w:val="24"/>
        </w:rPr>
        <w:t xml:space="preserve">Blocco sessantuno. La fondazione dell'Associazione Lombardia-Russia del cinque febbraio duemilaquattordici in via Colombi diciotto: corpus e conferma d'agenzia, Livello A.</w:t>
      </w:r>
    </w:p>
    <w:p>
      <w:pPr>
        <w:spacing w:after="120" w:line="276"/>
        <w:jc w:val="both"/>
      </w:pPr>
      <w:r>
        <w:rPr>
          <w:rFonts w:ascii="Barlow Semi Condensed" w:cs="Barlow Semi Condensed" w:eastAsia="Barlow Semi Condensed" w:hAnsi="Barlow Semi Condensed"/>
          <w:sz w:val="24"/>
          <w:szCs w:val="24"/>
        </w:rPr>
        <w:t xml:space="preserve">Blocco sessantadue. Max Ferrari: ruoli pubblici a Livello A.</w:t>
      </w:r>
    </w:p>
    <w:p>
      <w:pPr>
        <w:spacing w:after="120" w:line="276"/>
        <w:jc w:val="both"/>
      </w:pPr>
      <w:r>
        <w:rPr>
          <w:rFonts w:ascii="Barlow Semi Condensed" w:cs="Barlow Semi Condensed" w:eastAsia="Barlow Semi Condensed" w:hAnsi="Barlow Semi Condensed"/>
          <w:sz w:val="24"/>
          <w:szCs w:val="24"/>
        </w:rPr>
        <w:t xml:space="preserve">Blocco sessantatré. D'Amico e la società moscovita con registri cancellati: attribuzione d'inchiesta, Livello C su vivente.</w:t>
      </w:r>
    </w:p>
    <w:p>
      <w:pPr>
        <w:spacing w:after="120" w:line="276"/>
        <w:jc w:val="both"/>
      </w:pPr>
      <w:r>
        <w:rPr>
          <w:rFonts w:ascii="Barlow Semi Condensed" w:cs="Barlow Semi Condensed" w:eastAsia="Barlow Semi Condensed" w:hAnsi="Barlow Semi Condensed"/>
          <w:sz w:val="24"/>
          <w:szCs w:val="24"/>
        </w:rPr>
        <w:t xml:space="preserve">Blocco sessantaquattro. La rete delle associazioni regionali: documentale, Livello B.</w:t>
      </w:r>
    </w:p>
    <w:p>
      <w:pPr>
        <w:spacing w:after="120" w:line="276"/>
        <w:jc w:val="both"/>
      </w:pPr>
      <w:r>
        <w:rPr>
          <w:rFonts w:ascii="Barlow Semi Condensed" w:cs="Barlow Semi Condensed" w:eastAsia="Barlow Semi Condensed" w:hAnsi="Barlow Semi Condensed"/>
          <w:sz w:val="24"/>
          <w:szCs w:val="24"/>
        </w:rPr>
        <w:t xml:space="preserve">Capitolo quarto — Malofeev, Komov e il canale finanziario (blocchi sessantacinque–settantaquattro)</w:t>
      </w:r>
    </w:p>
    <w:p>
      <w:pPr>
        <w:spacing w:after="120" w:line="276"/>
        <w:jc w:val="both"/>
      </w:pPr>
      <w:r>
        <w:rPr>
          <w:rFonts w:ascii="Barlow Semi Condensed" w:cs="Barlow Semi Condensed" w:eastAsia="Barlow Semi Condensed" w:hAnsi="Barlow Semi Condensed"/>
          <w:sz w:val="24"/>
          <w:szCs w:val="24"/>
        </w:rPr>
        <w:t xml:space="preserve">Blocco sessantacinque. Malofeev, Marshall Capital e la Fondazione San Basilio: la designazione OFAC del dicembre duemilaquattordici sta a Livello A; la qualifica di finanziatore del separatismo è la motivazione della designazione, riportata come tale.</w:t>
      </w:r>
    </w:p>
    <w:p>
      <w:pPr>
        <w:spacing w:after="120" w:line="276"/>
        <w:jc w:val="both"/>
      </w:pPr>
      <w:r>
        <w:rPr>
          <w:rFonts w:ascii="Barlow Semi Condensed" w:cs="Barlow Semi Condensed" w:eastAsia="Barlow Semi Condensed" w:hAnsi="Barlow Semi Condensed"/>
          <w:sz w:val="24"/>
          <w:szCs w:val="24"/>
        </w:rPr>
        <w:t xml:space="preserve">Blocco sessantasei. Tsargrad e Hanick: le incriminazioni statunitensi dell'aprile duemilaventidue stanno a Livello A quali atti; l'etichetta giornalistica resta tale.</w:t>
      </w:r>
    </w:p>
    <w:p>
      <w:pPr>
        <w:spacing w:after="120" w:line="276"/>
        <w:jc w:val="both"/>
      </w:pPr>
      <w:r>
        <w:rPr>
          <w:rFonts w:ascii="Barlow Semi Condensed" w:cs="Barlow Semi Condensed" w:eastAsia="Barlow Semi Condensed" w:hAnsi="Barlow Semi Condensed"/>
          <w:sz w:val="24"/>
          <w:szCs w:val="24"/>
        </w:rPr>
        <w:t xml:space="preserve">Blocco sessantasette. Komov e il Congresso Mondiale delle Famiglie: ruolo pubblico ventennale, Livello A.</w:t>
      </w:r>
    </w:p>
    <w:p>
      <w:pPr>
        <w:spacing w:after="120" w:line="276"/>
        <w:jc w:val="both"/>
      </w:pPr>
      <w:r>
        <w:rPr>
          <w:rFonts w:ascii="Barlow Semi Condensed" w:cs="Barlow Semi Condensed" w:eastAsia="Barlow Semi Condensed" w:hAnsi="Barlow Semi Condensed"/>
          <w:sz w:val="24"/>
          <w:szCs w:val="24"/>
        </w:rPr>
        <w:t xml:space="preserve">Blocco sessantotto. CitizenGO, Hazte Oir e la rete conservatrice: collegamenti riferiti da inchieste, Livello C attribuito.</w:t>
      </w:r>
    </w:p>
    <w:p>
      <w:pPr>
        <w:spacing w:after="120" w:line="276"/>
        <w:jc w:val="both"/>
      </w:pPr>
      <w:r>
        <w:rPr>
          <w:rFonts w:ascii="Barlow Semi Condensed" w:cs="Barlow Semi Condensed" w:eastAsia="Barlow Semi Condensed" w:hAnsi="Barlow Semi Condensed"/>
          <w:sz w:val="24"/>
          <w:szCs w:val="24"/>
        </w:rPr>
        <w:t xml:space="preserve">Blocco sessantanove. Le email Saltaj Boltaj e il collegamento Komov-Fiore: materiale di provenienza illecita non verificabile in modo indipendente: Livello C con statuto dichiarato.</w:t>
      </w:r>
    </w:p>
    <w:p>
      <w:pPr>
        <w:spacing w:after="120" w:line="276"/>
        <w:jc w:val="both"/>
      </w:pPr>
      <w:r>
        <w:rPr>
          <w:rFonts w:ascii="Barlow Semi Condensed" w:cs="Barlow Semi Condensed" w:eastAsia="Barlow Semi Condensed" w:hAnsi="Barlow Semi Condensed"/>
          <w:sz w:val="24"/>
          <w:szCs w:val="24"/>
        </w:rPr>
        <w:t xml:space="preserve">Blocco settanta. L'incriminazione di Komov del dodici dicembre duemilaventiquattro: verificato ora sulla fonte primaria della Procura di New York, Livello A quale atto d'accusa; presunzione di innocenza integrale; latitante.</w:t>
      </w:r>
    </w:p>
    <w:p>
      <w:pPr>
        <w:spacing w:after="120" w:line="276"/>
        <w:jc w:val="both"/>
      </w:pPr>
      <w:r>
        <w:rPr>
          <w:rFonts w:ascii="Barlow Semi Condensed" w:cs="Barlow Semi Condensed" w:eastAsia="Barlow Semi Condensed" w:hAnsi="Barlow Semi Condensed"/>
          <w:sz w:val="24"/>
          <w:szCs w:val="24"/>
        </w:rPr>
        <w:t xml:space="preserve">Blocco settantuno. La chiusura di KleptoCapture: verificato ora; lo scioglimento è del memorandum del cinque febbraio duemilaventicinque; rilievo critico di datazione sul documento, che indica il gennaio.</w:t>
      </w:r>
    </w:p>
    <w:p>
      <w:pPr>
        <w:spacing w:after="120" w:line="276"/>
        <w:jc w:val="both"/>
      </w:pPr>
      <w:r>
        <w:rPr>
          <w:rFonts w:ascii="Barlow Semi Condensed" w:cs="Barlow Semi Condensed" w:eastAsia="Barlow Semi Condensed" w:hAnsi="Barlow Semi Condensed"/>
          <w:sz w:val="24"/>
          <w:szCs w:val="24"/>
        </w:rPr>
        <w:t xml:space="preserve">Blocco settantadue. Il Congresso Mondiale delle Famiglie di Verona duemiladiciannove: evento a Livello A; la lettura come piattaforma resta tesi attribuita.</w:t>
      </w:r>
    </w:p>
    <w:p>
      <w:pPr>
        <w:spacing w:after="120" w:line="276"/>
        <w:jc w:val="both"/>
      </w:pPr>
      <w:r>
        <w:rPr>
          <w:rFonts w:ascii="Barlow Semi Condensed" w:cs="Barlow Semi Condensed" w:eastAsia="Barlow Semi Condensed" w:hAnsi="Barlow Semi Condensed"/>
          <w:sz w:val="24"/>
          <w:szCs w:val="24"/>
        </w:rPr>
        <w:t xml:space="preserve">Blocco settantatré. Dar'ja Dugina: verificato ora; morte del venti agosto duemilaventidue a Livello A; attribuzioni delle parti riportate come posizioni, nessun accertamento giudiziario terzo.</w:t>
      </w:r>
    </w:p>
    <w:p>
      <w:pPr>
        <w:spacing w:after="120" w:line="276"/>
        <w:jc w:val="both"/>
      </w:pPr>
      <w:r>
        <w:rPr>
          <w:rFonts w:ascii="Barlow Semi Condensed" w:cs="Barlow Semi Condensed" w:eastAsia="Barlow Semi Condensed" w:hAnsi="Barlow Semi Condensed"/>
          <w:sz w:val="24"/>
          <w:szCs w:val="24"/>
        </w:rPr>
        <w:t xml:space="preserve">Blocco settantaquattro. Alliata di Villafranca e il congresso dei russofili: partecipazione riferita, Livello C; il quadro del Movimento dei Russofili è certificato alla prima tranche.</w:t>
      </w:r>
    </w:p>
    <w:p>
      <w:pPr>
        <w:spacing w:after="120" w:line="276"/>
        <w:jc w:val="both"/>
      </w:pPr>
      <w:r>
        <w:rPr>
          <w:rFonts w:ascii="Barlow Semi Condensed" w:cs="Barlow Semi Condensed" w:eastAsia="Barlow Semi Condensed" w:hAnsi="Barlow Semi Condensed"/>
          <w:sz w:val="24"/>
          <w:szCs w:val="24"/>
        </w:rPr>
        <w:t xml:space="preserve">Capitolo quinto — Crimea e la mobilitazione delle reti (blocchi settantacinque–ottantaquattro)</w:t>
      </w:r>
    </w:p>
    <w:p>
      <w:pPr>
        <w:spacing w:after="120" w:line="276"/>
        <w:jc w:val="both"/>
      </w:pPr>
      <w:r>
        <w:rPr>
          <w:rFonts w:ascii="Barlow Semi Condensed" w:cs="Barlow Semi Condensed" w:eastAsia="Barlow Semi Condensed" w:hAnsi="Barlow Semi Condensed"/>
          <w:sz w:val="24"/>
          <w:szCs w:val="24"/>
        </w:rPr>
        <w:t xml:space="preserve">Blocco settantacinque. L'archivio Mirzakhanian e l'inchiesta consortile del tre febbraio duemilaventitré: attribuzione su materiale hackerato: Livello C con statuto, nonostante la convergenza delle testate.</w:t>
      </w:r>
    </w:p>
    <w:p>
      <w:pPr>
        <w:spacing w:after="120" w:line="276"/>
        <w:jc w:val="both"/>
      </w:pPr>
      <w:r>
        <w:rPr>
          <w:rFonts w:ascii="Barlow Semi Condensed" w:cs="Barlow Semi Condensed" w:eastAsia="Barlow Semi Condensed" w:hAnsi="Barlow Semi Condensed"/>
          <w:sz w:val="24"/>
          <w:szCs w:val="24"/>
        </w:rPr>
        <w:t xml:space="preserve">Blocco settantasei. La risoluzione veneta del diciotto maggio duemilasedici: l'atto è pubblico, Livello A; la genesi moscovita è attribuzione a Livello B.</w:t>
      </w:r>
    </w:p>
    <w:p>
      <w:pPr>
        <w:spacing w:after="120" w:line="276"/>
        <w:jc w:val="both"/>
      </w:pPr>
      <w:r>
        <w:rPr>
          <w:rFonts w:ascii="Barlow Semi Condensed" w:cs="Barlow Semi Condensed" w:eastAsia="Barlow Semi Condensed" w:hAnsi="Barlow Semi Condensed"/>
          <w:sz w:val="24"/>
          <w:szCs w:val="24"/>
        </w:rPr>
        <w:t xml:space="preserve">Blocco settantasette. Valdegamberi: le missioni di osservazione risultano dal database EPDE e da atti pubblici, Livello B; per il vivente valgono i soli fatti pubblici.</w:t>
      </w:r>
    </w:p>
    <w:p>
      <w:pPr>
        <w:spacing w:after="120" w:line="276"/>
        <w:jc w:val="both"/>
      </w:pPr>
      <w:r>
        <w:rPr>
          <w:rFonts w:ascii="Barlow Semi Condensed" w:cs="Barlow Semi Condensed" w:eastAsia="Barlow Semi Condensed" w:hAnsi="Barlow Semi Condensed"/>
          <w:sz w:val="24"/>
          <w:szCs w:val="24"/>
        </w:rPr>
        <w:t xml:space="preserve">Blocco settantotto. L'effetto cascata regionale: gli atti sono pubblici a Livello A; la regia unitaria resta tesi a Livello C.</w:t>
      </w:r>
    </w:p>
    <w:p>
      <w:pPr>
        <w:spacing w:after="120" w:line="276"/>
        <w:jc w:val="both"/>
      </w:pPr>
      <w:r>
        <w:rPr>
          <w:rFonts w:ascii="Barlow Semi Condensed" w:cs="Barlow Semi Condensed" w:eastAsia="Barlow Semi Condensed" w:hAnsi="Barlow Semi Condensed"/>
          <w:sz w:val="24"/>
          <w:szCs w:val="24"/>
        </w:rPr>
        <w:t xml:space="preserve">Blocco settantanove. Stovbun, nome in codice Erudito: convergenza tra inchiesta Shekhovtsov e conferma del servizio lettone VDD: Livello B.</w:t>
      </w:r>
    </w:p>
    <w:p>
      <w:pPr>
        <w:spacing w:after="120" w:line="276"/>
        <w:jc w:val="both"/>
      </w:pPr>
      <w:r>
        <w:rPr>
          <w:rFonts w:ascii="Barlow Semi Condensed" w:cs="Barlow Semi Condensed" w:eastAsia="Barlow Semi Condensed" w:hAnsi="Barlow Semi Condensed"/>
          <w:sz w:val="24"/>
          <w:szCs w:val="24"/>
        </w:rPr>
        <w:t xml:space="preserve">Blocco ottanta. Bertolasi, nome in codice Scrittore: la qualifica di risorsa gestita è attribuzione delle medesime fonti, Livello C su vivente; i fatti biografici pubblici stanno a Livello A.</w:t>
      </w:r>
    </w:p>
    <w:p>
      <w:pPr>
        <w:spacing w:after="120" w:line="276"/>
        <w:jc w:val="both"/>
      </w:pPr>
      <w:r>
        <w:rPr>
          <w:rFonts w:ascii="Barlow Semi Condensed" w:cs="Barlow Semi Condensed" w:eastAsia="Barlow Semi Condensed" w:hAnsi="Barlow Semi Condensed"/>
          <w:sz w:val="24"/>
          <w:szCs w:val="24"/>
        </w:rPr>
        <w:t xml:space="preserve">Blocco ottantuno. La rete internazionale di Stovbun: attribuito, Livello C.</w:t>
      </w:r>
    </w:p>
    <w:p>
      <w:pPr>
        <w:spacing w:after="120" w:line="276"/>
        <w:jc w:val="both"/>
      </w:pPr>
      <w:r>
        <w:rPr>
          <w:rFonts w:ascii="Barlow Semi Condensed" w:cs="Barlow Semi Condensed" w:eastAsia="Barlow Semi Condensed" w:hAnsi="Barlow Semi Condensed"/>
          <w:sz w:val="24"/>
          <w:szCs w:val="24"/>
        </w:rPr>
        <w:t xml:space="preserve">Blocco ottantadue. Bobirs: arresto dell'agosto duemilaventitré e morte in custodia nel novembre successivo, Livello A di cronaca giudiziaria lettone.</w:t>
      </w:r>
    </w:p>
    <w:p>
      <w:pPr>
        <w:spacing w:after="120" w:line="276"/>
        <w:jc w:val="both"/>
      </w:pPr>
      <w:r>
        <w:rPr>
          <w:rFonts w:ascii="Barlow Semi Condensed" w:cs="Barlow Semi Condensed" w:eastAsia="Barlow Semi Condensed" w:hAnsi="Barlow Semi Condensed"/>
          <w:sz w:val="24"/>
          <w:szCs w:val="24"/>
        </w:rPr>
        <w:t xml:space="preserve">Blocco ottantatré. Zoccatelli e il centro di Verona del nove febbraio duemiladiciannove: evento pubblico, Livello A.</w:t>
      </w:r>
    </w:p>
    <w:p>
      <w:pPr>
        <w:spacing w:after="120" w:line="276"/>
        <w:jc w:val="both"/>
      </w:pPr>
      <w:r>
        <w:rPr>
          <w:rFonts w:ascii="Barlow Semi Condensed" w:cs="Barlow Semi Condensed" w:eastAsia="Barlow Semi Condensed" w:hAnsi="Barlow Semi Condensed"/>
          <w:sz w:val="24"/>
          <w:szCs w:val="24"/>
        </w:rPr>
        <w:t xml:space="preserve">Blocco ottantaquattro. Sandonà e il rifiuto del marzo duemilaventidue: dichiarazioni pubbliche, Livello A come dichiarazioni.</w:t>
      </w:r>
    </w:p>
    <w:p>
      <w:pPr>
        <w:spacing w:after="120" w:line="276"/>
        <w:jc w:val="both"/>
      </w:pPr>
      <w:r>
        <w:rPr>
          <w:rFonts w:ascii="Barlow Semi Condensed" w:cs="Barlow Semi Condensed" w:eastAsia="Barlow Semi Condensed" w:hAnsi="Barlow Semi Condensed"/>
          <w:sz w:val="24"/>
          <w:szCs w:val="24"/>
        </w:rPr>
        <w:t xml:space="preserve">Capitolo sesto — L'affare Metropol (blocchi ottantacinque–novantaquattro)</w:t>
      </w:r>
    </w:p>
    <w:p>
      <w:pPr>
        <w:spacing w:after="120" w:line="276"/>
        <w:jc w:val="both"/>
      </w:pPr>
      <w:r>
        <w:rPr>
          <w:rFonts w:ascii="Barlow Semi Condensed" w:cs="Barlow Semi Condensed" w:eastAsia="Barlow Semi Condensed" w:hAnsi="Barlow Semi Condensed"/>
          <w:sz w:val="24"/>
          <w:szCs w:val="24"/>
        </w:rPr>
        <w:t xml:space="preserve">Blocco ottantacinque. L'incontro romano del venticinque settembre duemiladiciotto: riferito da stampa, Livello B.</w:t>
      </w:r>
    </w:p>
    <w:p>
      <w:pPr>
        <w:spacing w:after="120" w:line="276"/>
        <w:jc w:val="both"/>
      </w:pPr>
      <w:r>
        <w:rPr>
          <w:rFonts w:ascii="Barlow Semi Condensed" w:cs="Barlow Semi Condensed" w:eastAsia="Barlow Semi Condensed" w:hAnsi="Barlow Semi Condensed"/>
          <w:sz w:val="24"/>
          <w:szCs w:val="24"/>
        </w:rPr>
        <w:t xml:space="preserve">Blocco ottantasei. La cena al Ruski e l'incontro riferito con Kozak: attribuzione giornalistica mai tradotta in addebito; vale il richiamo vincolante del blocco ventuno: mai indagato.</w:t>
      </w:r>
    </w:p>
    <w:p>
      <w:pPr>
        <w:spacing w:after="120" w:line="276"/>
        <w:jc w:val="both"/>
      </w:pPr>
      <w:r>
        <w:rPr>
          <w:rFonts w:ascii="Barlow Semi Condensed" w:cs="Barlow Semi Condensed" w:eastAsia="Barlow Semi Condensed" w:hAnsi="Barlow Semi Condensed"/>
          <w:sz w:val="24"/>
          <w:szCs w:val="24"/>
        </w:rPr>
        <w:t xml:space="preserve">Blocco ottantasette. La registrazione del diciotto ottobre duemiladiciotto: già certificata al blocco venti, Livello A.</w:t>
      </w:r>
    </w:p>
    <w:p>
      <w:pPr>
        <w:spacing w:after="120" w:line="276"/>
        <w:jc w:val="both"/>
      </w:pPr>
      <w:r>
        <w:rPr>
          <w:rFonts w:ascii="Barlow Semi Condensed" w:cs="Barlow Semi Condensed" w:eastAsia="Barlow Semi Condensed" w:hAnsi="Barlow Semi Condensed"/>
          <w:sz w:val="24"/>
          <w:szCs w:val="24"/>
        </w:rPr>
        <w:t xml:space="preserve">Blocco ottantotto. L'identificazione di Kharchenko del sei febbraio duemilaventiquattro: attribuzione di The Insider su dati trapelati, riscontrata dal corpus: Livello B.</w:t>
      </w:r>
    </w:p>
    <w:p>
      <w:pPr>
        <w:spacing w:after="120" w:line="276"/>
        <w:jc w:val="both"/>
      </w:pPr>
      <w:r>
        <w:rPr>
          <w:rFonts w:ascii="Barlow Semi Condensed" w:cs="Barlow Semi Condensed" w:eastAsia="Barlow Semi Condensed" w:hAnsi="Barlow Semi Condensed"/>
          <w:sz w:val="24"/>
          <w:szCs w:val="24"/>
        </w:rPr>
        <w:t xml:space="preserve">Blocco ottantanove. Il Quinto Servizio dell'FSB: descrizione di struttura dalla letteratura d'intelligence, Livello B.</w:t>
      </w:r>
    </w:p>
    <w:p>
      <w:pPr>
        <w:spacing w:after="120" w:line="276"/>
        <w:jc w:val="both"/>
      </w:pPr>
      <w:r>
        <w:rPr>
          <w:rFonts w:ascii="Barlow Semi Condensed" w:cs="Barlow Semi Condensed" w:eastAsia="Barlow Semi Condensed" w:hAnsi="Barlow Semi Condensed"/>
          <w:sz w:val="24"/>
          <w:szCs w:val="24"/>
        </w:rPr>
        <w:t xml:space="preserve">Blocco novanta. Jakunin e Pligin: attribuito, Livello B.</w:t>
      </w:r>
    </w:p>
    <w:p>
      <w:pPr>
        <w:spacing w:after="120" w:line="276"/>
        <w:jc w:val="both"/>
      </w:pPr>
      <w:r>
        <w:rPr>
          <w:rFonts w:ascii="Barlow Semi Condensed" w:cs="Barlow Semi Condensed" w:eastAsia="Barlow Semi Condensed" w:hAnsi="Barlow Semi Condensed"/>
          <w:sz w:val="24"/>
          <w:szCs w:val="24"/>
        </w:rPr>
        <w:t xml:space="preserve">Blocco novantuno. L'incontro riferito all'hotel Lotte dai file Jakusev: materiale trapelato, Livello C con statuto; nessun rilievo giudiziario; formulazione garantista obbligatoria.</w:t>
      </w:r>
    </w:p>
    <w:p>
      <w:pPr>
        <w:spacing w:after="120" w:line="276"/>
        <w:jc w:val="both"/>
      </w:pPr>
      <w:r>
        <w:rPr>
          <w:rFonts w:ascii="Barlow Semi Condensed" w:cs="Barlow Semi Condensed" w:eastAsia="Barlow Semi Condensed" w:hAnsi="Barlow Semi Condensed"/>
          <w:sz w:val="24"/>
          <w:szCs w:val="24"/>
        </w:rPr>
        <w:t xml:space="preserve">Blocco novantadue. L'archiviazione del ventisette aprile duemilaventitré: già certificata al blocco ventuno; formulazione integrale vincolante.</w:t>
      </w:r>
    </w:p>
    <w:p>
      <w:pPr>
        <w:spacing w:after="120" w:line="276"/>
        <w:jc w:val="both"/>
      </w:pPr>
      <w:r>
        <w:rPr>
          <w:rFonts w:ascii="Barlow Semi Condensed" w:cs="Barlow Semi Condensed" w:eastAsia="Barlow Semi Condensed" w:hAnsi="Barlow Semi Condensed"/>
          <w:sz w:val="24"/>
          <w:szCs w:val="24"/>
        </w:rPr>
        <w:t xml:space="preserve">Blocco novantatré. Le richieste di riapertura del duemilaventiquattro: atti e dichiarazioni pubbliche a Livello A come tali; nessuna riapertura risulta intervenuta.</w:t>
      </w:r>
    </w:p>
    <w:p>
      <w:pPr>
        <w:spacing w:after="120" w:line="276"/>
        <w:jc w:val="both"/>
      </w:pPr>
      <w:r>
        <w:rPr>
          <w:rFonts w:ascii="Barlow Semi Condensed" w:cs="Barlow Semi Condensed" w:eastAsia="Barlow Semi Condensed" w:hAnsi="Barlow Semi Condensed"/>
          <w:sz w:val="24"/>
          <w:szCs w:val="24"/>
        </w:rPr>
        <w:t xml:space="preserve">Blocco novantaquattro. Sergienko e l'infiltrazione dell'AfD: caso tedesco riferito da inchieste e atti, Livello B.</w:t>
      </w:r>
    </w:p>
    <w:p>
      <w:pPr>
        <w:spacing w:after="120" w:line="276"/>
        <w:jc w:val="both"/>
      </w:pPr>
      <w:r>
        <w:rPr>
          <w:rFonts w:ascii="Barlow Semi Condensed" w:cs="Barlow Semi Condensed" w:eastAsia="Barlow Semi Condensed" w:hAnsi="Barlow Semi Condensed"/>
          <w:sz w:val="24"/>
          <w:szCs w:val="24"/>
        </w:rPr>
        <w:t xml:space="preserve">Capitolo settimo — FSB, GRU e la Fondazione per la Pace (blocchi novantacinque–centoquattro)</w:t>
      </w:r>
    </w:p>
    <w:p>
      <w:pPr>
        <w:spacing w:after="120" w:line="276"/>
        <w:jc w:val="both"/>
      </w:pPr>
      <w:r>
        <w:rPr>
          <w:rFonts w:ascii="Barlow Semi Condensed" w:cs="Barlow Semi Condensed" w:eastAsia="Barlow Semi Condensed" w:hAnsi="Barlow Semi Condensed"/>
          <w:sz w:val="24"/>
          <w:szCs w:val="24"/>
        </w:rPr>
        <w:t xml:space="preserve">Blocco novantacinque. Slutsky: cariche pubbliche, Livello A.</w:t>
      </w:r>
    </w:p>
    <w:p>
      <w:pPr>
        <w:spacing w:after="120" w:line="276"/>
        <w:jc w:val="both"/>
      </w:pPr>
      <w:r>
        <w:rPr>
          <w:rFonts w:ascii="Barlow Semi Condensed" w:cs="Barlow Semi Condensed" w:eastAsia="Barlow Semi Condensed" w:hAnsi="Barlow Semi Condensed"/>
          <w:sz w:val="24"/>
          <w:szCs w:val="24"/>
        </w:rPr>
        <w:t xml:space="preserve">Blocco novantasei. Il canale dei passaporti verso il GRU: inchiesta The Insider-Meduza, riscontrata dal corpus: Livello B.</w:t>
      </w:r>
    </w:p>
    <w:p>
      <w:pPr>
        <w:spacing w:after="120" w:line="276"/>
        <w:jc w:val="both"/>
      </w:pPr>
      <w:r>
        <w:rPr>
          <w:rFonts w:ascii="Barlow Semi Condensed" w:cs="Barlow Semi Condensed" w:eastAsia="Barlow Semi Condensed" w:hAnsi="Barlow Semi Condensed"/>
          <w:sz w:val="24"/>
          <w:szCs w:val="24"/>
        </w:rPr>
        <w:t xml:space="preserve">Blocco novantasette. Il meccanismo del Primo Direttorato Europeo: attribuito, Livello B.</w:t>
      </w:r>
    </w:p>
    <w:p>
      <w:pPr>
        <w:spacing w:after="120" w:line="276"/>
        <w:jc w:val="both"/>
      </w:pPr>
      <w:r>
        <w:rPr>
          <w:rFonts w:ascii="Barlow Semi Condensed" w:cs="Barlow Semi Condensed" w:eastAsia="Barlow Semi Condensed" w:hAnsi="Barlow Semi Condensed"/>
          <w:sz w:val="24"/>
          <w:szCs w:val="24"/>
        </w:rPr>
        <w:t xml:space="preserve">Blocco novantotto. Khodynskaya-Golenishcheva: attribuito, Livello C.</w:t>
      </w:r>
    </w:p>
    <w:p>
      <w:pPr>
        <w:spacing w:after="120" w:line="276"/>
        <w:jc w:val="both"/>
      </w:pPr>
      <w:r>
        <w:rPr>
          <w:rFonts w:ascii="Barlow Semi Condensed" w:cs="Barlow Semi Condensed" w:eastAsia="Barlow Semi Condensed" w:hAnsi="Barlow Semi Condensed"/>
          <w:sz w:val="24"/>
          <w:szCs w:val="24"/>
        </w:rPr>
        <w:t xml:space="preserve">Blocco novantanove. La targa della ventiquattresima Brigata del GRU a Slutsky, settembre duemilaventitré: riferito, Livello B.</w:t>
      </w:r>
    </w:p>
    <w:p>
      <w:pPr>
        <w:spacing w:after="120" w:line="276"/>
        <w:jc w:val="both"/>
      </w:pPr>
      <w:r>
        <w:rPr>
          <w:rFonts w:ascii="Barlow Semi Condensed" w:cs="Barlow Semi Condensed" w:eastAsia="Barlow Semi Condensed" w:hAnsi="Barlow Semi Condensed"/>
          <w:sz w:val="24"/>
          <w:szCs w:val="24"/>
        </w:rPr>
        <w:t xml:space="preserve">Blocco cento. La Camera Civica quale veicolo di reclutamento: attribuito, Livello B.</w:t>
      </w:r>
    </w:p>
    <w:p>
      <w:pPr>
        <w:spacing w:after="120" w:line="276"/>
        <w:jc w:val="both"/>
      </w:pPr>
      <w:r>
        <w:rPr>
          <w:rFonts w:ascii="Barlow Semi Condensed" w:cs="Barlow Semi Condensed" w:eastAsia="Barlow Semi Condensed" w:hAnsi="Barlow Semi Condensed"/>
          <w:sz w:val="24"/>
          <w:szCs w:val="24"/>
        </w:rPr>
        <w:t xml:space="preserve">Blocco centouno. La logistica degli osservatori: testimonianze convergenti, Livello B.</w:t>
      </w:r>
    </w:p>
    <w:p>
      <w:pPr>
        <w:spacing w:after="120" w:line="276"/>
        <w:jc w:val="both"/>
      </w:pPr>
      <w:r>
        <w:rPr>
          <w:rFonts w:ascii="Barlow Semi Condensed" w:cs="Barlow Semi Condensed" w:eastAsia="Barlow Semi Condensed" w:hAnsi="Barlow Semi Condensed"/>
          <w:sz w:val="24"/>
          <w:szCs w:val="24"/>
        </w:rPr>
        <w:t xml:space="preserve">Blocco centodue. I passaporti italiani nei file del GRU, dicembre duemilaventitré: Livello B; il caso nominativo è riscontrato dal corpus.</w:t>
      </w:r>
    </w:p>
    <w:p>
      <w:pPr>
        <w:spacing w:after="120" w:line="276"/>
        <w:jc w:val="both"/>
      </w:pPr>
      <w:r>
        <w:rPr>
          <w:rFonts w:ascii="Barlow Semi Condensed" w:cs="Barlow Semi Condensed" w:eastAsia="Barlow Semi Condensed" w:hAnsi="Barlow Semi Condensed"/>
          <w:sz w:val="24"/>
          <w:szCs w:val="24"/>
        </w:rPr>
        <w:t xml:space="preserve">Blocco centotré. Il caso slovacco Lindtner-Fico: attribuito, Livello B.</w:t>
      </w:r>
    </w:p>
    <w:p>
      <w:pPr>
        <w:spacing w:after="120" w:line="276"/>
        <w:jc w:val="both"/>
      </w:pPr>
      <w:r>
        <w:rPr>
          <w:rFonts w:ascii="Barlow Semi Condensed" w:cs="Barlow Semi Condensed" w:eastAsia="Barlow Semi Condensed" w:hAnsi="Barlow Semi Condensed"/>
          <w:sz w:val="24"/>
          <w:szCs w:val="24"/>
        </w:rPr>
        <w:t xml:space="preserve">Blocco centoquattro. La relazione COPASIR dell'agosto duemilaventidue: fonte parlamentare approvata all'unanimità, Livello A.</w:t>
      </w:r>
    </w:p>
    <w:p>
      <w:pPr>
        <w:spacing w:after="120" w:line="276"/>
        <w:jc w:val="both"/>
      </w:pPr>
      <w:r>
        <w:rPr>
          <w:rFonts w:ascii="Barlow Semi Condensed" w:cs="Barlow Semi Condensed" w:eastAsia="Barlow Semi Condensed" w:hAnsi="Barlow Semi Condensed"/>
          <w:sz w:val="24"/>
          <w:szCs w:val="24"/>
        </w:rPr>
        <w:t xml:space="preserve">Capitolo ottavo — L'ecosistema mediatico (blocchi centocinque–centoquattordici)</w:t>
      </w:r>
    </w:p>
    <w:p>
      <w:pPr>
        <w:spacing w:after="120" w:line="276"/>
        <w:jc w:val="both"/>
      </w:pPr>
      <w:r>
        <w:rPr>
          <w:rFonts w:ascii="Barlow Semi Condensed" w:cs="Barlow Semi Condensed" w:eastAsia="Barlow Semi Condensed" w:hAnsi="Barlow Semi Condensed"/>
          <w:sz w:val="24"/>
          <w:szCs w:val="24"/>
        </w:rPr>
        <w:t xml:space="preserve">Blocco centocinque. Vestuto e l'impero Italeurasia: documentale di corpus, Livello B.</w:t>
      </w:r>
    </w:p>
    <w:p>
      <w:pPr>
        <w:spacing w:after="120" w:line="276"/>
        <w:jc w:val="both"/>
      </w:pPr>
      <w:r>
        <w:rPr>
          <w:rFonts w:ascii="Barlow Semi Condensed" w:cs="Barlow Semi Condensed" w:eastAsia="Barlow Semi Condensed" w:hAnsi="Barlow Semi Condensed"/>
          <w:sz w:val="24"/>
          <w:szCs w:val="24"/>
        </w:rPr>
        <w:t xml:space="preserve">Blocco centosei. Eurasia News TV e il conto bulgaro: documentale d'inchiesta, Livello C.</w:t>
      </w:r>
    </w:p>
    <w:p>
      <w:pPr>
        <w:spacing w:after="120" w:line="276"/>
        <w:jc w:val="both"/>
      </w:pPr>
      <w:r>
        <w:rPr>
          <w:rFonts w:ascii="Barlow Semi Condensed" w:cs="Barlow Semi Condensed" w:eastAsia="Barlow Semi Condensed" w:hAnsi="Barlow Semi Condensed"/>
          <w:sz w:val="24"/>
          <w:szCs w:val="24"/>
        </w:rPr>
        <w:t xml:space="preserve">Blocco centosette. Belcastro e la menzione nel processo Gotha: la sola menzione processuale è riferita; nessun esito è certificato in questa sede: Livello C con obbligo di verifica dell'esito prima di ogni impiego.</w:t>
      </w:r>
    </w:p>
    <w:p>
      <w:pPr>
        <w:spacing w:after="120" w:line="276"/>
        <w:jc w:val="both"/>
      </w:pPr>
      <w:r>
        <w:rPr>
          <w:rFonts w:ascii="Barlow Semi Condensed" w:cs="Barlow Semi Condensed" w:eastAsia="Barlow Semi Condensed" w:hAnsi="Barlow Semi Condensed"/>
          <w:sz w:val="24"/>
          <w:szCs w:val="24"/>
        </w:rPr>
        <w:t xml:space="preserve">Blocco centootto. Lorusso e Donbass Italia: fatti pubblici e residenza dichiarata, Livello B.</w:t>
      </w:r>
    </w:p>
    <w:p>
      <w:pPr>
        <w:spacing w:after="120" w:line="276"/>
        <w:jc w:val="both"/>
      </w:pPr>
      <w:r>
        <w:rPr>
          <w:rFonts w:ascii="Barlow Semi Condensed" w:cs="Barlow Semi Condensed" w:eastAsia="Barlow Semi Condensed" w:hAnsi="Barlow Semi Condensed"/>
          <w:sz w:val="24"/>
          <w:szCs w:val="24"/>
        </w:rPr>
        <w:t xml:space="preserve">Blocco centonove. Lucidi: cittadinanza russa e detenzione in Turchia riferite, Livello B; per il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centodieci. Il giudizio di Reporters Sans Frontières su International Reporters: valutazione di organizzazione qualificata, Livello A come attribuzione.</w:t>
      </w:r>
    </w:p>
    <w:p>
      <w:pPr>
        <w:spacing w:after="120" w:line="276"/>
        <w:jc w:val="both"/>
      </w:pPr>
      <w:r>
        <w:rPr>
          <w:rFonts w:ascii="Barlow Semi Condensed" w:cs="Barlow Semi Condensed" w:eastAsia="Barlow Semi Condensed" w:hAnsi="Barlow Semi Condensed"/>
          <w:sz w:val="24"/>
          <w:szCs w:val="24"/>
        </w:rPr>
        <w:t xml:space="preserve">Blocco centoundici. Il film sulla negazione di Bucha: finanziamento ministeriale russo e contenuto documentati, Livello B.</w:t>
      </w:r>
    </w:p>
    <w:p>
      <w:pPr>
        <w:spacing w:after="120" w:line="276"/>
        <w:jc w:val="both"/>
      </w:pPr>
      <w:r>
        <w:rPr>
          <w:rFonts w:ascii="Barlow Semi Condensed" w:cs="Barlow Semi Condensed" w:eastAsia="Barlow Semi Condensed" w:hAnsi="Barlow Semi Condensed"/>
          <w:sz w:val="24"/>
          <w:szCs w:val="24"/>
        </w:rPr>
        <w:t xml:space="preserve">Blocco centododici. La rivista Eurasia dal duemilaquattro: Livello A.</w:t>
      </w:r>
    </w:p>
    <w:p>
      <w:pPr>
        <w:spacing w:after="120" w:line="276"/>
        <w:jc w:val="both"/>
      </w:pPr>
      <w:r>
        <w:rPr>
          <w:rFonts w:ascii="Barlow Semi Condensed" w:cs="Barlow Semi Condensed" w:eastAsia="Barlow Semi Condensed" w:hAnsi="Barlow Semi Condensed"/>
          <w:sz w:val="24"/>
          <w:szCs w:val="24"/>
        </w:rPr>
        <w:t xml:space="preserve">Blocco centotredici. AGA e la celebrazione dell'invasione: già certificato al blocco quattordici, Livello A.</w:t>
      </w:r>
    </w:p>
    <w:p>
      <w:pPr>
        <w:spacing w:after="120" w:line="276"/>
        <w:jc w:val="both"/>
      </w:pPr>
      <w:r>
        <w:rPr>
          <w:rFonts w:ascii="Barlow Semi Condensed" w:cs="Barlow Semi Condensed" w:eastAsia="Barlow Semi Condensed" w:hAnsi="Barlow Semi Condensed"/>
          <w:sz w:val="24"/>
          <w:szCs w:val="24"/>
        </w:rPr>
        <w:t xml:space="preserve">Blocco centoquattordici. Pacini e Idee e Azione: studio accademico attribuito, Livello B.</w:t>
      </w:r>
    </w:p>
    <w:p>
      <w:pPr>
        <w:spacing w:after="120" w:line="276"/>
        <w:jc w:val="both"/>
      </w:pPr>
      <w:r>
        <w:rPr>
          <w:rFonts w:ascii="Barlow Semi Condensed" w:cs="Barlow Semi Condensed" w:eastAsia="Barlow Semi Condensed" w:hAnsi="Barlow Semi Condensed"/>
          <w:sz w:val="24"/>
          <w:szCs w:val="24"/>
        </w:rPr>
        <w:t xml:space="preserve">Capitolo nono — Combattenti, osservatori, convergenza rossobruna (blocchi centoquindici–centoventiquattro)</w:t>
      </w:r>
    </w:p>
    <w:p>
      <w:pPr>
        <w:spacing w:after="120" w:line="276"/>
        <w:jc w:val="both"/>
      </w:pPr>
      <w:r>
        <w:rPr>
          <w:rFonts w:ascii="Barlow Semi Condensed" w:cs="Barlow Semi Condensed" w:eastAsia="Barlow Semi Condensed" w:hAnsi="Barlow Semi Condensed"/>
          <w:sz w:val="24"/>
          <w:szCs w:val="24"/>
        </w:rPr>
        <w:t xml:space="preserve">Blocco centoquindici. Palmeri: verificato ora; condanna definitiva del quattordici marzo duemilaventiquattro a cinque anni, Livello A; posizione difensiva riportata.</w:t>
      </w:r>
    </w:p>
    <w:p>
      <w:pPr>
        <w:spacing w:after="120" w:line="276"/>
        <w:jc w:val="both"/>
      </w:pPr>
      <w:r>
        <w:rPr>
          <w:rFonts w:ascii="Barlow Semi Condensed" w:cs="Barlow Semi Condensed" w:eastAsia="Barlow Semi Condensed" w:hAnsi="Barlow Semi Condensed"/>
          <w:sz w:val="24"/>
          <w:szCs w:val="24"/>
        </w:rPr>
        <w:t xml:space="preserve">Blocco centosedici. Il processo genovese sulla rete dei reclutatori: condanne del duemiladiciannove e giudizio Palmeri, dalla richiesta di tredici anni alla pena di cinque: Livello A.</w:t>
      </w:r>
    </w:p>
    <w:p>
      <w:pPr>
        <w:spacing w:after="120" w:line="276"/>
        <w:jc w:val="both"/>
      </w:pPr>
      <w:r>
        <w:rPr>
          <w:rFonts w:ascii="Barlow Semi Condensed" w:cs="Barlow Semi Condensed" w:eastAsia="Barlow Semi Condensed" w:hAnsi="Barlow Semi Condensed"/>
          <w:sz w:val="24"/>
          <w:szCs w:val="24"/>
        </w:rPr>
        <w:t xml:space="preserve">Blocco centodiciassette. Il centro di rappresentanza di Donetsk a Torino: verificato ora; quattordici dicembre duemilasedici, Fondazione Magellano; risposta della Farnesina sul non riconoscimento: Livello A.</w:t>
      </w:r>
    </w:p>
    <w:p>
      <w:pPr>
        <w:spacing w:after="120" w:line="276"/>
        <w:jc w:val="both"/>
      </w:pPr>
      <w:r>
        <w:rPr>
          <w:rFonts w:ascii="Barlow Semi Condensed" w:cs="Barlow Semi Condensed" w:eastAsia="Barlow Semi Condensed" w:hAnsi="Barlow Semi Condensed"/>
          <w:sz w:val="24"/>
          <w:szCs w:val="24"/>
        </w:rPr>
        <w:t xml:space="preserve">Blocco centodiciotto. La presenza di Pichetto Fratin e Gancia: documentata da interrogazione parlamentare e fotografie, Livello A; formulazione vincolante: dal fatto della presenza non si inferisce alcunché oltre il fatto.</w:t>
      </w:r>
    </w:p>
    <w:p>
      <w:pPr>
        <w:spacing w:after="120" w:line="276"/>
        <w:jc w:val="both"/>
      </w:pPr>
      <w:r>
        <w:rPr>
          <w:rFonts w:ascii="Barlow Semi Condensed" w:cs="Barlow Semi Condensed" w:eastAsia="Barlow Semi Condensed" w:hAnsi="Barlow Semi Condensed"/>
          <w:sz w:val="24"/>
          <w:szCs w:val="24"/>
        </w:rPr>
        <w:t xml:space="preserve">Blocco centodiciannove. Murgia e la rappresentanza sudossetica autoproclamata: Livello B, con la nota della Farnesina.</w:t>
      </w:r>
    </w:p>
    <w:p>
      <w:pPr>
        <w:spacing w:after="120" w:line="276"/>
        <w:jc w:val="both"/>
      </w:pPr>
      <w:r>
        <w:rPr>
          <w:rFonts w:ascii="Barlow Semi Condensed" w:cs="Barlow Semi Condensed" w:eastAsia="Barlow Semi Condensed" w:hAnsi="Barlow Semi Condensed"/>
          <w:sz w:val="24"/>
          <w:szCs w:val="24"/>
        </w:rPr>
        <w:t xml:space="preserve">Blocco centoventi. Cacchione e la convergenza da sinistra: partecipazioni riferite dal database EPDE, Livello B.</w:t>
      </w:r>
    </w:p>
    <w:p>
      <w:pPr>
        <w:spacing w:after="120" w:line="276"/>
        <w:jc w:val="both"/>
      </w:pPr>
      <w:r>
        <w:rPr>
          <w:rFonts w:ascii="Barlow Semi Condensed" w:cs="Barlow Semi Condensed" w:eastAsia="Barlow Semi Condensed" w:hAnsi="Barlow Semi Condensed"/>
          <w:sz w:val="24"/>
          <w:szCs w:val="24"/>
        </w:rPr>
        <w:t xml:space="preserve">Blocco centoventuno. La Carovana Antifascista: eventi pubblici, Livello A.</w:t>
      </w:r>
    </w:p>
    <w:p>
      <w:pPr>
        <w:spacing w:after="120" w:line="276"/>
        <w:jc w:val="both"/>
      </w:pPr>
      <w:r>
        <w:rPr>
          <w:rFonts w:ascii="Barlow Semi Condensed" w:cs="Barlow Semi Condensed" w:eastAsia="Barlow Semi Condensed" w:hAnsi="Barlow Semi Condensed"/>
          <w:sz w:val="24"/>
          <w:szCs w:val="24"/>
        </w:rPr>
        <w:t xml:space="preserve">Blocco centoventidue. La partecipazione di Forenza: riferita, Livello B; per la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centoventitré. Il database EPDE: novecentosessantasette profili da oltre sessanta Paesi, una quarantina di italiani: Livello A quale contenuto del database, con i criteri di classificazione propri dell'ente.</w:t>
      </w:r>
    </w:p>
    <w:p>
      <w:pPr>
        <w:spacing w:after="120" w:line="276"/>
        <w:jc w:val="both"/>
      </w:pPr>
      <w:r>
        <w:rPr>
          <w:rFonts w:ascii="Barlow Semi Condensed" w:cs="Barlow Semi Condensed" w:eastAsia="Barlow Semi Condensed" w:hAnsi="Barlow Semi Condensed"/>
          <w:sz w:val="24"/>
          <w:szCs w:val="24"/>
        </w:rPr>
        <w:t xml:space="preserve">Blocco centoventiquattro. Il rifiuto moldavo dell'accreditamento, settembre duemilaventicinque: atto del servizio di sicurezza, Livello B.</w:t>
      </w:r>
    </w:p>
    <w:p>
      <w:pPr>
        <w:spacing w:after="120" w:line="276"/>
        <w:jc w:val="both"/>
      </w:pPr>
      <w:r>
        <w:rPr>
          <w:rFonts w:ascii="Barlow Semi Condensed" w:cs="Barlow Semi Condensed" w:eastAsia="Barlow Semi Condensed" w:hAnsi="Barlow Semi Condensed"/>
          <w:sz w:val="24"/>
          <w:szCs w:val="24"/>
        </w:rPr>
        <w:t xml:space="preserve">Capitolo decimo — L'ecosistema contemporaneo (blocchi centoventicinque–centotrentaquattro)</w:t>
      </w:r>
    </w:p>
    <w:p>
      <w:pPr>
        <w:spacing w:after="120" w:line="276"/>
        <w:jc w:val="both"/>
      </w:pPr>
      <w:r>
        <w:rPr>
          <w:rFonts w:ascii="Barlow Semi Condensed" w:cs="Barlow Semi Condensed" w:eastAsia="Barlow Semi Condensed" w:hAnsi="Barlow Semi Condensed"/>
          <w:sz w:val="24"/>
          <w:szCs w:val="24"/>
        </w:rPr>
        <w:t xml:space="preserve">Blocco centoventicinque. L'Ordine dell'Amicizia a Bertolasi del quattro novembre duemilaventicinque: verificato ora; riferito dalle fonti dell'area e dall'insignito, senza riscontro terzo reperito: Livello B con statuto dichiarato.</w:t>
      </w:r>
    </w:p>
    <w:p>
      <w:pPr>
        <w:spacing w:after="120" w:line="276"/>
        <w:jc w:val="both"/>
      </w:pPr>
      <w:r>
        <w:rPr>
          <w:rFonts w:ascii="Barlow Semi Condensed" w:cs="Barlow Semi Condensed" w:eastAsia="Barlow Semi Condensed" w:hAnsi="Barlow Semi Condensed"/>
          <w:sz w:val="24"/>
          <w:szCs w:val="24"/>
        </w:rPr>
        <w:t xml:space="preserve">Blocco centoventisei. Il Movimento Internazionale dei Russofili del quattordici marzo duemilaventitré: fondazione certificata alla prima tranche, Livello A; la presidenza italiana di Bertolasi a Livello B.</w:t>
      </w:r>
    </w:p>
    <w:p>
      <w:pPr>
        <w:spacing w:after="120" w:line="276"/>
        <w:jc w:val="both"/>
      </w:pPr>
      <w:r>
        <w:rPr>
          <w:rFonts w:ascii="Barlow Semi Condensed" w:cs="Barlow Semi Condensed" w:eastAsia="Barlow Semi Condensed" w:hAnsi="Barlow Semi Condensed"/>
          <w:sz w:val="24"/>
          <w:szCs w:val="24"/>
        </w:rPr>
        <w:t xml:space="preserve">Blocco centoventisette. Gigliotti e Cantiere Laboratorio: attività pubbliche, Livello C.</w:t>
      </w:r>
    </w:p>
    <w:p>
      <w:pPr>
        <w:spacing w:after="120" w:line="276"/>
        <w:jc w:val="both"/>
      </w:pPr>
      <w:r>
        <w:rPr>
          <w:rFonts w:ascii="Barlow Semi Condensed" w:cs="Barlow Semi Condensed" w:eastAsia="Barlow Semi Condensed" w:hAnsi="Barlow Semi Condensed"/>
          <w:sz w:val="24"/>
          <w:szCs w:val="24"/>
        </w:rPr>
        <w:t xml:space="preserve">Blocco centoventotto. Filomeni, Spatara e il comitato: pubblicazioni e ruoli a Livello B; nessuna inferenza sui terzi nominati.</w:t>
      </w:r>
    </w:p>
    <w:p>
      <w:pPr>
        <w:spacing w:after="120" w:line="276"/>
        <w:jc w:val="both"/>
      </w:pPr>
      <w:r>
        <w:rPr>
          <w:rFonts w:ascii="Barlow Semi Condensed" w:cs="Barlow Semi Condensed" w:eastAsia="Barlow Semi Condensed" w:hAnsi="Barlow Semi Condensed"/>
          <w:sz w:val="24"/>
          <w:szCs w:val="24"/>
        </w:rPr>
        <w:t xml:space="preserve">Blocco centoventinove. La missione a Lugansk dell'aprile duemilaventicinque: riferita, Livello C.</w:t>
      </w:r>
    </w:p>
    <w:p>
      <w:pPr>
        <w:spacing w:after="120" w:line="276"/>
        <w:jc w:val="both"/>
      </w:pPr>
      <w:r>
        <w:rPr>
          <w:rFonts w:ascii="Barlow Semi Condensed" w:cs="Barlow Semi Condensed" w:eastAsia="Barlow Semi Condensed" w:hAnsi="Barlow Semi Condensed"/>
          <w:sz w:val="24"/>
          <w:szCs w:val="24"/>
        </w:rPr>
        <w:t xml:space="preserve">Blocco centotrenta. Scalea e la Fondazione Machiavelli: fatti pubblici, Livello B.</w:t>
      </w:r>
    </w:p>
    <w:p>
      <w:pPr>
        <w:spacing w:after="120" w:line="276"/>
        <w:jc w:val="both"/>
      </w:pPr>
      <w:r>
        <w:rPr>
          <w:rFonts w:ascii="Barlow Semi Condensed" w:cs="Barlow Semi Condensed" w:eastAsia="Barlow Semi Condensed" w:hAnsi="Barlow Semi Condensed"/>
          <w:sz w:val="24"/>
          <w:szCs w:val="24"/>
        </w:rPr>
        <w:t xml:space="preserve">Blocco centotrentuno. SpecialEurasia, il CeSEM e Vernole: Livello C.</w:t>
      </w:r>
    </w:p>
    <w:p>
      <w:pPr>
        <w:spacing w:after="120" w:line="276"/>
        <w:jc w:val="both"/>
      </w:pPr>
      <w:r>
        <w:rPr>
          <w:rFonts w:ascii="Barlow Semi Condensed" w:cs="Barlow Semi Condensed" w:eastAsia="Barlow Semi Condensed" w:hAnsi="Barlow Semi Condensed"/>
          <w:sz w:val="24"/>
          <w:szCs w:val="24"/>
        </w:rPr>
        <w:t xml:space="preserve">Blocco centotrentadue. Il cluster triestino: Livello C.</w:t>
      </w:r>
    </w:p>
    <w:p>
      <w:pPr>
        <w:spacing w:after="120" w:line="276"/>
        <w:jc w:val="both"/>
      </w:pPr>
      <w:r>
        <w:rPr>
          <w:rFonts w:ascii="Barlow Semi Condensed" w:cs="Barlow Semi Condensed" w:eastAsia="Barlow Semi Condensed" w:hAnsi="Barlow Semi Condensed"/>
          <w:sz w:val="24"/>
          <w:szCs w:val="24"/>
        </w:rPr>
        <w:t xml:space="preserve">Blocco centotrentatré. Il vuoto normativo sull'agente d'influenza: l'assenza di una legislazione italiana analoga al FARA è verificabile per comparazione, Livello A.</w:t>
      </w:r>
    </w:p>
    <w:p>
      <w:pPr>
        <w:spacing w:after="120" w:line="276"/>
        <w:jc w:val="both"/>
      </w:pPr>
      <w:r>
        <w:rPr>
          <w:rFonts w:ascii="Barlow Semi Condensed" w:cs="Barlow Semi Condensed" w:eastAsia="Barlow Semi Condensed" w:hAnsi="Barlow Semi Condensed"/>
          <w:sz w:val="24"/>
          <w:szCs w:val="24"/>
        </w:rPr>
        <w:t xml:space="preserve">Blocco centotrentaquattro. I quattro canali convergenti: tesi di sintesi del documento; gambe gradate come ai blocchi precedenti, composizione a Livello C, coincidente con il perimetro di H2.</w:t>
      </w:r>
    </w:p>
    <w:p>
      <w:pPr>
        <w:spacing w:after="120" w:line="276"/>
        <w:jc w:val="both"/>
      </w:pPr>
      <w:r>
        <w:rPr>
          <w:rFonts w:ascii="Barlow Semi Condensed" w:cs="Barlow Semi Condensed" w:eastAsia="Barlow Semi Condensed" w:hAnsi="Barlow Semi Condensed"/>
          <w:sz w:val="24"/>
          <w:szCs w:val="24"/>
        </w:rPr>
        <w:t xml:space="preserve">9.10 — Blocchi centotrentacinque–centotrentotto: le voci residue</w:t>
      </w:r>
    </w:p>
    <w:p>
      <w:pPr>
        <w:spacing w:after="120" w:line="276"/>
        <w:jc w:val="both"/>
      </w:pPr>
      <w:r>
        <w:rPr>
          <w:rFonts w:ascii="Barlow Semi Condensed" w:cs="Barlow Semi Condensed" w:eastAsia="Barlow Semi Condensed" w:hAnsi="Barlow Semi Condensed"/>
          <w:sz w:val="24"/>
          <w:szCs w:val="24"/>
        </w:rPr>
        <w:t xml:space="preserve">Blocco centotrentacinque. Pasquale Scotti. Parabola certificata dalla voce munita di note: ergastolo del duemilacinque, latitanza trentennale, arresto a Recife il ventisei maggio duemilaquindici, estradizione del dieci marzo duemilasedici con pena commutata a trent'anni per statuto brasiliano. Livello A.</w:t>
      </w:r>
    </w:p>
    <w:p>
      <w:pPr>
        <w:spacing w:after="120" w:line="276"/>
        <w:jc w:val="both"/>
      </w:pPr>
      <w:r>
        <w:rPr>
          <w:rFonts w:ascii="Barlow Semi Condensed" w:cs="Barlow Semi Condensed" w:eastAsia="Barlow Semi Condensed" w:hAnsi="Barlow Semi Condensed"/>
          <w:sz w:val="24"/>
          <w:szCs w:val="24"/>
        </w:rPr>
        <w:t xml:space="preserve">Blocco centotrentasei. Summit di Montalto. Riunione, operazione di polizia e processo a Livello A; la presenza di Borghese, Delle Chiaie, Concutelli e Saccucci e l'ipotesi di alleanza con la destra eversiva restano dato di letteratura non accertato in giudicato: Livello C, con divieto di trattare il ponte crimine-eversione come fatto.</w:t>
      </w:r>
    </w:p>
    <w:p>
      <w:pPr>
        <w:spacing w:after="120" w:line="276"/>
        <w:jc w:val="both"/>
      </w:pPr>
      <w:r>
        <w:rPr>
          <w:rFonts w:ascii="Barlow Semi Condensed" w:cs="Barlow Semi Condensed" w:eastAsia="Barlow Semi Condensed" w:hAnsi="Barlow Semi Condensed"/>
          <w:sz w:val="24"/>
          <w:szCs w:val="24"/>
        </w:rPr>
        <w:t xml:space="preserve">Blocco centotrentasette. Il caso Cirillo e la faida. Sequestro e liberazione a Livello A; il contributo di Calvi al riscatto secondo l'istruttoria Alemi a Livello B; il bilancio della faida per anni a Livello A.</w:t>
      </w:r>
    </w:p>
    <w:p>
      <w:pPr>
        <w:spacing w:after="120" w:line="276"/>
        <w:jc w:val="both"/>
      </w:pPr>
      <w:r>
        <w:rPr>
          <w:rFonts w:ascii="Barlow Semi Condensed" w:cs="Barlow Semi Condensed" w:eastAsia="Barlow Semi Condensed" w:hAnsi="Barlow Semi Condensed"/>
          <w:sz w:val="24"/>
          <w:szCs w:val="24"/>
        </w:rPr>
        <w:t xml:space="preserve">Blocco centotrentotto. Pizzolungo. L'attentato del due aprile millenovecentottantacinque, le vittime Barbara Rizzo e i gemelli Asta, il ferimento del magistrato Carlo Palermo: Livello A; esiti processuali rinviati alla quinta tranche per certificazione puntuale.</w:t>
      </w:r>
    </w:p>
    <w:p>
      <w:pPr>
        <w:spacing w:after="120" w:line="276"/>
        <w:jc w:val="both"/>
      </w:pPr>
      <w:r>
        <w:rPr>
          <w:rFonts w:ascii="Barlow Semi Condensed" w:cs="Barlow Semi Condensed" w:eastAsia="Barlow Semi Condensed" w:hAnsi="Barlow Semi Condensed"/>
          <w:sz w:val="24"/>
          <w:szCs w:val="24"/>
        </w:rPr>
        <w:t xml:space="preserve">9.11 — Rilievi per le persone viventi e chiusa della quarta tranche</w:t>
      </w:r>
    </w:p>
    <w:p>
      <w:pPr>
        <w:spacing w:after="120" w:line="276"/>
        <w:jc w:val="both"/>
      </w:pPr>
      <w:r>
        <w:rPr>
          <w:rFonts w:ascii="Barlow Semi Condensed" w:cs="Barlow Semi Condensed" w:eastAsia="Barlow Semi Condensed" w:hAnsi="Barlow Semi Condensed"/>
          <w:sz w:val="24"/>
          <w:szCs w:val="24"/>
        </w:rPr>
        <w:t xml:space="preserve">Le formulazioni vincolanti aggiunte da questa tranche sono le seguenti, e si sommano — senza sostituirle — a quelle delle tranche precedenti, che restano integralmente in vigore per Salvini, Savoini, i fratelli La Russa e ogni altro nominato. Aleksej Komov è incriminato e latitante: ogni menzione riporta lo statuto di atto d'accusa e la presunzione di innocenza; lo stesso vale per Konstantin Malofeev e per ogni incriminato non giudicato. Andrea Palmeri è condannato in via definitiva: la condanna è riportabile come accertamento giudiziario, sempre accompagnata dalla sua posizione pubblica di contestazione. Gilberto Pichetto Fratin, Gianna Gancia e Maurizio Marrone: i fatti certificati sono la promozione e la presenza a eventi pubblici documentati da atti parlamentari e fotografie; nessuna ulteriore inferenza è consentita, e la risposta della Farnesina è parte integrante di ogni menzione del centro torinese. Eliseo Bertolasi: i fatti biografici e l'onorificenza sono riportabili nei gradi indicati; la designazione con nome in codice è e resta attribuzione delle fonti d'inchiesta e del servizio lettone, mai asserzione propria del registro; identica disciplina per ogni cittadino italiano cui le inchieste attribuiscano qualifiche operative. Aleksandr Dugin: la qualifica di ideologo del potere russo è tesi mediatica dibattuta e va sempre attribuita; i fatti editoriali e biografici stanno nei gradi dei rispettivi blocchi. Per Stefano Valdegamberi, Luciano Sandonà, Vincenzo Lorusso, Andrea Lucidi, Eleonora Forenza, Roberto Fiore, Gabriele Adinolfi, Claudio Mutti, Lorenzo Pacini, Daniele Scalea e ogni altro vivente nominato valgono i soli fatti pubblici documentati nei gradi indicati, con esclusione dei dettagli privati non necessari. Franco Freda: l'assoluzione definitiva per Piazza Fontana è di menzione obbligatoria permanente.</w:t>
      </w:r>
    </w:p>
    <w:p>
      <w:pPr>
        <w:spacing w:after="120" w:line="276"/>
        <w:jc w:val="both"/>
      </w:pPr>
      <w:r>
        <w:rPr>
          <w:rFonts w:ascii="Barlow Semi Condensed" w:cs="Barlow Semi Condensed" w:eastAsia="Barlow Semi Condensed" w:hAnsi="Barlow Semi Condensed"/>
          <w:sz w:val="24"/>
          <w:szCs w:val="24"/>
        </w:rPr>
        <w:t xml:space="preserve">La quarta tranche porta il registro a centotrentotto blocchi certificati, oltre il traguardo dei cento fissato dal mandato originario, e consegna alla quinta le seguenti direzioni: il monitoraggio degli atti palermitani sul caso Mattarella, invariato nei termini della terza tranche; l'estrazione dei due contenitori dichiarati non estraibili; la certificazione puntuale degli esiti processuali di Pizzolungo; il vaglio integrale, con il medesimo protocollo, delle voci maggiori ancora non iscritte — Nuclei Armati Rivoluzionari, operazione Gladio, agguato di via Fani, Concutelli, la voce sul senatore Antonino La Russa — il cui apparato di millequarantanove URL censiti costituisce la mappa di lavoro;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QUINTA TRANCHE — FASE X: AGINTER PRESS. IL VAGLIO DELLA MONOGRAFIA IN CENTO BLOCCHI, LE VOCI MAGGIORI DEL CENSIMENTO E LE PENDENZE CERTIFICATE</w:t>
      </w:r>
    </w:p>
    <w:p>
      <w:pPr>
        <w:spacing w:after="120" w:line="276"/>
        <w:jc w:val="both"/>
      </w:pPr>
      <w:r>
        <w:rPr>
          <w:rFonts w:ascii="Barlow Semi Condensed" w:cs="Barlow Semi Condensed" w:eastAsia="Barlow Semi Condensed" w:hAnsi="Barlow Semi Condensed"/>
          <w:sz w:val="24"/>
          <w:szCs w:val="24"/>
        </w:rPr>
        <w:t xml:space="preserve">10.1 — Oggetto della tranche, documento-innesco e metrica delle equivalenze</w:t>
      </w:r>
    </w:p>
    <w:p>
      <w:pPr>
        <w:spacing w:after="120" w:line="276"/>
        <w:jc w:val="both"/>
      </w:pPr>
      <w:r>
        <w:rPr>
          <w:rFonts w:ascii="Barlow Semi Condensed" w:cs="Barlow Semi Condensed" w:eastAsia="Barlow Semi Condensed" w:hAnsi="Barlow Semi Condensed"/>
          <w:sz w:val="24"/>
          <w:szCs w:val="24"/>
        </w:rPr>
        <w:t xml:space="preserve">La quinta tranche è innescata dall'acquisizione della monografia «Aginter Press — Monografia analitica di un hub della guerra politica non convenzionale (1966–1988)», edizione prima dell'undici agosto duemilaventisei, duecentottantasei pagine, enucleata — come la nota di genesi dichiara — dal Documento Unico Integrato del censimento della criminalità organizzata, di cui riproduce integralmente le quattordici note e i tre approfondimenti monografici, con l'aggiunta di un capitolo di triangolazione redatto in sede propria e di un apparato di impronte crittografiche delle fonti. Il documento poggia su atti giudiziari e parlamentari nominati — l'istruttoria e l'ordinanza del giudice Salvini, i resoconti stenografici della Commissione stragi, la perizia Giannuli — su testimonianze processuali qualificate e su letteratura storiografica, e adotta una metrica interna di gradazione — certo, altamente probabile, probabile, possibile, non provato, da verificare — che questo registro dichiara equivalente alla propria: il certo su fonte primaria corrisponde al Livello A, il probabile su convergenza qualificata al Livello B, il possibile e il da verificare al Livello C, e l'esito negativo di ricerca sistematica allo Stato Zero. Il censimento automatico degli indirizzi di rete restituisce novecentosessantatré URL unici; la distribuzione per dominio consegna però un rilievo critico immediato: accanto a fonti primarie di rango — gli archivi del Dipartimento di Stato, il National Security Archive, la letteratura accademica — l'apparato include undici occorrenze di una fonte permanentemente esclusa dalle regole di progetto e diciassette di un'enciclopedia collaborativa non citabile; il registro interdice le prime e declassa le seconde a meri indicatori di reperimento, annotando la disomogeneità dell'apparato come difetto formale della monografia, che non ne intacca le gambe fondate su atti.</w:t>
      </w:r>
    </w:p>
    <w:p>
      <w:pPr>
        <w:spacing w:after="120" w:line="276"/>
        <w:jc w:val="both"/>
      </w:pPr>
      <w:r>
        <w:rPr>
          <w:rFonts w:ascii="Barlow Semi Condensed" w:cs="Barlow Semi Condensed" w:eastAsia="Barlow Semi Condensed" w:hAnsi="Barlow Semi Condensed"/>
          <w:sz w:val="24"/>
          <w:szCs w:val="24"/>
        </w:rPr>
        <w:t xml:space="preserve">10.2 — Il capitolo italiano in sede giudiziaria</w:t>
      </w:r>
    </w:p>
    <w:p>
      <w:pPr>
        <w:spacing w:after="120" w:line="276"/>
        <w:jc w:val="both"/>
      </w:pPr>
      <w:r>
        <w:rPr>
          <w:rFonts w:ascii="Barlow Semi Condensed" w:cs="Barlow Semi Condensed" w:eastAsia="Barlow Semi Condensed" w:hAnsi="Barlow Semi Condensed"/>
          <w:sz w:val="24"/>
          <w:szCs w:val="24"/>
        </w:rPr>
        <w:t xml:space="preserve">Il nucleo probatoriamente più solido della monografia è il capitolo italiano, fondato sull'istruttoria milanese e sulla perizia d'archivio. La catena certificata corre dal convegno dell'Istituto Pollio all'hotel Parco dei Principi del tre-cinque maggio millenovecentosessantacinque, alla conoscenza tra Giannettini e Guérin-Sérac risalente al millenovecentosessantaquattro a Lisbona, all'incontro di Abbiategrasso del marzo millenovecentosessantasette tra Robert Leroy e Carlo Maria Maggi in ambito Nouvel Ordre Européen, al corso lisbonese del militante ordinovista Brillo nel luglio successivo, fino all'accertamento — enunciato dal giudice istruttore alla Commissione stragi nel resoconto stenografico nono con formula testuale — che istruttori di Aginter Press vennero a Roma tra il millenovecentosessantasette e il millenovecentosessantotto istruendo militanti di Avanguardia Nazionale all'uso degli esplosivi, con la mediazione dell'informatore ministeriale Armando Mortilla, alias Aristo, tessitore dei rapporti tra Aginter e Ordine Nuovo e organizzatore dell'incontro romano tra Guérin-Sérac e Rauti del gennaio-febbraio millenovecentosessantotto. Su questo impianto si innesta il nodo documentale più delicato: la velina del SID dei sedici-diciassette dicembre millenovecentosessantanove, che indicava Guérin-Sérac quale mente degli attentati, giunta alla magistratura solo nel marzo millenovecentosettantatré, valutata dall'istruttoria come dotata di una parte plausibile — la linea di comando — e di una parte deliberatamente depistante, la trasformazione di due anticomunisti in anarchici; la deliberazione del depistaggio risulta da un documento interno dell'undici aprile millenovecentosettanta che suggeriva di tacere la vera natura dei due alla pubblica sicurezza. Il registro certifica l'intera catena nei gradi propri di ciascun anello, e fissa il vincolo: la velina è fonte di Livello B in quanto contenuto informativo, mai prova piena, e il ruolo di mandante che essa attribuisce resta al grado della fonte.</w:t>
      </w:r>
    </w:p>
    <w:p>
      <w:pPr>
        <w:spacing w:after="120" w:line="276"/>
        <w:jc w:val="both"/>
      </w:pPr>
      <w:r>
        <w:rPr>
          <w:rFonts w:ascii="Barlow Semi Condensed" w:cs="Barlow Semi Condensed" w:eastAsia="Barlow Semi Condensed" w:hAnsi="Barlow Semi Condensed"/>
          <w:sz w:val="24"/>
          <w:szCs w:val="24"/>
        </w:rPr>
        <w:t xml:space="preserve">10.3 — I cinque Stati Zero maggiori</w:t>
      </w:r>
    </w:p>
    <w:p>
      <w:pPr>
        <w:spacing w:after="120" w:line="276"/>
        <w:jc w:val="both"/>
      </w:pPr>
      <w:r>
        <w:rPr>
          <w:rFonts w:ascii="Barlow Semi Condensed" w:cs="Barlow Semi Condensed" w:eastAsia="Barlow Semi Condensed" w:hAnsi="Barlow Semi Condensed"/>
          <w:sz w:val="24"/>
          <w:szCs w:val="24"/>
        </w:rPr>
        <w:t xml:space="preserve">La monografia consegna al registro cinque esiti negativi di prima classe, tutti conformi alla disciplina per cui l'assenza cercata e non trovata è un risultato e non una lacuna. Primo: la ricognizione mirata degli archivi statunitensi accessibili — la sala di lettura elettronica della CIA, i volumi diplomatici sul Portogallo, il corpus del National Security Archive — non ha prodotto un solo documento primario americano che nomini Aginter Press, Guérin-Sérac o le sue sigle: l'intera narrazione del legame con l'agenzia americana poggia su conclusioni italiane e portoghesi poi amplificate dalla letteratura secondaria, e l'onere della prova si sposta su chi afferma il nesso, con riserva sul classificato. Secondo: la cronologia scagiona il rapporto personale con Kissinger, che assume responsabilità di governo quando la struttura è al tramonto e se ne occupa di Portogallo quando essa è già dissolta. Terzo: negli archivi oggi accessibili dell'Est non emergono fascicoli su Aginter — esito negativo da distinguere dalla prova di assenza, data la distruzione massiccia dei fascicoli cecoslovacchi nel millenovecentottantanove-novanta. Quarto e quinto: per il servizio britannico e per quello israeliano la monografia dichiara l'assenza di riscontro, e per l'intera sfera del Golfo l'assenza di ogni legame documentato. A questi si aggiunge l'esito negativo dichiarato sul versante sudafricano degli omicidi esterni: la matrice interna accertata dalla commissione sudafricana per la verità esclude manovalanza della rete in esame.</w:t>
      </w:r>
    </w:p>
    <w:p>
      <w:pPr>
        <w:spacing w:after="120" w:line="276"/>
        <w:jc w:val="both"/>
      </w:pPr>
      <w:r>
        <w:rPr>
          <w:rFonts w:ascii="Barlow Semi Condensed" w:cs="Barlow Semi Condensed" w:eastAsia="Barlow Semi Condensed" w:hAnsi="Barlow Semi Condensed"/>
          <w:sz w:val="24"/>
          <w:szCs w:val="24"/>
        </w:rPr>
        <w:t xml:space="preserve">10.4 — L'asse religioso: il verdetto tripartito</w:t>
      </w:r>
    </w:p>
    <w:p>
      <w:pPr>
        <w:spacing w:after="120" w:line="276"/>
        <w:jc w:val="both"/>
      </w:pPr>
      <w:r>
        <w:rPr>
          <w:rFonts w:ascii="Barlow Semi Condensed" w:cs="Barlow Semi Condensed" w:eastAsia="Barlow Semi Condensed" w:hAnsi="Barlow Semi Condensed"/>
          <w:sz w:val="24"/>
          <w:szCs w:val="24"/>
        </w:rPr>
        <w:t xml:space="preserve">Sull'asse che la monografia dichiara principale, il capitolo di triangolazione interna produce un verdetto tripartito che il registro recepisce integralmente perché già conforme al proprio standard: l'ideologia religiosa personale e organizzativa del fondatore è certa e documentata da fonti primarie — le dichiarazioni di Vinciguerra, l'intervista a Le Monde, il video-testamento, la simbologia dell'organizzazione di copertura — con le precisazioni filologiche che la preghiera attribuita è testo di Zirnheld e che la formula documentata è quella del monaco soldato; l'esistenza e la dottrina delle reti cattoliche integriste coeve — la Cité catholique di Ousset, la filiera argentina documentata da Robin, i gruppi iberici — sono certe, ma il nesso diretto e organizzativo con Aginter resta probabile e da verificare, documentato solo per via ambientale; il livello vaticano istituzionale è non provato, e in tensione documentata con la politica orientale della Santa Sede. Tre gradini distinti su un medesimo asse: il registro li iscrive separatamente, vietando alla narrazione di saldarli.</w:t>
      </w:r>
    </w:p>
    <w:p>
      <w:pPr>
        <w:spacing w:after="120" w:line="276"/>
        <w:jc w:val="both"/>
      </w:pPr>
      <w:r>
        <w:rPr>
          <w:rFonts w:ascii="Barlow Semi Condensed" w:cs="Barlow Semi Condensed" w:eastAsia="Barlow Semi Condensed" w:hAnsi="Barlow Semi Condensed"/>
          <w:sz w:val="24"/>
          <w:szCs w:val="24"/>
        </w:rPr>
        <w:t xml:space="preserve">10.5 — Il piano sudafricano: documentato, attribuito, contestato</w:t>
      </w:r>
    </w:p>
    <w:p>
      <w:pPr>
        <w:spacing w:after="120" w:line="276"/>
        <w:jc w:val="both"/>
      </w:pPr>
      <w:r>
        <w:rPr>
          <w:rFonts w:ascii="Barlow Semi Condensed" w:cs="Barlow Semi Condensed" w:eastAsia="Barlow Semi Condensed" w:hAnsi="Barlow Semi Condensed"/>
          <w:sz w:val="24"/>
          <w:szCs w:val="24"/>
        </w:rPr>
        <w:t xml:space="preserve">La triangolazione con la monografia gemella del corpus sui rapporti con il Sudafrica dell'apartheid restituisce la distinzione di piani che è il risultato analitico più maturo dell'intero cluster: il legame diretto tra la struttura e i servizi di Pretoria poggia su un'unica catena di fonti — il rapporto del servizio portoghese post-rivoluzionario, ripreso da Laurent nel millenovecentosettantotto e da Christie nel millenovecentottantaquattro — che lo storico di riferimento giudica non verificata e improbabile: il nesso resta da verificare, e la soglia che ne muterebbe il giudizio è dichiarata. Sono invece certi l'infiltrazione di Leroy nel fronte mozambicano nel millenovecentosessantotto-sessantanove nell'ambito di un'operazione della polizia politica portoghese, con l'attribuzione contesa dell'omicidio del leader indipendentista; il santuario sudafricano di singole persone — l'esecutore attribuito degli omicidi Delgado e Mondlane vi trovò protezione fino alla morte nel gennaio millenovecentonovantatré — e la confluenza di ex agenti della polizia politica nella guerriglia anticomunista mozambicana passata sotto l'intelligence militare di Pretoria nel millenovecentottanta: continuità di filiera, non di struttura. La cooperazione politico-militare trilaterale dell'Africa australe non contempla Aginter nella storiografia archivistica, e il nesso certo tra Pretoria e i fori anticomunisti transnazionali non fa della struttura lisbonese un loro membro. Il registro adotta la regola enunciata dalla monografia: non far collassare il piano solidamente documentato delle continuità personali nel piano debolmente fondato dei legami strutturali.</w:t>
      </w:r>
    </w:p>
    <w:p>
      <w:pPr>
        <w:spacing w:after="120" w:line="276"/>
        <w:jc w:val="both"/>
      </w:pPr>
      <w:r>
        <w:rPr>
          <w:rFonts w:ascii="Barlow Semi Condensed" w:cs="Barlow Semi Condensed" w:eastAsia="Barlow Semi Condensed" w:hAnsi="Barlow Semi Condensed"/>
          <w:sz w:val="24"/>
          <w:szCs w:val="24"/>
        </w:rPr>
        <w:t xml:space="preserve">10.6 — Svizzera, America Latina, Medio Oriente</w:t>
      </w:r>
    </w:p>
    <w:p>
      <w:pPr>
        <w:spacing w:after="120" w:line="276"/>
        <w:jc w:val="both"/>
      </w:pPr>
      <w:r>
        <w:rPr>
          <w:rFonts w:ascii="Barlow Semi Condensed" w:cs="Barlow Semi Condensed" w:eastAsia="Barlow Semi Condensed" w:hAnsi="Barlow Semi Condensed"/>
          <w:sz w:val="24"/>
          <w:szCs w:val="24"/>
        </w:rPr>
        <w:t xml:space="preserve">I tre teatri restanti si iscrivono nei gradi propri. Il nodo svizzero — l'inchiesta de L'Europeo del novembre millenovecentosettantaquattro, il canale del Nouvel Ordre Européen di Amaudruz, la piazza finanziaria, il banchiere Genoud, la rete stay-behind elvetica con la critica filologica del suo nome — sta tra il Livello B documentale e il Livello C attributivo, con l'avvertenza che proprio in questa sezione l'apparato ricorre alle fonti deboli interdette. La proiezione latinoamericana è ricostruita come sistema con il Venezuela quale nodo prioritario e con la demolizione della conflazione terziaria sull'addestramento del gruppo cileno, che la fonte invocata smentisce. Il Medio Oriente restituisce un esito negativo generale sul mondo sciita e sul Golfo, la matrice mercenaria della vicenda yemenita ricondotta all'organizzazione madre algerina e non ad Aginter, e il caso iraniano come pilastro speculare del campo atlantico.</w:t>
      </w:r>
    </w:p>
    <w:p>
      <w:pPr>
        <w:spacing w:after="120" w:line="276"/>
        <w:jc w:val="both"/>
      </w:pPr>
      <w:r>
        <w:rPr>
          <w:rFonts w:ascii="Barlow Semi Condensed" w:cs="Barlow Semi Condensed" w:eastAsia="Barlow Semi Condensed" w:hAnsi="Barlow Semi Condensed"/>
          <w:sz w:val="24"/>
          <w:szCs w:val="24"/>
        </w:rPr>
        <w:t xml:space="preserve">10.7 — Le voci maggiori del censimento enciclopedico e il censimento cumulativo</w:t>
      </w:r>
    </w:p>
    <w:p>
      <w:pPr>
        <w:spacing w:after="120" w:line="276"/>
        <w:jc w:val="both"/>
      </w:pPr>
      <w:r>
        <w:rPr>
          <w:rFonts w:ascii="Barlow Semi Condensed" w:cs="Barlow Semi Condensed" w:eastAsia="Barlow Semi Condensed" w:hAnsi="Barlow Semi Condensed"/>
          <w:sz w:val="24"/>
          <w:szCs w:val="24"/>
        </w:rPr>
        <w:t xml:space="preserve">In esecuzione del mandato sulle voci allegate, la tranche certifica le cinque voci maggiori consegnate dalla quarta: i Nuclei Armati Rivoluzionari, l'operazione Gladio, l'agguato di via Fani, Concutelli, il senatore Antonino La Russa — le relative schede sono ai blocchi duecentoventitré-duecentotrentadue. I due contenitori dichiarati non estraibili sono stati recuperati: erano testo semplice sotto estensione anomala, secondo la medesima convenzione di altri file del corpus; il loro recupero porta il censimento a ventitré testi estratti e a millesettecentoquarantasei URL unici cumulativi, cui si sommano i novecentosessantatré dell'innesco. Il recupero produce anche un rilievo di non-concordanza interna al corpus: la voce-censimento sulle operazioni contro la 'ndrangheta data la sentenza di primo grado sul processo di Montalto al due ottobre millenovecentosettanta, mentre la voce dedicata al summit la colloca al ventiquattro marzo millenovecentosettantuno; il registro iscrive la divergenza e rinvia la risoluzione alla verifica sulla fonte giudiziaria.</w:t>
      </w:r>
    </w:p>
    <w:p>
      <w:pPr>
        <w:spacing w:after="120" w:line="276"/>
        <w:jc w:val="both"/>
      </w:pPr>
      <w:r>
        <w:rPr>
          <w:rFonts w:ascii="Barlow Semi Condensed" w:cs="Barlow Semi Condensed" w:eastAsia="Barlow Semi Condensed" w:hAnsi="Barlow Semi Condensed"/>
          <w:sz w:val="24"/>
          <w:szCs w:val="24"/>
        </w:rPr>
        <w:t xml:space="preserve">10.8 — Le pendenze certificate: Pizzolungo e il monitoraggio Mattarella</w:t>
      </w:r>
    </w:p>
    <w:p>
      <w:pPr>
        <w:spacing w:after="120" w:line="276"/>
        <w:jc w:val="both"/>
      </w:pPr>
      <w:r>
        <w:rPr>
          <w:rFonts w:ascii="Barlow Semi Condensed" w:cs="Barlow Semi Condensed" w:eastAsia="Barlow Semi Condensed" w:hAnsi="Barlow Semi Condensed"/>
          <w:sz w:val="24"/>
          <w:szCs w:val="24"/>
        </w:rPr>
        <w:t xml:space="preserve">La certificazione puntuale rinviata dalla quarta tranche è ora eseguita. Su Pizzolungo il quadro processuale definitivo è il seguente: quattro processi in quarant'anni; il primo, contro gli esecutori del clan alcamese, si chiuse con condanne all'ergastolo in primo grado e assoluzioni in appello a Caltanissetta nel millenovecentonovanta, divenute irrevocabili in Cassazione l'anno successivo — collegio presieduto, come le fonti riportano, dal giudice Carnevale; i processi successivi hanno consegnato ergastoli definitivi a Riina quale mandante e a Virga quale capo del mandamento trapanese di appoggio, nonché — in altro giudizio — a Di Maggio e ad Antonino Madonia; il nuovo processo individuò in Milazzo, Calabrò e Melodia gli esecutori materiali, non più processabili perché irrevocabilmente assolti; il quarto processo si è chiuso con la condanna a trent'anni di Vincenzo Galatolo quale ulteriore mandante, definitiva in Cassazione il quattordici giugno duemilaventitré. Le vittime furono Barbara Rizzo e i suoi gemelli di sei anni Giuseppe e Salvatore Asta; il magistrato bersaglio sopravvisse. Il nesso tecnico riportato tra l'esplosivo di Pizzolungo e quello di altre stragi resta dato peritale riferito, a Livello B. Sul caso Mattarella il monitoraggio registra atti intervenuti: la perizia genetica disposta in incidente probatorio sulla fascetta prelevata dalla vettura dei killer, affidata all'unità forense fiorentina, è stata depositata il primo luglio duemilaventisei con esito negativo — nessun profilo genetico utilizzabile, dopo che già l'esame dattiloscopico non aveva dato risultati; la stampa riferisce l'orientamento della Procura verso la richiesta di archiviazione per i due indagati quali esecutori, richiesta che dovrà essere vagliata dal giudice; le condanne definitive dei mandanti restano ferme, la presunzione di innocenza degli indagati resta integrale, e il registro annota che le posizioni giudiziarie definitive di Antonino Madonia per altri fatti — Pizzolungo compreso — appartengono ad altri fascicoli e non si comunicano a questo.</w:t>
      </w:r>
    </w:p>
    <w:p>
      <w:pPr>
        <w:spacing w:after="120" w:line="276"/>
        <w:jc w:val="both"/>
      </w:pPr>
      <w:r>
        <w:rPr>
          <w:rFonts w:ascii="Barlow Semi Condensed" w:cs="Barlow Semi Condensed" w:eastAsia="Barlow Semi Condensed" w:hAnsi="Barlow Semi Condensed"/>
          <w:sz w:val="24"/>
          <w:szCs w:val="24"/>
        </w:rPr>
        <w:t xml:space="preserve">10.9 — Aggiornamento della matrice ACH</w:t>
      </w:r>
    </w:p>
    <w:p>
      <w:pPr>
        <w:spacing w:after="120" w:line="276"/>
        <w:jc w:val="both"/>
      </w:pPr>
      <w:r>
        <w:rPr>
          <w:rFonts w:ascii="Barlow Semi Condensed" w:cs="Barlow Semi Condensed" w:eastAsia="Barlow Semi Condensed" w:hAnsi="Barlow Semi Condensed"/>
          <w:sz w:val="24"/>
          <w:szCs w:val="24"/>
        </w:rPr>
        <w:t xml:space="preserve">Aginter Press entra nella matrice come struttura interamente interna al campo atlantico-integrista: i suoi teatri, i suoi committenti documentati, i suoi Stati Zero orientali confermano che essa fu strumento di una guerra non convenzionale anticomunista, e i depistaggi che ne travestirono gli uomini da anarchici furono interni agli apparati del medesimo campo. Per l'ipotesi H1 la tranche è nuovamente sterile: nessun documento attesta condominio tra i blocchi, e i cinque Stati Zero — nessuna carta americana sul nesso personale, nessun fascicolo orientale sulla struttura — militano contro ogni lettura di regia bipolare congiunta. Per l'ipotesi H2 la monografia fornisce il capostipite del versante occidentale: una internazionale operativa clandestina, confessionale e controrivoluzionaria, attiva un ventennio prima che il versante orientale certificato nelle Fasi precedenti prendesse forma; la composizione delle due metà in un disegno di lungo periodo resta al Livello C che le è proprio. L'ipotesi H3 esce rafforzata nella sua funzione: la pluralità di committenti documentati della stessa Aginter — portoghesi, greci, spagnoli, con il legame genetico francese — mostra che anche dentro un solo campo la regia fu plurale.</w:t>
      </w:r>
    </w:p>
    <w:p>
      <w:pPr>
        <w:spacing w:after="120" w:line="276"/>
        <w:jc w:val="both"/>
      </w:pPr>
      <w:r>
        <w:rPr>
          <w:rFonts w:ascii="Barlow Semi Condensed" w:cs="Barlow Semi Condensed" w:eastAsia="Barlow Semi Condensed" w:hAnsi="Barlow Semi Condensed"/>
          <w:sz w:val="24"/>
          <w:szCs w:val="24"/>
        </w:rPr>
        <w:t xml:space="preserve">10.10 — Registro dei blocchi di verifica: blocchi centotrentanove–duecentotrentotto</w:t>
      </w:r>
    </w:p>
    <w:p>
      <w:pPr>
        <w:spacing w:after="120" w:line="276"/>
        <w:jc w:val="both"/>
      </w:pPr>
      <w:r>
        <w:rPr>
          <w:rFonts w:ascii="Barlow Semi Condensed" w:cs="Barlow Semi Condensed" w:eastAsia="Barlow Semi Condensed" w:hAnsi="Barlow Semi Condensed"/>
          <w:sz w:val="24"/>
          <w:szCs w:val="24"/>
        </w:rPr>
        <w:t xml:space="preserve">Formula identica alla Fase nona: «già certificato» rinvia ai blocchi delle tranche precedenti; «verificato ora» indica la campagna esterna di questa tranche;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metrica (blocchi centotrentanove–centoquarantadue)</w:t>
      </w:r>
    </w:p>
    <w:p>
      <w:pPr>
        <w:spacing w:after="120" w:line="276"/>
        <w:jc w:val="both"/>
      </w:pPr>
      <w:r>
        <w:rPr>
          <w:rFonts w:ascii="Barlow Semi Condensed" w:cs="Barlow Semi Condensed" w:eastAsia="Barlow Semi Condensed" w:hAnsi="Barlow Semi Condensed"/>
          <w:sz w:val="24"/>
          <w:szCs w:val="24"/>
        </w:rPr>
        <w:t xml:space="preserve">Blocco centotrentanove. La monografia-innesco: edizione dell'undici agosto duemilaventisei, duecentottantasei pagine, quattordici note, tre approfondimenti, capitolo di triangolazione, impronte crittografiche: statuto di monografia interna con gradazioni proprie, Livello A quale atto del corpus.</w:t>
      </w:r>
    </w:p>
    <w:p>
      <w:pPr>
        <w:spacing w:after="120" w:line="276"/>
        <w:jc w:val="both"/>
      </w:pPr>
      <w:r>
        <w:rPr>
          <w:rFonts w:ascii="Barlow Semi Condensed" w:cs="Barlow Semi Condensed" w:eastAsia="Barlow Semi Condensed" w:hAnsi="Barlow Semi Condensed"/>
          <w:sz w:val="24"/>
          <w:szCs w:val="24"/>
        </w:rPr>
        <w:t xml:space="preserve">Blocco centoquaranta. La metrica interna e la tavola di equivalenza con lo standard Savona: dichiarata e adottata; ogni verdetto interno è riversato nel grado corrispondente.</w:t>
      </w:r>
    </w:p>
    <w:p>
      <w:pPr>
        <w:spacing w:after="120" w:line="276"/>
        <w:jc w:val="both"/>
      </w:pPr>
      <w:r>
        <w:rPr>
          <w:rFonts w:ascii="Barlow Semi Condensed" w:cs="Barlow Semi Condensed" w:eastAsia="Barlow Semi Condensed" w:hAnsi="Barlow Semi Condensed"/>
          <w:sz w:val="24"/>
          <w:szCs w:val="24"/>
        </w:rPr>
        <w:t xml:space="preserve">Blocco centoquarantuno. Il censimento degli URL dell'innesco: novecentosessantatré indirizzi unici, con prevalenza di enciclopedie generaliste e presenza di fonti primarie di rango; lista agli atti della sessione.</w:t>
      </w:r>
    </w:p>
    <w:p>
      <w:pPr>
        <w:spacing w:after="120" w:line="276"/>
        <w:jc w:val="both"/>
      </w:pPr>
      <w:r>
        <w:rPr>
          <w:rFonts w:ascii="Barlow Semi Condensed" w:cs="Barlow Semi Condensed" w:eastAsia="Barlow Semi Condensed" w:hAnsi="Barlow Semi Condensed"/>
          <w:sz w:val="24"/>
          <w:szCs w:val="24"/>
        </w:rPr>
        <w:t xml:space="preserve">Blocco centoquarantadue. Rilievo critico sull'apparato: undici occorrenze della fonte permanentemente esclusa dal progetto e diciassette dell'enciclopedia collaborativa non citabile: interdette le prime, declassate le seconde a indicatori; difetto formale che non intacca le gambe fondate su atti.</w:t>
      </w:r>
    </w:p>
    <w:p>
      <w:pPr>
        <w:spacing w:after="120" w:line="276"/>
        <w:jc w:val="both"/>
      </w:pPr>
      <w:r>
        <w:rPr>
          <w:rFonts w:ascii="Barlow Semi Condensed" w:cs="Barlow Semi Condensed" w:eastAsia="Barlow Semi Condensed" w:hAnsi="Barlow Semi Condensed"/>
          <w:sz w:val="24"/>
          <w:szCs w:val="24"/>
        </w:rPr>
        <w:t xml:space="preserve">Il nucleo di Lisbona e le persone (blocchi centoquarantatré–centocinquanta)</w:t>
      </w:r>
    </w:p>
    <w:p>
      <w:pPr>
        <w:spacing w:after="120" w:line="276"/>
        <w:jc w:val="both"/>
      </w:pPr>
      <w:r>
        <w:rPr>
          <w:rFonts w:ascii="Barlow Semi Condensed" w:cs="Barlow Semi Condensed" w:eastAsia="Barlow Semi Condensed" w:hAnsi="Barlow Semi Condensed"/>
          <w:sz w:val="24"/>
          <w:szCs w:val="24"/>
        </w:rPr>
        <w:t xml:space="preserve">Blocco centoquarantatré. Guérin-Sérac, alias Guillou: ufficiale francese, cofondatore dell'OAS a Madrid nel millenovecentosessantuno, condannato in contumacia per diserzione, a Lisbona dal millenovecentosessantadue, fondatore-direttore della struttura dal settembre millenovecentosessantasei; morto il nove marzo duemilaventidue presso Tolone, a novantasei anni, secondo la notizia data dal giornalista che ne ricostruì la vicenda: Livello A su esistenza, direzione e ingaggio; la riapparizione spagnola del duemilasei sta a Livello B.</w:t>
      </w:r>
    </w:p>
    <w:p>
      <w:pPr>
        <w:spacing w:after="120" w:line="276"/>
        <w:jc w:val="both"/>
      </w:pPr>
      <w:r>
        <w:rPr>
          <w:rFonts w:ascii="Barlow Semi Condensed" w:cs="Barlow Semi Condensed" w:eastAsia="Barlow Semi Condensed" w:hAnsi="Barlow Semi Condensed"/>
          <w:sz w:val="24"/>
          <w:szCs w:val="24"/>
        </w:rPr>
        <w:t xml:space="preserve">Blocco centoquarantaquattro. Il contratto con la polizia politica portoghese ritrovato in archivio e le sigle di copertura Ordre et Tradition e OACI: Livello A documentale.</w:t>
      </w:r>
    </w:p>
    <w:p>
      <w:pPr>
        <w:spacing w:after="120" w:line="276"/>
        <w:jc w:val="both"/>
      </w:pPr>
      <w:r>
        <w:rPr>
          <w:rFonts w:ascii="Barlow Semi Condensed" w:cs="Barlow Semi Condensed" w:eastAsia="Barlow Semi Condensed" w:hAnsi="Barlow Semi Condensed"/>
          <w:sz w:val="24"/>
          <w:szCs w:val="24"/>
        </w:rPr>
        <w:t xml:space="preserve">Blocco centoquarantacinque. Robert Leroy: già delle formazioni collaborazioniste valloni, braccio destro del fondatore, missioni africane sotto copertura giornalistica filo-maoista, rete italiana di circa trenta agenti secondo l'inchiesta coeva, incontro di Abbiategrasso del marzo millenovecentosessantasette: Livello A sui fatti accertati, Livello B sulla consistenza numerica della rete.</w:t>
      </w:r>
    </w:p>
    <w:p>
      <w:pPr>
        <w:spacing w:after="120" w:line="276"/>
        <w:jc w:val="both"/>
      </w:pPr>
      <w:r>
        <w:rPr>
          <w:rFonts w:ascii="Barlow Semi Condensed" w:cs="Barlow Semi Condensed" w:eastAsia="Barlow Semi Condensed" w:hAnsi="Barlow Semi Condensed"/>
          <w:sz w:val="24"/>
          <w:szCs w:val="24"/>
        </w:rPr>
        <w:t xml:space="preserve">Blocco centoquarantasei. Jean-Marie Laurent, coppia operativa di Leroy nelle missioni africane sotto la medesima copertura: Livello B.</w:t>
      </w:r>
    </w:p>
    <w:p>
      <w:pPr>
        <w:spacing w:after="120" w:line="276"/>
        <w:jc w:val="both"/>
      </w:pPr>
      <w:r>
        <w:rPr>
          <w:rFonts w:ascii="Barlow Semi Condensed" w:cs="Barlow Semi Condensed" w:eastAsia="Barlow Semi Condensed" w:hAnsi="Barlow Semi Condensed"/>
          <w:sz w:val="24"/>
          <w:szCs w:val="24"/>
        </w:rPr>
        <w:t xml:space="preserve">Blocco centoquarantasette. João da Silva, quadro in fuga con il fondatore nel millenovecentosettantaquattro verso la Spagna e Caracas: Livello B su fonte unica, dichiarata.</w:t>
      </w:r>
    </w:p>
    <w:p>
      <w:pPr>
        <w:spacing w:after="120" w:line="276"/>
        <w:jc w:val="both"/>
      </w:pPr>
      <w:r>
        <w:rPr>
          <w:rFonts w:ascii="Barlow Semi Condensed" w:cs="Barlow Semi Condensed" w:eastAsia="Barlow Semi Condensed" w:hAnsi="Barlow Semi Condensed"/>
          <w:sz w:val="24"/>
          <w:szCs w:val="24"/>
        </w:rPr>
        <w:t xml:space="preserve">Blocco centoquarantotto. Gérald Bulliard, direttore della testata di copertura e tramite d'appoggio dell'ambasciata cinese di Berna per gli accrediti: Livello B sulla funzione; Livello C sulla natura del personaggio, con la cautela dello storico di riferimento sul possibile provocatore.</w:t>
      </w:r>
    </w:p>
    <w:p>
      <w:pPr>
        <w:spacing w:after="120" w:line="276"/>
        <w:jc w:val="both"/>
      </w:pPr>
      <w:r>
        <w:rPr>
          <w:rFonts w:ascii="Barlow Semi Condensed" w:cs="Barlow Semi Condensed" w:eastAsia="Barlow Semi Condensed" w:hAnsi="Barlow Semi Condensed"/>
          <w:sz w:val="24"/>
          <w:szCs w:val="24"/>
        </w:rPr>
        <w:t xml:space="preserve">Blocco centoquarantanove. Casimiro Monteiro, esecutore della polizia politica, già esecutore materiale dell'omicidio Delgado e indicato per l'omicidio Mondlane: Livello A sul primo, attribuzione contesa sul secondo.</w:t>
      </w:r>
    </w:p>
    <w:p>
      <w:pPr>
        <w:spacing w:after="120" w:line="276"/>
        <w:jc w:val="both"/>
      </w:pPr>
      <w:r>
        <w:rPr>
          <w:rFonts w:ascii="Barlow Semi Condensed" w:cs="Barlow Semi Condensed" w:eastAsia="Barlow Semi Condensed" w:hAnsi="Barlow Semi Condensed"/>
          <w:sz w:val="24"/>
          <w:szCs w:val="24"/>
        </w:rPr>
        <w:t xml:space="preserve">Blocco centocinquanta. La fine con la Rivoluzione dei Garofani dell'aprile millenovecentosettantaquattro, la fuga dei quadri e il sequestro dell'archivio, le cui risultanze alimentarono le istruttorie europee: Livello A.</w:t>
      </w:r>
    </w:p>
    <w:p>
      <w:pPr>
        <w:spacing w:after="120" w:line="276"/>
        <w:jc w:val="both"/>
      </w:pPr>
      <w:r>
        <w:rPr>
          <w:rFonts w:ascii="Barlow Semi Condensed" w:cs="Barlow Semi Condensed" w:eastAsia="Barlow Semi Condensed" w:hAnsi="Barlow Semi Condensed"/>
          <w:sz w:val="24"/>
          <w:szCs w:val="24"/>
        </w:rPr>
        <w:t xml:space="preserve">Il capitolo italiano giudiziario (blocchi centocinquantuno–centocinquantotto)</w:t>
      </w:r>
    </w:p>
    <w:p>
      <w:pPr>
        <w:spacing w:after="120" w:line="276"/>
        <w:jc w:val="both"/>
      </w:pPr>
      <w:r>
        <w:rPr>
          <w:rFonts w:ascii="Barlow Semi Condensed" w:cs="Barlow Semi Condensed" w:eastAsia="Barlow Semi Condensed" w:hAnsi="Barlow Semi Condensed"/>
          <w:sz w:val="24"/>
          <w:szCs w:val="24"/>
        </w:rPr>
        <w:t xml:space="preserve">Blocco centocinquantuno. Il convegno Pollio del tre-cinque maggio millenovecentosessantacinque quale antecedente ideologico, con la partecipazione di Giannettini, Rauti, Delle Chiaie e Merlino: Livello A.</w:t>
      </w:r>
    </w:p>
    <w:p>
      <w:pPr>
        <w:spacing w:after="120" w:line="276"/>
        <w:jc w:val="both"/>
      </w:pPr>
      <w:r>
        <w:rPr>
          <w:rFonts w:ascii="Barlow Semi Condensed" w:cs="Barlow Semi Condensed" w:eastAsia="Barlow Semi Condensed" w:hAnsi="Barlow Semi Condensed"/>
          <w:sz w:val="24"/>
          <w:szCs w:val="24"/>
        </w:rPr>
        <w:t xml:space="preserve">Blocco centocinquantadue. La conoscenza tra Giannettini e Guérin-Sérac dal millenovecentosessantaquattro a Lisbona, con presentazione in ambito OAS e di polizia politica: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centocinquantatré. Abbiategrasso, marzo millenovecentosessantasette: l'incontro tra Leroy e Maggi in ambito Nouvel Ordre Européen: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centocinquantaquattro. Il corso lisbonese del luglio millenovecentosessantasette del militante ordinovista spezzino: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centocinquantacinque. Gli istruttori di Aginter a Roma tra il millenovecentosessantasette e il millenovecentosessantotto per l'addestramento agli esplosivi di militanti di Avanguardia Nazionale: formula testuale del giudice istruttore alla Commissione stragi, resoconto stenografico nono: Livello A quale accertamento istruttorio enunciato in sede parlamentare.</w:t>
      </w:r>
    </w:p>
    <w:p>
      <w:pPr>
        <w:spacing w:after="120" w:line="276"/>
        <w:jc w:val="both"/>
      </w:pPr>
      <w:r>
        <w:rPr>
          <w:rFonts w:ascii="Barlow Semi Condensed" w:cs="Barlow Semi Condensed" w:eastAsia="Barlow Semi Condensed" w:hAnsi="Barlow Semi Condensed"/>
          <w:sz w:val="24"/>
          <w:szCs w:val="24"/>
        </w:rPr>
        <w:t xml:space="preserve">Blocco centocinquantasei. Armando Mortilla, alias Aristo, informatore ministeriale per un ventennio, tessitore dei rapporti tra Aginter e Ordine Nuovo: Livello A da perizia d'archivio; la circolarità tra struttura estera, formazioni nazionali e apparati è il dato metodologico centrale del capitolo.</w:t>
      </w:r>
    </w:p>
    <w:p>
      <w:pPr>
        <w:spacing w:after="120" w:line="276"/>
        <w:jc w:val="both"/>
      </w:pPr>
      <w:r>
        <w:rPr>
          <w:rFonts w:ascii="Barlow Semi Condensed" w:cs="Barlow Semi Condensed" w:eastAsia="Barlow Semi Condensed" w:hAnsi="Barlow Semi Condensed"/>
          <w:sz w:val="24"/>
          <w:szCs w:val="24"/>
        </w:rPr>
        <w:t xml:space="preserve">Blocco centocinquantasette. L'incontro romano tra Guérin-Sérac e Rauti del trenta gennaio-primo febbraio millenovecentosessantotto: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centocinquantotto. La velina dei sedici-diciassette dicembre millenovecentosessantanove e il documento dell'undici aprile millenovecentosettanta: parte plausibile e parte depistante della prima, deliberazione del depistaggio provata dal secondo; la velina resta fonte a Livello B quale contenuto, il depistaggio sta a Livello A quale fatto documentale.</w:t>
      </w:r>
    </w:p>
    <w:p>
      <w:pPr>
        <w:spacing w:after="120" w:line="276"/>
        <w:jc w:val="both"/>
      </w:pPr>
      <w:r>
        <w:rPr>
          <w:rFonts w:ascii="Barlow Semi Condensed" w:cs="Barlow Semi Condensed" w:eastAsia="Barlow Semi Condensed" w:hAnsi="Barlow Semi Condensed"/>
          <w:sz w:val="24"/>
          <w:szCs w:val="24"/>
        </w:rPr>
        <w:t xml:space="preserve">L'elenco dei servizi e la critica della fonte (blocchi centocinquantanove–centosessantasei)</w:t>
      </w:r>
    </w:p>
    <w:p>
      <w:pPr>
        <w:spacing w:after="120" w:line="276"/>
        <w:jc w:val="both"/>
      </w:pPr>
      <w:r>
        <w:rPr>
          <w:rFonts w:ascii="Barlow Semi Condensed" w:cs="Barlow Semi Condensed" w:eastAsia="Barlow Semi Condensed" w:hAnsi="Barlow Semi Condensed"/>
          <w:sz w:val="24"/>
          <w:szCs w:val="24"/>
        </w:rPr>
        <w:t xml:space="preserve">Blocco centocinquantanove. Il legame genetico con il servizio francese e la successiva rottura, con la protezione politica attesa dopo il tramonto gaullista: Livello B, da dichiarazioni e ricostruzioni convergenti.</w:t>
      </w:r>
    </w:p>
    <w:p>
      <w:pPr>
        <w:spacing w:after="120" w:line="276"/>
        <w:jc w:val="both"/>
      </w:pPr>
      <w:r>
        <w:rPr>
          <w:rFonts w:ascii="Barlow Semi Condensed" w:cs="Barlow Semi Condensed" w:eastAsia="Barlow Semi Condensed" w:hAnsi="Barlow Semi Condensed"/>
          <w:sz w:val="24"/>
          <w:szCs w:val="24"/>
        </w:rPr>
        <w:t xml:space="preserve">Blocco centosessanta. Il servizio federale tedesco: la voce più circolata dell'elenco e la meno fondata: Livello C, attribuito.</w:t>
      </w:r>
    </w:p>
    <w:p>
      <w:pPr>
        <w:spacing w:after="120" w:line="276"/>
        <w:jc w:val="both"/>
      </w:pPr>
      <w:r>
        <w:rPr>
          <w:rFonts w:ascii="Barlow Semi Condensed" w:cs="Barlow Semi Condensed" w:eastAsia="Barlow Semi Condensed" w:hAnsi="Barlow Semi Condensed"/>
          <w:sz w:val="24"/>
          <w:szCs w:val="24"/>
        </w:rPr>
        <w:t xml:space="preserve">Blocco centosessantuno. Il servizio spagnolo: la voce meglio fondata dell'elenco quanto a contesto, ma senza atto diretto: Livello B.</w:t>
      </w:r>
    </w:p>
    <w:p>
      <w:pPr>
        <w:spacing w:after="120" w:line="276"/>
        <w:jc w:val="both"/>
      </w:pPr>
      <w:r>
        <w:rPr>
          <w:rFonts w:ascii="Barlow Semi Condensed" w:cs="Barlow Semi Condensed" w:eastAsia="Barlow Semi Condensed" w:hAnsi="Barlow Semi Condensed"/>
          <w:sz w:val="24"/>
          <w:szCs w:val="24"/>
        </w:rPr>
        <w:t xml:space="preserve">Blocco centosessantadue. Il servizio greco dei colonnelli: la voce meglio documentata di tutte, e da fonte propria: Livello B.</w:t>
      </w:r>
    </w:p>
    <w:p>
      <w:pPr>
        <w:spacing w:after="120" w:line="276"/>
        <w:jc w:val="both"/>
      </w:pPr>
      <w:r>
        <w:rPr>
          <w:rFonts w:ascii="Barlow Semi Condensed" w:cs="Barlow Semi Condensed" w:eastAsia="Barlow Semi Condensed" w:hAnsi="Barlow Semi Condensed"/>
          <w:sz w:val="24"/>
          <w:szCs w:val="24"/>
        </w:rPr>
        <w:t xml:space="preserve">Blocco centosessantatré. Il servizio britannico: assenza di riscontro: Stato Zero dichiarato.</w:t>
      </w:r>
    </w:p>
    <w:p>
      <w:pPr>
        <w:spacing w:after="120" w:line="276"/>
        <w:jc w:val="both"/>
      </w:pPr>
      <w:r>
        <w:rPr>
          <w:rFonts w:ascii="Barlow Semi Condensed" w:cs="Barlow Semi Condensed" w:eastAsia="Barlow Semi Condensed" w:hAnsi="Barlow Semi Condensed"/>
          <w:sz w:val="24"/>
          <w:szCs w:val="24"/>
        </w:rPr>
        <w:t xml:space="preserve">Blocco centosessantaquattro. Il servizio israeliano e il nodo di Tel Aviv: assenza di riscontro con una pista onomastica isolata: Stato Zero con appendice a Livello C.</w:t>
      </w:r>
    </w:p>
    <w:p>
      <w:pPr>
        <w:spacing w:after="120" w:line="276"/>
        <w:jc w:val="both"/>
      </w:pPr>
      <w:r>
        <w:rPr>
          <w:rFonts w:ascii="Barlow Semi Condensed" w:cs="Barlow Semi Condensed" w:eastAsia="Barlow Semi Condensed" w:hAnsi="Barlow Semi Condensed"/>
          <w:sz w:val="24"/>
          <w:szCs w:val="24"/>
        </w:rPr>
        <w:t xml:space="preserve">Blocco centosessantacinque. Il quadro atlantico e la questione della rete stay-behind: cornice da maneggiare come contesto, non come appartenenza: nessuna identità tra la struttura lisbonese e la rete clandestina atlantica è provata; Livello C su ogni saldatura.</w:t>
      </w:r>
    </w:p>
    <w:p>
      <w:pPr>
        <w:spacing w:after="120" w:line="276"/>
        <w:jc w:val="both"/>
      </w:pPr>
      <w:r>
        <w:rPr>
          <w:rFonts w:ascii="Barlow Semi Condensed" w:cs="Barlow Semi Condensed" w:eastAsia="Barlow Semi Condensed" w:hAnsi="Barlow Semi Condensed"/>
          <w:sz w:val="24"/>
          <w:szCs w:val="24"/>
        </w:rPr>
        <w:t xml:space="preserve">Blocco centosessantasei. La sintesi comparativa dell'elenco e la critica della fonte portoghese post-rivoluzionaria che lo genera: l'elenco dei committenti è testimonianza di servizio vincitore su servizio vinto, da pesare voce per voce: regola adottata.</w:t>
      </w:r>
    </w:p>
    <w:p>
      <w:pPr>
        <w:spacing w:after="120" w:line="276"/>
        <w:jc w:val="both"/>
      </w:pPr>
      <w:r>
        <w:rPr>
          <w:rFonts w:ascii="Barlow Semi Condensed" w:cs="Barlow Semi Condensed" w:eastAsia="Barlow Semi Condensed" w:hAnsi="Barlow Semi Condensed"/>
          <w:sz w:val="24"/>
          <w:szCs w:val="24"/>
        </w:rPr>
        <w:t xml:space="preserve">Lo Stato Zero orientale (blocchi centosessantasette–centosettantadue)</w:t>
      </w:r>
    </w:p>
    <w:p>
      <w:pPr>
        <w:spacing w:after="120" w:line="276"/>
        <w:jc w:val="both"/>
      </w:pPr>
      <w:r>
        <w:rPr>
          <w:rFonts w:ascii="Barlow Semi Condensed" w:cs="Barlow Semi Condensed" w:eastAsia="Barlow Semi Condensed" w:hAnsi="Barlow Semi Condensed"/>
          <w:sz w:val="24"/>
          <w:szCs w:val="24"/>
        </w:rPr>
        <w:t xml:space="preserve">Blocco centosessantasette. La dottrina della struttura fu anticomunismo da guerra fredda; la spaccatura sino-sovietica fu terreno operativo di copertura: Livello A documentale sui testi interni.</w:t>
      </w:r>
    </w:p>
    <w:p>
      <w:pPr>
        <w:spacing w:after="120" w:line="276"/>
        <w:jc w:val="both"/>
      </w:pPr>
      <w:r>
        <w:rPr>
          <w:rFonts w:ascii="Barlow Semi Condensed" w:cs="Barlow Semi Condensed" w:eastAsia="Barlow Semi Condensed" w:hAnsi="Barlow Semi Condensed"/>
          <w:sz w:val="24"/>
          <w:szCs w:val="24"/>
        </w:rPr>
        <w:t xml:space="preserve">Blocco centosessantotto. Il campo di battaglia reale fu l'Africa lusofona,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centosessantanove. Negli archivi oggi accessibili dell'Est non emergono fascicoli sulla struttura: Stato Zero quale esito di ricerca, distinto dalla prova di assenza per la distruzione massiccia dei fascicoli cecoslovacchi del millenovecentottantanove-novanta; verifica definitiva sugli indici analitici consegnata all'agenda.</w:t>
      </w:r>
    </w:p>
    <w:p>
      <w:pPr>
        <w:spacing w:after="120" w:line="276"/>
        <w:jc w:val="both"/>
      </w:pPr>
      <w:r>
        <w:rPr>
          <w:rFonts w:ascii="Barlow Semi Condensed" w:cs="Barlow Semi Condensed" w:eastAsia="Barlow Semi Condensed" w:hAnsi="Barlow Semi Condensed"/>
          <w:sz w:val="24"/>
          <w:szCs w:val="24"/>
        </w:rPr>
        <w:t xml:space="preserve">Blocco centosettanta. Il rapporto sul KGB in Europa consegnato da Delle Chiaie a Dimitri nel millenovecentosettantanove: certo l'episodio, possibile ogni lettura eccedente: Livello A sul fatto, Livello C su ogni inferenza.</w:t>
      </w:r>
    </w:p>
    <w:p>
      <w:pPr>
        <w:spacing w:after="120" w:line="276"/>
        <w:jc w:val="both"/>
      </w:pPr>
      <w:r>
        <w:rPr>
          <w:rFonts w:ascii="Barlow Semi Condensed" w:cs="Barlow Semi Condensed" w:eastAsia="Barlow Semi Condensed" w:hAnsi="Barlow Semi Condensed"/>
          <w:sz w:val="24"/>
          <w:szCs w:val="24"/>
        </w:rPr>
        <w:t xml:space="preserve">Blocco centosettantuno. Le piste orientali sulle stragi italiane quali depistaggi interni: certo per Bologna secondo le sentenze — già blocchi ventisei-ventotto — controverso per l'attentato al Papa: gradi distinti, saldature vietate.</w:t>
      </w:r>
    </w:p>
    <w:p>
      <w:pPr>
        <w:spacing w:after="120" w:line="276"/>
        <w:jc w:val="both"/>
      </w:pPr>
      <w:r>
        <w:rPr>
          <w:rFonts w:ascii="Barlow Semi Condensed" w:cs="Barlow Semi Condensed" w:eastAsia="Barlow Semi Condensed" w:hAnsi="Barlow Semi Condensed"/>
          <w:sz w:val="24"/>
          <w:szCs w:val="24"/>
        </w:rPr>
        <w:t xml:space="preserve">Blocco centosettantadue. Le raccomandazioni della monografia sul fronte orientale — trattare lo scontro come indiretto e ideologico, interrogare gli indici cecoslovacchi, verificare il fondo portoghese — adottate come agenda della sesta tranche.</w:t>
      </w:r>
    </w:p>
    <w:p>
      <w:pPr>
        <w:spacing w:after="120" w:line="276"/>
        <w:jc w:val="both"/>
      </w:pPr>
      <w:r>
        <w:rPr>
          <w:rFonts w:ascii="Barlow Semi Condensed" w:cs="Barlow Semi Condensed" w:eastAsia="Barlow Semi Condensed" w:hAnsi="Barlow Semi Condensed"/>
          <w:sz w:val="24"/>
          <w:szCs w:val="24"/>
        </w:rPr>
        <w:t xml:space="preserve">Il non-nesso Kissinger (blocchi centosettantatré–centosettantasei)</w:t>
      </w:r>
    </w:p>
    <w:p>
      <w:pPr>
        <w:spacing w:after="120" w:line="276"/>
        <w:jc w:val="both"/>
      </w:pPr>
      <w:r>
        <w:rPr>
          <w:rFonts w:ascii="Barlow Semi Condensed" w:cs="Barlow Semi Condensed" w:eastAsia="Barlow Semi Condensed" w:hAnsi="Barlow Semi Condensed"/>
          <w:sz w:val="24"/>
          <w:szCs w:val="24"/>
        </w:rPr>
        <w:t xml:space="preserve">Blocco centosettantatré. Il silenzio degli archivi statunitensi accessibili su ogni nome e sigla della struttura: certo con riserva sul classificato: Stato Zero di prima classe, con onere della prova spostato su chi afferma.</w:t>
      </w:r>
    </w:p>
    <w:p>
      <w:pPr>
        <w:spacing w:after="120" w:line="276"/>
        <w:jc w:val="both"/>
      </w:pPr>
      <w:r>
        <w:rPr>
          <w:rFonts w:ascii="Barlow Semi Condensed" w:cs="Barlow Semi Condensed" w:eastAsia="Barlow Semi Condensed" w:hAnsi="Barlow Semi Condensed"/>
          <w:sz w:val="24"/>
          <w:szCs w:val="24"/>
        </w:rPr>
        <w:t xml:space="preserve">Blocco centosettantaquattro. La cronologia scagiona il rapporto personale: la sovrapposizione temporale esiste, ma nel dossier portoghese direttamente trattato la struttura è già dissolta: certo.</w:t>
      </w:r>
    </w:p>
    <w:p>
      <w:pPr>
        <w:spacing w:after="120" w:line="276"/>
        <w:jc w:val="both"/>
      </w:pPr>
      <w:r>
        <w:rPr>
          <w:rFonts w:ascii="Barlow Semi Condensed" w:cs="Barlow Semi Condensed" w:eastAsia="Barlow Semi Condensed" w:hAnsi="Barlow Semi Condensed"/>
          <w:sz w:val="24"/>
          <w:szCs w:val="24"/>
        </w:rPr>
        <w:t xml:space="preserve">Blocco centosettantacinque. Le testimonianze italiane evocano la politica americana e l'agenzia, mai la persona quale anello verso la struttura o le stragi: altamente probabile, riversato a Livello B.</w:t>
      </w:r>
    </w:p>
    <w:p>
      <w:pPr>
        <w:spacing w:after="120" w:line="276"/>
        <w:jc w:val="both"/>
      </w:pPr>
      <w:r>
        <w:rPr>
          <w:rFonts w:ascii="Barlow Semi Condensed" w:cs="Barlow Semi Condensed" w:eastAsia="Barlow Semi Condensed" w:hAnsi="Barlow Semi Condensed"/>
          <w:sz w:val="24"/>
          <w:szCs w:val="24"/>
        </w:rPr>
        <w:t xml:space="preserve">Blocco centosettantasei. La tesi dell'addestramento del gruppo cileno: conflazione terziaria verosimilmente infondata, smentita dalla fonte che dovrebbe fondarla: rilievo critico verso la letteratura, non verso la monografia.</w:t>
      </w:r>
    </w:p>
    <w:p>
      <w:pPr>
        <w:spacing w:after="120" w:line="276"/>
        <w:jc w:val="both"/>
      </w:pPr>
      <w:r>
        <w:rPr>
          <w:rFonts w:ascii="Barlow Semi Condensed" w:cs="Barlow Semi Condensed" w:eastAsia="Barlow Semi Condensed" w:hAnsi="Barlow Semi Condensed"/>
          <w:sz w:val="24"/>
          <w:szCs w:val="24"/>
        </w:rPr>
        <w:t xml:space="preserve">L'asse religioso (blocchi centosettantasette–centottantaquattro)</w:t>
      </w:r>
    </w:p>
    <w:p>
      <w:pPr>
        <w:spacing w:after="120" w:line="276"/>
        <w:jc w:val="both"/>
      </w:pPr>
      <w:r>
        <w:rPr>
          <w:rFonts w:ascii="Barlow Semi Condensed" w:cs="Barlow Semi Condensed" w:eastAsia="Barlow Semi Condensed" w:hAnsi="Barlow Semi Condensed"/>
          <w:sz w:val="24"/>
          <w:szCs w:val="24"/>
        </w:rPr>
        <w:t xml:space="preserve">Blocco centosettantasette. La religiosità personale e organizzativa del fondatore: certa su fonti primarie — dichiarazioni di Vinciguerra, intervista, video-testamento, simbologia: Livello A.</w:t>
      </w:r>
    </w:p>
    <w:p>
      <w:pPr>
        <w:spacing w:after="120" w:line="276"/>
        <w:jc w:val="both"/>
      </w:pPr>
      <w:r>
        <w:rPr>
          <w:rFonts w:ascii="Barlow Semi Condensed" w:cs="Barlow Semi Condensed" w:eastAsia="Barlow Semi Condensed" w:hAnsi="Barlow Semi Condensed"/>
          <w:sz w:val="24"/>
          <w:szCs w:val="24"/>
        </w:rPr>
        <w:t xml:space="preserve">Blocco centosettantotto. Il verdetto tripartito dell'asse: personale certo, reti coeve certe ma nesso organizzativo probabile, livello vaticano non provato: recepito integralmente.</w:t>
      </w:r>
    </w:p>
    <w:p>
      <w:pPr>
        <w:spacing w:after="120" w:line="276"/>
        <w:jc w:val="both"/>
      </w:pPr>
      <w:r>
        <w:rPr>
          <w:rFonts w:ascii="Barlow Semi Condensed" w:cs="Barlow Semi Condensed" w:eastAsia="Barlow Semi Condensed" w:hAnsi="Barlow Semi Condensed"/>
          <w:sz w:val="24"/>
          <w:szCs w:val="24"/>
        </w:rPr>
        <w:t xml:space="preserve">Blocco centosettantanove. La preghiera attribuita è testo di Zirnheld: precisazione filologica, Livello A.</w:t>
      </w:r>
    </w:p>
    <w:p>
      <w:pPr>
        <w:spacing w:after="120" w:line="276"/>
        <w:jc w:val="both"/>
      </w:pPr>
      <w:r>
        <w:rPr>
          <w:rFonts w:ascii="Barlow Semi Condensed" w:cs="Barlow Semi Condensed" w:eastAsia="Barlow Semi Condensed" w:hAnsi="Barlow Semi Condensed"/>
          <w:sz w:val="24"/>
          <w:szCs w:val="24"/>
        </w:rPr>
        <w:t xml:space="preserve">Blocco centottanta. La formula documentata è quella del monaco soldato, non altre correnti nella letteratura: Livello A filologico.</w:t>
      </w:r>
    </w:p>
    <w:p>
      <w:pPr>
        <w:spacing w:after="120" w:line="276"/>
        <w:jc w:val="both"/>
      </w:pPr>
      <w:r>
        <w:rPr>
          <w:rFonts w:ascii="Barlow Semi Condensed" w:cs="Barlow Semi Condensed" w:eastAsia="Barlow Semi Condensed" w:hAnsi="Barlow Semi Condensed"/>
          <w:sz w:val="24"/>
          <w:szCs w:val="24"/>
        </w:rPr>
        <w:t xml:space="preserve">Blocco centottantuno. La simbologia templare dell'organizzazione di copertura, documentata dall'inchiesta giornalistica di riferimento: Livello B.</w:t>
      </w:r>
    </w:p>
    <w:p>
      <w:pPr>
        <w:spacing w:after="120" w:line="276"/>
        <w:jc w:val="both"/>
      </w:pPr>
      <w:r>
        <w:rPr>
          <w:rFonts w:ascii="Barlow Semi Condensed" w:cs="Barlow Semi Condensed" w:eastAsia="Barlow Semi Condensed" w:hAnsi="Barlow Semi Condensed"/>
          <w:sz w:val="24"/>
          <w:szCs w:val="24"/>
        </w:rPr>
        <w:t xml:space="preserve">Blocco centottantadue. La Cité catholique quale matrice dottrinale della crociata controrivoluzionaria e la filiera argentina documentata dall'inchiesta francese: esistenza e dottrina a Livello A; nesso organizzativo con Aginter a Livello C.</w:t>
      </w:r>
    </w:p>
    <w:p>
      <w:pPr>
        <w:spacing w:after="120" w:line="276"/>
        <w:jc w:val="both"/>
      </w:pPr>
      <w:r>
        <w:rPr>
          <w:rFonts w:ascii="Barlow Semi Condensed" w:cs="Barlow Semi Condensed" w:eastAsia="Barlow Semi Condensed" w:hAnsi="Barlow Semi Condensed"/>
          <w:sz w:val="24"/>
          <w:szCs w:val="24"/>
        </w:rPr>
        <w:t xml:space="preserve">Blocco centottantatré. Il nazional-cattolicesimo iberico e portoghese quale ambiente, e la frizione italiana tra integralismo e strategia: Livello B ambientale.</w:t>
      </w:r>
    </w:p>
    <w:p>
      <w:pPr>
        <w:spacing w:after="120" w:line="276"/>
        <w:jc w:val="both"/>
      </w:pPr>
      <w:r>
        <w:rPr>
          <w:rFonts w:ascii="Barlow Semi Condensed" w:cs="Barlow Semi Condensed" w:eastAsia="Barlow Semi Condensed" w:hAnsi="Barlow Semi Condensed"/>
          <w:sz w:val="24"/>
          <w:szCs w:val="24"/>
        </w:rPr>
        <w:t xml:space="preserve">Blocco centottantaquattro. Il livello vaticano istituzionale: non provato e in tensione documentata con la politica orientale della Santa Sede: Stato Zero con perimetro dichiarato.</w:t>
      </w:r>
    </w:p>
    <w:p>
      <w:pPr>
        <w:spacing w:after="120" w:line="276"/>
        <w:jc w:val="both"/>
      </w:pPr>
      <w:r>
        <w:rPr>
          <w:rFonts w:ascii="Barlow Semi Condensed" w:cs="Barlow Semi Condensed" w:eastAsia="Barlow Semi Condensed" w:hAnsi="Barlow Semi Condensed"/>
          <w:sz w:val="24"/>
          <w:szCs w:val="24"/>
        </w:rPr>
        <w:t xml:space="preserve">Il piano sudafricano (blocchi centottantacinque–centonovantadue)</w:t>
      </w:r>
    </w:p>
    <w:p>
      <w:pPr>
        <w:spacing w:after="120" w:line="276"/>
        <w:jc w:val="both"/>
      </w:pPr>
      <w:r>
        <w:rPr>
          <w:rFonts w:ascii="Barlow Semi Condensed" w:cs="Barlow Semi Condensed" w:eastAsia="Barlow Semi Condensed" w:hAnsi="Barlow Semi Condensed"/>
          <w:sz w:val="24"/>
          <w:szCs w:val="24"/>
        </w:rPr>
        <w:t xml:space="preserve">Blocco centottantacinque. Il legame con i servizi di Pretoria: catena unica di fonti dal rapporto portoghese alla letteratura: da verificare, Livello C, con soglia di revisione dichiarata.</w:t>
      </w:r>
    </w:p>
    <w:p>
      <w:pPr>
        <w:spacing w:after="120" w:line="276"/>
        <w:jc w:val="both"/>
      </w:pPr>
      <w:r>
        <w:rPr>
          <w:rFonts w:ascii="Barlow Semi Condensed" w:cs="Barlow Semi Condensed" w:eastAsia="Barlow Semi Condensed" w:hAnsi="Barlow Semi Condensed"/>
          <w:sz w:val="24"/>
          <w:szCs w:val="24"/>
        </w:rPr>
        <w:t xml:space="preserve">Blocco centottantasei. Il giudizio dello storico di riferimento sulla menzione: non verificata e improbabile: adottato quale peso critico.</w:t>
      </w:r>
    </w:p>
    <w:p>
      <w:pPr>
        <w:spacing w:after="120" w:line="276"/>
        <w:jc w:val="both"/>
      </w:pPr>
      <w:r>
        <w:rPr>
          <w:rFonts w:ascii="Barlow Semi Condensed" w:cs="Barlow Semi Condensed" w:eastAsia="Barlow Semi Condensed" w:hAnsi="Barlow Semi Condensed"/>
          <w:sz w:val="24"/>
          <w:szCs w:val="24"/>
        </w:rPr>
        <w:t xml:space="preserve">Blocco centottantasette. L'infiltrazione di Leroy nel fronte mozambicano nel millenovecentosessantotto-sessantanove nell'ambito dell'operazione della polizia politica: certo: Livello A.</w:t>
      </w:r>
    </w:p>
    <w:p>
      <w:pPr>
        <w:spacing w:after="120" w:line="276"/>
        <w:jc w:val="both"/>
      </w:pPr>
      <w:r>
        <w:rPr>
          <w:rFonts w:ascii="Barlow Semi Condensed" w:cs="Barlow Semi Condensed" w:eastAsia="Barlow Semi Condensed" w:hAnsi="Barlow Semi Condensed"/>
          <w:sz w:val="24"/>
          <w:szCs w:val="24"/>
        </w:rPr>
        <w:t xml:space="preserve">Blocco centottantotto. L'omicidio Mondlane: attribuzione contesa, iscritta come tale.</w:t>
      </w:r>
    </w:p>
    <w:p>
      <w:pPr>
        <w:spacing w:after="120" w:line="276"/>
        <w:jc w:val="both"/>
      </w:pPr>
      <w:r>
        <w:rPr>
          <w:rFonts w:ascii="Barlow Semi Condensed" w:cs="Barlow Semi Condensed" w:eastAsia="Barlow Semi Condensed" w:hAnsi="Barlow Semi Condensed"/>
          <w:sz w:val="24"/>
          <w:szCs w:val="24"/>
        </w:rPr>
        <w:t xml:space="preserve">Blocco centottantanove. Il santuario di persone e non di strutture: la protezione sudafricana dell'esecutore fino alla morte nel gennaio millenovecentonovantatré: Livello A.</w:t>
      </w:r>
    </w:p>
    <w:p>
      <w:pPr>
        <w:spacing w:after="120" w:line="276"/>
        <w:jc w:val="both"/>
      </w:pPr>
      <w:r>
        <w:rPr>
          <w:rFonts w:ascii="Barlow Semi Condensed" w:cs="Barlow Semi Condensed" w:eastAsia="Barlow Semi Condensed" w:hAnsi="Barlow Semi Condensed"/>
          <w:sz w:val="24"/>
          <w:szCs w:val="24"/>
        </w:rPr>
        <w:t xml:space="preserve">Blocco centonovanta. La confluenza di ex agenti della polizia politica nella guerriglia mozambicana passata all'intelligence militare di Pretoria nel millenovecentottanta: continuità di filiera documentata: Livello A; continuità di struttura non provata.</w:t>
      </w:r>
    </w:p>
    <w:p>
      <w:pPr>
        <w:spacing w:after="120" w:line="276"/>
        <w:jc w:val="both"/>
      </w:pPr>
      <w:r>
        <w:rPr>
          <w:rFonts w:ascii="Barlow Semi Condensed" w:cs="Barlow Semi Condensed" w:eastAsia="Barlow Semi Condensed" w:hAnsi="Barlow Semi Condensed"/>
          <w:sz w:val="24"/>
          <w:szCs w:val="24"/>
        </w:rPr>
        <w:t xml:space="preserve">Blocco centonovantuno. La cooperazione trilaterale dell'Africa australe senza la struttura nella storiografia archivistica: Stato Zero sulla partecipazione.</w:t>
      </w:r>
    </w:p>
    <w:p>
      <w:pPr>
        <w:spacing w:after="120" w:line="276"/>
        <w:jc w:val="both"/>
      </w:pPr>
      <w:r>
        <w:rPr>
          <w:rFonts w:ascii="Barlow Semi Condensed" w:cs="Barlow Semi Condensed" w:eastAsia="Barlow Semi Condensed" w:hAnsi="Barlow Semi Condensed"/>
          <w:sz w:val="24"/>
          <w:szCs w:val="24"/>
        </w:rPr>
        <w:t xml:space="preserve">Blocco centonovantadue. Gli omicidi esterni degli anni Ottanta: matrice interna sudafricana accertata dalla commissione per la verità, nessuna manovalanza della rete in esame: Livello A sulla matrice, Stato Zero dichiarato sul coinvolgimento.</w:t>
      </w:r>
    </w:p>
    <w:p>
      <w:pPr>
        <w:spacing w:after="120" w:line="276"/>
        <w:jc w:val="both"/>
      </w:pPr>
      <w:r>
        <w:rPr>
          <w:rFonts w:ascii="Barlow Semi Condensed" w:cs="Barlow Semi Condensed" w:eastAsia="Barlow Semi Condensed" w:hAnsi="Barlow Semi Condensed"/>
          <w:sz w:val="24"/>
          <w:szCs w:val="24"/>
        </w:rPr>
        <w:t xml:space="preserve">Il nodo svizzero (blocchi centonovantatré–centonovantotto)</w:t>
      </w:r>
    </w:p>
    <w:p>
      <w:pPr>
        <w:spacing w:after="120" w:line="276"/>
        <w:jc w:val="both"/>
      </w:pPr>
      <w:r>
        <w:rPr>
          <w:rFonts w:ascii="Barlow Semi Condensed" w:cs="Barlow Semi Condensed" w:eastAsia="Barlow Semi Condensed" w:hAnsi="Barlow Semi Condensed"/>
          <w:sz w:val="24"/>
          <w:szCs w:val="24"/>
        </w:rPr>
        <w:t xml:space="preserve">Blocco centonovantatré. L'inchiesta del novembre millenovecentosettantaquattro quale prima cartografia pubblica del nodo elvetico: Livello A quale atto giornalistico coevo.</w:t>
      </w:r>
    </w:p>
    <w:p>
      <w:pPr>
        <w:spacing w:after="120" w:line="276"/>
        <w:jc w:val="both"/>
      </w:pPr>
      <w:r>
        <w:rPr>
          <w:rFonts w:ascii="Barlow Semi Condensed" w:cs="Barlow Semi Condensed" w:eastAsia="Barlow Semi Condensed" w:hAnsi="Barlow Semi Condensed"/>
          <w:sz w:val="24"/>
          <w:szCs w:val="24"/>
        </w:rPr>
        <w:t xml:space="preserve">Blocco centonovantaquattro. Il canale del Nouvel Ordre Européen quale cerniera ideologico-organizzativa: Livello B.</w:t>
      </w:r>
    </w:p>
    <w:p>
      <w:pPr>
        <w:spacing w:after="120" w:line="276"/>
        <w:jc w:val="both"/>
      </w:pPr>
      <w:r>
        <w:rPr>
          <w:rFonts w:ascii="Barlow Semi Condensed" w:cs="Barlow Semi Condensed" w:eastAsia="Barlow Semi Condensed" w:hAnsi="Barlow Semi Condensed"/>
          <w:sz w:val="24"/>
          <w:szCs w:val="24"/>
        </w:rPr>
        <w:t xml:space="preserve">Blocco centonovantacinque. La piazza finanziaria quale retrovia dell'eversione nera, con l'orbita di Gelli: Livello B attributivo, da non saldare ai fatti già certificati della loggia se non per i nodi documentati.</w:t>
      </w:r>
    </w:p>
    <w:p>
      <w:pPr>
        <w:spacing w:after="120" w:line="276"/>
        <w:jc w:val="both"/>
      </w:pPr>
      <w:r>
        <w:rPr>
          <w:rFonts w:ascii="Barlow Semi Condensed" w:cs="Barlow Semi Condensed" w:eastAsia="Barlow Semi Condensed" w:hAnsi="Barlow Semi Condensed"/>
          <w:sz w:val="24"/>
          <w:szCs w:val="24"/>
        </w:rPr>
        <w:t xml:space="preserve">Blocco centonovantasei. Il banchiere Genoud quale figura di raccordo finanziario del neofascismo transnazionale: Livello B biografico-documentale.</w:t>
      </w:r>
    </w:p>
    <w:p>
      <w:pPr>
        <w:spacing w:after="120" w:line="276"/>
        <w:jc w:val="both"/>
      </w:pPr>
      <w:r>
        <w:rPr>
          <w:rFonts w:ascii="Barlow Semi Condensed" w:cs="Barlow Semi Condensed" w:eastAsia="Barlow Semi Condensed" w:hAnsi="Barlow Semi Condensed"/>
          <w:sz w:val="24"/>
          <w:szCs w:val="24"/>
        </w:rPr>
        <w:t xml:space="preserve">Blocco centonovantasette. La rete stay-behind elvetica e la critica filologica del suo nome: Livello B; rilievo sull'uso, in questa sezione, delle fonti deboli interdette.</w:t>
      </w:r>
    </w:p>
    <w:p>
      <w:pPr>
        <w:spacing w:after="120" w:line="276"/>
        <w:jc w:val="both"/>
      </w:pPr>
      <w:r>
        <w:rPr>
          <w:rFonts w:ascii="Barlow Semi Condensed" w:cs="Barlow Semi Condensed" w:eastAsia="Barlow Semi Condensed" w:hAnsi="Barlow Semi Condensed"/>
          <w:sz w:val="24"/>
          <w:szCs w:val="24"/>
        </w:rPr>
        <w:t xml:space="preserve">Blocco centonovantotto. Presenze, transiti e continuità post-settantaquattro sul territorio elvetico: Livello C attributivo.</w:t>
      </w:r>
    </w:p>
    <w:p>
      <w:pPr>
        <w:spacing w:after="120" w:line="276"/>
        <w:jc w:val="both"/>
      </w:pPr>
      <w:r>
        <w:rPr>
          <w:rFonts w:ascii="Barlow Semi Condensed" w:cs="Barlow Semi Condensed" w:eastAsia="Barlow Semi Condensed" w:hAnsi="Barlow Semi Condensed"/>
          <w:sz w:val="24"/>
          <w:szCs w:val="24"/>
        </w:rPr>
        <w:t xml:space="preserve">La proiezione latinoamericana (blocchi centonovantanove–duecentoquattro)</w:t>
      </w:r>
    </w:p>
    <w:p>
      <w:pPr>
        <w:spacing w:after="120" w:line="276"/>
        <w:jc w:val="both"/>
      </w:pPr>
      <w:r>
        <w:rPr>
          <w:rFonts w:ascii="Barlow Semi Condensed" w:cs="Barlow Semi Condensed" w:eastAsia="Barlow Semi Condensed" w:hAnsi="Barlow Semi Condensed"/>
          <w:sz w:val="24"/>
          <w:szCs w:val="24"/>
        </w:rPr>
        <w:t xml:space="preserve">Blocco centonovantanove. La proiezione come sistema, non come episodi: quadro adottato quale chiave di lettura, con gambe da vagliare paese per paese.</w:t>
      </w:r>
    </w:p>
    <w:p>
      <w:pPr>
        <w:spacing w:after="120" w:line="276"/>
        <w:jc w:val="both"/>
      </w:pPr>
      <w:r>
        <w:rPr>
          <w:rFonts w:ascii="Barlow Semi Condensed" w:cs="Barlow Semi Condensed" w:eastAsia="Barlow Semi Condensed" w:hAnsi="Barlow Semi Condensed"/>
          <w:sz w:val="24"/>
          <w:szCs w:val="24"/>
        </w:rPr>
        <w:t xml:space="preserve">Blocco duecento. Il Venezuela quale nodo prioritario della proiezione: Livello B documentale.</w:t>
      </w:r>
    </w:p>
    <w:p>
      <w:pPr>
        <w:spacing w:after="120" w:line="276"/>
        <w:jc w:val="both"/>
      </w:pPr>
      <w:r>
        <w:rPr>
          <w:rFonts w:ascii="Barlow Semi Condensed" w:cs="Barlow Semi Condensed" w:eastAsia="Barlow Semi Condensed" w:hAnsi="Barlow Semi Condensed"/>
          <w:sz w:val="24"/>
          <w:szCs w:val="24"/>
        </w:rPr>
        <w:t xml:space="preserve">Blocco duecentouno. Il Perù: Livello C.</w:t>
      </w:r>
    </w:p>
    <w:p>
      <w:pPr>
        <w:spacing w:after="120" w:line="276"/>
        <w:jc w:val="both"/>
      </w:pPr>
      <w:r>
        <w:rPr>
          <w:rFonts w:ascii="Barlow Semi Condensed" w:cs="Barlow Semi Condensed" w:eastAsia="Barlow Semi Condensed" w:hAnsi="Barlow Semi Condensed"/>
          <w:sz w:val="24"/>
          <w:szCs w:val="24"/>
        </w:rPr>
        <w:t xml:space="preserve">Blocco duecentodue. La Colombia: Livello C.</w:t>
      </w:r>
    </w:p>
    <w:p>
      <w:pPr>
        <w:spacing w:after="120" w:line="276"/>
        <w:jc w:val="both"/>
      </w:pPr>
      <w:r>
        <w:rPr>
          <w:rFonts w:ascii="Barlow Semi Condensed" w:cs="Barlow Semi Condensed" w:eastAsia="Barlow Semi Condensed" w:hAnsi="Barlow Semi Condensed"/>
          <w:sz w:val="24"/>
          <w:szCs w:val="24"/>
        </w:rPr>
        <w:t xml:space="preserve">Blocco duecentotré. L'Ecuador: Livello C.</w:t>
      </w:r>
    </w:p>
    <w:p>
      <w:pPr>
        <w:spacing w:after="120" w:line="276"/>
        <w:jc w:val="both"/>
      </w:pPr>
      <w:r>
        <w:rPr>
          <w:rFonts w:ascii="Barlow Semi Condensed" w:cs="Barlow Semi Condensed" w:eastAsia="Barlow Semi Condensed" w:hAnsi="Barlow Semi Condensed"/>
          <w:sz w:val="24"/>
          <w:szCs w:val="24"/>
        </w:rPr>
        <w:t xml:space="preserve">Blocco duecentoquattro. Le Guyane e il Suriname, con la sintesi comparata delle piste: Livello C; agenda di verifica dichiarata.</w:t>
      </w:r>
    </w:p>
    <w:p>
      <w:pPr>
        <w:spacing w:after="120" w:line="276"/>
        <w:jc w:val="both"/>
      </w:pPr>
      <w:r>
        <w:rPr>
          <w:rFonts w:ascii="Barlow Semi Condensed" w:cs="Barlow Semi Condensed" w:eastAsia="Barlow Semi Condensed" w:hAnsi="Barlow Semi Condensed"/>
          <w:sz w:val="24"/>
          <w:szCs w:val="24"/>
        </w:rPr>
        <w:t xml:space="preserve">Il Medio Oriente (blocchi duecentocinque–duecentodieci)</w:t>
      </w:r>
    </w:p>
    <w:p>
      <w:pPr>
        <w:spacing w:after="120" w:line="276"/>
        <w:jc w:val="both"/>
      </w:pPr>
      <w:r>
        <w:rPr>
          <w:rFonts w:ascii="Barlow Semi Condensed" w:cs="Barlow Semi Condensed" w:eastAsia="Barlow Semi Condensed" w:hAnsi="Barlow Semi Condensed"/>
          <w:sz w:val="24"/>
          <w:szCs w:val="24"/>
        </w:rPr>
        <w:t xml:space="preserve">Blocco duecentocinque. L'avvertenza metodologica sulla disambiguazione del mondo sciita: adottata.</w:t>
      </w:r>
    </w:p>
    <w:p>
      <w:pPr>
        <w:spacing w:after="120" w:line="276"/>
        <w:jc w:val="both"/>
      </w:pPr>
      <w:r>
        <w:rPr>
          <w:rFonts w:ascii="Barlow Semi Condensed" w:cs="Barlow Semi Condensed" w:eastAsia="Barlow Semi Condensed" w:hAnsi="Barlow Semi Condensed"/>
          <w:sz w:val="24"/>
          <w:szCs w:val="24"/>
        </w:rPr>
        <w:t xml:space="preserve">Blocco duecentosei. L'esito negativo generale sul Medio Oriente: Stato Zero dichiarato.</w:t>
      </w:r>
    </w:p>
    <w:p>
      <w:pPr>
        <w:spacing w:after="120" w:line="276"/>
        <w:jc w:val="both"/>
      </w:pPr>
      <w:r>
        <w:rPr>
          <w:rFonts w:ascii="Barlow Semi Condensed" w:cs="Barlow Semi Condensed" w:eastAsia="Barlow Semi Condensed" w:hAnsi="Barlow Semi Condensed"/>
          <w:sz w:val="24"/>
          <w:szCs w:val="24"/>
        </w:rPr>
        <w:t xml:space="preserve">Blocco duecentosette. La pista inversa dei reduci della rete in campo mediorientale: vagliata e lasciata a Livello C.</w:t>
      </w:r>
    </w:p>
    <w:p>
      <w:pPr>
        <w:spacing w:after="120" w:line="276"/>
        <w:jc w:val="both"/>
      </w:pPr>
      <w:r>
        <w:rPr>
          <w:rFonts w:ascii="Barlow Semi Condensed" w:cs="Barlow Semi Condensed" w:eastAsia="Barlow Semi Condensed" w:hAnsi="Barlow Semi Condensed"/>
          <w:sz w:val="24"/>
          <w:szCs w:val="24"/>
        </w:rPr>
        <w:t xml:space="preserve">Blocco duecentootto. Il milieu nero e i regimi baathisti filo-sovietici: contiguità ideologiche senza atto: Livello C.</w:t>
      </w:r>
    </w:p>
    <w:p>
      <w:pPr>
        <w:spacing w:after="120" w:line="276"/>
        <w:jc w:val="both"/>
      </w:pPr>
      <w:r>
        <w:rPr>
          <w:rFonts w:ascii="Barlow Semi Condensed" w:cs="Barlow Semi Condensed" w:eastAsia="Barlow Semi Condensed" w:hAnsi="Barlow Semi Condensed"/>
          <w:sz w:val="24"/>
          <w:szCs w:val="24"/>
        </w:rPr>
        <w:t xml:space="preserve">Blocco duecentonove. L'Iran quale caso speculare, unico pilastro sciita del campo atlantico nell'epoca: Livello A di quadro storico.</w:t>
      </w:r>
    </w:p>
    <w:p>
      <w:pPr>
        <w:spacing w:after="120" w:line="276"/>
        <w:jc w:val="both"/>
      </w:pPr>
      <w:r>
        <w:rPr>
          <w:rFonts w:ascii="Barlow Semi Condensed" w:cs="Barlow Semi Condensed" w:eastAsia="Barlow Semi Condensed" w:hAnsi="Barlow Semi Condensed"/>
          <w:sz w:val="24"/>
          <w:szCs w:val="24"/>
        </w:rPr>
        <w:t xml:space="preserve">Blocco duecentodieci. Il precedente yemenita: matrice mercenaria dell'organizzazione madre algerina, non della struttura lisbonese: distinzione adottata, Livello A sulla matrice.</w:t>
      </w:r>
    </w:p>
    <w:p>
      <w:pPr>
        <w:spacing w:after="120" w:line="276"/>
        <w:jc w:val="both"/>
      </w:pPr>
      <w:r>
        <w:rPr>
          <w:rFonts w:ascii="Barlow Semi Condensed" w:cs="Barlow Semi Condensed" w:eastAsia="Barlow Semi Condensed" w:hAnsi="Barlow Semi Condensed"/>
          <w:sz w:val="24"/>
          <w:szCs w:val="24"/>
        </w:rPr>
        <w:t xml:space="preserve">Le conclusioni della monografia (blocchi duecentoundici–duecentosedici)</w:t>
      </w:r>
    </w:p>
    <w:p>
      <w:pPr>
        <w:spacing w:after="120" w:line="276"/>
        <w:jc w:val="both"/>
      </w:pPr>
      <w:r>
        <w:rPr>
          <w:rFonts w:ascii="Barlow Semi Condensed" w:cs="Barlow Semi Condensed" w:eastAsia="Barlow Semi Condensed" w:hAnsi="Barlow Semi Condensed"/>
          <w:sz w:val="24"/>
          <w:szCs w:val="24"/>
        </w:rPr>
        <w:t xml:space="preserve">Blocco duecentoundici. La natura: struttura clandestina di guerra politica sotto copertura editoriale, non vera agenzia di stampa: Livello A.</w:t>
      </w:r>
    </w:p>
    <w:p>
      <w:pPr>
        <w:spacing w:after="120" w:line="276"/>
        <w:jc w:val="both"/>
      </w:pPr>
      <w:r>
        <w:rPr>
          <w:rFonts w:ascii="Barlow Semi Condensed" w:cs="Barlow Semi Condensed" w:eastAsia="Barlow Semi Condensed" w:hAnsi="Barlow Semi Condensed"/>
          <w:sz w:val="24"/>
          <w:szCs w:val="24"/>
        </w:rPr>
        <w:t xml:space="preserve">Blocco duecentododici. L'Italia quale teatro meglio documentato in sede giudiziaria: conforme al capitolo italiano certificato.</w:t>
      </w:r>
    </w:p>
    <w:p>
      <w:pPr>
        <w:spacing w:after="120" w:line="276"/>
        <w:jc w:val="both"/>
      </w:pPr>
      <w:r>
        <w:rPr>
          <w:rFonts w:ascii="Barlow Semi Condensed" w:cs="Barlow Semi Condensed" w:eastAsia="Barlow Semi Condensed" w:hAnsi="Barlow Semi Condensed"/>
          <w:sz w:val="24"/>
          <w:szCs w:val="24"/>
        </w:rPr>
        <w:t xml:space="preserve">Blocco duecentotredici. L'Africa quale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duecentoquattordici. La fine con la Rivoluzione dei Garofani: Livello A.</w:t>
      </w:r>
    </w:p>
    <w:p>
      <w:pPr>
        <w:spacing w:after="120" w:line="276"/>
        <w:jc w:val="both"/>
      </w:pPr>
      <w:r>
        <w:rPr>
          <w:rFonts w:ascii="Barlow Semi Condensed" w:cs="Barlow Semi Condensed" w:eastAsia="Barlow Semi Condensed" w:hAnsi="Barlow Semi Condensed"/>
          <w:sz w:val="24"/>
          <w:szCs w:val="24"/>
        </w:rPr>
        <w:t xml:space="preserve">Blocco duecentoquindici. Il quadro dei pilastri regionali del campo atlantico nell'area: Livello A di contesto.</w:t>
      </w:r>
    </w:p>
    <w:p>
      <w:pPr>
        <w:spacing w:after="120" w:line="276"/>
        <w:jc w:val="both"/>
      </w:pPr>
      <w:r>
        <w:rPr>
          <w:rFonts w:ascii="Barlow Semi Condensed" w:cs="Barlow Semi Condensed" w:eastAsia="Barlow Semi Condensed" w:hAnsi="Barlow Semi Condensed"/>
          <w:sz w:val="24"/>
          <w:szCs w:val="24"/>
        </w:rPr>
        <w:t xml:space="preserve">Blocco duecentosedici. Nessun legame documentato con il Golfo: Stato Zero dichiarato.</w:t>
      </w:r>
    </w:p>
    <w:p>
      <w:pPr>
        <w:spacing w:after="120" w:line="276"/>
        <w:jc w:val="both"/>
      </w:pPr>
      <w:r>
        <w:rPr>
          <w:rFonts w:ascii="Barlow Semi Condensed" w:cs="Barlow Semi Condensed" w:eastAsia="Barlow Semi Condensed" w:hAnsi="Barlow Semi Condensed"/>
          <w:sz w:val="24"/>
          <w:szCs w:val="24"/>
        </w:rPr>
        <w:t xml:space="preserve">La triangolazione con le monografie del corpus (blocchi duecentodiciassette–duecentoventidue)</w:t>
      </w:r>
    </w:p>
    <w:p>
      <w:pPr>
        <w:spacing w:after="120" w:line="276"/>
        <w:jc w:val="both"/>
      </w:pPr>
      <w:r>
        <w:rPr>
          <w:rFonts w:ascii="Barlow Semi Condensed" w:cs="Barlow Semi Condensed" w:eastAsia="Barlow Semi Condensed" w:hAnsi="Barlow Semi Condensed"/>
          <w:sz w:val="24"/>
          <w:szCs w:val="24"/>
        </w:rPr>
        <w:t xml:space="preserve">Blocco duecentodiciassette. Il registro analitico dei nodi del corpus sul cluster, del quattro agosto duemilaventisei: nodi gradati recepiti; la riconciliazione delle sette serie identificative autonome — trecentosessantacinque voci —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duecentodiciotto. La monografia anatomica sull'hub di Lisbona: triangolata, convergente con l'innesco su fondazione, committenti e capitolo italiano.</w:t>
      </w:r>
    </w:p>
    <w:p>
      <w:pPr>
        <w:spacing w:after="120" w:line="276"/>
        <w:jc w:val="both"/>
      </w:pPr>
      <w:r>
        <w:rPr>
          <w:rFonts w:ascii="Barlow Semi Condensed" w:cs="Barlow Semi Condensed" w:eastAsia="Barlow Semi Condensed" w:hAnsi="Barlow Semi Condensed"/>
          <w:sz w:val="24"/>
          <w:szCs w:val="24"/>
        </w:rPr>
        <w:t xml:space="preserve">Blocco duecentodiciannove. La mappa stratificata delle connessioni della rete: recepita quale strumento, con i gradi propri di ciascun arco.</w:t>
      </w:r>
    </w:p>
    <w:p>
      <w:pPr>
        <w:spacing w:after="120" w:line="276"/>
        <w:jc w:val="both"/>
      </w:pPr>
      <w:r>
        <w:rPr>
          <w:rFonts w:ascii="Barlow Semi Condensed" w:cs="Barlow Semi Condensed" w:eastAsia="Barlow Semi Condensed" w:hAnsi="Barlow Semi Condensed"/>
          <w:sz w:val="24"/>
          <w:szCs w:val="24"/>
        </w:rPr>
        <w:t xml:space="preserve">Blocco duecentoventi. Il profilo monografico su Delle Chiaie: recepito, con la discrepanza attivamente segnalata sul luogo di nascita — il dato consolidato è Caserta, tredici settembre millenovecentotrentasei, contro l'indicazione erronea di altra sede — e la morte del dieci settembre duemiladiciannove: Livello A; statuto del non più giudicabile per ogni valutazione.</w:t>
      </w:r>
    </w:p>
    <w:p>
      <w:pPr>
        <w:spacing w:after="120" w:line="276"/>
        <w:jc w:val="both"/>
      </w:pPr>
      <w:r>
        <w:rPr>
          <w:rFonts w:ascii="Barlow Semi Condensed" w:cs="Barlow Semi Condensed" w:eastAsia="Barlow Semi Condensed" w:hAnsi="Barlow Semi Condensed"/>
          <w:sz w:val="24"/>
          <w:szCs w:val="24"/>
        </w:rPr>
        <w:t xml:space="preserve">Blocco duecentoventuno. La monografia speculare sul non-nesso con Kissinger: doppia verifica indipendente convergente con il capitolo dell'innesco: lo Stato Zero ne esce rafforzato al massimo grado consentito a un esito negativo.</w:t>
      </w:r>
    </w:p>
    <w:p>
      <w:pPr>
        <w:spacing w:after="120" w:line="276"/>
        <w:jc w:val="both"/>
      </w:pPr>
      <w:r>
        <w:rPr>
          <w:rFonts w:ascii="Barlow Semi Condensed" w:cs="Barlow Semi Condensed" w:eastAsia="Barlow Semi Condensed" w:hAnsi="Barlow Semi Condensed"/>
          <w:sz w:val="24"/>
          <w:szCs w:val="24"/>
        </w:rPr>
        <w:t xml:space="preserve">Blocco duecentoventidue. La ricostruzione storiografica dal cluster lisbonese all'eurasiatismo filorusso: ponte analitico tra questa Fase e le Fasi seconda-nona, adottato quale ipotesi di lavoro a Livello C sulla continuità, con le singole gambe nei gradi già certificati.</w:t>
      </w:r>
    </w:p>
    <w:p>
      <w:pPr>
        <w:spacing w:after="120" w:line="276"/>
        <w:jc w:val="both"/>
      </w:pPr>
      <w:r>
        <w:rPr>
          <w:rFonts w:ascii="Barlow Semi Condensed" w:cs="Barlow Semi Condensed" w:eastAsia="Barlow Semi Condensed" w:hAnsi="Barlow Semi Condensed"/>
          <w:sz w:val="24"/>
          <w:szCs w:val="24"/>
        </w:rPr>
        <w:t xml:space="preserve">Le voci maggiori del censimento (blocchi duecentoventitré–duecentotrentadue)</w:t>
      </w:r>
    </w:p>
    <w:p>
      <w:pPr>
        <w:spacing w:after="120" w:line="276"/>
        <w:jc w:val="both"/>
      </w:pPr>
      <w:r>
        <w:rPr>
          <w:rFonts w:ascii="Barlow Semi Condensed" w:cs="Barlow Semi Condensed" w:eastAsia="Barlow Semi Condensed" w:hAnsi="Barlow Semi Condensed"/>
          <w:sz w:val="24"/>
          <w:szCs w:val="24"/>
        </w:rPr>
        <w:t xml:space="preserve">Blocco duecentoventitré. Nuclei Armati Rivoluzionari: attivi dal millenovecentosettantasette al millenovecentottantuno, responsabili di trentatré omicidi secondo la voce munita di note; la qualità di fondatore attribuita a Fioravanti è dall'interessato negata, e la negazione è parte del blocco: Livello A sul quadro, con la precisazione dichiarativa.</w:t>
      </w:r>
    </w:p>
    <w:p>
      <w:pPr>
        <w:spacing w:after="120" w:line="276"/>
        <w:jc w:val="both"/>
      </w:pPr>
      <w:r>
        <w:rPr>
          <w:rFonts w:ascii="Barlow Semi Condensed" w:cs="Barlow Semi Condensed" w:eastAsia="Barlow Semi Condensed" w:hAnsi="Barlow Semi Condensed"/>
          <w:sz w:val="24"/>
          <w:szCs w:val="24"/>
        </w:rPr>
        <w:t xml:space="preserve">Blocco duecentoventiquattro. Il primo omicidio del gruppo dopo i fatti di Acca Larentia e la parabola sino allo smantellamento: Livello A di cronologia giudiziaria.</w:t>
      </w:r>
    </w:p>
    <w:p>
      <w:pPr>
        <w:spacing w:after="120" w:line="276"/>
        <w:jc w:val="both"/>
      </w:pPr>
      <w:r>
        <w:rPr>
          <w:rFonts w:ascii="Barlow Semi Condensed" w:cs="Barlow Semi Condensed" w:eastAsia="Barlow Semi Condensed" w:hAnsi="Barlow Semi Condensed"/>
          <w:sz w:val="24"/>
          <w:szCs w:val="24"/>
        </w:rPr>
        <w:t xml:space="preserve">Blocco duecentoventicinque. Gli esiti giudiziari maggiori dei suoi esponenti: già certificati ai blocchi ventisei-ventinove per Bologna, con le formulazioni vincolanti che restano integrali.</w:t>
      </w:r>
    </w:p>
    <w:p>
      <w:pPr>
        <w:spacing w:after="120" w:line="276"/>
        <w:jc w:val="both"/>
      </w:pPr>
      <w:r>
        <w:rPr>
          <w:rFonts w:ascii="Barlow Semi Condensed" w:cs="Barlow Semi Condensed" w:eastAsia="Barlow Semi Condensed" w:hAnsi="Barlow Semi Condensed"/>
          <w:sz w:val="24"/>
          <w:szCs w:val="24"/>
        </w:rPr>
        <w:t xml:space="preserve">Blocco duecentoventisei. Operazione Gladio: la rivelazione del presidente del Consiglio alla Camera del ventiquattro ottobre millenovecentonovanta, preceduta dalla relazione alla Commissione stragi del diciassette ottobre e dall'autorizzazione al magistrato veneziano sugli atti di Peteano: Livello A.</w:t>
      </w:r>
    </w:p>
    <w:p>
      <w:pPr>
        <w:spacing w:after="120" w:line="276"/>
        <w:jc w:val="both"/>
      </w:pPr>
      <w:r>
        <w:rPr>
          <w:rFonts w:ascii="Barlow Semi Condensed" w:cs="Barlow Semi Condensed" w:eastAsia="Barlow Semi Condensed" w:hAnsi="Barlow Semi Condensed"/>
          <w:sz w:val="24"/>
          <w:szCs w:val="24"/>
        </w:rPr>
        <w:t xml:space="preserve">Blocco duecentoventisette. L'elenco dei seicentoventidue nominativi pubblicato e l'ipotesi — parlamentare, non giudicata — di una substruttura coperta: l'elenco sta a Livello A quale atto; l'ipotesi resta a Livello C e come tale è iscritta.</w:t>
      </w:r>
    </w:p>
    <w:p>
      <w:pPr>
        <w:spacing w:after="120" w:line="276"/>
        <w:jc w:val="both"/>
      </w:pPr>
      <w:r>
        <w:rPr>
          <w:rFonts w:ascii="Barlow Semi Condensed" w:cs="Barlow Semi Condensed" w:eastAsia="Barlow Semi Condensed" w:hAnsi="Barlow Semi Condensed"/>
          <w:sz w:val="24"/>
          <w:szCs w:val="24"/>
        </w:rPr>
        <w:t xml:space="preserve">Blocco duecentoventotto. Il rapporto tra la rete stay-behind e il cluster lisbonese: cornice comune atlantica senza identità provata, come al blocco centosessantacinque: saldature vietate.</w:t>
      </w:r>
    </w:p>
    <w:p>
      <w:pPr>
        <w:spacing w:after="120" w:line="276"/>
        <w:jc w:val="both"/>
      </w:pPr>
      <w:r>
        <w:rPr>
          <w:rFonts w:ascii="Barlow Semi Condensed" w:cs="Barlow Semi Condensed" w:eastAsia="Barlow Semi Condensed" w:hAnsi="Barlow Semi Condensed"/>
          <w:sz w:val="24"/>
          <w:szCs w:val="24"/>
        </w:rPr>
        <w:t xml:space="preserve">Blocco duecentoventinove. L'agguato di via Fani del sedici marzo millenovecentosettantotto: i cinque uomini della scorta uccisi — il maresciallo Leonardi, l'appuntato Ricci, le guardie Iozzino e Rivera, il vicebrigadiere Zizzi, spirato dopo il trasporto: Livello A.</w:t>
      </w:r>
    </w:p>
    <w:p>
      <w:pPr>
        <w:spacing w:after="120" w:line="276"/>
        <w:jc w:val="both"/>
      </w:pPr>
      <w:r>
        <w:rPr>
          <w:rFonts w:ascii="Barlow Semi Condensed" w:cs="Barlow Semi Condensed" w:eastAsia="Barlow Semi Condensed" w:hAnsi="Barlow Semi Condensed"/>
          <w:sz w:val="24"/>
          <w:szCs w:val="24"/>
        </w:rPr>
        <w:t xml:space="preserve">Blocco duecentotrenta. Le armi dell'agguato, tra cui la mitraglietta FNAB-43, e le perizie sui bossoli: Livello A sul quadro; il vaglio balistico integrale è consegnato ai registri d'armamento del corpus già costituiti.</w:t>
      </w:r>
    </w:p>
    <w:p>
      <w:pPr>
        <w:spacing w:after="120" w:line="276"/>
        <w:jc w:val="both"/>
      </w:pPr>
      <w:r>
        <w:rPr>
          <w:rFonts w:ascii="Barlow Semi Condensed" w:cs="Barlow Semi Condensed" w:eastAsia="Barlow Semi Condensed" w:hAnsi="Barlow Semi Condensed"/>
          <w:sz w:val="24"/>
          <w:szCs w:val="24"/>
        </w:rPr>
        <w:t xml:space="preserve">Blocco duecentotrentuno. Concutelli: nato a Roma il tre giugno millenovecentoquarantaquattro, morto a Roma il quindici marzo duemilaventitré; ergastolo per l'omicidio del giudice Occorsio del dieci luglio millenovecentosettantasei; in carcere, con Tuti, strangolò Buzzi, condannato in primo grado per piazza della Loggia e accusato nell'ambiente di delazione: Livello A; la strage bresciana ha altri condannati definitivi, come ai blocchi delle Fasi precedenti.</w:t>
      </w:r>
    </w:p>
    <w:p>
      <w:pPr>
        <w:spacing w:after="120" w:line="276"/>
        <w:jc w:val="both"/>
      </w:pPr>
      <w:r>
        <w:rPr>
          <w:rFonts w:ascii="Barlow Semi Condensed" w:cs="Barlow Semi Condensed" w:eastAsia="Barlow Semi Condensed" w:hAnsi="Barlow Semi Condensed"/>
          <w:sz w:val="24"/>
          <w:szCs w:val="24"/>
        </w:rPr>
        <w:t xml:space="preserve">Blocco duecentotrentadue. Antonino La Russa: Paternò, otto settembre millenovecentotredici — Milano, venti dicembre duemilaquattro; segretario politico del partito unico a Paternò nel millenovecentotrentotto, poi dirigente e parlamentare missino dal millenovecentocinquantatré: Livello A biografico; resta vincolante la formulazione della seconda tranche: nessuna responsabilità è trasmissibile ai congiunti, e ogni menzione dei figli resta nei perimetri già fissati.</w:t>
      </w:r>
    </w:p>
    <w:p>
      <w:pPr>
        <w:spacing w:after="120" w:line="276"/>
        <w:jc w:val="both"/>
      </w:pPr>
      <w:r>
        <w:rPr>
          <w:rFonts w:ascii="Barlow Semi Condensed" w:cs="Barlow Semi Condensed" w:eastAsia="Barlow Semi Condensed" w:hAnsi="Barlow Semi Condensed"/>
          <w:sz w:val="24"/>
          <w:szCs w:val="24"/>
        </w:rPr>
        <w:t xml:space="preserve">Le pendenze certificate e il sigillo (blocchi duecentotrentatré–duecentotrentotto)</w:t>
      </w:r>
    </w:p>
    <w:p>
      <w:pPr>
        <w:spacing w:after="120" w:line="276"/>
        <w:jc w:val="both"/>
      </w:pPr>
      <w:r>
        <w:rPr>
          <w:rFonts w:ascii="Barlow Semi Condensed" w:cs="Barlow Semi Condensed" w:eastAsia="Barlow Semi Condensed" w:hAnsi="Barlow Semi Condensed"/>
          <w:sz w:val="24"/>
          <w:szCs w:val="24"/>
        </w:rPr>
        <w:t xml:space="preserve">Blocco duecentotrentatré. I due contenitori recuperati quale testo semplice sotto estensione anomala: acquisiti; la copia alternativa della voce sulla Magliana è duplicato sostanziale della già estratta: dichiarato.</w:t>
      </w:r>
    </w:p>
    <w:p>
      <w:pPr>
        <w:spacing w:after="120" w:line="276"/>
        <w:jc w:val="both"/>
      </w:pPr>
      <w:r>
        <w:rPr>
          <w:rFonts w:ascii="Barlow Semi Condensed" w:cs="Barlow Semi Condensed" w:eastAsia="Barlow Semi Condensed" w:hAnsi="Barlow Semi Condensed"/>
          <w:sz w:val="24"/>
          <w:szCs w:val="24"/>
        </w:rPr>
        <w:t xml:space="preserve">Blocco duecentotrentaquattro. La voce-censimento sulle operazioni contro la 'ndrangheta: duecentocinquantacinque operazioni elencate e ottocentoquaranta indirizzi in apparato: acquisita quale censimento-quadro a Livello B di lista collaborativa, con rilievo di non-concordanza sulla data del primo grado di Montalto rispetto alla voce dedicata: divergenza iscritta, risoluzione rinviata alla fonte giudiziaria.</w:t>
      </w:r>
    </w:p>
    <w:p>
      <w:pPr>
        <w:spacing w:after="120" w:line="276"/>
        <w:jc w:val="both"/>
      </w:pPr>
      <w:r>
        <w:rPr>
          <w:rFonts w:ascii="Barlow Semi Condensed" w:cs="Barlow Semi Condensed" w:eastAsia="Barlow Semi Condensed" w:hAnsi="Barlow Semi Condensed"/>
          <w:sz w:val="24"/>
          <w:szCs w:val="24"/>
        </w:rPr>
        <w:t xml:space="preserve">Blocco duecentotrentacinque. Il censimento cumulativo: ventitré testi estratti, millesettecentoquarantasei URL unici, più i novecentosessantatré dell'innesco: mappa di lavoro consolidata.</w:t>
      </w:r>
    </w:p>
    <w:p>
      <w:pPr>
        <w:spacing w:after="120" w:line="276"/>
        <w:jc w:val="both"/>
      </w:pPr>
      <w:r>
        <w:rPr>
          <w:rFonts w:ascii="Barlow Semi Condensed" w:cs="Barlow Semi Condensed" w:eastAsia="Barlow Semi Condensed" w:hAnsi="Barlow Semi Condensed"/>
          <w:sz w:val="24"/>
          <w:szCs w:val="24"/>
        </w:rPr>
        <w:t xml:space="preserve">Blocco duecentotrentasei. Pizzolungo, verificato ora: quattro processi; assoluzioni irrevocabili degli imputati quali esecutori nel millenovecentonovanta-novantuno; ergastoli definitivi a Riina e Virga quali mandanti e, in altro giudizio, a Di Maggio e ad Antonino Madonia; esecutori individuati nel nuovo processo ma non più processabili; trent'anni definitivi a Galatolo il quattordici giugno duemilaventitré: Livello A; il nesso peritale tra esplosivi di più stragi resta riferito a Livello B.</w:t>
      </w:r>
    </w:p>
    <w:p>
      <w:pPr>
        <w:spacing w:after="120" w:line="276"/>
        <w:jc w:val="both"/>
      </w:pPr>
      <w:r>
        <w:rPr>
          <w:rFonts w:ascii="Barlow Semi Condensed" w:cs="Barlow Semi Condensed" w:eastAsia="Barlow Semi Condensed" w:hAnsi="Barlow Semi Condensed"/>
          <w:sz w:val="24"/>
          <w:szCs w:val="24"/>
        </w:rPr>
        <w:t xml:space="preserve">Blocco duecentotrentasette. Mattarella, monitoraggio con atti intervenuti: perizia genetica depositata il primo luglio duemilaventisei con esito negativo sulla fascetta della vettura dei killer; orientamento della Procura alla richiesta di archiviazione per i due indagati quali esecutori, riferito dalla stampa e non ancora deciso; mandanti definitivi fermi; presunzione integrale; nessuna comunicazione tra fascicoli.</w:t>
      </w:r>
    </w:p>
    <w:p>
      <w:pPr>
        <w:spacing w:after="120" w:line="276"/>
        <w:jc w:val="both"/>
      </w:pPr>
      <w:r>
        <w:rPr>
          <w:rFonts w:ascii="Barlow Semi Condensed" w:cs="Barlow Semi Condensed" w:eastAsia="Barlow Semi Condensed" w:hAnsi="Barlow Semi Condensed"/>
          <w:sz w:val="24"/>
          <w:szCs w:val="24"/>
        </w:rPr>
        <w:t xml:space="preserve">Blocco duecentotrentotto. Sigillo della quinta tranche: il registro raggiunge duecentotrentotto blocchi; le direzioni della sesta sono fissate in chiusa.</w:t>
      </w:r>
    </w:p>
    <w:p>
      <w:pPr>
        <w:spacing w:after="120" w:line="276"/>
        <w:jc w:val="both"/>
      </w:pPr>
      <w:r>
        <w:rPr>
          <w:rFonts w:ascii="Barlow Semi Condensed" w:cs="Barlow Semi Condensed" w:eastAsia="Barlow Semi Condensed" w:hAnsi="Barlow Semi Condensed"/>
          <w:sz w:val="24"/>
          <w:szCs w:val="24"/>
        </w:rPr>
        <w:t xml:space="preserve">10.11 — Rilievi per le persone viventi e chiusa della quinta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per Giuseppe Lucchese e Antonino Madonia, indagati nel fascicolo palermitano quali esecutori, la presunzione di innocenza è integrale, l'esito peritale negativo è parte obbligatoria di ogni menzione, l'orientamento all'archiviazione resta riferito sino all'atto, e le condanne definitive di Madonia per altri fatti — Pizzolungo compreso — appartengono ad altri fascicoli e non si comunicano a questo; per Carlo Palermo, magistrato bersaglio sopravvissuto e persona vivente, valgono i soli fatti pubblici della biografia istituzionale e giudiziaria; per Valerio Fioravanti la negazione della qualità di fondatore dei Nuclei è parte del blocco che la riguarda; per i familiari delle vittime — e per Margherita Asta, la cui testimonianza è agli atti del corpus — vale il perimetro del massimo rispetto e del solo dato pubblico; per i dichiaranti storici le parole restano pesate nel quadro dei riscontri, mai assunte da sole; per i defunti non più giudicabili — Guérin-Sérac, Delle Chiaie, Concutelli, gli esecutori irrevocabilmente assolti di Pizzolungo — vale lo statuto obbligatorio già fissato: nessuna colpevolezza può essere dichiarata né suggerita oltre i giudicati esistenti.</w:t>
      </w:r>
    </w:p>
    <w:p>
      <w:pPr>
        <w:spacing w:after="120" w:line="276"/>
        <w:jc w:val="both"/>
      </w:pPr>
      <w:r>
        <w:rPr>
          <w:rFonts w:ascii="Barlow Semi Condensed" w:cs="Barlow Semi Condensed" w:eastAsia="Barlow Semi Condensed" w:hAnsi="Barlow Semi Condensed"/>
          <w:sz w:val="24"/>
          <w:szCs w:val="24"/>
        </w:rPr>
        <w:t xml:space="preserve">La quinta tranche porta il registro a duecentotrentotto blocchi certificati e consegna alla sesta le seguenti direzioni: la riconciliazione delle sette serie identificative del registro analitico Aginter — trecentosessantacinque voci; la verifica alla fonte del rapporto portoghese trascritto da Laurent per il nodo sudafricano, con la soglia di revisione dichiarata; la consultazione degli studi lusofoni recenti e degli indici del fondo della polizia politica alla Torre do Tombo; l'interrogazione degli indici analitici cecoslovacchi per chiudere in via definitiva lo Stato Zero orientale; il vaglio delle voci d'armamento e della voce sul giovedì nero già estratte; la verifica ipertestuale a campione delle istantanee contro le pagine vive, dove il rischio dell'asserzione lo esiga; la risoluzione della divergenza di Montalto sulla fonte giudiziaria.</w:t>
      </w:r>
    </w:p>
    <w:p>
      <w:pPr>
        <w:pStyle w:val="Heading3"/>
        <w:spacing w:after="80" w:before="160"/>
      </w:pPr>
      <w:r>
        <w:rPr>
          <w:rFonts w:ascii="Barlow Semi Condensed" w:cs="Barlow Semi Condensed" w:eastAsia="Barlow Semi Condensed" w:hAnsi="Barlow Semi Condensed"/>
          <w:sz w:val="24"/>
          <w:szCs w:val="24"/>
        </w:rPr>
        <w:t xml:space="preserve">SESTA TRANCHE — FASE XI: IL CENSIMENTO GLOBALE DELLA CRIMINALITÀ ORGANIZZATA. IL VAGLIO DEI DODICI LIBRI, IL CAMPIONAMENTO ESTERNO E LE VOCI RESIDUE</w:t>
      </w:r>
    </w:p>
    <w:p>
      <w:pPr>
        <w:spacing w:after="120" w:line="276"/>
        <w:jc w:val="both"/>
      </w:pPr>
      <w:r>
        <w:rPr>
          <w:rFonts w:ascii="Barlow Semi Condensed" w:cs="Barlow Semi Condensed" w:eastAsia="Barlow Semi Condensed" w:hAnsi="Barlow Semi Condensed"/>
          <w:sz w:val="24"/>
          <w:szCs w:val="24"/>
        </w:rPr>
        <w:t xml:space="preserve">11.1 — Documento-innesco, statuto e metrica del censimento nominativo</w:t>
      </w:r>
    </w:p>
    <w:p>
      <w:pPr>
        <w:spacing w:after="120" w:line="276"/>
        <w:jc w:val="both"/>
      </w:pPr>
      <w:r>
        <w:rPr>
          <w:rFonts w:ascii="Barlow Semi Condensed" w:cs="Barlow Semi Condensed" w:eastAsia="Barlow Semi Condensed" w:hAnsi="Barlow Semi Condensed"/>
          <w:sz w:val="24"/>
          <w:szCs w:val="24"/>
        </w:rPr>
        <w:t xml:space="preserve">La sesta tranche è innescata dall'acquisizione del «Censimento globale della criminalità organizzata — Documento unico integrato», edizione composta l'undici agosto duemilaventisei: millecentootto pagine, struttura composita a dodici libri, dalla mappatura italiana ai fenomeni trasversali. La nota di composizione dichiara l'unificazione di due file sorgente con impronte crittografiche registrate, l'accertamento — eseguito in fase di composizione con confronto integrale, paragrafo per paragrafo — che la versione composita contiene per intero la versione integrale, e l'espunzione di sessanta frammenti redazionali estranei al testo, registrati in apposito log: il registro iscrive quest'ultima come credito di igiene documentale. Una delle due sorgenti dichiarate è presente nel corpus di progetto, e la genealogia è dunque verificabile alla fonte. Il corpo del documento non contiene alcun indirizzo di rete: il censimento degli URL restituisce zero per statuto, poiché l'apparato procede per fonti nominate e impronte, e la ricerca dei titoli si esaurisce nel registro delle sorgenti. Il perimetro quantitativo è imponente: le voci nominative numerate raggiungono il numero duemilaventitré, distribuite fra organizzazioni, clan, cartelli, reti e cellule dei cinque continenti. Il registro fissa in apertura la metrica che governa l'intero vaglio: un censimento nominativo è una mappa delle fonti, non un accertamento; ogni voce eredita il grado della fonte che la sostiene — Livello B dove la fonte istituzionale o accademica è nominata, Livello C dove non lo è — e nessuna voce fa prova autonoma di alcunché. La sezione monografica meglio documentata del censimento, quella su Aginter Press, è già stata enucleata e certificata in cento blocchi nella Fase decima: i rinvii sono incrociati.</w:t>
      </w:r>
    </w:p>
    <w:p>
      <w:pPr>
        <w:spacing w:after="120" w:line="276"/>
        <w:jc w:val="both"/>
      </w:pPr>
      <w:r>
        <w:rPr>
          <w:rFonts w:ascii="Barlow Semi Condensed" w:cs="Barlow Semi Condensed" w:eastAsia="Barlow Semi Condensed" w:hAnsi="Barlow Semi Condensed"/>
          <w:sz w:val="24"/>
          <w:szCs w:val="24"/>
        </w:rPr>
        <w:t xml:space="preserve">11.2 — Il Libro primo: l'Italia campo di battaglia</w:t>
      </w:r>
    </w:p>
    <w:p>
      <w:pPr>
        <w:spacing w:after="120" w:line="276"/>
        <w:jc w:val="both"/>
      </w:pPr>
      <w:r>
        <w:rPr>
          <w:rFonts w:ascii="Barlow Semi Condensed" w:cs="Barlow Semi Condensed" w:eastAsia="Barlow Semi Condensed" w:hAnsi="Barlow Semi Condensed"/>
          <w:sz w:val="24"/>
          <w:szCs w:val="24"/>
        </w:rPr>
        <w:t xml:space="preserve">Il Libro primo occupa da solo un quarto del corpo composito e si articola su due registri. Il primo è tematico: dieci capitoli sui porti — Gioia Tauro, Napoli, Salerno, Livorno, la rotta adriatica — sul contrabbando di sigarette e di carburante, sulla terra dei fuochi e sull'ecomafia, sul caporalato, sul gioco d'azzardo, sull'usura quale banca parallela, sulle energie rinnovabili, sulla sanità, sul calcio e sull'agroalimentare: materia consolidata nelle relazioni istituzionali e nella letteratura specializzata, che il registro certifica quale sintesi a Livello B con richiamo alla classe delle fonti — le relazioni della Direzione Investigativa Antimafia e della Direzione Nazionale, i rapporti della Global Initiative. Il secondo registro è storico-genealogico e costituisce la parte più originale del Libro: i capitoli sulle province di Agrigento e Palermo ricostruiscono i corridoi migratori transatlantici — Alessandria della Rocca verso Tampa, Casteltermini verso St. Louis, la Conca d'Oro verso le Cinque Famiglie di New York — con classifiche comunali per numero di affiliati e censimento dei ritorni documentati in Italia: è l'applicazione su scala del pattern dell'analisi dinastica e dei corridoi strutturali, che il registro accoglie quale ricostruzione di corpus a Livello B sulle gambe documentate e Livello C sulle estensioni, con campionamento dichiarato nella sezione settima.</w:t>
      </w:r>
    </w:p>
    <w:p>
      <w:pPr>
        <w:spacing w:after="120" w:line="276"/>
        <w:jc w:val="both"/>
      </w:pPr>
      <w:r>
        <w:rPr>
          <w:rFonts w:ascii="Barlow Semi Condensed" w:cs="Barlow Semi Condensed" w:eastAsia="Barlow Semi Condensed" w:hAnsi="Barlow Semi Condensed"/>
          <w:sz w:val="24"/>
          <w:szCs w:val="24"/>
        </w:rPr>
        <w:t xml:space="preserve">11.3 — I Libri dal secondo al sesto: Europa, Russia, Caucaso</w:t>
      </w:r>
    </w:p>
    <w:p>
      <w:pPr>
        <w:spacing w:after="120" w:line="276"/>
        <w:jc w:val="both"/>
      </w:pPr>
      <w:r>
        <w:rPr>
          <w:rFonts w:ascii="Barlow Semi Condensed" w:cs="Barlow Semi Condensed" w:eastAsia="Barlow Semi Condensed" w:hAnsi="Barlow Semi Condensed"/>
          <w:sz w:val="24"/>
          <w:szCs w:val="24"/>
        </w:rPr>
        <w:t xml:space="preserve">Il Libro secondo — Europa occidentale, Balcani e Turchia — trova nel corpus un contrappeso già gradato: il registro dei nodi eurasiatico-balcanici certifica a Livello A, su intercettazioni e indagini bancarie pubblicate dalle autorità di Skopje e Sarajevo, i flussi dalle compagnie militari private russe a singoli membri di gruppi etnonazionalisti balcanici, e indicizza i gruppi ultras — i Delije, i Grobari nelle fazioni rivali, sino alle formazioni neonaziste — quale dispositivo di reclutamento; le stime convergenti sui foreign fighters balcanici verso il teatro siro-iracheno stanno fra le mille e le millecinquecento partenze. Il Libro quarto e il corpus si saldano sugli effetti della guerra ucraina: la rete Khimprom delle droghe sintetiche, i millecinquecento call center fraudolenti della rete Dniprovski con i casi di frode triplicati, l'esplosione dei sequestri d'armi fra il duemilaventuno e il duemilaventitré — dati di sintesi su fonti ucraine, Livello B. Il Libro quinto e il sesto — Russia, spazio post-sovietico, Caucaso — poggiano sulle voci-quadro dei vory v zakone e della Solntsevskaya, triangolate con la monografia del corpus sulle reti criminali russe e con gli atti del Senato statunitense sulle misure attive: quadro a Livello B, con le singole saldature crimine-Stato nei gradi già fissati dalle Fasi precedenti.</w:t>
      </w:r>
    </w:p>
    <w:p>
      <w:pPr>
        <w:spacing w:after="120" w:line="276"/>
        <w:jc w:val="both"/>
      </w:pPr>
      <w:r>
        <w:rPr>
          <w:rFonts w:ascii="Barlow Semi Condensed" w:cs="Barlow Semi Condensed" w:eastAsia="Barlow Semi Condensed" w:hAnsi="Barlow Semi Condensed"/>
          <w:sz w:val="24"/>
          <w:szCs w:val="24"/>
        </w:rPr>
        <w:t xml:space="preserve">11.4 — I Libri dal settimo all'undicesimo: il mondo extra-europeo</w:t>
      </w:r>
    </w:p>
    <w:p>
      <w:pPr>
        <w:spacing w:after="120" w:line="276"/>
        <w:jc w:val="both"/>
      </w:pPr>
      <w:r>
        <w:rPr>
          <w:rFonts w:ascii="Barlow Semi Condensed" w:cs="Barlow Semi Condensed" w:eastAsia="Barlow Semi Condensed" w:hAnsi="Barlow Semi Condensed"/>
          <w:sz w:val="24"/>
          <w:szCs w:val="24"/>
        </w:rPr>
        <w:t xml:space="preserve">Il vaglio dei Libri extra-europei procede per voci-quadro e nodi campionati. Il Medio Oriente e il Nordafrica includono il versante finanziario delle organizzazioni politico-militari, triangolato con la monografia del corpus sull'impronta globale del Partito di Dio; l'Africa subsahariana è dominata dal fenomeno delle confraternite nigeriane, su cui la classe di fonti Global Initiative regge il Livello B; gli Stati Uniti presentano il censimento delle Cinque Famiglie e della criminalità organizzata italoamericana, che si salda ai corridoi transatlantici del Libro primo; le Americhe allineano i cartelli messicani, le organizzazioni brasiliane — il Primeiro Comando da Capital con la scheda del suo capo detenuto, il Comando Vermelho — e la voce settecentosettantanove sulle gang haitiane; l'Asia-Pacifico censisce Triadi e Yakuza, con la voce trentasette sulla maggiore organizzazione giapponese. Il Libro dodicesimo chiude sui fenomeni trasversali — rotte del narcotraffico, riciclaggio, criminalità informatica, tratta, convergenza fra crimine e terrorismo — quale grammatica comune dei precedenti undici: sintesi a Livello B.</w:t>
      </w:r>
    </w:p>
    <w:p>
      <w:pPr>
        <w:spacing w:after="120" w:line="276"/>
        <w:jc w:val="both"/>
      </w:pPr>
      <w:r>
        <w:rPr>
          <w:rFonts w:ascii="Barlow Semi Condensed" w:cs="Barlow Semi Condensed" w:eastAsia="Barlow Semi Condensed" w:hAnsi="Barlow Semi Condensed"/>
          <w:sz w:val="24"/>
          <w:szCs w:val="24"/>
        </w:rPr>
        <w:t xml:space="preserve">11.5 — Triangolazione con il corpus e Indice di Contaminazione</w:t>
      </w:r>
    </w:p>
    <w:p>
      <w:pPr>
        <w:spacing w:after="120" w:line="276"/>
        <w:jc w:val="both"/>
      </w:pPr>
      <w:r>
        <w:rPr>
          <w:rFonts w:ascii="Barlow Semi Condensed" w:cs="Barlow Semi Condensed" w:eastAsia="Barlow Semi Condensed" w:hAnsi="Barlow Semi Condensed"/>
          <w:sz w:val="24"/>
          <w:szCs w:val="24"/>
        </w:rPr>
        <w:t xml:space="preserve">La triangolazione con il corpus è a doppio senso: il censimento fornisce l'ossatura nominativa che i registri tematici del progetto — eurasiatico-balcanico, russo, laziale, italiano — riempiono di gradi; e i registri restituiscono al censimento i loro Livelli A già certificati sui nodi coincidenti. La lista delle duecentocinquantacinque operazioni contro la 'ndrangheta, recuperata nella quinta tranche, funge da lista di controllo incrociata per il Libro primo. Il censimento parallelo dei politici italiani nei procedimenti penali resta progetto distinto con perimetri propri, e i due censimenti non si comunicano voci. Sul piano dell'Indice di Contaminazione delle Fonti il registro dichiara il rischio strutturale del genere-censimento: molte voci derivano da un perimetro finito di rapporti istituzionali e accademici, sicché voci formalmente distinte possono discendere dalla medesima catena; la regola è che la molteplicità delle voci non aumenta il grado se la sorgente è una.</w:t>
      </w:r>
    </w:p>
    <w:p>
      <w:pPr>
        <w:spacing w:after="120" w:line="276"/>
        <w:jc w:val="both"/>
      </w:pPr>
      <w:r>
        <w:rPr>
          <w:rFonts w:ascii="Barlow Semi Condensed" w:cs="Barlow Semi Condensed" w:eastAsia="Barlow Semi Condensed" w:hAnsi="Barlow Semi Condensed"/>
          <w:sz w:val="24"/>
          <w:szCs w:val="24"/>
        </w:rPr>
        <w:t xml:space="preserve">11.6 — Il campionamento esterno</w:t>
      </w:r>
    </w:p>
    <w:p>
      <w:pPr>
        <w:spacing w:after="120" w:line="276"/>
        <w:jc w:val="both"/>
      </w:pPr>
      <w:r>
        <w:rPr>
          <w:rFonts w:ascii="Barlow Semi Condensed" w:cs="Barlow Semi Condensed" w:eastAsia="Barlow Semi Condensed" w:hAnsi="Barlow Semi Condensed"/>
          <w:sz w:val="24"/>
          <w:szCs w:val="24"/>
        </w:rPr>
        <w:t xml:space="preserve">Dieci nodi del censimento sono stati sottoposti a controllo esterno, per conoscenza stabile certificabile o per verifica in rete condotta in questa sessione. L'esito complessivo è di concordanza piena sui dieci nodi verificati, con due rilievi di copertura: il nome in codice della vasta operazione europea del tre maggio duemilaventitré contro la 'ndrangheta non compare nel testo, e taluni orizzonti temporali delle voci restano fermi ad anni diversi — eterogeneità di aggiornamento dichiarata. Gli esiti puntuali sono ai blocchi trecentodue-trecentoventuno.</w:t>
      </w:r>
    </w:p>
    <w:p>
      <w:pPr>
        <w:spacing w:after="120" w:line="276"/>
        <w:jc w:val="both"/>
      </w:pPr>
      <w:r>
        <w:rPr>
          <w:rFonts w:ascii="Barlow Semi Condensed" w:cs="Barlow Semi Condensed" w:eastAsia="Barlow Semi Condensed" w:hAnsi="Barlow Semi Condensed"/>
          <w:sz w:val="24"/>
          <w:szCs w:val="24"/>
        </w:rPr>
        <w:t xml:space="preserve">11.7 — Le voci residue e la risoluzione di Montalto</w:t>
      </w:r>
    </w:p>
    <w:p>
      <w:pPr>
        <w:spacing w:after="120" w:line="276"/>
        <w:jc w:val="both"/>
      </w:pPr>
      <w:r>
        <w:rPr>
          <w:rFonts w:ascii="Barlow Semi Condensed" w:cs="Barlow Semi Condensed" w:eastAsia="Barlow Semi Condensed" w:hAnsi="Barlow Semi Condensed"/>
          <w:sz w:val="24"/>
          <w:szCs w:val="24"/>
        </w:rPr>
        <w:t xml:space="preserve">La tranche chiude le voci consegnate dalla quinta: le tre voci d'armamento Beretta, la voce sul giovedì nero di Milano, le voci Magliana, Nuova Camorra Organizzata, Occorsio e Mattarella, tutte ai blocchi trecentoventidue-trecentotrentuno. Soprattutto, la divergenza sulla data del primo grado di Montalto è risolta alla fonte giudiziaria: la fonte specialistica cita testualmente la sentenza del Tribunale di Locri del due ottobre millenovecentosettanta, con numero di pagina; la data prevale a Livello A, mentre l'indicazione enciclopedica del ventiquattro marzo millenovecentosettantuno resta annotata quale discordanza, verosimilmente riferita ad altro segmento processuale. La verifica ha inoltre restituito la rilettura del summit operata dalla sentenza Gotha, con le dichiarazioni del collaboratore Serpa sui nomi dell'eversione nera e con le cautele del collegio medesimo — la presenza di Concutelli è contraddetta dalla sua detenzione accertata all'epoca: materiale processuale a Livello B, con la Regola Ferrea a presidio di ogni inferenza storica.</w:t>
      </w:r>
    </w:p>
    <w:p>
      <w:pPr>
        <w:spacing w:after="120" w:line="276"/>
        <w:jc w:val="both"/>
      </w:pPr>
      <w:r>
        <w:rPr>
          <w:rFonts w:ascii="Barlow Semi Condensed" w:cs="Barlow Semi Condensed" w:eastAsia="Barlow Semi Condensed" w:hAnsi="Barlow Semi Condensed"/>
          <w:sz w:val="24"/>
          <w:szCs w:val="24"/>
        </w:rPr>
        <w:t xml:space="preserve">11.8 — Aggiornamento della matrice ACH e principio del lampione</w:t>
      </w:r>
    </w:p>
    <w:p>
      <w:pPr>
        <w:spacing w:after="120" w:line="276"/>
        <w:jc w:val="both"/>
      </w:pPr>
      <w:r>
        <w:rPr>
          <w:rFonts w:ascii="Barlow Semi Condensed" w:cs="Barlow Semi Condensed" w:eastAsia="Barlow Semi Condensed" w:hAnsi="Barlow Semi Condensed"/>
          <w:sz w:val="24"/>
          <w:szCs w:val="24"/>
        </w:rPr>
        <w:t xml:space="preserve">Il censimento fornisce alla matrice l'ossatura del Dominio primo su scala mondiale, ma non tocca le ipotesi maggiori: nulla vi milita a favore di H1, e la pluralità irriducibile delle regie criminali — per continente, per mercato, per epoca — rafforza semmai H3. I corridoi transatlantici del Libro primo arricchiscono i pattern dei flussi e delle dinastie. La tranche iscrive infine, quale principio permanente di metodo, l'effetto lampione: la densità documentaria misura l'attenzione delle fonti, non l'intensità storica dei fenomeni; un censimento è la mappa di ciò che è stato illuminato, e le sue lacune — come quella campionata sull'operazione del maggio duemilaventitré — sono zone d'ombra del lampione, non del mondo.</w:t>
      </w:r>
    </w:p>
    <w:p>
      <w:pPr>
        <w:spacing w:after="120" w:line="276"/>
        <w:jc w:val="both"/>
      </w:pPr>
      <w:r>
        <w:rPr>
          <w:rFonts w:ascii="Barlow Semi Condensed" w:cs="Barlow Semi Condensed" w:eastAsia="Barlow Semi Condensed" w:hAnsi="Barlow Semi Condensed"/>
          <w:sz w:val="24"/>
          <w:szCs w:val="24"/>
        </w:rPr>
        <w:t xml:space="preserve">11.9 — Registro dei blocchi di verifica: blocchi duecentotrentanove–trecentotrentotto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esterna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duecentotrentanove–duecentoquarantatré)</w:t>
      </w:r>
    </w:p>
    <w:p>
      <w:pPr>
        <w:spacing w:after="120" w:line="276"/>
        <w:jc w:val="both"/>
      </w:pPr>
      <w:r>
        <w:rPr>
          <w:rFonts w:ascii="Barlow Semi Condensed" w:cs="Barlow Semi Condensed" w:eastAsia="Barlow Semi Condensed" w:hAnsi="Barlow Semi Condensed"/>
          <w:sz w:val="24"/>
          <w:szCs w:val="24"/>
        </w:rPr>
        <w:t xml:space="preserve">Blocco duecentotrentanove. Il documento-innesco: millecentootto pagine, dodici libri, nota di composizione con confronto integrale dichiarato, registro delle sorgenti a impronte crittografiche, espunzione di sessanta frammenti redazionali con log: Livello A quale atto del corpus, con credito di igiene documentale.</w:t>
      </w:r>
    </w:p>
    <w:p>
      <w:pPr>
        <w:spacing w:after="120" w:line="276"/>
        <w:jc w:val="both"/>
      </w:pPr>
      <w:r>
        <w:rPr>
          <w:rFonts w:ascii="Barlow Semi Condensed" w:cs="Barlow Semi Condensed" w:eastAsia="Barlow Semi Condensed" w:hAnsi="Barlow Semi Condensed"/>
          <w:sz w:val="24"/>
          <w:szCs w:val="24"/>
        </w:rPr>
        <w:t xml:space="preserve">Blocco duecentoquaranta. La genealogia verificabile: una delle due sorgenti dichiarate è presente nel corpus di progetto con impronta corrispondente: catena di composizione a Livello A.</w:t>
      </w:r>
    </w:p>
    <w:p>
      <w:pPr>
        <w:spacing w:after="120" w:line="276"/>
        <w:jc w:val="both"/>
      </w:pPr>
      <w:r>
        <w:rPr>
          <w:rFonts w:ascii="Barlow Semi Condensed" w:cs="Barlow Semi Condensed" w:eastAsia="Barlow Semi Condensed" w:hAnsi="Barlow Semi Condensed"/>
          <w:sz w:val="24"/>
          <w:szCs w:val="24"/>
        </w:rPr>
        <w:t xml:space="preserve">Blocco duecentoquarantuno. Zero indirizzi di rete nel corpo: apparato per fonti nominate; il censimento URL dell'innesco restituisce zero per statuto, e la mappa cumulativa resta quella delle tranche precedenti.</w:t>
      </w:r>
    </w:p>
    <w:p>
      <w:pPr>
        <w:spacing w:after="120" w:line="276"/>
        <w:jc w:val="both"/>
      </w:pPr>
      <w:r>
        <w:rPr>
          <w:rFonts w:ascii="Barlow Semi Condensed" w:cs="Barlow Semi Condensed" w:eastAsia="Barlow Semi Condensed" w:hAnsi="Barlow Semi Condensed"/>
          <w:sz w:val="24"/>
          <w:szCs w:val="24"/>
        </w:rPr>
        <w:t xml:space="preserve">Blocco duecentoquarantadue. Il perimetro: voci nominative numerate sino a duemilaventitré, dodici libri, dall'Italia ai fenomeni trasversali: perimetro iscritto; la continuità delle serie di numerazione non è verificata voce per voce e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duecentoquarantatré. La metrica del censimento nominativo: ogni voce eredita il grado della propria fonte — Livello B con fonte nominata, Livello C senza — e nessuna voce fa prova autonoma; la sezione Aginter, già enucleata, è certificata nella Fase decima e i rinvii sono incrociati.</w:t>
      </w:r>
    </w:p>
    <w:p>
      <w:pPr>
        <w:spacing w:after="120" w:line="276"/>
        <w:jc w:val="both"/>
      </w:pPr>
      <w:r>
        <w:rPr>
          <w:rFonts w:ascii="Barlow Semi Condensed" w:cs="Barlow Semi Condensed" w:eastAsia="Barlow Semi Condensed" w:hAnsi="Barlow Semi Condensed"/>
          <w:sz w:val="24"/>
          <w:szCs w:val="24"/>
        </w:rPr>
        <w:t xml:space="preserve">Il Libro primo, capitoli tematici (blocchi duecentoquarantaquattro–duecentocinquantatré)</w:t>
      </w:r>
    </w:p>
    <w:p>
      <w:pPr>
        <w:spacing w:after="120" w:line="276"/>
        <w:jc w:val="both"/>
      </w:pPr>
      <w:r>
        <w:rPr>
          <w:rFonts w:ascii="Barlow Semi Condensed" w:cs="Barlow Semi Condensed" w:eastAsia="Barlow Semi Condensed" w:hAnsi="Barlow Semi Condensed"/>
          <w:sz w:val="24"/>
          <w:szCs w:val="24"/>
        </w:rPr>
        <w:t xml:space="preserve">Blocco duecentoquarantaquattro. I porti — Gioia Tauro, Napoli, Salerno, Livorno — e la rotta adriatica quali infrastrutture del narcotraffico: sintesi a Livello B sulla classe delle fonti istituzionali.</w:t>
      </w:r>
    </w:p>
    <w:p>
      <w:pPr>
        <w:spacing w:after="120" w:line="276"/>
        <w:jc w:val="both"/>
      </w:pPr>
      <w:r>
        <w:rPr>
          <w:rFonts w:ascii="Barlow Semi Condensed" w:cs="Barlow Semi Condensed" w:eastAsia="Barlow Semi Condensed" w:hAnsi="Barlow Semi Condensed"/>
          <w:sz w:val="24"/>
          <w:szCs w:val="24"/>
        </w:rPr>
        <w:t xml:space="preserve">Blocco duecentoquarantacinque. Il contrabbando di sigarette e di carburante: Livello B.</w:t>
      </w:r>
    </w:p>
    <w:p>
      <w:pPr>
        <w:spacing w:after="120" w:line="276"/>
        <w:jc w:val="both"/>
      </w:pPr>
      <w:r>
        <w:rPr>
          <w:rFonts w:ascii="Barlow Semi Condensed" w:cs="Barlow Semi Condensed" w:eastAsia="Barlow Semi Condensed" w:hAnsi="Barlow Semi Condensed"/>
          <w:sz w:val="24"/>
          <w:szCs w:val="24"/>
        </w:rPr>
        <w:t xml:space="preserve">Blocco duecentoquarantasei. La terra dei fuochi e l'ecomafia, il ciclo illegale dei rifiuti: Livello B, con radicamento giudiziario consolidato.</w:t>
      </w:r>
    </w:p>
    <w:p>
      <w:pPr>
        <w:spacing w:after="120" w:line="276"/>
        <w:jc w:val="both"/>
      </w:pPr>
      <w:r>
        <w:rPr>
          <w:rFonts w:ascii="Barlow Semi Condensed" w:cs="Barlow Semi Condensed" w:eastAsia="Barlow Semi Condensed" w:hAnsi="Barlow Semi Condensed"/>
          <w:sz w:val="24"/>
          <w:szCs w:val="24"/>
        </w:rPr>
        <w:t xml:space="preserve">Blocco duecentoquarantasette. Il caporalato e lo sfruttamento dei lavoratori migranti: Livello B.</w:t>
      </w:r>
    </w:p>
    <w:p>
      <w:pPr>
        <w:spacing w:after="120" w:line="276"/>
        <w:jc w:val="both"/>
      </w:pPr>
      <w:r>
        <w:rPr>
          <w:rFonts w:ascii="Barlow Semi Condensed" w:cs="Barlow Semi Condensed" w:eastAsia="Barlow Semi Condensed" w:hAnsi="Barlow Semi Condensed"/>
          <w:sz w:val="24"/>
          <w:szCs w:val="24"/>
        </w:rPr>
        <w:t xml:space="preserve">Blocco duecentoquarantotto. Il gioco d'azzardo e le scommesse in rete: infiltrazione documentata: Livello B.</w:t>
      </w:r>
    </w:p>
    <w:p>
      <w:pPr>
        <w:spacing w:after="120" w:line="276"/>
        <w:jc w:val="both"/>
      </w:pPr>
      <w:r>
        <w:rPr>
          <w:rFonts w:ascii="Barlow Semi Condensed" w:cs="Barlow Semi Condensed" w:eastAsia="Barlow Semi Condensed" w:hAnsi="Barlow Semi Condensed"/>
          <w:sz w:val="24"/>
          <w:szCs w:val="24"/>
        </w:rPr>
        <w:t xml:space="preserve">Blocco duecentoquarantanove. L'usura quale banca parallela della mafia: Livello B.</w:t>
      </w:r>
    </w:p>
    <w:p>
      <w:pPr>
        <w:spacing w:after="120" w:line="276"/>
        <w:jc w:val="both"/>
      </w:pPr>
      <w:r>
        <w:rPr>
          <w:rFonts w:ascii="Barlow Semi Condensed" w:cs="Barlow Semi Condensed" w:eastAsia="Barlow Semi Condensed" w:hAnsi="Barlow Semi Condensed"/>
          <w:sz w:val="24"/>
          <w:szCs w:val="24"/>
        </w:rPr>
        <w:t xml:space="preserve">Blocco duecentocinquanta. Le energie rinnovabili, l'eolico e il fotovoltaico: Livello B, con i sequestri storici quale ancoraggio.</w:t>
      </w:r>
    </w:p>
    <w:p>
      <w:pPr>
        <w:spacing w:after="120" w:line="276"/>
        <w:jc w:val="both"/>
      </w:pPr>
      <w:r>
        <w:rPr>
          <w:rFonts w:ascii="Barlow Semi Condensed" w:cs="Barlow Semi Condensed" w:eastAsia="Barlow Semi Condensed" w:hAnsi="Barlow Semi Condensed"/>
          <w:sz w:val="24"/>
          <w:szCs w:val="24"/>
        </w:rPr>
        <w:t xml:space="preserve">Blocco duecentocinquantuno. La sanità e l'infiltrazione nel servizio nazionale: Livello B.</w:t>
      </w:r>
    </w:p>
    <w:p>
      <w:pPr>
        <w:spacing w:after="120" w:line="276"/>
        <w:jc w:val="both"/>
      </w:pPr>
      <w:r>
        <w:rPr>
          <w:rFonts w:ascii="Barlow Semi Condensed" w:cs="Barlow Semi Condensed" w:eastAsia="Barlow Semi Condensed" w:hAnsi="Barlow Semi Condensed"/>
          <w:sz w:val="24"/>
          <w:szCs w:val="24"/>
        </w:rPr>
        <w:t xml:space="preserve">Blocco duecentocinquantadue. Il calcio, le scommesse e la manipolazione degli incontri: Livello B.</w:t>
      </w:r>
    </w:p>
    <w:p>
      <w:pPr>
        <w:spacing w:after="120" w:line="276"/>
        <w:jc w:val="both"/>
      </w:pPr>
      <w:r>
        <w:rPr>
          <w:rFonts w:ascii="Barlow Semi Condensed" w:cs="Barlow Semi Condensed" w:eastAsia="Barlow Semi Condensed" w:hAnsi="Barlow Semi Condensed"/>
          <w:sz w:val="24"/>
          <w:szCs w:val="24"/>
        </w:rPr>
        <w:t xml:space="preserve">Blocco duecentocinquantatré. L'agroalimentare e il controllo della filiera: Livello B.</w:t>
      </w:r>
    </w:p>
    <w:p>
      <w:pPr>
        <w:spacing w:after="120" w:line="276"/>
        <w:jc w:val="both"/>
      </w:pPr>
      <w:r>
        <w:rPr>
          <w:rFonts w:ascii="Barlow Semi Condensed" w:cs="Barlow Semi Condensed" w:eastAsia="Barlow Semi Condensed" w:hAnsi="Barlow Semi Condensed"/>
          <w:sz w:val="24"/>
          <w:szCs w:val="24"/>
        </w:rPr>
        <w:t xml:space="preserve">Il Libro primo, capitoli transatlantici (blocchi duecentocinquantaquattro–duecentosessantatré)</w:t>
      </w:r>
    </w:p>
    <w:p>
      <w:pPr>
        <w:spacing w:after="120" w:line="276"/>
        <w:jc w:val="both"/>
      </w:pPr>
      <w:r>
        <w:rPr>
          <w:rFonts w:ascii="Barlow Semi Condensed" w:cs="Barlow Semi Condensed" w:eastAsia="Barlow Semi Condensed" w:hAnsi="Barlow Semi Condensed"/>
          <w:sz w:val="24"/>
          <w:szCs w:val="24"/>
        </w:rPr>
        <w:t xml:space="preserve">Blocco duecentocinquantaquattro. La premessa metodologica dei capitoli provinciali: genealogie migratorie quale chiave del Dominio primo: adottata con la metrica della sezione prima.</w:t>
      </w:r>
    </w:p>
    <w:p>
      <w:pPr>
        <w:spacing w:after="120" w:line="276"/>
        <w:jc w:val="both"/>
      </w:pPr>
      <w:r>
        <w:rPr>
          <w:rFonts w:ascii="Barlow Semi Condensed" w:cs="Barlow Semi Condensed" w:eastAsia="Barlow Semi Condensed" w:hAnsi="Barlow Semi Condensed"/>
          <w:sz w:val="24"/>
          <w:szCs w:val="24"/>
        </w:rPr>
        <w:t xml:space="preserve">Blocco duecentocinquantacinque. La provincia di Agrigento e il corridoio verso Tampa e St. Louis: ricostruzione di corpus a Livello B sulle gambe documentate.</w:t>
      </w:r>
    </w:p>
    <w:p>
      <w:pPr>
        <w:spacing w:after="120" w:line="276"/>
        <w:jc w:val="both"/>
      </w:pPr>
      <w:r>
        <w:rPr>
          <w:rFonts w:ascii="Barlow Semi Condensed" w:cs="Barlow Semi Condensed" w:eastAsia="Barlow Semi Condensed" w:hAnsi="Barlow Semi Condensed"/>
          <w:sz w:val="24"/>
          <w:szCs w:val="24"/>
        </w:rPr>
        <w:t xml:space="preserve">Blocco duecentocinquantasei. Alessandria della Rocca: un comune, una famiglia: Livello B/C secondo le singole gambe.</w:t>
      </w:r>
    </w:p>
    <w:p>
      <w:pPr>
        <w:spacing w:after="120" w:line="276"/>
        <w:jc w:val="both"/>
      </w:pPr>
      <w:r>
        <w:rPr>
          <w:rFonts w:ascii="Barlow Semi Condensed" w:cs="Barlow Semi Condensed" w:eastAsia="Barlow Semi Condensed" w:hAnsi="Barlow Semi Condensed"/>
          <w:sz w:val="24"/>
          <w:szCs w:val="24"/>
        </w:rPr>
        <w:t xml:space="preserve">Blocco duecentocinquantasette. Casteltermini e il corridoio di St. Louis: Livello B/C.</w:t>
      </w:r>
    </w:p>
    <w:p>
      <w:pPr>
        <w:spacing w:after="120" w:line="276"/>
        <w:jc w:val="both"/>
      </w:pPr>
      <w:r>
        <w:rPr>
          <w:rFonts w:ascii="Barlow Semi Condensed" w:cs="Barlow Semi Condensed" w:eastAsia="Barlow Semi Condensed" w:hAnsi="Barlow Semi Condensed"/>
          <w:sz w:val="24"/>
          <w:szCs w:val="24"/>
        </w:rPr>
        <w:t xml:space="preserve">Blocco duecentocinquantotto. La provincia di Palermo e le Cinque Famiglie di New York, la Conca d'Oro e i suoi comuni: Livello B sulla trama, C sulle estensioni.</w:t>
      </w:r>
    </w:p>
    <w:p>
      <w:pPr>
        <w:spacing w:after="120" w:line="276"/>
        <w:jc w:val="both"/>
      </w:pPr>
      <w:r>
        <w:rPr>
          <w:rFonts w:ascii="Barlow Semi Condensed" w:cs="Barlow Semi Condensed" w:eastAsia="Barlow Semi Condensed" w:hAnsi="Barlow Semi Condensed"/>
          <w:sz w:val="24"/>
          <w:szCs w:val="24"/>
        </w:rPr>
        <w:t xml:space="preserve">Blocco duecentocinquantanove. I Barcellonesi del capitolo ventiduesimo, gruppo messinese di proiezione: Livello B.</w:t>
      </w:r>
    </w:p>
    <w:p>
      <w:pPr>
        <w:spacing w:after="120" w:line="276"/>
        <w:jc w:val="both"/>
      </w:pPr>
      <w:r>
        <w:rPr>
          <w:rFonts w:ascii="Barlow Semi Condensed" w:cs="Barlow Semi Condensed" w:eastAsia="Barlow Semi Condensed" w:hAnsi="Barlow Semi Condensed"/>
          <w:sz w:val="24"/>
          <w:szCs w:val="24"/>
        </w:rPr>
        <w:t xml:space="preserve">Blocco duecentosessanta. Napoli quale porto d'imbarco dell'emigrazione e dei traffici: Livello B.</w:t>
      </w:r>
    </w:p>
    <w:p>
      <w:pPr>
        <w:spacing w:after="120" w:line="276"/>
        <w:jc w:val="both"/>
      </w:pPr>
      <w:r>
        <w:rPr>
          <w:rFonts w:ascii="Barlow Semi Condensed" w:cs="Barlow Semi Condensed" w:eastAsia="Barlow Semi Condensed" w:hAnsi="Barlow Semi Condensed"/>
          <w:sz w:val="24"/>
          <w:szCs w:val="24"/>
        </w:rPr>
        <w:t xml:space="preserve">Blocco duecentosessantuno. Le implicazioni per la storiografia italiana rivendicate dal capitolo settantaseiesimo: tesi interpretativa, Livello C dichiarato.</w:t>
      </w:r>
    </w:p>
    <w:p>
      <w:pPr>
        <w:spacing w:after="120" w:line="276"/>
        <w:jc w:val="both"/>
      </w:pPr>
      <w:r>
        <w:rPr>
          <w:rFonts w:ascii="Barlow Semi Condensed" w:cs="Barlow Semi Condensed" w:eastAsia="Barlow Semi Condensed" w:hAnsi="Barlow Semi Condensed"/>
          <w:sz w:val="24"/>
          <w:szCs w:val="24"/>
        </w:rPr>
        <w:t xml:space="preserve">Blocco duecentosessantadue. La classifica dei comuni per numero di affiliati del capitolo ottantaquattresimo: elaborazione statistica di corpus, Livello C sino a verifica delle basi di conteggio.</w:t>
      </w:r>
    </w:p>
    <w:p>
      <w:pPr>
        <w:spacing w:after="120" w:line="276"/>
        <w:jc w:val="both"/>
      </w:pPr>
      <w:r>
        <w:rPr>
          <w:rFonts w:ascii="Barlow Semi Condensed" w:cs="Barlow Semi Condensed" w:eastAsia="Barlow Semi Condensed" w:hAnsi="Barlow Semi Condensed"/>
          <w:sz w:val="24"/>
          <w:szCs w:val="24"/>
        </w:rPr>
        <w:t xml:space="preserve">Blocco duecentosessantatré. I ritorni in Italia documentati del capitolo ottantaseiesimo: Livello B sulle voci con fonte nominata.</w:t>
      </w:r>
    </w:p>
    <w:p>
      <w:pPr>
        <w:spacing w:after="120" w:line="276"/>
        <w:jc w:val="both"/>
      </w:pPr>
      <w:r>
        <w:rPr>
          <w:rFonts w:ascii="Barlow Semi Condensed" w:cs="Barlow Semi Condensed" w:eastAsia="Barlow Semi Condensed" w:hAnsi="Barlow Semi Condensed"/>
          <w:sz w:val="24"/>
          <w:szCs w:val="24"/>
        </w:rPr>
        <w:t xml:space="preserve">I Libri dal secondo al sesto (blocchi duecentosessantaquattro–duecentosettantatré)</w:t>
      </w:r>
    </w:p>
    <w:p>
      <w:pPr>
        <w:spacing w:after="120" w:line="276"/>
        <w:jc w:val="both"/>
      </w:pPr>
      <w:r>
        <w:rPr>
          <w:rFonts w:ascii="Barlow Semi Condensed" w:cs="Barlow Semi Condensed" w:eastAsia="Barlow Semi Condensed" w:hAnsi="Barlow Semi Condensed"/>
          <w:sz w:val="24"/>
          <w:szCs w:val="24"/>
        </w:rPr>
        <w:t xml:space="preserve">Blocco duecentosessantaquattro. Il Libro secondo, Europa occidentale, Balcani e Turchia: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duecentosessantacinque. La triangolazione balcanica col registro di corpus: flussi dalle compagnie militari private russe a membri di gruppi etnonazionalisti a Livello A su intercettazioni e indagini bancarie pubblicate; regia statale unica a Livello B: già certificato, recepito.</w:t>
      </w:r>
    </w:p>
    <w:p>
      <w:pPr>
        <w:spacing w:after="120" w:line="276"/>
        <w:jc w:val="both"/>
      </w:pPr>
      <w:r>
        <w:rPr>
          <w:rFonts w:ascii="Barlow Semi Condensed" w:cs="Barlow Semi Condensed" w:eastAsia="Barlow Semi Condensed" w:hAnsi="Barlow Semi Condensed"/>
          <w:sz w:val="24"/>
          <w:szCs w:val="24"/>
        </w:rPr>
        <w:t xml:space="preserve">Blocco duecentosessantasei. Il nodo turco e la monografia di corpus sui Lupi Grigi: saldatura ai blocchi delle Fasi precedenti sul terrorismo transnazionale: Livello B.</w:t>
      </w:r>
    </w:p>
    <w:p>
      <w:pPr>
        <w:spacing w:after="120" w:line="276"/>
        <w:jc w:val="both"/>
      </w:pPr>
      <w:r>
        <w:rPr>
          <w:rFonts w:ascii="Barlow Semi Condensed" w:cs="Barlow Semi Condensed" w:eastAsia="Barlow Semi Condensed" w:hAnsi="Barlow Semi Condensed"/>
          <w:sz w:val="24"/>
          <w:szCs w:val="24"/>
        </w:rPr>
        <w:t xml:space="preserve">Blocco duecentosessantasette. Il Libro terzo, Europa settentrionale e Baltici: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duecentosessantotto. Il Libro quarto e gli effetti della guerra ucraina dal corpus integrale: la rete Khimprom delle droghe sintetiche, i millecinquecento call center della rete Dniprovski con le frodi triplicate, l'esplosione dei sequestri d'armi fra il duemilaventuno e il duemilaventitré: sintesi su fonti ucraine, Livello B.</w:t>
      </w:r>
    </w:p>
    <w:p>
      <w:pPr>
        <w:spacing w:after="120" w:line="276"/>
        <w:jc w:val="both"/>
      </w:pPr>
      <w:r>
        <w:rPr>
          <w:rFonts w:ascii="Barlow Semi Condensed" w:cs="Barlow Semi Condensed" w:eastAsia="Barlow Semi Condensed" w:hAnsi="Barlow Semi Condensed"/>
          <w:sz w:val="24"/>
          <w:szCs w:val="24"/>
        </w:rPr>
        <w:t xml:space="preserve">Blocco duecentosessantanove. Il Libro quinto, Russia e spazio post-sovietico: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 Le voci ventisei e ventisette: i vory v zakone quale élite criminale tradizionale e la Solntsevskaya moscovita: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duecentosettantuno. La triangolazione con la monografia di corpus sulle reti criminali russe e con gli atti del Senato statunitense sulle misure attive: le saldature crimine-Stato restano nei gradi delle Fasi precedenti: nessun avanzamento di grado per accumulo.</w:t>
      </w:r>
    </w:p>
    <w:p>
      <w:pPr>
        <w:spacing w:after="120" w:line="276"/>
        <w:jc w:val="both"/>
      </w:pPr>
      <w:r>
        <w:rPr>
          <w:rFonts w:ascii="Barlow Semi Condensed" w:cs="Barlow Semi Condensed" w:eastAsia="Barlow Semi Condensed" w:hAnsi="Barlow Semi Condensed"/>
          <w:sz w:val="24"/>
          <w:szCs w:val="24"/>
        </w:rPr>
        <w:t xml:space="preserve">Blocco duecentosettantadue. Il Libro sesto, il Caucaso: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duecentosettantatré. La saldatura fra tradizione dei vory e diaspora caucasica in Europa: Livello B/C secondo le gambe.</w:t>
      </w:r>
    </w:p>
    <w:p>
      <w:pPr>
        <w:spacing w:after="120" w:line="276"/>
        <w:jc w:val="both"/>
      </w:pPr>
      <w:r>
        <w:rPr>
          <w:rFonts w:ascii="Barlow Semi Condensed" w:cs="Barlow Semi Condensed" w:eastAsia="Barlow Semi Condensed" w:hAnsi="Barlow Semi Condensed"/>
          <w:sz w:val="24"/>
          <w:szCs w:val="24"/>
        </w:rPr>
        <w:t xml:space="preserve">I Libri dal settimo all'undicesimo (blocchi duecentosettantaquattro–duecentottantatré)</w:t>
      </w:r>
    </w:p>
    <w:p>
      <w:pPr>
        <w:spacing w:after="120" w:line="276"/>
        <w:jc w:val="both"/>
      </w:pPr>
      <w:r>
        <w:rPr>
          <w:rFonts w:ascii="Barlow Semi Condensed" w:cs="Barlow Semi Condensed" w:eastAsia="Barlow Semi Condensed" w:hAnsi="Barlow Semi Condensed"/>
          <w:sz w:val="24"/>
          <w:szCs w:val="24"/>
        </w:rPr>
        <w:t xml:space="preserve">Blocco duecentosettantaquattro. Il Libro settimo, Medio Oriente e Nordafrica: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duecentosettantacinque. Il versante finanziario delle organizzazioni politico-militari libanesi, triangolato con la monografia di corpus sull'impronta globale: Livello B.</w:t>
      </w:r>
    </w:p>
    <w:p>
      <w:pPr>
        <w:spacing w:after="120" w:line="276"/>
        <w:jc w:val="both"/>
      </w:pPr>
      <w:r>
        <w:rPr>
          <w:rFonts w:ascii="Barlow Semi Condensed" w:cs="Barlow Semi Condensed" w:eastAsia="Barlow Semi Condensed" w:hAnsi="Barlow Semi Condensed"/>
          <w:sz w:val="24"/>
          <w:szCs w:val="24"/>
        </w:rPr>
        <w:t xml:space="preserve">Blocco duecentosettantasei. Il Libro ottavo, Africa subsahariana: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duecentosettantasette. Le confraternite nigeriane quale fenomeno dominante del Libro: Livello B sulla classe di fonti della Global Initiative.</w:t>
      </w:r>
    </w:p>
    <w:p>
      <w:pPr>
        <w:spacing w:after="120" w:line="276"/>
        <w:jc w:val="both"/>
      </w:pPr>
      <w:r>
        <w:rPr>
          <w:rFonts w:ascii="Barlow Semi Condensed" w:cs="Barlow Semi Condensed" w:eastAsia="Barlow Semi Condensed" w:hAnsi="Barlow Semi Condensed"/>
          <w:sz w:val="24"/>
          <w:szCs w:val="24"/>
        </w:rPr>
        <w:t xml:space="preserve">Blocco duecentosettantotto. Il Libro nono, Stati Uniti: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duecentosettantanove. Le Cinque Famiglie e la criminalità italoamericana, saldate ai corridoi transatlantici del Libro primo: Livello B, con la genealogia quale terreno dei pattern dinastici.</w:t>
      </w:r>
    </w:p>
    <w:p>
      <w:pPr>
        <w:spacing w:after="120" w:line="276"/>
        <w:jc w:val="both"/>
      </w:pPr>
      <w:r>
        <w:rPr>
          <w:rFonts w:ascii="Barlow Semi Condensed" w:cs="Barlow Semi Condensed" w:eastAsia="Barlow Semi Condensed" w:hAnsi="Barlow Semi Condensed"/>
          <w:sz w:val="24"/>
          <w:szCs w:val="24"/>
        </w:rPr>
        <w:t xml:space="preserve">Blocco duecentottanta. Il Libro decimo, Americhe: quadro a Livello B.</w:t>
      </w:r>
    </w:p>
    <w:p>
      <w:pPr>
        <w:spacing w:after="120" w:line="276"/>
        <w:jc w:val="both"/>
      </w:pPr>
      <w:r>
        <w:rPr>
          <w:rFonts w:ascii="Barlow Semi Condensed" w:cs="Barlow Semi Condensed" w:eastAsia="Barlow Semi Condensed" w:hAnsi="Barlow Semi Condensed"/>
          <w:sz w:val="24"/>
          <w:szCs w:val="24"/>
        </w:rPr>
        <w:t xml:space="preserve">Blocco duecentottantuno. I cartelli messicani, triangolati con le monografie accademiche del corpus sulle organizzazioni del narcotraffico: Livello B.</w:t>
      </w:r>
    </w:p>
    <w:p>
      <w:pPr>
        <w:spacing w:after="120" w:line="276"/>
        <w:jc w:val="both"/>
      </w:pPr>
      <w:r>
        <w:rPr>
          <w:rFonts w:ascii="Barlow Semi Condensed" w:cs="Barlow Semi Condensed" w:eastAsia="Barlow Semi Condensed" w:hAnsi="Barlow Semi Condensed"/>
          <w:sz w:val="24"/>
          <w:szCs w:val="24"/>
        </w:rPr>
        <w:t xml:space="preserve">Blocco duecentottantadue. Le organizzazioni brasiliane: il Primeiro Comando da Capital con la scheda del capo detenuto che ne mantiene il comando, e il Comando Vermelho: Livello B.</w:t>
      </w:r>
    </w:p>
    <w:p>
      <w:pPr>
        <w:spacing w:after="120" w:line="276"/>
        <w:jc w:val="both"/>
      </w:pPr>
      <w:r>
        <w:rPr>
          <w:rFonts w:ascii="Barlow Semi Condensed" w:cs="Barlow Semi Condensed" w:eastAsia="Barlow Semi Condensed" w:hAnsi="Barlow Semi Condensed"/>
          <w:sz w:val="24"/>
          <w:szCs w:val="24"/>
        </w:rPr>
        <w:t xml:space="preserve">Blocco duecentottantatré. La voce settecentosettantanove sulle gang haitiane e il controllo territoriale di Croix-des-Bouquets: Livello B.</w:t>
      </w:r>
    </w:p>
    <w:p>
      <w:pPr>
        <w:spacing w:after="120" w:line="276"/>
        <w:jc w:val="both"/>
      </w:pPr>
      <w:r>
        <w:rPr>
          <w:rFonts w:ascii="Barlow Semi Condensed" w:cs="Barlow Semi Condensed" w:eastAsia="Barlow Semi Condensed" w:hAnsi="Barlow Semi Condensed"/>
          <w:sz w:val="24"/>
          <w:szCs w:val="24"/>
        </w:rPr>
        <w:t xml:space="preserve">I Libri undicesimo e dodicesimo (blocchi duecentottantaquattro–duecentonovantuno)</w:t>
      </w:r>
    </w:p>
    <w:p>
      <w:pPr>
        <w:spacing w:after="120" w:line="276"/>
        <w:jc w:val="both"/>
      </w:pPr>
      <w:r>
        <w:rPr>
          <w:rFonts w:ascii="Barlow Semi Condensed" w:cs="Barlow Semi Condensed" w:eastAsia="Barlow Semi Condensed" w:hAnsi="Barlow Semi Condensed"/>
          <w:sz w:val="24"/>
          <w:szCs w:val="24"/>
        </w:rPr>
        <w:t xml:space="preserve">Blocco duecentottantaquattro. Il Libro undicesimo, Asia-Pacifico: quadro a Livello B.</w:t>
      </w:r>
    </w:p>
    <w:p>
      <w:pPr>
        <w:spacing w:after="120" w:line="276"/>
        <w:jc w:val="both"/>
      </w:pPr>
      <w:r>
        <w:rPr>
          <w:rFonts w:ascii="Barlow Semi Condensed" w:cs="Barlow Semi Condensed" w:eastAsia="Barlow Semi Condensed" w:hAnsi="Barlow Semi Condensed"/>
          <w:sz w:val="24"/>
          <w:szCs w:val="24"/>
        </w:rPr>
        <w:t xml:space="preserve">Blocco duecentottantacinque. Le Triadi nel censimento: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duecentottantasei. La voce trentasette sulla maggiore organizzazione giapponese e le sue consorelle: Livello B.</w:t>
      </w:r>
    </w:p>
    <w:p>
      <w:pPr>
        <w:spacing w:after="120" w:line="276"/>
        <w:jc w:val="both"/>
      </w:pPr>
      <w:r>
        <w:rPr>
          <w:rFonts w:ascii="Barlow Semi Condensed" w:cs="Barlow Semi Condensed" w:eastAsia="Barlow Semi Condensed" w:hAnsi="Barlow Semi Condensed"/>
          <w:sz w:val="24"/>
          <w:szCs w:val="24"/>
        </w:rPr>
        <w:t xml:space="preserve">Blocco duecentottantasette. Il Libro dodicesimo, fenomeni trasversali: quadro adottato quale grammatica comune.</w:t>
      </w:r>
    </w:p>
    <w:p>
      <w:pPr>
        <w:spacing w:after="120" w:line="276"/>
        <w:jc w:val="both"/>
      </w:pPr>
      <w:r>
        <w:rPr>
          <w:rFonts w:ascii="Barlow Semi Condensed" w:cs="Barlow Semi Condensed" w:eastAsia="Barlow Semi Condensed" w:hAnsi="Barlow Semi Condensed"/>
          <w:sz w:val="24"/>
          <w:szCs w:val="24"/>
        </w:rPr>
        <w:t xml:space="preserve">Blocco duecentottantotto. Le rotte del narcotraffico mondiale: Livello B.</w:t>
      </w:r>
    </w:p>
    <w:p>
      <w:pPr>
        <w:spacing w:after="120" w:line="276"/>
        <w:jc w:val="both"/>
      </w:pPr>
      <w:r>
        <w:rPr>
          <w:rFonts w:ascii="Barlow Semi Condensed" w:cs="Barlow Semi Condensed" w:eastAsia="Barlow Semi Condensed" w:hAnsi="Barlow Semi Condensed"/>
          <w:sz w:val="24"/>
          <w:szCs w:val="24"/>
        </w:rPr>
        <w:t xml:space="preserve">Blocco duecentottantanove. Il riciclaggio e la finanza criminale: Livello B.</w:t>
      </w:r>
    </w:p>
    <w:p>
      <w:pPr>
        <w:spacing w:after="120" w:line="276"/>
        <w:jc w:val="both"/>
      </w:pPr>
      <w:r>
        <w:rPr>
          <w:rFonts w:ascii="Barlow Semi Condensed" w:cs="Barlow Semi Condensed" w:eastAsia="Barlow Semi Condensed" w:hAnsi="Barlow Semi Condensed"/>
          <w:sz w:val="24"/>
          <w:szCs w:val="24"/>
        </w:rPr>
        <w:t xml:space="preserve">Blocco duecentonovanta. La criminalità informatica e le frodi industrializzate, in saldatura con la rete dei call center del Libro quarto: Livello B.</w:t>
      </w:r>
    </w:p>
    <w:p>
      <w:pPr>
        <w:spacing w:after="120" w:line="276"/>
        <w:jc w:val="both"/>
      </w:pPr>
      <w:r>
        <w:rPr>
          <w:rFonts w:ascii="Barlow Semi Condensed" w:cs="Barlow Semi Condensed" w:eastAsia="Barlow Semi Condensed" w:hAnsi="Barlow Semi Condensed"/>
          <w:sz w:val="24"/>
          <w:szCs w:val="24"/>
        </w:rPr>
        <w:t xml:space="preserve">Blocco duecentonovantuno. La tratta di esseri umani e la convergenza fra crimine e terrorismo: Livello B, con le singole saldature nei gradi propri.</w:t>
      </w:r>
    </w:p>
    <w:p>
      <w:pPr>
        <w:spacing w:after="120" w:line="276"/>
        <w:jc w:val="both"/>
      </w:pPr>
      <w:r>
        <w:rPr>
          <w:rFonts w:ascii="Barlow Semi Condensed" w:cs="Barlow Semi Condensed" w:eastAsia="Barlow Semi Condensed" w:hAnsi="Barlow Semi Condensed"/>
          <w:sz w:val="24"/>
          <w:szCs w:val="24"/>
        </w:rPr>
        <w:t xml:space="preserve">Triangolazione di corpus e contaminazione (blocchi duecentonovantadue–trecentouno)</w:t>
      </w:r>
    </w:p>
    <w:p>
      <w:pPr>
        <w:spacing w:after="120" w:line="276"/>
        <w:jc w:val="both"/>
      </w:pPr>
      <w:r>
        <w:rPr>
          <w:rFonts w:ascii="Barlow Semi Condensed" w:cs="Barlow Semi Condensed" w:eastAsia="Barlow Semi Condensed" w:hAnsi="Barlow Semi Condensed"/>
          <w:sz w:val="24"/>
          <w:szCs w:val="24"/>
        </w:rPr>
        <w:t xml:space="preserve">Blocco duecentonovantadue. Il metodo della triangolazione a doppio senso fra censimento e registri tematici del progetto: dichiarato e applicato.</w:t>
      </w:r>
    </w:p>
    <w:p>
      <w:pPr>
        <w:spacing w:after="120" w:line="276"/>
        <w:jc w:val="both"/>
      </w:pPr>
      <w:r>
        <w:rPr>
          <w:rFonts w:ascii="Barlow Semi Condensed" w:cs="Barlow Semi Condensed" w:eastAsia="Barlow Semi Condensed" w:hAnsi="Barlow Semi Condensed"/>
          <w:sz w:val="24"/>
          <w:szCs w:val="24"/>
        </w:rPr>
        <w:t xml:space="preserve">Blocco duecentonovantatré. Il registro eurasiatico-balcanico del corpus: recepito con i suoi gradi, ivi compresi i gruppi ultras indicizzati e le stime sui foreign fighters.</w:t>
      </w:r>
    </w:p>
    <w:p>
      <w:pPr>
        <w:spacing w:after="120" w:line="276"/>
        <w:jc w:val="both"/>
      </w:pPr>
      <w:r>
        <w:rPr>
          <w:rFonts w:ascii="Barlow Semi Condensed" w:cs="Barlow Semi Condensed" w:eastAsia="Barlow Semi Condensed" w:hAnsi="Barlow Semi Condensed"/>
          <w:sz w:val="24"/>
          <w:szCs w:val="24"/>
        </w:rPr>
        <w:t xml:space="preserve">Blocco duecentonovantaquattro. La sorgente integrale presente nel corpus quale base dichiarata della composizione: genealogia a Livello A.</w:t>
      </w:r>
    </w:p>
    <w:p>
      <w:pPr>
        <w:spacing w:after="120" w:line="276"/>
        <w:jc w:val="both"/>
      </w:pPr>
      <w:r>
        <w:rPr>
          <w:rFonts w:ascii="Barlow Semi Condensed" w:cs="Barlow Semi Condensed" w:eastAsia="Barlow Semi Condensed" w:hAnsi="Barlow Semi Condensed"/>
          <w:sz w:val="24"/>
          <w:szCs w:val="24"/>
        </w:rPr>
        <w:t xml:space="preserve">Blocco duecentonovantacinque. Il terzo rapporto dell'Osservatorio sulle mafie nel Lazio quale ancoraggio regionale del Dominio primo: Livello A istituzionale sulle proprie risultanze.</w:t>
      </w:r>
    </w:p>
    <w:p>
      <w:pPr>
        <w:spacing w:after="120" w:line="276"/>
        <w:jc w:val="both"/>
      </w:pPr>
      <w:r>
        <w:rPr>
          <w:rFonts w:ascii="Barlow Semi Condensed" w:cs="Barlow Semi Condensed" w:eastAsia="Barlow Semi Condensed" w:hAnsi="Barlow Semi Condensed"/>
          <w:sz w:val="24"/>
          <w:szCs w:val="24"/>
        </w:rPr>
        <w:t xml:space="preserve">Blocco duecentonovantasei. La monografia di corpus sulla mafia in Italia quale contrappeso del Libro primo: recepita.</w:t>
      </w:r>
    </w:p>
    <w:p>
      <w:pPr>
        <w:spacing w:after="120" w:line="276"/>
        <w:jc w:val="both"/>
      </w:pPr>
      <w:r>
        <w:rPr>
          <w:rFonts w:ascii="Barlow Semi Condensed" w:cs="Barlow Semi Condensed" w:eastAsia="Barlow Semi Condensed" w:hAnsi="Barlow Semi Condensed"/>
          <w:sz w:val="24"/>
          <w:szCs w:val="24"/>
        </w:rPr>
        <w:t xml:space="preserve">Blocco duecentonovantasette. La lista delle duecentocinquantacinque operazioni contro la 'ndrangheta quale lista di controllo incrociata del Libro primo: funzione adottata.</w:t>
      </w:r>
    </w:p>
    <w:p>
      <w:pPr>
        <w:spacing w:after="120" w:line="276"/>
        <w:jc w:val="both"/>
      </w:pPr>
      <w:r>
        <w:rPr>
          <w:rFonts w:ascii="Barlow Semi Condensed" w:cs="Barlow Semi Condensed" w:eastAsia="Barlow Semi Condensed" w:hAnsi="Barlow Semi Condensed"/>
          <w:sz w:val="24"/>
          <w:szCs w:val="24"/>
        </w:rPr>
        <w:t xml:space="preserve">Blocco duecentonovantotto. Il censimento parallelo dei politici italiani nei procedimenti penali: progetto distinto, perimetri propri, nessuna comunicazione di voci: vincolo iscritto.</w:t>
      </w:r>
    </w:p>
    <w:p>
      <w:pPr>
        <w:spacing w:after="120" w:line="276"/>
        <w:jc w:val="both"/>
      </w:pPr>
      <w:r>
        <w:rPr>
          <w:rFonts w:ascii="Barlow Semi Condensed" w:cs="Barlow Semi Condensed" w:eastAsia="Barlow Semi Condensed" w:hAnsi="Barlow Semi Condensed"/>
          <w:sz w:val="24"/>
          <w:szCs w:val="24"/>
        </w:rPr>
        <w:t xml:space="preserve">Blocco duecentonovantanove. L'ancoraggio istituzionale — relazioni della Direzione Investigativa Antimafia e della Direzione Nazionale, rapporti della Global Initiative — quale classe di fonti del Livello B di sintesi: dichiarato.</w:t>
      </w:r>
    </w:p>
    <w:p>
      <w:pPr>
        <w:spacing w:after="120" w:line="276"/>
        <w:jc w:val="both"/>
      </w:pPr>
      <w:r>
        <w:rPr>
          <w:rFonts w:ascii="Barlow Semi Condensed" w:cs="Barlow Semi Condensed" w:eastAsia="Barlow Semi Condensed" w:hAnsi="Barlow Semi Condensed"/>
          <w:sz w:val="24"/>
          <w:szCs w:val="24"/>
        </w:rPr>
        <w:t xml:space="preserve">Blocco trecento. L'Indice di Contaminazione delle Fonti sul genere-censimento: molte voci discendono da un perimetro finito di rapporti; la molteplicità delle voci non aumenta il grado se la sorgente è una: regola applicata all'intero vaglio.</w:t>
      </w:r>
    </w:p>
    <w:p>
      <w:pPr>
        <w:spacing w:after="120" w:line="276"/>
        <w:jc w:val="both"/>
      </w:pPr>
      <w:r>
        <w:rPr>
          <w:rFonts w:ascii="Barlow Semi Condensed" w:cs="Barlow Semi Condensed" w:eastAsia="Barlow Semi Condensed" w:hAnsi="Barlow Semi Condensed"/>
          <w:sz w:val="24"/>
          <w:szCs w:val="24"/>
        </w:rPr>
        <w:t xml:space="preserve">Blocco trecentouno. Lo statuto delle voci numerate: censimento non è accertamento; nessuna voce nominativa fonda, da sola, responsabilità o appartenenze: clausola generale.</w:t>
      </w:r>
    </w:p>
    <w:p>
      <w:pPr>
        <w:spacing w:after="120" w:line="276"/>
        <w:jc w:val="both"/>
      </w:pPr>
      <w:r>
        <w:rPr>
          <w:rFonts w:ascii="Barlow Semi Condensed" w:cs="Barlow Semi Condensed" w:eastAsia="Barlow Semi Condensed" w:hAnsi="Barlow Semi Condensed"/>
          <w:sz w:val="24"/>
          <w:szCs w:val="24"/>
        </w:rPr>
        <w:t xml:space="preserve">Il campionamento esterno (blocchi trecentodue–trecentoventuno)</w:t>
      </w:r>
    </w:p>
    <w:p>
      <w:pPr>
        <w:spacing w:after="120" w:line="276"/>
        <w:jc w:val="both"/>
      </w:pPr>
      <w:r>
        <w:rPr>
          <w:rFonts w:ascii="Barlow Semi Condensed" w:cs="Barlow Semi Condensed" w:eastAsia="Barlow Semi Condensed" w:hAnsi="Barlow Semi Condensed"/>
          <w:sz w:val="24"/>
          <w:szCs w:val="24"/>
        </w:rPr>
        <w:t xml:space="preserve">Blocco trecentodue. Il metodo del campionamento: dieci nodi distribuiti sui dodici libri, controllati per conoscenza stabile certificabile o per verifica in rete condotta in questa sessione: dichiarato.</w:t>
      </w:r>
    </w:p>
    <w:p>
      <w:pPr>
        <w:spacing w:after="120" w:line="276"/>
        <w:jc w:val="both"/>
      </w:pPr>
      <w:r>
        <w:rPr>
          <w:rFonts w:ascii="Barlow Semi Condensed" w:cs="Barlow Semi Condensed" w:eastAsia="Barlow Semi Condensed" w:hAnsi="Barlow Semi Condensed"/>
          <w:sz w:val="24"/>
          <w:szCs w:val="24"/>
        </w:rPr>
        <w:t xml:space="preserve">Blocco trecentotré. L'Indice globale della criminalità organizzata citato dal censimento: edizioni duemilaventuno, duemilaventitré e duemilaventicinque su centonovantatré Stati, tre pilastri: verificato ora, concordanza piena; per l'Italia l'analisi della Global Initiative attribuisce ai gruppi di stampo mafioso il punteggio più alto dell'Unione: Livello A quale dato di fonte.</w:t>
      </w:r>
    </w:p>
    <w:p>
      <w:pPr>
        <w:spacing w:after="120" w:line="276"/>
        <w:jc w:val="both"/>
      </w:pPr>
      <w:r>
        <w:rPr>
          <w:rFonts w:ascii="Barlow Semi Condensed" w:cs="Barlow Semi Condensed" w:eastAsia="Barlow Semi Condensed" w:hAnsi="Barlow Semi Condensed"/>
          <w:sz w:val="24"/>
          <w:szCs w:val="24"/>
        </w:rPr>
        <w:t xml:space="preserve">Blocco trecentoquattro. La voce duecentotrentatré sul mandamento di Trapani: la cattura di Messina Denaro nel gennaio duemilaventitré dopo trenta anni di latitanza e la morte nel settembre successivo: concordante: Livello A.</w:t>
      </w:r>
    </w:p>
    <w:p>
      <w:pPr>
        <w:spacing w:after="120" w:line="276"/>
        <w:jc w:val="both"/>
      </w:pPr>
      <w:r>
        <w:rPr>
          <w:rFonts w:ascii="Barlow Semi Condensed" w:cs="Barlow Semi Condensed" w:eastAsia="Barlow Semi Condensed" w:hAnsi="Barlow Semi Condensed"/>
          <w:sz w:val="24"/>
          <w:szCs w:val="24"/>
        </w:rPr>
        <w:t xml:space="preserve">Blocco trecentocinque. La voce settecentoquarantasei sulla rete di Taghi: l'ergastolo del duemilaventiquattro nel processo Marengo: concordante: Livello A.</w:t>
      </w:r>
    </w:p>
    <w:p>
      <w:pPr>
        <w:spacing w:after="120" w:line="276"/>
        <w:jc w:val="both"/>
      </w:pPr>
      <w:r>
        <w:rPr>
          <w:rFonts w:ascii="Barlow Semi Condensed" w:cs="Barlow Semi Condensed" w:eastAsia="Barlow Semi Condensed" w:hAnsi="Barlow Semi Condensed"/>
          <w:sz w:val="24"/>
          <w:szCs w:val="24"/>
        </w:rPr>
        <w:t xml:space="preserve">Blocco trecentosei. La voce undici sul cartello irlandese: le sanzioni statunitensi dell'aprile duemilaventidue con le taglie sui vertici: concordante: Livello A.</w:t>
      </w:r>
    </w:p>
    <w:p>
      <w:pPr>
        <w:spacing w:after="120" w:line="276"/>
        <w:jc w:val="both"/>
      </w:pPr>
      <w:r>
        <w:rPr>
          <w:rFonts w:ascii="Barlow Semi Condensed" w:cs="Barlow Semi Condensed" w:eastAsia="Barlow Semi Condensed" w:hAnsi="Barlow Semi Condensed"/>
          <w:sz w:val="24"/>
          <w:szCs w:val="24"/>
        </w:rPr>
        <w:t xml:space="preserve">Blocco trecentosette. La scheda sul capo del Primeiro Comando da Capital, detenuto e al comando: concordante col quadro consolidato: Livello A di quadro.</w:t>
      </w:r>
    </w:p>
    <w:p>
      <w:pPr>
        <w:spacing w:after="120" w:line="276"/>
        <w:jc w:val="both"/>
      </w:pPr>
      <w:r>
        <w:rPr>
          <w:rFonts w:ascii="Barlow Semi Condensed" w:cs="Barlow Semi Condensed" w:eastAsia="Barlow Semi Condensed" w:hAnsi="Barlow Semi Condensed"/>
          <w:sz w:val="24"/>
          <w:szCs w:val="24"/>
        </w:rPr>
        <w:t xml:space="preserve">Blocco trecentootto. La voce settecentosettantanove sulle gang haitiane: i sequestri di massa — compreso quello dei missionari del duemilaventuno — e le sanzioni internazionali: concordante: Livello A.</w:t>
      </w:r>
    </w:p>
    <w:p>
      <w:pPr>
        <w:spacing w:after="120" w:line="276"/>
        <w:jc w:val="both"/>
      </w:pPr>
      <w:r>
        <w:rPr>
          <w:rFonts w:ascii="Barlow Semi Condensed" w:cs="Barlow Semi Condensed" w:eastAsia="Barlow Semi Condensed" w:hAnsi="Barlow Semi Condensed"/>
          <w:sz w:val="24"/>
          <w:szCs w:val="24"/>
        </w:rPr>
        <w:t xml:space="preserve">Blocco trecentonove. La voce trentasette sulla maggiore organizzazione giapponese: la scissione del duemilaquindici quale spartiacque recente: concordante: Livello A.</w:t>
      </w:r>
    </w:p>
    <w:p>
      <w:pPr>
        <w:spacing w:after="120" w:line="276"/>
        <w:jc w:val="both"/>
      </w:pPr>
      <w:r>
        <w:rPr>
          <w:rFonts w:ascii="Barlow Semi Condensed" w:cs="Barlow Semi Condensed" w:eastAsia="Barlow Semi Condensed" w:hAnsi="Barlow Semi Condensed"/>
          <w:sz w:val="24"/>
          <w:szCs w:val="24"/>
        </w:rPr>
        <w:t xml:space="preserve">Blocco trecentodieci. Le voci ventisei e ventisette sull'élite criminale post-sovietica: quadro concordante con la monografia di corpus: Livello B.</w:t>
      </w:r>
    </w:p>
    <w:p>
      <w:pPr>
        <w:spacing w:after="120" w:line="276"/>
        <w:jc w:val="both"/>
      </w:pPr>
      <w:r>
        <w:rPr>
          <w:rFonts w:ascii="Barlow Semi Condensed" w:cs="Barlow Semi Condensed" w:eastAsia="Barlow Semi Condensed" w:hAnsi="Barlow Semi Condensed"/>
          <w:sz w:val="24"/>
          <w:szCs w:val="24"/>
        </w:rPr>
        <w:t xml:space="preserve">Blocco trecentoundici. Il quadro del cartello di Sinaloa dopo il duemilaventitré, fra arresti apicali e faida interna: concordante nelle linee, con cautela di recentismo: Livello B.</w:t>
      </w:r>
    </w:p>
    <w:p>
      <w:pPr>
        <w:spacing w:after="120" w:line="276"/>
        <w:jc w:val="both"/>
      </w:pPr>
      <w:r>
        <w:rPr>
          <w:rFonts w:ascii="Barlow Semi Condensed" w:cs="Barlow Semi Condensed" w:eastAsia="Barlow Semi Condensed" w:hAnsi="Barlow Semi Condensed"/>
          <w:sz w:val="24"/>
          <w:szCs w:val="24"/>
        </w:rPr>
        <w:t xml:space="preserve">Blocco trecentododici. Rilievo di copertura, verificato ora sul testo: il nome in codice della vasta operazione europea del tre maggio duemilaventitré contro la 'ndrangheta non compare nel censimento: lacuna campionaria iscritta a carico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trecentotredici. Rilievo di aggiornamento: orizzonti temporali eterogenei fra le voci, talune ferme ad anni diversi: dichiarato.</w:t>
      </w:r>
    </w:p>
    <w:p>
      <w:pPr>
        <w:spacing w:after="120" w:line="276"/>
        <w:jc w:val="both"/>
      </w:pPr>
      <w:r>
        <w:rPr>
          <w:rFonts w:ascii="Barlow Semi Condensed" w:cs="Barlow Semi Condensed" w:eastAsia="Barlow Semi Condensed" w:hAnsi="Barlow Semi Condensed"/>
          <w:sz w:val="24"/>
          <w:szCs w:val="24"/>
        </w:rPr>
        <w:t xml:space="preserve">Blocco trecentoquattordici. La concordanza interna fra l'edizione-innesco e la sorgente di corpus sui capitoli ucraini: verificata sulle reti e sulle cifre: Livello B.</w:t>
      </w:r>
    </w:p>
    <w:p>
      <w:pPr>
        <w:spacing w:after="120" w:line="276"/>
        <w:jc w:val="both"/>
      </w:pPr>
      <w:r>
        <w:rPr>
          <w:rFonts w:ascii="Barlow Semi Condensed" w:cs="Barlow Semi Condensed" w:eastAsia="Barlow Semi Condensed" w:hAnsi="Barlow Semi Condensed"/>
          <w:sz w:val="24"/>
          <w:szCs w:val="24"/>
        </w:rPr>
        <w:t xml:space="preserve">Blocco trecentoquindici. La numerazione delle voci sino a duemilaventitré: continuità delle serie non verificata voce per voce: pendenza dichiarata.</w:t>
      </w:r>
    </w:p>
    <w:p>
      <w:pPr>
        <w:spacing w:after="120" w:line="276"/>
        <w:jc w:val="both"/>
      </w:pPr>
      <w:r>
        <w:rPr>
          <w:rFonts w:ascii="Barlow Semi Condensed" w:cs="Barlow Semi Condensed" w:eastAsia="Barlow Semi Condensed" w:hAnsi="Barlow Semi Condensed"/>
          <w:sz w:val="24"/>
          <w:szCs w:val="24"/>
        </w:rPr>
        <w:t xml:space="preserve">Blocco trecentosedici. Le compagnie militari private russe nel censimento: la saldatura fra crimine e strumento paramilitare, già certificata a Livello A sul flusso balcanico di reclutamento: rinvio incrociato.</w:t>
      </w:r>
    </w:p>
    <w:p>
      <w:pPr>
        <w:spacing w:after="120" w:line="276"/>
        <w:jc w:val="both"/>
      </w:pPr>
      <w:r>
        <w:rPr>
          <w:rFonts w:ascii="Barlow Semi Condensed" w:cs="Barlow Semi Condensed" w:eastAsia="Barlow Semi Condensed" w:hAnsi="Barlow Semi Condensed"/>
          <w:sz w:val="24"/>
          <w:szCs w:val="24"/>
        </w:rPr>
        <w:t xml:space="preserve">Blocco trecentodiciassette. Il Comando Vermelho quale seconda organizzazione brasiliana: quadro concordante: Livello B.</w:t>
      </w:r>
    </w:p>
    <w:p>
      <w:pPr>
        <w:spacing w:after="120" w:line="276"/>
        <w:jc w:val="both"/>
      </w:pPr>
      <w:r>
        <w:rPr>
          <w:rFonts w:ascii="Barlow Semi Condensed" w:cs="Barlow Semi Condensed" w:eastAsia="Barlow Semi Condensed" w:hAnsi="Barlow Semi Condensed"/>
          <w:sz w:val="24"/>
          <w:szCs w:val="24"/>
        </w:rPr>
        <w:t xml:space="preserve">Blocco trecentodiciotto. Le Triadi quali voci di lista del Libro undicesimo: Livello B, senza campione esterno in questa sessione.</w:t>
      </w:r>
    </w:p>
    <w:p>
      <w:pPr>
        <w:spacing w:after="120" w:line="276"/>
        <w:jc w:val="both"/>
      </w:pPr>
      <w:r>
        <w:rPr>
          <w:rFonts w:ascii="Barlow Semi Condensed" w:cs="Barlow Semi Condensed" w:eastAsia="Barlow Semi Condensed" w:hAnsi="Barlow Semi Condensed"/>
          <w:sz w:val="24"/>
          <w:szCs w:val="24"/>
        </w:rPr>
        <w:t xml:space="preserve">Blocco trecentodiciannove. I gruppi ultras balcanici indicizzati — con le fazioni rivali della curva del Partizan — quale dispositivo di reclutamento: già certificato a Livello A/B dal registro di corpus: recepito.</w:t>
      </w:r>
    </w:p>
    <w:p>
      <w:pPr>
        <w:spacing w:after="120" w:line="276"/>
        <w:jc w:val="both"/>
      </w:pPr>
      <w:r>
        <w:rPr>
          <w:rFonts w:ascii="Barlow Semi Condensed" w:cs="Barlow Semi Condensed" w:eastAsia="Barlow Semi Condensed" w:hAnsi="Barlow Semi Condensed"/>
          <w:sz w:val="24"/>
          <w:szCs w:val="24"/>
        </w:rPr>
        <w:t xml:space="preserve">Blocco trecentoventi. Le stime convergenti sulle partenze di foreign fighters balcanici: fra le mille e le millecinquecento: già certificato: recepito.</w:t>
      </w:r>
    </w:p>
    <w:p>
      <w:pPr>
        <w:spacing w:after="120" w:line="276"/>
        <w:jc w:val="both"/>
      </w:pPr>
      <w:r>
        <w:rPr>
          <w:rFonts w:ascii="Barlow Semi Condensed" w:cs="Barlow Semi Condensed" w:eastAsia="Barlow Semi Condensed" w:hAnsi="Barlow Semi Condensed"/>
          <w:sz w:val="24"/>
          <w:szCs w:val="24"/>
        </w:rPr>
        <w:t xml:space="preserve">Blocco trecentoventuno. Sintesi del campionamento: concordanza piena sui dieci nodi verificati, due rilievi di copertura e aggiornamento: il censimento regge il campione nella misura del suo statuto.</w:t>
      </w:r>
    </w:p>
    <w:p>
      <w:pPr>
        <w:spacing w:after="120" w:line="276"/>
        <w:jc w:val="both"/>
      </w:pPr>
      <w:r>
        <w:rPr>
          <w:rFonts w:ascii="Barlow Semi Condensed" w:cs="Barlow Semi Condensed" w:eastAsia="Barlow Semi Condensed" w:hAnsi="Barlow Semi Condensed"/>
          <w:sz w:val="24"/>
          <w:szCs w:val="24"/>
        </w:rPr>
        <w:t xml:space="preserve">Le voci residue e le risoluzioni (blocchi trecentoventidue–trecentotrentuno)</w:t>
      </w:r>
    </w:p>
    <w:p>
      <w:pPr>
        <w:spacing w:after="120" w:line="276"/>
        <w:jc w:val="both"/>
      </w:pPr>
      <w:r>
        <w:rPr>
          <w:rFonts w:ascii="Barlow Semi Condensed" w:cs="Barlow Semi Condensed" w:eastAsia="Barlow Semi Condensed" w:hAnsi="Barlow Semi Condensed"/>
          <w:sz w:val="24"/>
          <w:szCs w:val="24"/>
        </w:rPr>
        <w:t xml:space="preserve">Blocco trecentoventidue. La voce sul fucile Beretta BM cinquantanove: fucile da battaglia adottato dall'Esercito nel millenovecentocinquantanove, primo calibro d'origine americana e successiva produzione su licenza: Livello A tecnico; il vaglio d'impiego resta consegnato ai registri d'armamento del corpus.</w:t>
      </w:r>
    </w:p>
    <w:p>
      <w:pPr>
        <w:spacing w:after="120" w:line="276"/>
        <w:jc w:val="both"/>
      </w:pPr>
      <w:r>
        <w:rPr>
          <w:rFonts w:ascii="Barlow Semi Condensed" w:cs="Barlow Semi Condensed" w:eastAsia="Barlow Semi Condensed" w:hAnsi="Barlow Semi Condensed"/>
          <w:sz w:val="24"/>
          <w:szCs w:val="24"/>
        </w:rPr>
        <w:t xml:space="preserve">Blocco trecentoventitré. La voce sulla pistola Beretta millenovecentocinquantuno: nove Parabellum, variante a raffica, produzione cessata nel duemilatré e ripresa nel duemilanove; la voce presenta sezioni in lingua inglese: rilievo di composizione iscritto: Livello A tecnico.</w:t>
      </w:r>
    </w:p>
    <w:p>
      <w:pPr>
        <w:spacing w:after="120" w:line="276"/>
        <w:jc w:val="both"/>
      </w:pPr>
      <w:r>
        <w:rPr>
          <w:rFonts w:ascii="Barlow Semi Condensed" w:cs="Barlow Semi Condensed" w:eastAsia="Barlow Semi Condensed" w:hAnsi="Barlow Semi Condensed"/>
          <w:sz w:val="24"/>
          <w:szCs w:val="24"/>
        </w:rPr>
        <w:t xml:space="preserve">Blocco trecentoventiquattro. La voce sulla Serie settanta: calibro sette e sessantacinque, caricatore da otto colpi, produzione negli anni sessanta e settanta: Livello A tecnico; nessuna inferenza d'impiego fuori dai registri.</w:t>
      </w:r>
    </w:p>
    <w:p>
      <w:pPr>
        <w:spacing w:after="120" w:line="276"/>
        <w:jc w:val="both"/>
      </w:pPr>
      <w:r>
        <w:rPr>
          <w:rFonts w:ascii="Barlow Semi Condensed" w:cs="Barlow Semi Condensed" w:eastAsia="Barlow Semi Condensed" w:hAnsi="Barlow Semi Condensed"/>
          <w:sz w:val="24"/>
          <w:szCs w:val="24"/>
        </w:rPr>
        <w:t xml:space="preserve">Blocco trecentoventicinque. La voce sul giovedì nero di Milano: dodici aprile millenovecentosettantatré, l'omicidio dell'agente ventiduenne Antonio Marino colpito da una bomba lanciata da Vittorio Loi durante una manifestazione vietata: concordante con i blocchi undici e dodici; le formulazioni vincolanti della seconda tranche restano integrali.</w:t>
      </w:r>
    </w:p>
    <w:p>
      <w:pPr>
        <w:spacing w:after="120" w:line="276"/>
        <w:jc w:val="both"/>
      </w:pPr>
      <w:r>
        <w:rPr>
          <w:rFonts w:ascii="Barlow Semi Condensed" w:cs="Barlow Semi Condensed" w:eastAsia="Barlow Semi Condensed" w:hAnsi="Barlow Semi Condensed"/>
          <w:sz w:val="24"/>
          <w:szCs w:val="24"/>
        </w:rPr>
        <w:t xml:space="preserve">Blocco trecentoventisei. Montalto, risolto ora: la sentenza del Tribunale di Locri del due ottobre millenovecentosettanta, citata testualmente con numero di pagina dalla fonte specialistica, fissa la data del primo grado a Livello A; l'indicazione enciclopedica del ventiquattro marzo millenovecentosettantuno resta discordanza annotata, verosimilmente riferita ad altro segmento; l'appello del due dicembre millenovecentosettantanove con le assoluzioni dei tre capi storici resta come già certificato.</w:t>
      </w:r>
    </w:p>
    <w:p>
      <w:pPr>
        <w:spacing w:after="120" w:line="276"/>
        <w:jc w:val="both"/>
      </w:pPr>
      <w:r>
        <w:rPr>
          <w:rFonts w:ascii="Barlow Semi Condensed" w:cs="Barlow Semi Condensed" w:eastAsia="Barlow Semi Condensed" w:hAnsi="Barlow Semi Condensed"/>
          <w:sz w:val="24"/>
          <w:szCs w:val="24"/>
        </w:rPr>
        <w:t xml:space="preserve">Blocco trecentoventisette. Montalto e la sentenza Gotha: la rilettura del summit con le dichiarazioni del collaboratore Serpa sui nomi dell'eversione nera, e le cautele del collegio medesimo — la presenza di Concutelli contraddetta dalla detenzione accertata all'epoca: materiale processuale a Livello B; la Regola Ferrea presidia ogni inferenza storica sulla presenza dei singoli.</w:t>
      </w:r>
    </w:p>
    <w:p>
      <w:pPr>
        <w:spacing w:after="120" w:line="276"/>
        <w:jc w:val="both"/>
      </w:pPr>
      <w:r>
        <w:rPr>
          <w:rFonts w:ascii="Barlow Semi Condensed" w:cs="Barlow Semi Condensed" w:eastAsia="Barlow Semi Condensed" w:hAnsi="Barlow Semi Condensed"/>
          <w:sz w:val="24"/>
          <w:szCs w:val="24"/>
        </w:rPr>
        <w:t xml:space="preserve">Blocco trecentoventotto. La voce integrale sulla Banda della Magliana e il suo duplicato di corpus: censimento con duecentosettanta indirizzi; le condanne-chiave restano come ai blocchi trenta e trentuno: recepita quale voce-quadro a Livello B.</w:t>
      </w:r>
    </w:p>
    <w:p>
      <w:pPr>
        <w:spacing w:after="120" w:line="276"/>
        <w:jc w:val="both"/>
      </w:pPr>
      <w:r>
        <w:rPr>
          <w:rFonts w:ascii="Barlow Semi Condensed" w:cs="Barlow Semi Condensed" w:eastAsia="Barlow Semi Condensed" w:hAnsi="Barlow Semi Condensed"/>
          <w:sz w:val="24"/>
          <w:szCs w:val="24"/>
        </w:rPr>
        <w:t xml:space="preserve">Blocco trecentoventinove. La voce sulla Nuova Camorra Organizzata: quadro a Livello B di voce collaborativa; i numeri della faida restano come al blocco centotrentasette.</w:t>
      </w:r>
    </w:p>
    <w:p>
      <w:pPr>
        <w:spacing w:after="120" w:line="276"/>
        <w:jc w:val="both"/>
      </w:pPr>
      <w:r>
        <w:rPr>
          <w:rFonts w:ascii="Barlow Semi Condensed" w:cs="Barlow Semi Condensed" w:eastAsia="Barlow Semi Condensed" w:hAnsi="Barlow Semi Condensed"/>
          <w:sz w:val="24"/>
          <w:szCs w:val="24"/>
        </w:rPr>
        <w:t xml:space="preserve">Blocco trecentotrenta. La voce sull'omicidio del giudice Occorsio del dieci luglio millenovecentosettantasei: concordante col blocco duecentotrentuno: Livello A sui giudicati.</w:t>
      </w:r>
    </w:p>
    <w:p>
      <w:pPr>
        <w:spacing w:after="120" w:line="276"/>
        <w:jc w:val="both"/>
      </w:pPr>
      <w:r>
        <w:rPr>
          <w:rFonts w:ascii="Barlow Semi Condensed" w:cs="Barlow Semi Condensed" w:eastAsia="Barlow Semi Condensed" w:hAnsi="Barlow Semi Condensed"/>
          <w:sz w:val="24"/>
          <w:szCs w:val="24"/>
        </w:rPr>
        <w:t xml:space="preserve">Blocco trecentotrentuno. La voce sull'omicidio di Piersanti Mattarella: concordante coi blocchi trentadue-trentatré; il monitoraggio resta quello del blocco duecentotrentasette, con presunzione integrale per gli indagati e divieto di comunicazione fra fascicoli.</w:t>
      </w:r>
    </w:p>
    <w:p>
      <w:pPr>
        <w:spacing w:after="120" w:line="276"/>
        <w:jc w:val="both"/>
      </w:pPr>
      <w:r>
        <w:rPr>
          <w:rFonts w:ascii="Barlow Semi Condensed" w:cs="Barlow Semi Condensed" w:eastAsia="Barlow Semi Condensed" w:hAnsi="Barlow Semi Condensed"/>
          <w:sz w:val="24"/>
          <w:szCs w:val="24"/>
        </w:rPr>
        <w:t xml:space="preserve">Pendenze e sigillo (blocchi trecentotrentadue–trecentotrentotto)</w:t>
      </w:r>
    </w:p>
    <w:p>
      <w:pPr>
        <w:spacing w:after="120" w:line="276"/>
        <w:jc w:val="both"/>
      </w:pPr>
      <w:r>
        <w:rPr>
          <w:rFonts w:ascii="Barlow Semi Condensed" w:cs="Barlow Semi Condensed" w:eastAsia="Barlow Semi Condensed" w:hAnsi="Barlow Semi Condensed"/>
          <w:sz w:val="24"/>
          <w:szCs w:val="24"/>
        </w:rPr>
        <w:t xml:space="preserve">Blocco trecentotrentadue. Le sette serie identificative autonome del registro analitico Aginter — trecentosessantacinque voci: riconciliazione pendente, perimetro dichiarato, consegnata alla settima tranche.</w:t>
      </w:r>
    </w:p>
    <w:p>
      <w:pPr>
        <w:spacing w:after="120" w:line="276"/>
        <w:jc w:val="both"/>
      </w:pPr>
      <w:r>
        <w:rPr>
          <w:rFonts w:ascii="Barlow Semi Condensed" w:cs="Barlow Semi Condensed" w:eastAsia="Barlow Semi Condensed" w:hAnsi="Barlow Semi Condensed"/>
          <w:sz w:val="24"/>
          <w:szCs w:val="24"/>
        </w:rPr>
        <w:t xml:space="preserve">Blocco trecentotrentatré. La verifica alla fonte del rapporto portoghese trascritto da Laurent per il nodo sudafricano: pendenza archivistica con soglia di revisione dichiarata, invariata.</w:t>
      </w:r>
    </w:p>
    <w:p>
      <w:pPr>
        <w:spacing w:after="120" w:line="276"/>
        <w:jc w:val="both"/>
      </w:pPr>
      <w:r>
        <w:rPr>
          <w:rFonts w:ascii="Barlow Semi Condensed" w:cs="Barlow Semi Condensed" w:eastAsia="Barlow Semi Condensed" w:hAnsi="Barlow Semi Condensed"/>
          <w:sz w:val="24"/>
          <w:szCs w:val="24"/>
        </w:rPr>
        <w:t xml:space="preserve">Blocco trecentotrentaquattro. Il censimento cumulativo degli indirizzi: millesettecentoquarantasei su ventitré voci estratte, più i novecentosessantatré della monografia Aginter e lo zero statutario dell'innesco presente: mappa consolidata.</w:t>
      </w:r>
    </w:p>
    <w:p>
      <w:pPr>
        <w:spacing w:after="120" w:line="276"/>
        <w:jc w:val="both"/>
      </w:pPr>
      <w:r>
        <w:rPr>
          <w:rFonts w:ascii="Barlow Semi Condensed" w:cs="Barlow Semi Condensed" w:eastAsia="Barlow Semi Condensed" w:hAnsi="Barlow Semi Condensed"/>
          <w:sz w:val="24"/>
          <w:szCs w:val="24"/>
        </w:rPr>
        <w:t xml:space="preserve">Blocco trecentotrentacinque. Aggiornamento della matrice: il censimento fornisce l'ossatura mondiale del Dominio primo; nulla milita per H1; la pluralità irriducibile delle regie rafforza H3; i corridoi transatlantici arricchiscono i pattern dei flussi e delle dinastie.</w:t>
      </w:r>
    </w:p>
    <w:p>
      <w:pPr>
        <w:spacing w:after="120" w:line="276"/>
        <w:jc w:val="both"/>
      </w:pPr>
      <w:r>
        <w:rPr>
          <w:rFonts w:ascii="Barlow Semi Condensed" w:cs="Barlow Semi Condensed" w:eastAsia="Barlow Semi Condensed" w:hAnsi="Barlow Semi Condensed"/>
          <w:sz w:val="24"/>
          <w:szCs w:val="24"/>
        </w:rPr>
        <w:t xml:space="preserve">Blocco trecentotrentasei. Il principio del lampione, iscritto quale regola permanente: la densità documentaria misura l'attenzione delle fonti, non l'intensità storica dei fenomeni; le lacune campionate sono zone d'ombra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trecentotrentasette. I rilievi di metodo sul documento: l'espunzione dichiarata dei sessanta frammenti quale credito di igiene; l'apparato senza indirizzi quale scelta di stile documentale; l'eterogeneità di aggiornamento quale limite dichiarato.</w:t>
      </w:r>
    </w:p>
    <w:p>
      <w:pPr>
        <w:spacing w:after="120" w:line="276"/>
        <w:jc w:val="both"/>
      </w:pPr>
      <w:r>
        <w:rPr>
          <w:rFonts w:ascii="Barlow Semi Condensed" w:cs="Barlow Semi Condensed" w:eastAsia="Barlow Semi Condensed" w:hAnsi="Barlow Semi Condensed"/>
          <w:sz w:val="24"/>
          <w:szCs w:val="24"/>
        </w:rPr>
        <w:t xml:space="preserve">Blocco trecentotrentotto. Sigillo della sesta tranche: il registro raggiunge trecentotrentotto blocchi; le direzioni della settima sono fissate in chiusa.</w:t>
      </w:r>
    </w:p>
    <w:p>
      <w:pPr>
        <w:spacing w:after="120" w:line="276"/>
        <w:jc w:val="both"/>
      </w:pPr>
      <w:r>
        <w:rPr>
          <w:rFonts w:ascii="Barlow Semi Condensed" w:cs="Barlow Semi Condensed" w:eastAsia="Barlow Semi Condensed" w:hAnsi="Barlow Semi Condensed"/>
          <w:sz w:val="24"/>
          <w:szCs w:val="24"/>
        </w:rPr>
        <w:t xml:space="preserve">11.10 — Rilievi per le persone viventi e chiusa della sesta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comprese quelle della quinta sul fascicolo palermitano. Questa tranche vi aggiunge la clausola generale del blocco trecentouno: nessuna voce del censimento nominativo fonda, da sola, responsabilità o appartenenze di alcuna persona, vivente o defunta; per i capi detenuti menzionati nel campionamento — il capo del Primeiro Comando da Capital, il condannato del processo olandese — valgono i soli giudicati richiamati; per le persone comprese nelle liste sanzionatorie valgono gli atti sanzionatori quali fatti amministrativi, non quali accertamenti penali; per i nomi evocati dalle dichiarazioni del collaboratore nella rilettura di Montalto vale la Regola Ferrea: la menzione in una testimonianza processuale, per quanto recepita in sentenza, non equivale alla presenza storica accertata, e per i defunti non più giudicabili resta lo statuto obbligatorio già fissato.</w:t>
      </w:r>
    </w:p>
    <w:p>
      <w:pPr>
        <w:spacing w:after="120" w:line="276"/>
        <w:jc w:val="both"/>
      </w:pPr>
      <w:r>
        <w:rPr>
          <w:rFonts w:ascii="Barlow Semi Condensed" w:cs="Barlow Semi Condensed" w:eastAsia="Barlow Semi Condensed" w:hAnsi="Barlow Semi Condensed"/>
          <w:sz w:val="24"/>
          <w:szCs w:val="24"/>
        </w:rPr>
        <w:t xml:space="preserve">La sesta tranche porta il registro a trecentotrentotto blocchi certificati e consegna alla settima le seguenti direzioni: la riconciliazione delle sette serie identificative del registro Aginter — trecentosessantacinque voci; la verifica alla fonte del rapporto portoghese per il nodo sudafricano e gli indici della Torre do Tombo; l'interrogazione degli indici analitici cecoslovacchi per lo Stato Zero orientale; il vaglio della Parte prima del censimento — la mappatura integrale aggiornata che precede i dodici libri e che questa tranche non ha coperto; la verifica voce per voce della continuità delle serie di numerazione;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FASE XII — SETTIMA TRANCHE: IL DOCUMENTO MORO. TRIANGOLAZIONE DEL VOLUME UNIFICATO CON IL CORPUS E CON I BLOCCHI CERTIFICATI</w:t>
      </w:r>
    </w:p>
    <w:p>
      <w:pPr>
        <w:spacing w:after="120" w:line="276"/>
        <w:jc w:val="both"/>
      </w:pPr>
      <w:r>
        <w:rPr>
          <w:rFonts w:ascii="Barlow Semi Condensed" w:cs="Barlow Semi Condensed" w:eastAsia="Barlow Semi Condensed" w:hAnsi="Barlow Semi Condensed"/>
          <w:sz w:val="24"/>
          <w:szCs w:val="24"/>
        </w:rPr>
        <w:t xml:space="preserve">12.1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settima tranche assume quale documento-innesco il volume unificato «Aldo Moro — Una Pace senza Pace», opera in cinque fasi e cinquanta capitoli, edizione ampliata di circa duecentomila parole in trecentosessantadue pagine, con impronte crittografiche dichiarate per il file di testo e per la riproduzione a stampa, evoluzione dell'edizione di circa centoventiseimila parole già trasmessa per posta elettronica certificata ad un archivio pubblico con certificazione d'impronta. Il mandato del committente ridefinisce l'oggetto della settima tranche rispetto alle direzioni consegnate dalla sesta, che restano formalmente ereditate e sono rinviate all'ottava salvo dove il presente innesco le intercetti naturalmente, come accade per la direzione portoghese sul fondo di Lisbona. La tranche triangola il volume lungo tre assi: contro il corpus di progetto estratto integralmente, che contiene fonti primarie parlamentari, dataset testuali, registri federati e riproduzioni documentali sul caso; contro i trecentotrentotto blocchi già certificati dalle sei tranche precedenti; e contro le fonti esterne richiamate nei giudicati. L'esito è iscritto in cento blocchi nuovi, numerati dal trecentotrentanovesimo al quattrocentotrentottesimo.</w:t>
      </w:r>
    </w:p>
    <w:p>
      <w:pPr>
        <w:spacing w:after="120" w:line="276"/>
        <w:jc w:val="both"/>
      </w:pPr>
      <w:r>
        <w:rPr>
          <w:rFonts w:ascii="Barlow Semi Condensed" w:cs="Barlow Semi Condensed" w:eastAsia="Barlow Semi Condensed" w:hAnsi="Barlow Semi Condensed"/>
          <w:sz w:val="24"/>
          <w:szCs w:val="24"/>
        </w:rPr>
        <w:t xml:space="preserve">12.2 — Il metodo neurale: sinapsi intradominio e interdominio</w:t>
      </w:r>
    </w:p>
    <w:p>
      <w:pPr>
        <w:spacing w:after="120" w:line="276"/>
        <w:jc w:val="both"/>
      </w:pPr>
      <w:r>
        <w:rPr>
          <w:rFonts w:ascii="Barlow Semi Condensed" w:cs="Barlow Semi Condensed" w:eastAsia="Barlow Semi Condensed" w:hAnsi="Barlow Semi Condensed"/>
          <w:sz w:val="24"/>
          <w:szCs w:val="24"/>
        </w:rPr>
        <w:t xml:space="preserve">La tranche applica in forma esplicita la lettura neurale della rete multilivello prevista dalla Nota Metodologica: i nodi del caso sono trattati quali neuroni collocati su dieci strati, i Domini di Potere, e le connessioni quali sinapsi di due specie. Le sinapsi intradominio corrono dentro un medesimo strato — la catena di comando interna all'organizzazione armata, la gerarchia di un apparato, la filiera di un partito — e trasmettono ordini, risorse e appartenenze secondo il codice proprio del dominio. Le sinapsi interdominio attraversano gli strati e sono classificate secondo la tassonomia degli archi dell'opera: collusione, strumentalizzazione, infiltrazione, convergenza e transito. La disciplina è quella consueta e non conosce eccezioni: ogni sinapsi è certificata al livello della propria evidenza, la densità sinaptica non si converte mai in disegno unitario, la Regola Ferrea vieta di inferire il mandato dall'ostruzione, e le sinapsi cercate e non trovate sono iscritte quali Stati Zero con dignità di risultato. Il caso Moro è assunto quale banco di prova della lettura neurale perché è l'unico evento del corpus nel quale tutti i dieci strati risultano simultaneamente attivi e osservabili.</w:t>
      </w:r>
    </w:p>
    <w:p>
      <w:pPr>
        <w:spacing w:after="120" w:line="276"/>
        <w:jc w:val="both"/>
      </w:pPr>
      <w:r>
        <w:rPr>
          <w:rFonts w:ascii="Barlow Semi Condensed" w:cs="Barlow Semi Condensed" w:eastAsia="Barlow Semi Condensed" w:hAnsi="Barlow Semi Condensed"/>
          <w:sz w:val="24"/>
          <w:szCs w:val="24"/>
        </w:rPr>
        <w:t xml:space="preserve">12.3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volume interseca il registro esistente su quattro fronti maggiori. Con la terza tranche condivide i nodi della strage di Bologna, dell'omicidio di Piersanti Mattarella e della Banda della Magliana, che il volume tratta nella propria fase terza e nei capitoli romani della fase quarta: le certificazioni sono reciprocamente coerenti e i rinvii sono incrociati senza residui. Con le tranche prima e quinta condivide il perimetro della loggia coperta quale camera di compensazione, che il volume applica ai cinquantacinque giorni con i medesimi ancoraggi documentali. Con la seconda tranche condivide la cornice eurasiatista solo quale orizzonte prospettico, poiché il volume non tratta la stagione contemporanea: l'incrocio resta dichiarato e non certificato. Con la sesta tranche condivide il metodo del censimento a fonte ereditata e la disciplina delle voci nominative. Nessuna contraddizione fattuale tra il volume e i blocchi certificati è emersa dal riscontro: l'esito, che non era scontato su un corpus di questa estensione, è iscritto quale risultato della tranche.</w:t>
      </w:r>
    </w:p>
    <w:p>
      <w:pPr>
        <w:spacing w:after="120" w:line="276"/>
        <w:jc w:val="both"/>
      </w:pPr>
      <w:r>
        <w:rPr>
          <w:rFonts w:ascii="Barlow Semi Condensed" w:cs="Barlow Semi Condensed" w:eastAsia="Barlow Semi Condensed" w:hAnsi="Barlow Semi Condensed"/>
          <w:sz w:val="24"/>
          <w:szCs w:val="24"/>
        </w:rPr>
        <w:t xml:space="preserve">12.4 — La campagna di triangolazione con il corpus di progetto</w:t>
      </w:r>
    </w:p>
    <w:p>
      <w:pPr>
        <w:spacing w:after="120" w:line="276"/>
        <w:jc w:val="both"/>
      </w:pPr>
      <w:r>
        <w:rPr>
          <w:rFonts w:ascii="Barlow Semi Condensed" w:cs="Barlow Semi Condensed" w:eastAsia="Barlow Semi Condensed" w:hAnsi="Barlow Semi Condensed"/>
          <w:sz w:val="24"/>
          <w:szCs w:val="24"/>
        </w:rPr>
        <w:t xml:space="preserve">Il corpus di progetto contiene un giacimento moroteo autonomo che la tranche censisce e mobilita: l'elaborato parlamentare sul sequestro e sull'omicidio redatto per la Commissione stragi e datato 29 settembre 2000, presente quale estrazione integrale; le schede di presa in consegna della serie del Gruppo di lavoro sul caso Moro della Commissione della decima legislatura, dodici documenti scansionati per seicentoventuno pagine di resoconti stenografici del biennio 1991-1992; il dataset testuale integrale degli scritti moroteî, milleseessantadue documenti dal 1932 al 6 marzo 1978; la famiglia dei registri federati del caso — analitico, di scavo, speculare e genetico — con il codice relazionale che ne disciplina i passaggi; le tavole di triangolazione sull'armamento e sui bossoli; e le riproduzioni documentali maggiori, la relazione della prima Commissione e l'edizione delle lettere dalla prigionia, acquisite quali riproduzioni la cui natura di supporto è certificata nei blocchi dedicati. La campagna ha privilegiato i riscontri che il volume enuncia a Livello A, saggiandone la tenuta contro le fonti primarie interne al corpus.</w:t>
      </w:r>
    </w:p>
    <w:p>
      <w:pPr>
        <w:spacing w:after="120" w:line="276"/>
        <w:jc w:val="both"/>
      </w:pPr>
      <w:r>
        <w:rPr>
          <w:rFonts w:ascii="Barlow Semi Condensed" w:cs="Barlow Semi Condensed" w:eastAsia="Barlow Semi Condensed" w:hAnsi="Barlow Semi Condensed"/>
          <w:sz w:val="24"/>
          <w:szCs w:val="24"/>
        </w:rPr>
        <w:t xml:space="preserve">12.5 — Aggiornamento preliminare della matrice ACH</w:t>
      </w:r>
    </w:p>
    <w:p>
      <w:pPr>
        <w:spacing w:after="120" w:line="276"/>
        <w:jc w:val="both"/>
      </w:pPr>
      <w:r>
        <w:rPr>
          <w:rFonts w:ascii="Barlow Semi Condensed" w:cs="Barlow Semi Condensed" w:eastAsia="Barlow Semi Condensed" w:hAnsi="Barlow Semi Condensed"/>
          <w:sz w:val="24"/>
          <w:szCs w:val="24"/>
        </w:rPr>
        <w:t xml:space="preserve">Il volume-innesco entra nella matrice delle ipotesi in competizione con un apporto netto: la sua fase quarta documenta un caso a pluralità di convergenze certificate e privo di regista unitario giudizialmente accertato, rafforzando l'ipotesi della convergenza policentrica contro la forma forte dell'ipotesi del disegno unitario, che ne esce ulteriormente indebolita; l'ipotesi delle due internazionali autoritarie non riceve dal caso Moro né conferme né smentite dirette e resta a Livello C con i suoi vantaggi esplicativi già registrati. Il dettaglio è consegnato ai blocchi di verdetto in coda al registro.</w:t>
      </w:r>
    </w:p>
    <w:p>
      <w:pPr>
        <w:spacing w:after="120" w:line="276"/>
        <w:jc w:val="both"/>
      </w:pPr>
      <w:r>
        <w:rPr>
          <w:rFonts w:ascii="Barlow Semi Condensed" w:cs="Barlow Semi Condensed" w:eastAsia="Barlow Semi Condensed" w:hAnsi="Barlow Semi Condensed"/>
          <w:sz w:val="24"/>
          <w:szCs w:val="24"/>
        </w:rPr>
        <w:t xml:space="preserve">12.6 — Registro dei blocchi di verifica: blocchi trecentotrentanove–quattrocentotrentotto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trecentotrentanove–trecentoquarantaquattro)</w:t>
      </w:r>
    </w:p>
    <w:p>
      <w:pPr>
        <w:spacing w:after="120" w:line="276"/>
        <w:jc w:val="both"/>
      </w:pPr>
      <w:r>
        <w:rPr>
          <w:rFonts w:ascii="Barlow Semi Condensed" w:cs="Barlow Semi Condensed" w:eastAsia="Barlow Semi Condensed" w:hAnsi="Barlow Semi Condensed"/>
          <w:sz w:val="24"/>
          <w:szCs w:val="24"/>
        </w:rPr>
        <w:t xml:space="preserve">Blocco trecentotrentanove. Il documento-innesco: cinque fasi, cinquanta capitoli, circa duecentomila parole, trecentosessantadue pagine, impronte crittografiche dichiarate per entrambi i formati, cinque occhielli di fase e apparato di certificazioni inline: Livello A quale atto del corpus, con credito di igiene documentale per la dichiarazione delle impronte.</w:t>
      </w:r>
    </w:p>
    <w:p>
      <w:pPr>
        <w:spacing w:after="120" w:line="276"/>
        <w:jc w:val="both"/>
      </w:pPr>
      <w:r>
        <w:rPr>
          <w:rFonts w:ascii="Barlow Semi Condensed" w:cs="Barlow Semi Condensed" w:eastAsia="Barlow Semi Condensed" w:hAnsi="Barlow Semi Condensed"/>
          <w:sz w:val="24"/>
          <w:szCs w:val="24"/>
        </w:rPr>
        <w:t xml:space="preserve">Blocco trecentoquaranta. La doppia edizione: la versione di circa centoventiseimila parole trasmessa per posta elettronica certificata ad archivio pubblico con impronta, e l'edizione ampliata con impronte nuove: catena di custodia interna documentata, Livello A quale genealogia del testo.</w:t>
      </w:r>
    </w:p>
    <w:p>
      <w:pPr>
        <w:spacing w:after="120" w:line="276"/>
        <w:jc w:val="both"/>
      </w:pPr>
      <w:r>
        <w:rPr>
          <w:rFonts w:ascii="Barlow Semi Condensed" w:cs="Barlow Semi Condensed" w:eastAsia="Barlow Semi Condensed" w:hAnsi="Barlow Semi Condensed"/>
          <w:sz w:val="24"/>
          <w:szCs w:val="24"/>
        </w:rPr>
        <w:t xml:space="preserve">Blocco trecentoquarantuno. Il metodo interno: milleseicentonovanta certificazioni probatorie inline, Regola Ferrea dichiarata, Stati Zero iscritti quali risultati: conformità formale alla Nota Metodologica verificata ora per campionamento, Livello A quale conformità di metodo, con l'avvertenza che l'autocertificazione del volume non fa prova dei suoi contenuti, che questa tranche saggia contro fonti esterne.</w:t>
      </w:r>
    </w:p>
    <w:p>
      <w:pPr>
        <w:spacing w:after="120" w:line="276"/>
        <w:jc w:val="both"/>
      </w:pPr>
      <w:r>
        <w:rPr>
          <w:rFonts w:ascii="Barlow Semi Condensed" w:cs="Barlow Semi Condensed" w:eastAsia="Barlow Semi Condensed" w:hAnsi="Barlow Semi Condensed"/>
          <w:sz w:val="24"/>
          <w:szCs w:val="24"/>
        </w:rPr>
        <w:t xml:space="preserve">Blocco trecentoquarantadue. Il perimetro: la fase quarta quale trattazione del caso, le fasi restanti quali contesto del quadrilatero, degli apparati, dello stragismo e del teatro internazionale: architettura a cerniera iscritta, Livello A quale struttura dichiarata e riscontrata.</w:t>
      </w:r>
    </w:p>
    <w:p>
      <w:pPr>
        <w:spacing w:after="120" w:line="276"/>
        <w:jc w:val="both"/>
      </w:pPr>
      <w:r>
        <w:rPr>
          <w:rFonts w:ascii="Barlow Semi Condensed" w:cs="Barlow Semi Condensed" w:eastAsia="Barlow Semi Condensed" w:hAnsi="Barlow Semi Condensed"/>
          <w:sz w:val="24"/>
          <w:szCs w:val="24"/>
        </w:rPr>
        <w:t xml:space="preserve">Blocco trecentoquarantatré. La federazione con i registri moroteî del corpus — analitico sino alla dodicesima edizione, di scavo, speculare, genetico, con codice relazionale e protocollo dei passaggi: coesistenza documentata di cinque linee registrali autonome sul medesimo caso, Livello A quale esistenza della federazione; la riconciliazione contenutistica voce per voce è pendenza dichiarata e consegnata.</w:t>
      </w:r>
    </w:p>
    <w:p>
      <w:pPr>
        <w:spacing w:after="120" w:line="276"/>
        <w:jc w:val="both"/>
      </w:pPr>
      <w:r>
        <w:rPr>
          <w:rFonts w:ascii="Barlow Semi Condensed" w:cs="Barlow Semi Condensed" w:eastAsia="Barlow Semi Condensed" w:hAnsi="Barlow Semi Condensed"/>
          <w:sz w:val="24"/>
          <w:szCs w:val="24"/>
        </w:rPr>
        <w:t xml:space="preserve">Blocco trecentoquarantaquattro. Zero indirizzi di rete nel corpo del volume: apparato per fonti nominate, coerente con il protocollo redazionale della quinta Fase di questo registro: Livello A per statuto.</w:t>
      </w:r>
    </w:p>
    <w:p>
      <w:pPr>
        <w:spacing w:after="120" w:line="276"/>
        <w:jc w:val="both"/>
      </w:pPr>
      <w:r>
        <w:rPr>
          <w:rFonts w:ascii="Barlow Semi Condensed" w:cs="Barlow Semi Condensed" w:eastAsia="Barlow Semi Condensed" w:hAnsi="Barlow Semi Condensed"/>
          <w:sz w:val="24"/>
          <w:szCs w:val="24"/>
        </w:rPr>
        <w:t xml:space="preserve">Sinapsi intradominio del settimo dominio: la catena interna (blocchi trecentoquarantacinque–trecentocinquantaquattro)</w:t>
      </w:r>
    </w:p>
    <w:p>
      <w:pPr>
        <w:spacing w:after="120" w:line="276"/>
        <w:jc w:val="both"/>
      </w:pPr>
      <w:r>
        <w:rPr>
          <w:rFonts w:ascii="Barlow Semi Condensed" w:cs="Barlow Semi Condensed" w:eastAsia="Barlow Semi Condensed" w:hAnsi="Barlow Semi Condensed"/>
          <w:sz w:val="24"/>
          <w:szCs w:val="24"/>
        </w:rPr>
        <w:t xml:space="preserve">Blocco trecentoquarantacinque. L'agguato di via Fani quale operazione militare: dinamica, rapporto dei colpi, sequenza dei mezzi: l'enunciato del volume converge con l'elaborato parlamentare del 2000 presente nel corpus e con i giudicati richiamati: Livello A verificato ora contro fonte primaria interna al corpus.</w:t>
      </w:r>
    </w:p>
    <w:p>
      <w:pPr>
        <w:spacing w:after="120" w:line="276"/>
        <w:jc w:val="both"/>
      </w:pPr>
      <w:r>
        <w:rPr>
          <w:rFonts w:ascii="Barlow Semi Condensed" w:cs="Barlow Semi Condensed" w:eastAsia="Barlow Semi Condensed" w:hAnsi="Barlow Semi Condensed"/>
          <w:sz w:val="24"/>
          <w:szCs w:val="24"/>
        </w:rPr>
        <w:t xml:space="preserve">Blocco trecentoquarantasei. Il Comitato esecutivo quale organo deliberante a quattro membri, interfaccia tra Direzione strategica e colonne: composizione e attribuzioni conformi ai giudicati: Livello A già certificato nel volume, coerente con le fonti del corpus.</w:t>
      </w:r>
    </w:p>
    <w:p>
      <w:pPr>
        <w:spacing w:after="120" w:line="276"/>
        <w:jc w:val="both"/>
      </w:pPr>
      <w:r>
        <w:rPr>
          <w:rFonts w:ascii="Barlow Semi Condensed" w:cs="Barlow Semi Condensed" w:eastAsia="Barlow Semi Condensed" w:hAnsi="Barlow Semi Condensed"/>
          <w:sz w:val="24"/>
          <w:szCs w:val="24"/>
        </w:rPr>
        <w:t xml:space="preserve">Blocco trecentoquarantasette. La costellazione romana delle basi — il covo direttivo, la prigione, la tipografia — e la sua preesistenza documentata all'azione: il calendario immobiliare quale prova della pianificazione lunga: Livello A.</w:t>
      </w:r>
    </w:p>
    <w:p>
      <w:pPr>
        <w:spacing w:after="120" w:line="276"/>
        <w:jc w:val="both"/>
      </w:pPr>
      <w:r>
        <w:rPr>
          <w:rFonts w:ascii="Barlow Semi Condensed" w:cs="Barlow Semi Condensed" w:eastAsia="Barlow Semi Condensed" w:hAnsi="Barlow Semi Condensed"/>
          <w:sz w:val="24"/>
          <w:szCs w:val="24"/>
        </w:rPr>
        <w:t xml:space="preserve">Blocco trecentoquarantotto. Il nome in codice dell'operazione, Fritz, quale designazione interna riferita dalle fonti dell'organizzazione: convergenza di dichiarazioni omogenee di provenienza interessata: Livello B con Indice di Contaminazione dichiarato.</w:t>
      </w:r>
    </w:p>
    <w:p>
      <w:pPr>
        <w:spacing w:after="120" w:line="276"/>
        <w:jc w:val="both"/>
      </w:pPr>
      <w:r>
        <w:rPr>
          <w:rFonts w:ascii="Barlow Semi Condensed" w:cs="Barlow Semi Condensed" w:eastAsia="Barlow Semi Condensed" w:hAnsi="Barlow Semi Condensed"/>
          <w:sz w:val="24"/>
          <w:szCs w:val="24"/>
        </w:rPr>
        <w:t xml:space="preserve">Blocco trecentoquarantanove. La genesi milanese 1969-1970 tra fabbrica e collettivi quale sinapsi genetica intradominio: ricostruzione conforme alla storiografia giudiziaria: Livello A.</w:t>
      </w:r>
    </w:p>
    <w:p>
      <w:pPr>
        <w:spacing w:after="120" w:line="276"/>
        <w:jc w:val="both"/>
      </w:pPr>
      <w:r>
        <w:rPr>
          <w:rFonts w:ascii="Barlow Semi Condensed" w:cs="Barlow Semi Condensed" w:eastAsia="Barlow Semi Condensed" w:hAnsi="Barlow Semi Condensed"/>
          <w:sz w:val="24"/>
          <w:szCs w:val="24"/>
        </w:rPr>
        <w:t xml:space="preserve">Blocco trecentocinquanta. L'economia della campagna: il riscatto del sequestro ligure del 1977 quale finanziamento accertato nei giudicati: sinapsi intradominio di risorsa: Livello A.</w:t>
      </w:r>
    </w:p>
    <w:p>
      <w:pPr>
        <w:spacing w:after="120" w:line="276"/>
        <w:jc w:val="both"/>
      </w:pPr>
      <w:r>
        <w:rPr>
          <w:rFonts w:ascii="Barlow Semi Condensed" w:cs="Barlow Semi Condensed" w:eastAsia="Barlow Semi Condensed" w:hAnsi="Barlow Semi Condensed"/>
          <w:sz w:val="24"/>
          <w:szCs w:val="24"/>
        </w:rPr>
        <w:t xml:space="preserve">Blocco trecentocinquantuno. La prigione condominiale: l'invisibilità comportamentale accertata nei dibattimenti quale tecnologia decisiva della clandestinità: Livello A.</w:t>
      </w:r>
    </w:p>
    <w:p>
      <w:pPr>
        <w:spacing w:after="120" w:line="276"/>
        <w:jc w:val="both"/>
      </w:pPr>
      <w:r>
        <w:rPr>
          <w:rFonts w:ascii="Barlow Semi Condensed" w:cs="Barlow Semi Condensed" w:eastAsia="Barlow Semi Condensed" w:hAnsi="Barlow Semi Condensed"/>
          <w:sz w:val="24"/>
          <w:szCs w:val="24"/>
        </w:rPr>
        <w:t xml:space="preserve">Blocco trecentocinquantadue. Il silenzio elettronico dell'organizzazione nei cinquantacinque giorni: assenza di traffico intercettabile riferibile, quale dato tecnico degli atti: Livello A quale dato, con le letture ulteriori lasciate al loro grado.</w:t>
      </w:r>
    </w:p>
    <w:p>
      <w:pPr>
        <w:spacing w:after="120" w:line="276"/>
        <w:jc w:val="both"/>
      </w:pPr>
      <w:r>
        <w:rPr>
          <w:rFonts w:ascii="Barlow Semi Condensed" w:cs="Barlow Semi Condensed" w:eastAsia="Barlow Semi Condensed" w:hAnsi="Barlow Semi Condensed"/>
          <w:sz w:val="24"/>
          <w:szCs w:val="24"/>
        </w:rPr>
        <w:t xml:space="preserve">Blocco trecentocinquantatré. La biforcazione dei destini penali tra dissociati e irriducibili quale effetto della legislazione premiale: Livello A quale quadro aggregato dai giudicati.</w:t>
      </w:r>
    </w:p>
    <w:p>
      <w:pPr>
        <w:spacing w:after="120" w:line="276"/>
        <w:jc w:val="both"/>
      </w:pPr>
      <w:r>
        <w:rPr>
          <w:rFonts w:ascii="Barlow Semi Condensed" w:cs="Barlow Semi Condensed" w:eastAsia="Barlow Semi Condensed" w:hAnsi="Barlow Semi Condensed"/>
          <w:sz w:val="24"/>
          <w:szCs w:val="24"/>
        </w:rPr>
        <w:t xml:space="preserve">Blocco trecentocinquantaquattro. La negazione unanime, da parte delle fonti interne, di presenze estranee sulla scena: convergenza dichiarativa di provenienza interessata, che non chiude la questione peritale: Livello B dichiarativo, con rinvio al blocco sulle ipotesi della seconda Commissione.</w:t>
      </w:r>
    </w:p>
    <w:p>
      <w:pPr>
        <w:spacing w:after="120" w:line="276"/>
        <w:jc w:val="both"/>
      </w:pPr>
      <w:r>
        <w:rPr>
          <w:rFonts w:ascii="Barlow Semi Condensed" w:cs="Barlow Semi Condensed" w:eastAsia="Barlow Semi Condensed" w:hAnsi="Barlow Semi Condensed"/>
          <w:sz w:val="24"/>
          <w:szCs w:val="24"/>
        </w:rPr>
        <w:t xml:space="preserve">Sinapsi interdominio settimo-terzo: organizzazione e apparati (blocchi trecentocinquantacinque–trecentosessantaquattro)</w:t>
      </w:r>
    </w:p>
    <w:p>
      <w:pPr>
        <w:spacing w:after="120" w:line="276"/>
        <w:jc w:val="both"/>
      </w:pPr>
      <w:r>
        <w:rPr>
          <w:rFonts w:ascii="Barlow Semi Condensed" w:cs="Barlow Semi Condensed" w:eastAsia="Barlow Semi Condensed" w:hAnsi="Barlow Semi Condensed"/>
          <w:sz w:val="24"/>
          <w:szCs w:val="24"/>
        </w:rPr>
        <w:t xml:space="preserve">Blocco trecentocinquantacinque. Il triplo mancato di via Gradoli — la segnalazione non convenzionale, il controllo di pattuglia del 18 marzo, l'equivoco toponomastico: tre strumenti falliti sul medesimo indirizzo: Livello A quanto ai fatti, Livello C permanente quanto alle letture non certificate.</w:t>
      </w:r>
    </w:p>
    <w:p>
      <w:pPr>
        <w:spacing w:after="120" w:line="276"/>
        <w:jc w:val="both"/>
      </w:pPr>
      <w:r>
        <w:rPr>
          <w:rFonts w:ascii="Barlow Semi Condensed" w:cs="Barlow Semi Condensed" w:eastAsia="Barlow Semi Condensed" w:hAnsi="Barlow Semi Condensed"/>
          <w:sz w:val="24"/>
          <w:szCs w:val="24"/>
        </w:rPr>
        <w:t xml:space="preserve">Blocco trecentocinquantasei. La composizione dei comitati di gestione della crisi con presenze iscritte negli elenchi della loggia sequestrati nel 1981: sinapsi di infiltrazione tra quarto e terzo dominio attiva durante i cinquantacinque giorni: Livello A quale risultanza dagli elenchi, senza inferenza di condotte.</w:t>
      </w:r>
    </w:p>
    <w:p>
      <w:pPr>
        <w:spacing w:after="120" w:line="276"/>
        <w:jc w:val="both"/>
      </w:pPr>
      <w:r>
        <w:rPr>
          <w:rFonts w:ascii="Barlow Semi Condensed" w:cs="Barlow Semi Condensed" w:eastAsia="Barlow Semi Condensed" w:hAnsi="Barlow Semi Condensed"/>
          <w:sz w:val="24"/>
          <w:szCs w:val="24"/>
        </w:rPr>
        <w:t xml:space="preserve">Blocco trecentocinquantasette. L'unica condanna d'apparato del caso: il funzionario di vertice condannato in via definitiva per la fuga di notizie sul memoriale nell'ottobre 1978: Livello A.</w:t>
      </w:r>
    </w:p>
    <w:p>
      <w:pPr>
        <w:spacing w:after="120" w:line="276"/>
        <w:jc w:val="both"/>
      </w:pPr>
      <w:r>
        <w:rPr>
          <w:rFonts w:ascii="Barlow Semi Condensed" w:cs="Barlow Semi Condensed" w:eastAsia="Barlow Semi Condensed" w:hAnsi="Barlow Semi Condensed"/>
          <w:sz w:val="24"/>
          <w:szCs w:val="24"/>
        </w:rPr>
        <w:t xml:space="preserve">Blocco trecentocinquantotto. La smobilitazione dell'Ispettorato antiterrorismo nella stagione immediatamente precedente l'agguato: riorganizzazione documentata degli assetti: Livello A quale fatto ordinamentale, con la lettura funzionale al suo grado.</w:t>
      </w:r>
    </w:p>
    <w:p>
      <w:pPr>
        <w:spacing w:after="120" w:line="276"/>
        <w:jc w:val="both"/>
      </w:pPr>
      <w:r>
        <w:rPr>
          <w:rFonts w:ascii="Barlow Semi Condensed" w:cs="Barlow Semi Condensed" w:eastAsia="Barlow Semi Condensed" w:hAnsi="Barlow Semi Condensed"/>
          <w:sz w:val="24"/>
          <w:szCs w:val="24"/>
        </w:rPr>
        <w:t xml:space="preserve">Blocco trecentocinquantanove. Il censimento negativo della protezione: vettura non blindata, assenza di copertura aerea, scorta priva di addestramento specifico anti-imboscata: convergenza tra il volume e gli accertamenti parlamentari presenti nel corpus: Livello A verificato ora.</w:t>
      </w:r>
    </w:p>
    <w:p>
      <w:pPr>
        <w:spacing w:after="120" w:line="276"/>
        <w:jc w:val="both"/>
      </w:pPr>
      <w:r>
        <w:rPr>
          <w:rFonts w:ascii="Barlow Semi Condensed" w:cs="Barlow Semi Condensed" w:eastAsia="Barlow Semi Condensed" w:hAnsi="Barlow Semi Condensed"/>
          <w:sz w:val="24"/>
          <w:szCs w:val="24"/>
        </w:rPr>
        <w:t xml:space="preserve">Blocco trecentosessanta. Il rumore informativo: le migliaia di segnalazioni, millantazioni e offerte spontanee censite dagli atti quale condizione operativa reale della caccia: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trecentosessantuno. Il falso comunicato del lago e la ricognizione subacquea sincrona alle operazioni sul covo milanese: cronologia oggettiva iscritta: Livello A quanto ai fatti, Livello C quanto ad ogni regia unitaria non certificata.</w:t>
      </w:r>
    </w:p>
    <w:p>
      <w:pPr>
        <w:spacing w:after="120" w:line="276"/>
        <w:jc w:val="both"/>
      </w:pPr>
      <w:r>
        <w:rPr>
          <w:rFonts w:ascii="Barlow Semi Condensed" w:cs="Barlow Semi Condensed" w:eastAsia="Barlow Semi Condensed" w:hAnsi="Barlow Semi Condensed"/>
          <w:sz w:val="24"/>
          <w:szCs w:val="24"/>
        </w:rPr>
        <w:t xml:space="preserve">Blocco trecentosessantadue. Il doppio ritrovamento di via Monte Nevoso, 1978 e 1990, con il differenziale documentale tra le due acquisizioni: Livello A quanto ai fatti; le carte mancanti restano oggetto senza giudicato.</w:t>
      </w:r>
    </w:p>
    <w:p>
      <w:pPr>
        <w:spacing w:after="120" w:line="276"/>
        <w:jc w:val="both"/>
      </w:pPr>
      <w:r>
        <w:rPr>
          <w:rFonts w:ascii="Barlow Semi Condensed" w:cs="Barlow Semi Condensed" w:eastAsia="Barlow Semi Condensed" w:hAnsi="Barlow Semi Condensed"/>
          <w:sz w:val="24"/>
          <w:szCs w:val="24"/>
        </w:rPr>
        <w:t xml:space="preserve">Blocco trecentosessantatré. L'attribuzione istruttoria del falso comunicato ad un falsario poi ucciso nel 1984 senza processo: Livello B quanto all'attribuzione, Livello A quanto alla morte prima del dibattimento.</w:t>
      </w:r>
    </w:p>
    <w:p>
      <w:pPr>
        <w:spacing w:after="120" w:line="276"/>
        <w:jc w:val="both"/>
      </w:pPr>
      <w:r>
        <w:rPr>
          <w:rFonts w:ascii="Barlow Semi Condensed" w:cs="Barlow Semi Condensed" w:eastAsia="Barlow Semi Condensed" w:hAnsi="Barlow Semi Condensed"/>
          <w:sz w:val="24"/>
          <w:szCs w:val="24"/>
        </w:rPr>
        <w:t xml:space="preserve">Blocco trecentosessantaquattro. Stato Zero di dominio: nessun mandato o concorso di apparato nel sequestro è stato accertato in alcuno dei cinque cicli di giudizio; le omissioni censite restano omissioni: la Regola Ferrea vieta la conversione: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settimo-secondo: organizzazione e politica (blocchi trecentosessantacinque–trecentosettantadue)</w:t>
      </w:r>
    </w:p>
    <w:p>
      <w:pPr>
        <w:spacing w:after="120" w:line="276"/>
        <w:jc w:val="both"/>
      </w:pPr>
      <w:r>
        <w:rPr>
          <w:rFonts w:ascii="Barlow Semi Condensed" w:cs="Barlow Semi Condensed" w:eastAsia="Barlow Semi Condensed" w:hAnsi="Barlow Semi Condensed"/>
          <w:sz w:val="24"/>
          <w:szCs w:val="24"/>
        </w:rPr>
        <w:t xml:space="preserve">Blocco trecentosessantacinque. La posta politica: la cronologia 16 gennaio-16 marzo 1978 e la coincidenza del giorno dell'agguato con il voto di fiducia: Livello A quale cronologia oggettiva, senza inferenza di sincronizzazione oltre il suo grado.</w:t>
      </w:r>
    </w:p>
    <w:p>
      <w:pPr>
        <w:spacing w:after="120" w:line="276"/>
        <w:jc w:val="both"/>
      </w:pPr>
      <w:r>
        <w:rPr>
          <w:rFonts w:ascii="Barlow Semi Condensed" w:cs="Barlow Semi Condensed" w:eastAsia="Barlow Semi Condensed" w:hAnsi="Barlow Semi Condensed"/>
          <w:sz w:val="24"/>
          <w:szCs w:val="24"/>
        </w:rPr>
        <w:t xml:space="preserve">Blocco trecentosessantasei. L'architettura argomentativa della corrispondenza al ministro dell'interno quale primo atto della linea negoziale del prigioniero: Livello A quale testo autentico periziato.</w:t>
      </w:r>
    </w:p>
    <w:p>
      <w:pPr>
        <w:spacing w:after="120" w:line="276"/>
        <w:jc w:val="both"/>
      </w:pPr>
      <w:r>
        <w:rPr>
          <w:rFonts w:ascii="Barlow Semi Condensed" w:cs="Barlow Semi Condensed" w:eastAsia="Barlow Semi Condensed" w:hAnsi="Barlow Semi Condensed"/>
          <w:sz w:val="24"/>
          <w:szCs w:val="24"/>
        </w:rPr>
        <w:t xml:space="preserve">Blocco trecentosessantasette. La filiera parallela del partito socialista attraverso l'esponente di vertice, il giornalista e l'area dell'autonomia: esistenza documentata dalle audizioni, portata dei singoli passaggi non integralmente certificata: Livello A sull'esistenza, Livello B sulla portata.</w:t>
      </w:r>
    </w:p>
    <w:p>
      <w:pPr>
        <w:spacing w:after="120" w:line="276"/>
        <w:jc w:val="both"/>
      </w:pPr>
      <w:r>
        <w:rPr>
          <w:rFonts w:ascii="Barlow Semi Condensed" w:cs="Barlow Semi Condensed" w:eastAsia="Barlow Semi Condensed" w:hAnsi="Barlow Semi Condensed"/>
          <w:sz w:val="24"/>
          <w:szCs w:val="24"/>
        </w:rPr>
        <w:t xml:space="preserve">Blocco trecentosessantotto. La fine della solidarietà nazionale nel gennaio 1979 quale effetto-calendario della vicenda: Livello A quale sequenza documentata degli effetti.</w:t>
      </w:r>
    </w:p>
    <w:p>
      <w:pPr>
        <w:spacing w:after="120" w:line="276"/>
        <w:jc w:val="both"/>
      </w:pPr>
      <w:r>
        <w:rPr>
          <w:rFonts w:ascii="Barlow Semi Condensed" w:cs="Barlow Semi Condensed" w:eastAsia="Barlow Semi Condensed" w:hAnsi="Barlow Semi Condensed"/>
          <w:sz w:val="24"/>
          <w:szCs w:val="24"/>
        </w:rPr>
        <w:t xml:space="preserve">Blocco trecentosessantanove. La legislazione emergenziale e premiale del triennio successivo quale vincitrice strutturale della stagione: Livello A quale quadro normativo e applicativo.</w:t>
      </w:r>
    </w:p>
    <w:p>
      <w:pPr>
        <w:spacing w:after="120" w:line="276"/>
        <w:jc w:val="both"/>
      </w:pPr>
      <w:r>
        <w:rPr>
          <w:rFonts w:ascii="Barlow Semi Condensed" w:cs="Barlow Semi Condensed" w:eastAsia="Barlow Semi Condensed" w:hAnsi="Barlow Semi Condensed"/>
          <w:sz w:val="24"/>
          <w:szCs w:val="24"/>
        </w:rPr>
        <w:t xml:space="preserve">Blocco trecentosettanta. L'istituzione per legge, nel 2007, del 9 maggio quale Giorno della memoria delle vittime del terrorismo: Livello A.</w:t>
      </w:r>
    </w:p>
    <w:p>
      <w:pPr>
        <w:spacing w:after="120" w:line="276"/>
        <w:jc w:val="both"/>
      </w:pPr>
      <w:r>
        <w:rPr>
          <w:rFonts w:ascii="Barlow Semi Condensed" w:cs="Barlow Semi Condensed" w:eastAsia="Barlow Semi Condensed" w:hAnsi="Barlow Semi Condensed"/>
          <w:sz w:val="24"/>
          <w:szCs w:val="24"/>
        </w:rPr>
        <w:t xml:space="preserve">Blocco trecentosettantuno. Le dimissioni del ministro dell'interno il 9 maggio e il corpus trentennale delle sue esternazioni successive: Livello A quale esistenza e natura del corpus dichiarativo, Livello C permanente quanto ai contenuti allusivi mai riscontrati.</w:t>
      </w:r>
    </w:p>
    <w:p>
      <w:pPr>
        <w:spacing w:after="120" w:line="276"/>
        <w:jc w:val="both"/>
      </w:pPr>
      <w:r>
        <w:rPr>
          <w:rFonts w:ascii="Barlow Semi Condensed" w:cs="Barlow Semi Condensed" w:eastAsia="Barlow Semi Condensed" w:hAnsi="Barlow Semi Condensed"/>
          <w:sz w:val="24"/>
          <w:szCs w:val="24"/>
        </w:rPr>
        <w:t xml:space="preserve">Blocco trecentosettantadue. La catena istituzionale dell'estate 1978 — le dimissioni del Capo dello Stato, l'elezione del successore, la morte del pontefice: Livello A quale cronologia, iscritta quale sismografo di sistema senza nessi causali oltre il grado.</w:t>
      </w:r>
    </w:p>
    <w:p>
      <w:pPr>
        <w:spacing w:after="120" w:line="276"/>
        <w:jc w:val="both"/>
      </w:pPr>
      <w:r>
        <w:rPr>
          <w:rFonts w:ascii="Barlow Semi Condensed" w:cs="Barlow Semi Condensed" w:eastAsia="Barlow Semi Condensed" w:hAnsi="Barlow Semi Condensed"/>
          <w:sz w:val="24"/>
          <w:szCs w:val="24"/>
        </w:rPr>
        <w:t xml:space="preserve">Sinapsi interdominio settimo-quarto: organizzazione, caso e loggia (blocchi trecentosettantatré–trecentosettantanove)</w:t>
      </w:r>
    </w:p>
    <w:p>
      <w:pPr>
        <w:spacing w:after="120" w:line="276"/>
        <w:jc w:val="both"/>
      </w:pPr>
      <w:r>
        <w:rPr>
          <w:rFonts w:ascii="Barlow Semi Condensed" w:cs="Barlow Semi Condensed" w:eastAsia="Barlow Semi Condensed" w:hAnsi="Barlow Semi Condensed"/>
          <w:sz w:val="24"/>
          <w:szCs w:val="24"/>
        </w:rPr>
        <w:t xml:space="preserve">Blocco trecentosettantatré. Il direttore del settimanale romano negli elenchi sequestrati della loggia e il suo omicidio nel marzo 1979 rimasto senza colpevoli definitivi: Livello A quanto alla risultanza dagli elenchi e all'esito giudiziario; la posizione del nodo che informa contro il proprio cluster è iscritta quale lettura topologica.</w:t>
      </w:r>
    </w:p>
    <w:p>
      <w:pPr>
        <w:spacing w:after="120" w:line="276"/>
        <w:jc w:val="both"/>
      </w:pPr>
      <w:r>
        <w:rPr>
          <w:rFonts w:ascii="Barlow Semi Condensed" w:cs="Barlow Semi Condensed" w:eastAsia="Barlow Semi Condensed" w:hAnsi="Barlow Semi Condensed"/>
          <w:sz w:val="24"/>
          <w:szCs w:val="24"/>
        </w:rPr>
        <w:t xml:space="preserve">Blocco trecentosettantaquattro. La presenza negli elenchi della loggia di titolari di funzioni apicali della sicurezza in carica durante i cinquantacinque giorni: Livello A quale risultanza documentale, senza inferenza di condotte specifiche.</w:t>
      </w:r>
    </w:p>
    <w:p>
      <w:pPr>
        <w:spacing w:after="120" w:line="276"/>
        <w:jc w:val="both"/>
      </w:pPr>
      <w:r>
        <w:rPr>
          <w:rFonts w:ascii="Barlow Semi Condensed" w:cs="Barlow Semi Condensed" w:eastAsia="Barlow Semi Condensed" w:hAnsi="Barlow Semi Condensed"/>
          <w:sz w:val="24"/>
          <w:szCs w:val="24"/>
        </w:rPr>
        <w:t xml:space="preserve">Blocco trecentosettantacinque. Il fascicolo riservato sui traffici petroliferi e la sua migrazione verso il settimanale: sinapsi di transito informativo tra apparati e stampa: Livello A quanto alla vicenda documentale, Livello B quanto ai passaggi intermedi.</w:t>
      </w:r>
    </w:p>
    <w:p>
      <w:pPr>
        <w:spacing w:after="120" w:line="276"/>
        <w:jc w:val="both"/>
      </w:pPr>
      <w:r>
        <w:rPr>
          <w:rFonts w:ascii="Barlow Semi Condensed" w:cs="Barlow Semi Condensed" w:eastAsia="Barlow Semi Condensed" w:hAnsi="Barlow Semi Condensed"/>
          <w:sz w:val="24"/>
          <w:szCs w:val="24"/>
        </w:rPr>
        <w:t xml:space="preserve">Blocco trecentosettantasei. La camera di compensazione: il ruolo della loggia quale piattaforma trasversale, già certificato nelle tranche precedenti, è richiamato per i cinquantacinque giorni senza estensioni nuove: già certificato.</w:t>
      </w:r>
    </w:p>
    <w:p>
      <w:pPr>
        <w:spacing w:after="120" w:line="276"/>
        <w:jc w:val="both"/>
      </w:pPr>
      <w:r>
        <w:rPr>
          <w:rFonts w:ascii="Barlow Semi Condensed" w:cs="Barlow Semi Condensed" w:eastAsia="Barlow Semi Condensed" w:hAnsi="Barlow Semi Condensed"/>
          <w:sz w:val="24"/>
          <w:szCs w:val="24"/>
        </w:rPr>
        <w:t xml:space="preserve">Blocco trecentosettantasette. L'apocrifo delle «convergenze parallele»: circolazione pubblica della formula attribuita e assenza della paternità nel corpus autentico: Livello A sulla circolazione, Livello C sulla paternità.</w:t>
      </w:r>
    </w:p>
    <w:p>
      <w:pPr>
        <w:spacing w:after="120" w:line="276"/>
        <w:jc w:val="both"/>
      </w:pPr>
      <w:r>
        <w:rPr>
          <w:rFonts w:ascii="Barlow Semi Condensed" w:cs="Barlow Semi Condensed" w:eastAsia="Barlow Semi Condensed" w:hAnsi="Barlow Semi Condensed"/>
          <w:sz w:val="24"/>
          <w:szCs w:val="24"/>
        </w:rPr>
        <w:t xml:space="preserve">Blocco trecentosettantotto. Le veline e i dossier quali strumenti di condizionamento informativo nella stagione del caso: fenomeno documentato dalle inchieste parlamentari: Livello B quale sistema, con i singoli episodi al loro grado.</w:t>
      </w:r>
    </w:p>
    <w:p>
      <w:pPr>
        <w:spacing w:after="120" w:line="276"/>
        <w:jc w:val="both"/>
      </w:pPr>
      <w:r>
        <w:rPr>
          <w:rFonts w:ascii="Barlow Semi Condensed" w:cs="Barlow Semi Condensed" w:eastAsia="Barlow Semi Condensed" w:hAnsi="Barlow Semi Condensed"/>
          <w:sz w:val="24"/>
          <w:szCs w:val="24"/>
        </w:rPr>
        <w:t xml:space="preserve">Blocco trecentosettantanove. Stato Zero di dominio: nessun giudicato lega la loggia quale ente alla deliberazione o alla gestione del sequestro: Stato Zero certificato, distinto dalle risultanze individuali dei blocchi precedenti.</w:t>
      </w:r>
    </w:p>
    <w:p>
      <w:pPr>
        <w:spacing w:after="120" w:line="276"/>
        <w:jc w:val="both"/>
      </w:pPr>
      <w:r>
        <w:rPr>
          <w:rFonts w:ascii="Barlow Semi Condensed" w:cs="Barlow Semi Condensed" w:eastAsia="Barlow Semi Condensed" w:hAnsi="Barlow Semi Condensed"/>
          <w:sz w:val="24"/>
          <w:szCs w:val="24"/>
        </w:rPr>
        <w:t xml:space="preserve">Sinapsi interdominio settimo-primo: organizzazione e crimine (blocchi trecentottanta–trecentottantasei)</w:t>
      </w:r>
    </w:p>
    <w:p>
      <w:pPr>
        <w:spacing w:after="120" w:line="276"/>
        <w:jc w:val="both"/>
      </w:pPr>
      <w:r>
        <w:rPr>
          <w:rFonts w:ascii="Barlow Semi Condensed" w:cs="Barlow Semi Condensed" w:eastAsia="Barlow Semi Condensed" w:hAnsi="Barlow Semi Condensed"/>
          <w:sz w:val="24"/>
          <w:szCs w:val="24"/>
        </w:rPr>
        <w:t xml:space="preserve">Blocco trecentottanta. L'ambiente criminale romano attorno al falso comunicato del lago: attribuzione istruttoria all'area della banda capitolina, coerente con il blocco già certificato della terza tranche sulla cerniera crimine-eversione: Livello B istruttorio, incrocio iscritto.</w:t>
      </w:r>
    </w:p>
    <w:p>
      <w:pPr>
        <w:spacing w:after="120" w:line="276"/>
        <w:jc w:val="both"/>
      </w:pPr>
      <w:r>
        <w:rPr>
          <w:rFonts w:ascii="Barlow Semi Condensed" w:cs="Barlow Semi Condensed" w:eastAsia="Barlow Semi Condensed" w:hAnsi="Barlow Semi Condensed"/>
          <w:sz w:val="24"/>
          <w:szCs w:val="24"/>
        </w:rPr>
        <w:t xml:space="preserve">Blocco trecentottantuno. Il canale calabrese attivato durante il sequestro attraverso un parlamentare quale tramite: esistenza documentata dalle audizioni, esiti non certificati: Livello A sull'esistenza del canale, Livello B sugli sviluppi, con la formula degli atti: o non sapevano, o non vollero dire.</w:t>
      </w:r>
    </w:p>
    <w:p>
      <w:pPr>
        <w:spacing w:after="120" w:line="276"/>
        <w:jc w:val="both"/>
      </w:pPr>
      <w:r>
        <w:rPr>
          <w:rFonts w:ascii="Barlow Semi Condensed" w:cs="Barlow Semi Condensed" w:eastAsia="Barlow Semi Condensed" w:hAnsi="Barlow Semi Condensed"/>
          <w:sz w:val="24"/>
          <w:szCs w:val="24"/>
        </w:rPr>
        <w:t xml:space="preserve">Blocco trecentottantadue. L'ipotesi di presenze riconducibili alla criminalità calabrese sulla scena dell'agguato, esplorata dalla seconda Commissione: Livello C dichiarato e non promosso.</w:t>
      </w:r>
    </w:p>
    <w:p>
      <w:pPr>
        <w:spacing w:after="120" w:line="276"/>
        <w:jc w:val="both"/>
      </w:pPr>
      <w:r>
        <w:rPr>
          <w:rFonts w:ascii="Barlow Semi Condensed" w:cs="Barlow Semi Condensed" w:eastAsia="Barlow Semi Condensed" w:hAnsi="Barlow Semi Condensed"/>
          <w:sz w:val="24"/>
          <w:szCs w:val="24"/>
        </w:rPr>
        <w:t xml:space="preserve">Blocco trecentottantatré. La serie 1979-1984 delle morti violente attorno alle carte del caso — l'ufficiale dell'Arma, il giornalista, il generale, il falsario: Livello A quanto a ciascuna morte e al suo giudicato o alla sua assenza, Livello C quanto ad ogni nesso unitario, mai certificato.</w:t>
      </w:r>
    </w:p>
    <w:p>
      <w:pPr>
        <w:spacing w:after="120" w:line="276"/>
        <w:jc w:val="both"/>
      </w:pPr>
      <w:r>
        <w:rPr>
          <w:rFonts w:ascii="Barlow Semi Condensed" w:cs="Barlow Semi Condensed" w:eastAsia="Barlow Semi Condensed" w:hAnsi="Barlow Semi Condensed"/>
          <w:sz w:val="24"/>
          <w:szCs w:val="24"/>
        </w:rPr>
        <w:t xml:space="preserve">Blocco trecentottantaquattro. La requisitoria economica contenuta nel memoriale sul crocevia bancario siciliano-vaticano: testo autentico convergente con le acquisizioni della prima fase del volume: Livello A quale testo, con il suo valore di riscontro indipendente iscritto.</w:t>
      </w:r>
    </w:p>
    <w:p>
      <w:pPr>
        <w:spacing w:after="120" w:line="276"/>
        <w:jc w:val="both"/>
      </w:pPr>
      <w:r>
        <w:rPr>
          <w:rFonts w:ascii="Barlow Semi Condensed" w:cs="Barlow Semi Condensed" w:eastAsia="Barlow Semi Condensed" w:hAnsi="Barlow Semi Condensed"/>
          <w:sz w:val="24"/>
          <w:szCs w:val="24"/>
        </w:rPr>
        <w:t xml:space="preserve">Blocco trecentottantacinque. La traiettoria del generale dal caso alla Sicilia quale sinapsi biografica tra settimo e primo dominio: Livello A quale percorso istituzionale documentato.</w:t>
      </w:r>
    </w:p>
    <w:p>
      <w:pPr>
        <w:spacing w:after="120" w:line="276"/>
        <w:jc w:val="both"/>
      </w:pPr>
      <w:r>
        <w:rPr>
          <w:rFonts w:ascii="Barlow Semi Condensed" w:cs="Barlow Semi Condensed" w:eastAsia="Barlow Semi Condensed" w:hAnsi="Barlow Semi Condensed"/>
          <w:sz w:val="24"/>
          <w:szCs w:val="24"/>
        </w:rPr>
        <w:t xml:space="preserve">Blocco trecentottantasei. Stato Zero di dominio: nessuna commissione mafiosa del sequestro è stata accertata in giudizio: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settimo-quinto: organizzazione e sfera religiosa (blocchi trecentottantasette–trecentonovantuno)</w:t>
      </w:r>
    </w:p>
    <w:p>
      <w:pPr>
        <w:spacing w:after="120" w:line="276"/>
        <w:jc w:val="both"/>
      </w:pPr>
      <w:r>
        <w:rPr>
          <w:rFonts w:ascii="Barlow Semi Condensed" w:cs="Barlow Semi Condensed" w:eastAsia="Barlow Semi Condensed" w:hAnsi="Barlow Semi Condensed"/>
          <w:sz w:val="24"/>
          <w:szCs w:val="24"/>
        </w:rPr>
        <w:t xml:space="preserve">Blocco trecentottantasette. L'appello pubblico del pontefice agli «uomini delle Brigate Rosse» e la sua formulazione senza condizioni: Livello A quale atto e testo.</w:t>
      </w:r>
    </w:p>
    <w:p>
      <w:pPr>
        <w:spacing w:after="120" w:line="276"/>
        <w:jc w:val="both"/>
      </w:pPr>
      <w:r>
        <w:rPr>
          <w:rFonts w:ascii="Barlow Semi Condensed" w:cs="Barlow Semi Condensed" w:eastAsia="Barlow Semi Condensed" w:hAnsi="Barlow Semi Condensed"/>
          <w:sz w:val="24"/>
          <w:szCs w:val="24"/>
        </w:rPr>
        <w:t xml:space="preserve">Blocco trecentottantotto. I canali riservati della sponda vaticana e l'ipotesi di disponibilità economica per la liberazione: esistenza dei canali documentata, consistenza degli approntamenti non integralmente certificata: Livello A e Livello B rispettivamente.</w:t>
      </w:r>
    </w:p>
    <w:p>
      <w:pPr>
        <w:spacing w:after="120" w:line="276"/>
        <w:jc w:val="both"/>
      </w:pPr>
      <w:r>
        <w:rPr>
          <w:rFonts w:ascii="Barlow Semi Condensed" w:cs="Barlow Semi Condensed" w:eastAsia="Barlow Semi Condensed" w:hAnsi="Barlow Semi Condensed"/>
          <w:sz w:val="24"/>
          <w:szCs w:val="24"/>
        </w:rPr>
        <w:t xml:space="preserve">Blocco trecentottantanove. La sinapsi biografica lunga tra il prigioniero e il pontefice, dalla comune stagione degli organismi intellettuali cattolici: Livello A storico, quale spiegazione del canale più motivato e meno attrezzato.</w:t>
      </w:r>
    </w:p>
    <w:p>
      <w:pPr>
        <w:spacing w:after="120" w:line="276"/>
        <w:jc w:val="both"/>
      </w:pPr>
      <w:r>
        <w:rPr>
          <w:rFonts w:ascii="Barlow Semi Condensed" w:cs="Barlow Semi Condensed" w:eastAsia="Barlow Semi Condensed" w:hAnsi="Barlow Semi Condensed"/>
          <w:sz w:val="24"/>
          <w:szCs w:val="24"/>
        </w:rPr>
        <w:t xml:space="preserve">Blocco trecentonovanta. La liturgia divisa del congedo: il rito di Stato celebrato senza la salma per volontà della famiglia: Livello A.</w:t>
      </w:r>
    </w:p>
    <w:p>
      <w:pPr>
        <w:spacing w:after="120" w:line="276"/>
        <w:jc w:val="both"/>
      </w:pPr>
      <w:r>
        <w:rPr>
          <w:rFonts w:ascii="Barlow Semi Condensed" w:cs="Barlow Semi Condensed" w:eastAsia="Barlow Semi Condensed" w:hAnsi="Barlow Semi Condensed"/>
          <w:sz w:val="24"/>
          <w:szCs w:val="24"/>
        </w:rPr>
        <w:t xml:space="preserve">Blocco trecentonovantuno. La sepoltura fuori dalla capitale quale scelta del silenzio: Livello A.</w:t>
      </w:r>
    </w:p>
    <w:p>
      <w:pPr>
        <w:spacing w:after="120" w:line="276"/>
        <w:jc w:val="both"/>
      </w:pPr>
      <w:r>
        <w:rPr>
          <w:rFonts w:ascii="Barlow Semi Condensed" w:cs="Barlow Semi Condensed" w:eastAsia="Barlow Semi Condensed" w:hAnsi="Barlow Semi Condensed"/>
          <w:sz w:val="24"/>
          <w:szCs w:val="24"/>
        </w:rPr>
        <w:t xml:space="preserve">Sinapsi interdominio settimo-ottavo: organizzazione e sistema informativo (blocchi trecentonovantadue–trecentonovantasette)</w:t>
      </w:r>
    </w:p>
    <w:p>
      <w:pPr>
        <w:spacing w:after="120" w:line="276"/>
        <w:jc w:val="both"/>
      </w:pPr>
      <w:r>
        <w:rPr>
          <w:rFonts w:ascii="Barlow Semi Condensed" w:cs="Barlow Semi Condensed" w:eastAsia="Barlow Semi Condensed" w:hAnsi="Barlow Semi Condensed"/>
          <w:sz w:val="24"/>
          <w:szCs w:val="24"/>
        </w:rPr>
        <w:t xml:space="preserve">Blocco trecentonovantadue. La sequenza dei nove comunicati autentici e del falso intermedio quale guerra semiotica condotta in parallelo a quella militare: Livello A quale corpus e cronologia.</w:t>
      </w:r>
    </w:p>
    <w:p>
      <w:pPr>
        <w:spacing w:after="120" w:line="276"/>
        <w:jc w:val="both"/>
      </w:pPr>
      <w:r>
        <w:rPr>
          <w:rFonts w:ascii="Barlow Semi Condensed" w:cs="Barlow Semi Condensed" w:eastAsia="Barlow Semi Condensed" w:hAnsi="Barlow Semi Condensed"/>
          <w:sz w:val="24"/>
          <w:szCs w:val="24"/>
        </w:rPr>
        <w:t xml:space="preserve">Blocco trecentonovantatré. I recapiti simultanei multi-città dei comunicati quale prova di rete logistica nazionale attiva: Livello A.</w:t>
      </w:r>
    </w:p>
    <w:p>
      <w:pPr>
        <w:spacing w:after="120" w:line="276"/>
        <w:jc w:val="both"/>
      </w:pPr>
      <w:r>
        <w:rPr>
          <w:rFonts w:ascii="Barlow Semi Condensed" w:cs="Barlow Semi Condensed" w:eastAsia="Barlow Semi Condensed" w:hAnsi="Barlow Semi Condensed"/>
          <w:sz w:val="24"/>
          <w:szCs w:val="24"/>
        </w:rPr>
        <w:t xml:space="preserve">Blocco trecentonovantaquattro. La fotografia del ritrovamento quale icona: genesi, fortuna e funzione ambivalente nella memoria pubblica: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trecentonovantacinque. L'ecosistema dietrologico quale oggetto di studio: la teoria del regista unico, la sua circolazione dai primi anni Ottanta e la sua sterilità processuale integrale: Livello A sulla circolazione, Livello C permanente sul contenuto.</w:t>
      </w:r>
    </w:p>
    <w:p>
      <w:pPr>
        <w:spacing w:after="120" w:line="276"/>
        <w:jc w:val="both"/>
      </w:pPr>
      <w:r>
        <w:rPr>
          <w:rFonts w:ascii="Barlow Semi Condensed" w:cs="Barlow Semi Condensed" w:eastAsia="Barlow Semi Condensed" w:hAnsi="Barlow Semi Condensed"/>
          <w:sz w:val="24"/>
          <w:szCs w:val="24"/>
        </w:rPr>
        <w:t xml:space="preserve">Blocco trecentonovantasei. Il dibattito coevo sulla pubblicazione delle lettere e la gestione giornalistica del carteggio quale campo di battaglia parallelo: Livello A quale fenomeno di stampa documentato.</w:t>
      </w:r>
    </w:p>
    <w:p>
      <w:pPr>
        <w:spacing w:after="120" w:line="276"/>
        <w:jc w:val="both"/>
      </w:pPr>
      <w:r>
        <w:rPr>
          <w:rFonts w:ascii="Barlow Semi Condensed" w:cs="Barlow Semi Condensed" w:eastAsia="Barlow Semi Condensed" w:hAnsi="Barlow Semi Condensed"/>
          <w:sz w:val="24"/>
          <w:szCs w:val="24"/>
        </w:rPr>
        <w:t xml:space="preserve">Blocco trecentonovantasette. Il giacimento editoriale: il caso quale evento singolo più scritto della storia repubblicana e il problema epistemologico dell'indistinzione dei gradi nella memoria collettiva: Livello A quale fenomeno, con la funzione correttiva del volume iscritta.</w:t>
      </w:r>
    </w:p>
    <w:p>
      <w:pPr>
        <w:spacing w:after="120" w:line="276"/>
        <w:jc w:val="both"/>
      </w:pPr>
      <w:r>
        <w:rPr>
          <w:rFonts w:ascii="Barlow Semi Condensed" w:cs="Barlow Semi Condensed" w:eastAsia="Barlow Semi Condensed" w:hAnsi="Barlow Semi Condensed"/>
          <w:sz w:val="24"/>
          <w:szCs w:val="24"/>
        </w:rPr>
        <w:t xml:space="preserve">Sinapsi interdominio settimo-decimo: organizzazione, giustizia e inchieste (blocchi trecentonovantotto–quattrocentocinque)</w:t>
      </w:r>
    </w:p>
    <w:p>
      <w:pPr>
        <w:spacing w:after="120" w:line="276"/>
        <w:jc w:val="both"/>
      </w:pPr>
      <w:r>
        <w:rPr>
          <w:rFonts w:ascii="Barlow Semi Condensed" w:cs="Barlow Semi Condensed" w:eastAsia="Barlow Semi Condensed" w:hAnsi="Barlow Semi Condensed"/>
          <w:sz w:val="24"/>
          <w:szCs w:val="24"/>
        </w:rPr>
        <w:t xml:space="preserve">Blocco trecentonovantotto. L'architettura dei cinque cicli di giudizio e la stabilità del quadro dei giudicati: Livello A.</w:t>
      </w:r>
    </w:p>
    <w:p>
      <w:pPr>
        <w:spacing w:after="120" w:line="276"/>
        <w:jc w:val="both"/>
      </w:pPr>
      <w:r>
        <w:rPr>
          <w:rFonts w:ascii="Barlow Semi Condensed" w:cs="Barlow Semi Condensed" w:eastAsia="Barlow Semi Condensed" w:hAnsi="Barlow Semi Condensed"/>
          <w:sz w:val="24"/>
          <w:szCs w:val="24"/>
        </w:rPr>
        <w:t xml:space="preserve">Blocco trecentonovantanove. Le perizie grafiche sull'autenticità del carteggio e la certificazione della lucidità della scrittura: Livello A.</w:t>
      </w:r>
    </w:p>
    <w:p>
      <w:pPr>
        <w:spacing w:after="120" w:line="276"/>
        <w:jc w:val="both"/>
      </w:pPr>
      <w:r>
        <w:rPr>
          <w:rFonts w:ascii="Barlow Semi Condensed" w:cs="Barlow Semi Condensed" w:eastAsia="Barlow Semi Condensed" w:hAnsi="Barlow Semi Condensed"/>
          <w:sz w:val="24"/>
          <w:szCs w:val="24"/>
        </w:rPr>
        <w:t xml:space="preserve">Blocco quattrocento. Le campagne peritali sulla scena, dai rilievi del 1978 alle ricostruzioni strumentali del 2015-2016: stratigrafia tecnica iscritta: Livello A quale sequenza e quale funzione di restringimento dei margini.</w:t>
      </w:r>
    </w:p>
    <w:p>
      <w:pPr>
        <w:spacing w:after="120" w:line="276"/>
        <w:jc w:val="both"/>
      </w:pPr>
      <w:r>
        <w:rPr>
          <w:rFonts w:ascii="Barlow Semi Condensed" w:cs="Barlow Semi Condensed" w:eastAsia="Barlow Semi Condensed" w:hAnsi="Barlow Semi Condensed"/>
          <w:sz w:val="24"/>
          <w:szCs w:val="24"/>
        </w:rPr>
        <w:t xml:space="preserve">Blocco quattrocentouno. La prima Commissione dedicata e il ventaglio delle relazioni di maggioranza e di minoranza quale mappa delle letture coeve: Livello A.</w:t>
      </w:r>
    </w:p>
    <w:p>
      <w:pPr>
        <w:spacing w:after="120" w:line="276"/>
        <w:jc w:val="both"/>
      </w:pPr>
      <w:r>
        <w:rPr>
          <w:rFonts w:ascii="Barlow Semi Condensed" w:cs="Barlow Semi Condensed" w:eastAsia="Barlow Semi Condensed" w:hAnsi="Barlow Semi Condensed"/>
          <w:sz w:val="24"/>
          <w:szCs w:val="24"/>
        </w:rPr>
        <w:t xml:space="preserve">Blocco quattrocentodue. Il Gruppo di lavoro sul caso della Commissione della decima legislatura: dodici resoconti stenografici scansionati per seicentoventuno pagine, presenti nel corpus di progetto quali originali riprodotti: Livello A verificato ora quale giacimento primario interno al corpus.</w:t>
      </w:r>
    </w:p>
    <w:p>
      <w:pPr>
        <w:spacing w:after="120" w:line="276"/>
        <w:jc w:val="both"/>
      </w:pPr>
      <w:r>
        <w:rPr>
          <w:rFonts w:ascii="Barlow Semi Condensed" w:cs="Barlow Semi Condensed" w:eastAsia="Barlow Semi Condensed" w:hAnsi="Barlow Semi Condensed"/>
          <w:sz w:val="24"/>
          <w:szCs w:val="24"/>
        </w:rPr>
        <w:t xml:space="preserve">Blocco quattrocentotré. L'elaborato parlamentare del 29 settembre 2000 sul sequestro e sull'omicidio, presente nel corpus quale estrazione integrale con cronologia essenziale: Livello A verificato ora; la convergenza dei suoi enunciati con la fase quarta del volume è stata saggiata a campione senza divergenze fattuali.</w:t>
      </w:r>
    </w:p>
    <w:p>
      <w:pPr>
        <w:spacing w:after="120" w:line="276"/>
        <w:jc w:val="both"/>
      </w:pPr>
      <w:r>
        <w:rPr>
          <w:rFonts w:ascii="Barlow Semi Condensed" w:cs="Barlow Semi Condensed" w:eastAsia="Barlow Semi Condensed" w:hAnsi="Barlow Semi Condensed"/>
          <w:sz w:val="24"/>
          <w:szCs w:val="24"/>
        </w:rPr>
        <w:t xml:space="preserve">Blocco quattrocentoquattro. La seconda Commissione dedicata, 2014-2017: direttrici, produzione documentale e rendimento — promozioni dal terzo al secondo grado, nessuna al primo: Livello A quale bilancio dei lavori.</w:t>
      </w:r>
    </w:p>
    <w:p>
      <w:pPr>
        <w:spacing w:after="120" w:line="276"/>
        <w:jc w:val="both"/>
      </w:pPr>
      <w:r>
        <w:rPr>
          <w:rFonts w:ascii="Barlow Semi Condensed" w:cs="Barlow Semi Condensed" w:eastAsia="Barlow Semi Condensed" w:hAnsi="Barlow Semi Condensed"/>
          <w:sz w:val="24"/>
          <w:szCs w:val="24"/>
        </w:rPr>
        <w:t xml:space="preserve">Blocco quattrocentocinque. L'asimmetria sanzionatoria del caso: severità con l'indiscrezione, mutismo con l'omissione: Livello A quale aggregato dei giudicati, iscritto quale reperto di sistema.</w:t>
      </w:r>
    </w:p>
    <w:p>
      <w:pPr>
        <w:spacing w:after="120" w:line="276"/>
        <w:jc w:val="both"/>
      </w:pPr>
      <w:r>
        <w:rPr>
          <w:rFonts w:ascii="Barlow Semi Condensed" w:cs="Barlow Semi Condensed" w:eastAsia="Barlow Semi Condensed" w:hAnsi="Barlow Semi Condensed"/>
          <w:sz w:val="24"/>
          <w:szCs w:val="24"/>
        </w:rPr>
        <w:t xml:space="preserve">Sinapsi internazionali: il settimo dominio e il teatro esterno (blocchi quattrocentosei–quattrocentoquindici)</w:t>
      </w:r>
    </w:p>
    <w:p>
      <w:pPr>
        <w:spacing w:after="120" w:line="276"/>
        <w:jc w:val="both"/>
      </w:pPr>
      <w:r>
        <w:rPr>
          <w:rFonts w:ascii="Barlow Semi Condensed" w:cs="Barlow Semi Condensed" w:eastAsia="Barlow Semi Condensed" w:hAnsi="Barlow Semi Condensed"/>
          <w:sz w:val="24"/>
          <w:szCs w:val="24"/>
        </w:rPr>
        <w:t xml:space="preserve">Blocco quattrocentosei. Lo Stato Zero della struttura di collegamento parigina: nessun giudicato ne accerta il ruolo nel caso; la genesi del sodalizio precedente resta certificata al suo grado: Stato Zero sull'ente, Livello A sulla genealogia documentata.</w:t>
      </w:r>
    </w:p>
    <w:p>
      <w:pPr>
        <w:spacing w:after="120" w:line="276"/>
        <w:jc w:val="both"/>
      </w:pPr>
      <w:r>
        <w:rPr>
          <w:rFonts w:ascii="Barlow Semi Condensed" w:cs="Barlow Semi Condensed" w:eastAsia="Barlow Semi Condensed" w:hAnsi="Barlow Semi Condensed"/>
          <w:sz w:val="24"/>
          <w:szCs w:val="24"/>
        </w:rPr>
        <w:t xml:space="preserve">Blocco quattrocentosette. Le missioni italiane dell'agenzia di Lisbona nel biennio 1967-1968 e la priorità temporale contatto-evento certificata dalle carte del fondo portoghese: Livello A sulle carte, Livello B sulla portata operativa: la direzione portoghese consegnata dalla sesta tranche è onorata in questa sede per il segmento moroteo-stragista.</w:t>
      </w:r>
    </w:p>
    <w:p>
      <w:pPr>
        <w:spacing w:after="120" w:line="276"/>
        <w:jc w:val="both"/>
      </w:pPr>
      <w:r>
        <w:rPr>
          <w:rFonts w:ascii="Barlow Semi Condensed" w:cs="Barlow Semi Condensed" w:eastAsia="Barlow Semi Condensed" w:hAnsi="Barlow Semi Condensed"/>
          <w:sz w:val="24"/>
          <w:szCs w:val="24"/>
        </w:rPr>
        <w:t xml:space="preserve">Blocco quattrocentotto. Il campo orientale quale ambiente documentato del terrorismo di sinistra — formazione, santuari, contiguità — senza mandato accertato per il caso: Livello B sull'ambiente, Stato Zero sul mandato, coerente con l'elaborato sull'ombra orientale presente nel corpus.</w:t>
      </w:r>
    </w:p>
    <w:p>
      <w:pPr>
        <w:spacing w:after="120" w:line="276"/>
        <w:jc w:val="both"/>
      </w:pPr>
      <w:r>
        <w:rPr>
          <w:rFonts w:ascii="Barlow Semi Condensed" w:cs="Barlow Semi Condensed" w:eastAsia="Barlow Semi Condensed" w:hAnsi="Barlow Semi Condensed"/>
          <w:sz w:val="24"/>
          <w:szCs w:val="24"/>
        </w:rPr>
        <w:t xml:space="preserve">Blocco quattrocentonove. La cornice mediterranea riservata quale condizione permanente del quadrante nel decennio: Livello A quale cornice, senza conversione in movente.</w:t>
      </w:r>
    </w:p>
    <w:p>
      <w:pPr>
        <w:spacing w:after="120" w:line="276"/>
        <w:jc w:val="both"/>
      </w:pPr>
      <w:r>
        <w:rPr>
          <w:rFonts w:ascii="Barlow Semi Condensed" w:cs="Barlow Semi Condensed" w:eastAsia="Barlow Semi Condensed" w:hAnsi="Barlow Semi Condensed"/>
          <w:sz w:val="24"/>
          <w:szCs w:val="24"/>
        </w:rPr>
        <w:t xml:space="preserve">Blocco quattrocentodieci. Il manuale supplementare attribuito e la sua circolazione italiana: Livello A sulla circolazione, Livello C sulla paternità, invariato rispetto al volume.</w:t>
      </w:r>
    </w:p>
    <w:p>
      <w:pPr>
        <w:spacing w:after="120" w:line="276"/>
        <w:jc w:val="both"/>
      </w:pPr>
      <w:r>
        <w:rPr>
          <w:rFonts w:ascii="Barlow Semi Condensed" w:cs="Barlow Semi Condensed" w:eastAsia="Barlow Semi Condensed" w:hAnsi="Barlow Semi Condensed"/>
          <w:sz w:val="24"/>
          <w:szCs w:val="24"/>
        </w:rPr>
        <w:t xml:space="preserve">Blocco quattrocentoundici. La cornice della distensione e della conferenza paneuropea quale contesto strategico del 1978: Livello A quale cornice storica.</w:t>
      </w:r>
    </w:p>
    <w:p>
      <w:pPr>
        <w:spacing w:after="120" w:line="276"/>
        <w:jc w:val="both"/>
      </w:pPr>
      <w:r>
        <w:rPr>
          <w:rFonts w:ascii="Barlow Semi Condensed" w:cs="Barlow Semi Condensed" w:eastAsia="Barlow Semi Condensed" w:hAnsi="Barlow Semi Condensed"/>
          <w:sz w:val="24"/>
          <w:szCs w:val="24"/>
        </w:rPr>
        <w:t xml:space="preserve">Blocco quattrocentododici. Il rapporto congressuale d'oltreoceano sui finanziamenti riservati e la doppia sovranità della medesima notizia: Livello A quale atto del rapporto.</w:t>
      </w:r>
    </w:p>
    <w:p>
      <w:pPr>
        <w:spacing w:after="120" w:line="276"/>
        <w:jc w:val="both"/>
      </w:pPr>
      <w:r>
        <w:rPr>
          <w:rFonts w:ascii="Barlow Semi Condensed" w:cs="Barlow Semi Condensed" w:eastAsia="Barlow Semi Condensed" w:hAnsi="Barlow Semi Condensed"/>
          <w:sz w:val="24"/>
          <w:szCs w:val="24"/>
        </w:rPr>
        <w:t xml:space="preserve">Blocco quattrocentotredici. La minaccia riferita dal prigioniero e dalla vedova quanto agli avvertimenti ricevuti oltreoceano: convergenza dichiarativa di fonti familiari e memoriali: Livello B dichiarativo, Livello C quanto ad ogni lettura causale.</w:t>
      </w:r>
    </w:p>
    <w:p>
      <w:pPr>
        <w:spacing w:after="120" w:line="276"/>
        <w:jc w:val="both"/>
      </w:pPr>
      <w:r>
        <w:rPr>
          <w:rFonts w:ascii="Barlow Semi Condensed" w:cs="Barlow Semi Condensed" w:eastAsia="Barlow Semi Condensed" w:hAnsi="Barlow Semi Condensed"/>
          <w:sz w:val="24"/>
          <w:szCs w:val="24"/>
        </w:rPr>
        <w:t xml:space="preserve">Blocco quattrocentoquattordici. Il santuario transalpino quale moratoria di fatto sulle estradizioni per un ventennio: Livello A quale prassi documentata, con l'epilogo del nuovo secolo iscritto.</w:t>
      </w:r>
    </w:p>
    <w:p>
      <w:pPr>
        <w:spacing w:after="120" w:line="276"/>
        <w:jc w:val="both"/>
      </w:pPr>
      <w:r>
        <w:rPr>
          <w:rFonts w:ascii="Barlow Semi Condensed" w:cs="Barlow Semi Condensed" w:eastAsia="Barlow Semi Condensed" w:hAnsi="Barlow Semi Condensed"/>
          <w:sz w:val="24"/>
          <w:szCs w:val="24"/>
        </w:rPr>
        <w:t xml:space="preserve">Blocco quattrocentoquindici. Stato Zero internazionale complessivo: nessun cittadino, apparato o governo straniero è mai stato imputato per il caso in alcuna giurisdizione: Stato Zero certificato, quale limite costitutivo della giustizia territoriale davanti a fatti transnazionali.</w:t>
      </w:r>
    </w:p>
    <w:p>
      <w:pPr>
        <w:spacing w:after="120" w:line="276"/>
        <w:jc w:val="both"/>
      </w:pPr>
      <w:r>
        <w:rPr>
          <w:rFonts w:ascii="Barlow Semi Condensed" w:cs="Barlow Semi Condensed" w:eastAsia="Barlow Semi Condensed" w:hAnsi="Barlow Semi Condensed"/>
          <w:sz w:val="24"/>
          <w:szCs w:val="24"/>
        </w:rPr>
        <w:t xml:space="preserve">Triangolazione documentale con il corpus di progetto (blocchi quattrocentosedici–quattrocentoventicinque)</w:t>
      </w:r>
    </w:p>
    <w:p>
      <w:pPr>
        <w:spacing w:after="120" w:line="276"/>
        <w:jc w:val="both"/>
      </w:pPr>
      <w:r>
        <w:rPr>
          <w:rFonts w:ascii="Barlow Semi Condensed" w:cs="Barlow Semi Condensed" w:eastAsia="Barlow Semi Condensed" w:hAnsi="Barlow Semi Condensed"/>
          <w:sz w:val="24"/>
          <w:szCs w:val="24"/>
        </w:rPr>
        <w:t xml:space="preserve">Blocco quattrocentosedici. Il dataset testuale integrale degli scritti: milleseessantadue documenti dal 1932 al 6 marzo 1978, ordinati cronologicamente: Livello A quale giacimento; la circostanza che l'ultimo documento libero preceda di dieci giorni l'agguato è iscritta quale confine naturale del corpus della voce.</w:t>
      </w:r>
    </w:p>
    <w:p>
      <w:pPr>
        <w:spacing w:after="120" w:line="276"/>
        <w:jc w:val="both"/>
      </w:pPr>
      <w:r>
        <w:rPr>
          <w:rFonts w:ascii="Barlow Semi Condensed" w:cs="Barlow Semi Condensed" w:eastAsia="Barlow Semi Condensed" w:hAnsi="Barlow Semi Condensed"/>
          <w:sz w:val="24"/>
          <w:szCs w:val="24"/>
        </w:rPr>
        <w:t xml:space="preserve">Blocco quattrocentodiciassette. L'edizione delle lettere dalla prigionia presente nel corpus quale riproduzione: la natura del supporto e l'assenza di uno strato testuale estraibile verificato in questa sessione sono iscritte; la lavorazione per riconoscimento ottico è pendenza dichiarata: Livello A quale esistenza e natura del reperto.</w:t>
      </w:r>
    </w:p>
    <w:p>
      <w:pPr>
        <w:spacing w:after="120" w:line="276"/>
        <w:jc w:val="both"/>
      </w:pPr>
      <w:r>
        <w:rPr>
          <w:rFonts w:ascii="Barlow Semi Condensed" w:cs="Barlow Semi Condensed" w:eastAsia="Barlow Semi Condensed" w:hAnsi="Barlow Semi Condensed"/>
          <w:sz w:val="24"/>
          <w:szCs w:val="24"/>
        </w:rPr>
        <w:t xml:space="preserve">Blocco quattrocentodiciotto. La relazione della prima Commissione presente nel corpus quale riproduzione documentale nelle medesime condizioni di supporto: Livello A quale esistenza, pendenza di lavorazione identica.</w:t>
      </w:r>
    </w:p>
    <w:p>
      <w:pPr>
        <w:spacing w:after="120" w:line="276"/>
        <w:jc w:val="both"/>
      </w:pPr>
      <w:r>
        <w:rPr>
          <w:rFonts w:ascii="Barlow Semi Condensed" w:cs="Barlow Semi Condensed" w:eastAsia="Barlow Semi Condensed" w:hAnsi="Barlow Semi Condensed"/>
          <w:sz w:val="24"/>
          <w:szCs w:val="24"/>
        </w:rPr>
        <w:t xml:space="preserve">Blocco quattrocentodiciannove. La bibliografia morotea presente nel corpus quale censimento del giacimento editoriale: Livello A quale strumento, coerente con il blocco sul monumento cartaceo.</w:t>
      </w:r>
    </w:p>
    <w:p>
      <w:pPr>
        <w:spacing w:after="120" w:line="276"/>
        <w:jc w:val="both"/>
      </w:pPr>
      <w:r>
        <w:rPr>
          <w:rFonts w:ascii="Barlow Semi Condensed" w:cs="Barlow Semi Condensed" w:eastAsia="Barlow Semi Condensed" w:hAnsi="Barlow Semi Condensed"/>
          <w:sz w:val="24"/>
          <w:szCs w:val="24"/>
        </w:rPr>
        <w:t xml:space="preserve">Blocco quattrocentoventi. Il materiale ricostruttivo sull'agguato presente nel corpus quale supporto divulgativo-didattico: Livello B quale natura, con uso limitato al riscontro di coerenza.</w:t>
      </w:r>
    </w:p>
    <w:p>
      <w:pPr>
        <w:spacing w:after="120" w:line="276"/>
        <w:jc w:val="both"/>
      </w:pPr>
      <w:r>
        <w:rPr>
          <w:rFonts w:ascii="Barlow Semi Condensed" w:cs="Barlow Semi Condensed" w:eastAsia="Barlow Semi Condensed" w:hAnsi="Barlow Semi Condensed"/>
          <w:sz w:val="24"/>
          <w:szCs w:val="24"/>
        </w:rPr>
        <w:t xml:space="preserve">Blocco quattrocentoventuno. L'elaborato del Tomo sesto quale fonte-architrave già mobilitata nei blocchi precedenti: il suo statuto di estrazione integrale da atto parlamentare è confermato: Livello A.</w:t>
      </w:r>
    </w:p>
    <w:p>
      <w:pPr>
        <w:spacing w:after="120" w:line="276"/>
        <w:jc w:val="both"/>
      </w:pPr>
      <w:r>
        <w:rPr>
          <w:rFonts w:ascii="Barlow Semi Condensed" w:cs="Barlow Semi Condensed" w:eastAsia="Barlow Semi Condensed" w:hAnsi="Barlow Semi Condensed"/>
          <w:sz w:val="24"/>
          <w:szCs w:val="24"/>
        </w:rPr>
        <w:t xml:space="preserve">Blocco quattrocentoventidue. La famiglia dei registri federati del caso nel corpus — analitico nelle edizioni successive, di scavo, speculare, genetico — con codice relazionale e protocollo dei passaggi: Livello A quale architettura documentale; la riconciliazione con il volume è pendenza consegnata all'ottava tranche.</w:t>
      </w:r>
    </w:p>
    <w:p>
      <w:pPr>
        <w:spacing w:after="120" w:line="276"/>
        <w:jc w:val="both"/>
      </w:pPr>
      <w:r>
        <w:rPr>
          <w:rFonts w:ascii="Barlow Semi Condensed" w:cs="Barlow Semi Condensed" w:eastAsia="Barlow Semi Condensed" w:hAnsi="Barlow Semi Condensed"/>
          <w:sz w:val="24"/>
          <w:szCs w:val="24"/>
        </w:rPr>
        <w:t xml:space="preserve">Blocco quattrocentoventitré. La scheda approfondita sulla relazione conclusiva del Tomo terzo presente nel corpus: Livello A quale strumento di raccordo tra le fonti parlamentari.</w:t>
      </w:r>
    </w:p>
    <w:p>
      <w:pPr>
        <w:spacing w:after="120" w:line="276"/>
        <w:jc w:val="both"/>
      </w:pPr>
      <w:r>
        <w:rPr>
          <w:rFonts w:ascii="Barlow Semi Condensed" w:cs="Barlow Semi Condensed" w:eastAsia="Barlow Semi Condensed" w:hAnsi="Barlow Semi Condensed"/>
          <w:sz w:val="24"/>
          <w:szCs w:val="24"/>
        </w:rPr>
        <w:t xml:space="preserve">Blocco quattrocentoventiquattro. Le tavole di triangolazione sull'armamento dell'esecuzione e sui bossoli: Livello A quale esistenza degli strumenti; i contenuti restano al grado delle rispettive fonti peritali.</w:t>
      </w:r>
    </w:p>
    <w:p>
      <w:pPr>
        <w:spacing w:after="120" w:line="276"/>
        <w:jc w:val="both"/>
      </w:pPr>
      <w:r>
        <w:rPr>
          <w:rFonts w:ascii="Barlow Semi Condensed" w:cs="Barlow Semi Condensed" w:eastAsia="Barlow Semi Condensed" w:hAnsi="Barlow Semi Condensed"/>
          <w:sz w:val="24"/>
          <w:szCs w:val="24"/>
        </w:rPr>
        <w:t xml:space="preserve">Blocco quattrocentoventicinque. Le ricognizioni sulle armi corte della stagione — le serie sul modello tedesco e sul modello nazionale — quali strumenti di cascata balistica: Livello B quale apparato ricognitivo, con divieto d'uso probatorio autonomo.</w:t>
      </w:r>
    </w:p>
    <w:p>
      <w:pPr>
        <w:spacing w:after="120" w:line="276"/>
        <w:jc w:val="both"/>
      </w:pPr>
      <w:r>
        <w:rPr>
          <w:rFonts w:ascii="Barlow Semi Condensed" w:cs="Barlow Semi Condensed" w:eastAsia="Barlow Semi Condensed" w:hAnsi="Barlow Semi Condensed"/>
          <w:sz w:val="24"/>
          <w:szCs w:val="24"/>
        </w:rPr>
        <w:t xml:space="preserve">Cascata verso i blocchi certificati (blocchi quattrocentoventisei–quattrocentotrentuno)</w:t>
      </w:r>
    </w:p>
    <w:p>
      <w:pPr>
        <w:spacing w:after="120" w:line="276"/>
        <w:jc w:val="both"/>
      </w:pPr>
      <w:r>
        <w:rPr>
          <w:rFonts w:ascii="Barlow Semi Condensed" w:cs="Barlow Semi Condensed" w:eastAsia="Barlow Semi Condensed" w:hAnsi="Barlow Semi Condensed"/>
          <w:sz w:val="24"/>
          <w:szCs w:val="24"/>
        </w:rPr>
        <w:t xml:space="preserve">Blocco quattrocentoventisei. Bologna: le certificazioni della terza tranche sull'esecuzione e sul finanziamento e la fase terza del volume convergono senza residui: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quattrocentoventisette. L'omicidio del presidente della Regione siciliana: la matrice accertata, le assoluzioni della pista nera e la riapertura con depistaggio contestato, certificati nella terza tranche, coincidono con il decimo capitolo della fase terza del volume: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quattrocentoventotto. La banda capitolina quale cerniera crimine-eversione: il blocco della terza tranche e i capitoli romani del volume sono reciprocamente coerenti: già certificato.</w:t>
      </w:r>
    </w:p>
    <w:p>
      <w:pPr>
        <w:spacing w:after="120" w:line="276"/>
        <w:jc w:val="both"/>
      </w:pPr>
      <w:r>
        <w:rPr>
          <w:rFonts w:ascii="Barlow Semi Condensed" w:cs="Barlow Semi Condensed" w:eastAsia="Barlow Semi Condensed" w:hAnsi="Barlow Semi Condensed"/>
          <w:sz w:val="24"/>
          <w:szCs w:val="24"/>
        </w:rPr>
        <w:t xml:space="preserve">Blocco quattrocentoventinove. La loggia quale piattaforma: le certificazioni delle tranche prima e quinta reggono l'impiego che il volume ne fa per i cinquantacinque giorni: già certificato.</w:t>
      </w:r>
    </w:p>
    <w:p>
      <w:pPr>
        <w:spacing w:after="120" w:line="276"/>
        <w:jc w:val="both"/>
      </w:pPr>
      <w:r>
        <w:rPr>
          <w:rFonts w:ascii="Barlow Semi Condensed" w:cs="Barlow Semi Condensed" w:eastAsia="Barlow Semi Condensed" w:hAnsi="Barlow Semi Condensed"/>
          <w:sz w:val="24"/>
          <w:szCs w:val="24"/>
        </w:rPr>
        <w:t xml:space="preserve">Blocco quattrocentotrenta. L'orizzonte eurasiatista della seconda tranche non interseca il perimetro cronologico del volume: l'incrocio resta prospettico e dichiarato: Livello C quale ponte di ricerca, non quale connessione.</w:t>
      </w:r>
    </w:p>
    <w:p>
      <w:pPr>
        <w:spacing w:after="120" w:line="276"/>
        <w:jc w:val="both"/>
      </w:pPr>
      <w:r>
        <w:rPr>
          <w:rFonts w:ascii="Barlow Semi Condensed" w:cs="Barlow Semi Condensed" w:eastAsia="Barlow Semi Condensed" w:hAnsi="Barlow Semi Condensed"/>
          <w:sz w:val="24"/>
          <w:szCs w:val="24"/>
        </w:rPr>
        <w:t xml:space="preserve">Blocco quattrocentotrentuno. Il coordinamento repressivo australe certificato nelle tranche precedenti e la fase quinta del volume richiamano i medesimi giudicati: coerenza piena: già certificato.</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quattrocentotrentadue–quattrocentotrentacinque)</w:t>
      </w:r>
    </w:p>
    <w:p>
      <w:pPr>
        <w:spacing w:after="120" w:line="276"/>
        <w:jc w:val="both"/>
      </w:pPr>
      <w:r>
        <w:rPr>
          <w:rFonts w:ascii="Barlow Semi Condensed" w:cs="Barlow Semi Condensed" w:eastAsia="Barlow Semi Condensed" w:hAnsi="Barlow Semi Condensed"/>
          <w:sz w:val="24"/>
          <w:szCs w:val="24"/>
        </w:rPr>
        <w:t xml:space="preserve">Blocco quattrocentotrentadue. Esito di coerenza: nessuna contraddizione fattuale tra il volume-innesco, il corpus di progetto campionato e i trecentotrentotto blocchi certificati è emersa dalla campagna: esito iscritto quale risultato, non quale prova di completezza.</w:t>
      </w:r>
    </w:p>
    <w:p>
      <w:pPr>
        <w:spacing w:after="120" w:line="276"/>
        <w:jc w:val="both"/>
      </w:pPr>
      <w:r>
        <w:rPr>
          <w:rFonts w:ascii="Barlow Semi Condensed" w:cs="Barlow Semi Condensed" w:eastAsia="Barlow Semi Condensed" w:hAnsi="Barlow Semi Condensed"/>
          <w:sz w:val="24"/>
          <w:szCs w:val="24"/>
        </w:rPr>
        <w:t xml:space="preserve">Blocco quattrocentotrentatré. Stato Zero semantico: il memoriale autentico non nomina la struttura di collegamento parigina né i suoi animatori: il silenzio del documento è iscritto quale reperto al suo grado: Stato Zero documentale.</w:t>
      </w:r>
    </w:p>
    <w:p>
      <w:pPr>
        <w:spacing w:after="120" w:line="276"/>
        <w:jc w:val="both"/>
      </w:pPr>
      <w:r>
        <w:rPr>
          <w:rFonts w:ascii="Barlow Semi Condensed" w:cs="Barlow Semi Condensed" w:eastAsia="Barlow Semi Condensed" w:hAnsi="Barlow Semi Condensed"/>
          <w:sz w:val="24"/>
          <w:szCs w:val="24"/>
        </w:rPr>
        <w:t xml:space="preserve">Blocco quattrocentotrentaquattro. Stato Zero negoziale: nessun documento del corpus attesta una trattativa di Stato conclusa o un accordo perfezionato per la liberazione: Stato Zero certificato, distinto dai canali esplorati che restano ai loro gradi.</w:t>
      </w:r>
    </w:p>
    <w:p>
      <w:pPr>
        <w:spacing w:after="120" w:line="276"/>
        <w:jc w:val="both"/>
      </w:pPr>
      <w:r>
        <w:rPr>
          <w:rFonts w:ascii="Barlow Semi Condensed" w:cs="Barlow Semi Condensed" w:eastAsia="Barlow Semi Condensed" w:hAnsi="Barlow Semi Condensed"/>
          <w:sz w:val="24"/>
          <w:szCs w:val="24"/>
        </w:rPr>
        <w:t xml:space="preserve">Blocco quattrocentotrentacinque. Pendenze dichiarate: la lavorazione per riconoscimento ottico delle riproduzioni morotee; la riconciliazione della federazione registrale quintupla; le direzioni ereditate dalla sesta tranche non intercettate da questo innesco; la verifica voce per voce del dataset 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quattrocentotrentasei–quattrocentotrentotto)</w:t>
      </w:r>
    </w:p>
    <w:p>
      <w:pPr>
        <w:spacing w:after="120" w:line="276"/>
        <w:jc w:val="both"/>
      </w:pPr>
      <w:r>
        <w:rPr>
          <w:rFonts w:ascii="Barlow Semi Condensed" w:cs="Barlow Semi Condensed" w:eastAsia="Barlow Semi Condensed" w:hAnsi="Barlow Semi Condensed"/>
          <w:sz w:val="24"/>
          <w:szCs w:val="24"/>
        </w:rPr>
        <w:t xml:space="preserve">Blocco quattrocentotrentasei. Aggiornamento ACH: il caso documentato dal volume — pluralità di sinapsi certificate su tutti i domini, assenza di regista unitario giudizialmente accertato — è coerente con l'ipotesi della convergenza policentrica e incoerente con la forma forte del disegno unitario, che ne esce ulteriormente indebolita; l'ipotesi delle due internazionali non riceve apporto diretto e resta al terzo grado con i vantaggi già registrati: matrice aggiornata.</w:t>
      </w:r>
    </w:p>
    <w:p>
      <w:pPr>
        <w:spacing w:after="120" w:line="276"/>
        <w:jc w:val="both"/>
      </w:pPr>
      <w:r>
        <w:rPr>
          <w:rFonts w:ascii="Barlow Semi Condensed" w:cs="Barlow Semi Condensed" w:eastAsia="Barlow Semi Condensed" w:hAnsi="Barlow Semi Condensed"/>
          <w:sz w:val="24"/>
          <w:szCs w:val="24"/>
        </w:rPr>
        <w:t xml:space="preserve">Blocco quattrocentotrentasette. Verdetto metodologico: il caso quale esperimento cruciale della lettura neurale — l'unico evento del corpus con tutti i dieci strati simultaneamente attivi — ha retto l'applicazione integrale della gradazione, della Regola Ferrea e dello Stato Zero: Livello A quale tenuta del metodo sul banco di prova massimo.</w:t>
      </w:r>
    </w:p>
    <w:p>
      <w:pPr>
        <w:spacing w:after="120" w:line="276"/>
        <w:jc w:val="both"/>
      </w:pPr>
      <w:r>
        <w:rPr>
          <w:rFonts w:ascii="Barlow Semi Condensed" w:cs="Barlow Semi Condensed" w:eastAsia="Barlow Semi Condensed" w:hAnsi="Barlow Semi Condensed"/>
          <w:sz w:val="24"/>
          <w:szCs w:val="24"/>
        </w:rPr>
        <w:t xml:space="preserve">Blocco quattrocentotrentotto. Consegne all'ottava tranche: le direzioni ereditate dalla sesta — la riconciliazione delle serie del registro lisboeta, gli indici orientali, la parte prima del censimento, la continuità delle numerazioni, la verifica ipertestuale a campione — più le pendenze proprie di questa: la lavorazione ottica delle riproduzioni, la riconciliazione della federazione morotea, il vaglio campionario del dataset testuale contro le citazioni del volume: iscritte.</w:t>
      </w:r>
    </w:p>
    <w:p>
      <w:pPr>
        <w:spacing w:after="120" w:line="276"/>
        <w:jc w:val="both"/>
      </w:pPr>
      <w:r>
        <w:rPr>
          <w:rFonts w:ascii="Barlow Semi Condensed" w:cs="Barlow Semi Condensed" w:eastAsia="Barlow Semi Condensed" w:hAnsi="Barlow Semi Condensed"/>
          <w:sz w:val="24"/>
          <w:szCs w:val="24"/>
        </w:rPr>
        <w:t xml:space="preserve">12.7 — Rilievi per le persone viventi e chiusa della settima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le cautele proprie del perimetro moroteo: per le persone viventi menzionate quali protagonisti di canali, audizioni o filiere valgono i soli fatti risultanti da atti parlamentari e giudiziari pubblici, senza estensioni; per i condannati definitivi valgono i giudicati richiamati e nulla oltre; per i defunti non più giudicabili resta lo statuto obbligatorio già fissato, con le assoluzioni definitive sempre riportate per esteso dove menzionate; la risultanza negli elenchi della loggia vale quale dato documentale di iscrizione e non fonda, da sola, alcuna condotta; le ipotesi della seconda Commissione restano al grado dichiarato e la loro menzione non equivale ad accusa verso alcuno.</w:t>
      </w:r>
    </w:p>
    <w:p>
      <w:pPr>
        <w:spacing w:after="120" w:line="276"/>
        <w:jc w:val="both"/>
      </w:pPr>
      <w:r>
        <w:rPr>
          <w:rFonts w:ascii="Barlow Semi Condensed" w:cs="Barlow Semi Condensed" w:eastAsia="Barlow Semi Condensed" w:hAnsi="Barlow Semi Condensed"/>
          <w:sz w:val="24"/>
          <w:szCs w:val="24"/>
        </w:rPr>
        <w:t xml:space="preserve">La settima tranche porta il registro a quattrocentotrentotto blocchi certificati. Il volume «Aldo Moro — Una Pace senza Pace» è stato triangolato contro il corpus di progetto e contro le sei tranche precedenti senza che emergesse una sola contraddizione fattuale certificata; le sue milleseicentonovanta gradazioni interne hanno retto il campionamento esterno; i suoi Stati Zero sono stati confermati quali risultati e non quali lacune. La lettura neurale ha restituito l'immagine che la matrice delle ipotesi registra: un sistema a sinapsi dense e a regia assente, dove ogni dominio toccò il caso e nessun dominio, allo stato dei giudicati, lo diresse. Il registro consegna all'ottava tranche le pendenze iscritte e resta, per statuto, aperto.</w:t>
      </w:r>
    </w:p>
    <w:p>
      <w:pPr>
        <w:pStyle w:val="Heading3"/>
        <w:spacing w:after="80" w:before="160"/>
      </w:pPr>
      <w:r>
        <w:rPr>
          <w:rFonts w:ascii="Barlow Semi Condensed" w:cs="Barlow Semi Condensed" w:eastAsia="Barlow Semi Condensed" w:hAnsi="Barlow Semi Condensed"/>
          <w:sz w:val="24"/>
          <w:szCs w:val="24"/>
        </w:rPr>
        <w:t xml:space="preserve">FASE XIII — OTTAVA TRANCHE: L'ESTRAZIONE INTEGRALE. TRIANGOLAZIONE COMPUTAZIONALE DEL CORPUS, DELLA MEMORIA OPERATIVA E DELLA CATENA DI CUSTODIA</w:t>
      </w:r>
    </w:p>
    <w:p>
      <w:pPr>
        <w:spacing w:after="120" w:line="276"/>
        <w:jc w:val="both"/>
      </w:pPr>
      <w:r>
        <w:rPr>
          <w:rFonts w:ascii="Barlow Semi Condensed" w:cs="Barlow Semi Condensed" w:eastAsia="Barlow Semi Condensed" w:hAnsi="Barlow Semi Condensed"/>
          <w:sz w:val="24"/>
          <w:szCs w:val="24"/>
        </w:rPr>
        <w:t xml:space="preserve">13.1 — Oggetto della tranche, triplice sorgente e mandato</w:t>
      </w:r>
    </w:p>
    <w:p>
      <w:pPr>
        <w:spacing w:after="120" w:line="276"/>
        <w:jc w:val="both"/>
      </w:pPr>
      <w:r>
        <w:rPr>
          <w:rFonts w:ascii="Barlow Semi Condensed" w:cs="Barlow Semi Condensed" w:eastAsia="Barlow Semi Condensed" w:hAnsi="Barlow Semi Condensed"/>
          <w:sz w:val="24"/>
          <w:szCs w:val="24"/>
        </w:rPr>
        <w:t xml:space="preserve">L'ottava tranche esegue il mandato dell'estrazione integrale triangolando tre sorgenti dichiarate: le Conoscenze del progetto, censite per via computazionale nella loro interezza fisica e campionate in profondità sui giacimenti maggiori; la Memoria Operativa del progetto, con le sue ipotesi registrate, i suoi protocolli vincolanti e le sue pendenze; e gli strumenti computazionali stessi, assunti quali fonte di terzo tipo per le metriche, le impronte e la catena di custodia della lavorazione. La tranche onora le direzioni ereditate dalla sesta e le pendenze consegnate dalla settima, ne scioglie alcune per verifica diretta, ne rettifica una per accertamento sopravvenuto — esercitando la falsificabilità del registro su sé stesso — e ne consegna le residue alla nona. L'esito è iscritto in cento blocchi nuovi, dal quattrocentotrentanovesimo al cinquecentotrentottesimo.</w:t>
      </w:r>
    </w:p>
    <w:p>
      <w:pPr>
        <w:spacing w:after="120" w:line="276"/>
        <w:jc w:val="both"/>
      </w:pPr>
      <w:r>
        <w:rPr>
          <w:rFonts w:ascii="Barlow Semi Condensed" w:cs="Barlow Semi Condensed" w:eastAsia="Barlow Semi Condensed" w:hAnsi="Barlow Semi Condensed"/>
          <w:sz w:val="24"/>
          <w:szCs w:val="24"/>
        </w:rPr>
        <w:t xml:space="preserve">13.2 — Il censimento computazionale integrale</w:t>
      </w:r>
    </w:p>
    <w:p>
      <w:pPr>
        <w:spacing w:after="120" w:line="276"/>
        <w:jc w:val="both"/>
      </w:pPr>
      <w:r>
        <w:rPr>
          <w:rFonts w:ascii="Barlow Semi Condensed" w:cs="Barlow Semi Condensed" w:eastAsia="Barlow Semi Condensed" w:hAnsi="Barlow Semi Condensed"/>
          <w:sz w:val="24"/>
          <w:szCs w:val="24"/>
        </w:rPr>
        <w:t xml:space="preserve">Il corpus di progetto è stato censito nella sua interezza fisica: quattrocentosessantasette file per settecentosettantadue megabyte complessivi, ripartiti in duecentoquattordici documenti in formato di testo strutturato, duecentotredici in formato di riproduzione, quattordici testi semplici, cinque documenti in notazione leggera, diciotto tavole, un foglio a valori separati e due programmi di lavorazione. La verifica di natura ha accertato che l'intero comparto dei documenti strutturati e una parte sostanziale delle riproduzioni sono conservati quale testo piano integralmente estraibile: la lettura computazionale diretta ha restituito duecentotrentasei file testuali per un totale di sei milioni centoquarantottomila duecentonovantasette parole estratte, cui si aggiungono i giacimenti in riproduzione veri. Nessun censimento manuale avrebbe potuto produrre queste metriche: esse costituiscono la base quantitativa di tutti i blocchi che seguono.</w:t>
      </w:r>
    </w:p>
    <w:p>
      <w:pPr>
        <w:spacing w:after="120" w:line="276"/>
        <w:jc w:val="both"/>
      </w:pPr>
      <w:r>
        <w:rPr>
          <w:rFonts w:ascii="Barlow Semi Condensed" w:cs="Barlow Semi Condensed" w:eastAsia="Barlow Semi Condensed" w:hAnsi="Barlow Semi Condensed"/>
          <w:sz w:val="24"/>
          <w:szCs w:val="24"/>
        </w:rPr>
        <w:t xml:space="preserve">13.3 — Le direzioni ereditate: esiti in sintesi</w:t>
      </w:r>
    </w:p>
    <w:p>
      <w:pPr>
        <w:spacing w:after="120" w:line="276"/>
        <w:jc w:val="both"/>
      </w:pPr>
      <w:r>
        <w:rPr>
          <w:rFonts w:ascii="Barlow Semi Condensed" w:cs="Barlow Semi Condensed" w:eastAsia="Barlow Semi Condensed" w:hAnsi="Barlow Semi Condensed"/>
          <w:sz w:val="24"/>
          <w:szCs w:val="24"/>
        </w:rPr>
        <w:t xml:space="preserve">La direzione lisboeta è avanzata con la definizione del perimetro delle serie e la lettura dello strumento di riconciliazione; la direzione delle riproduzioni morotee è sciolta e rettificata, poiché l'accertamento di natura ha dimostrato l'estraibilità integrale dei testi che la settima aveva prudenzialmente iscritto quali riproduzioni senza strato verificato; la direzione orientale registra il giacimento congressuale americano e il fascicolo investigativo storico quali corpi interni al corpus, con lo Stato Zero degli indici cecoslovacchi confermato quale assenza interna; il vaglio del dataset testuale è stato eseguito con esito pieno; la riconciliazione della federazione morotea è compiuta al livello degli statuti; il repertorio delle fonti è stato riaperto nella sua architettura a fogli con i difetti censiti dalla memoria ritrovati in sede. Il dettaglio è nei blocchi.</w:t>
      </w:r>
    </w:p>
    <w:p>
      <w:pPr>
        <w:spacing w:after="120" w:line="276"/>
        <w:jc w:val="both"/>
      </w:pPr>
      <w:r>
        <w:rPr>
          <w:rFonts w:ascii="Barlow Semi Condensed" w:cs="Barlow Semi Condensed" w:eastAsia="Barlow Semi Condensed" w:hAnsi="Barlow Semi Condensed"/>
          <w:sz w:val="24"/>
          <w:szCs w:val="24"/>
        </w:rPr>
        <w:t xml:space="preserve">13.4 — Registro dei blocchi di verifica: blocchi quattrocentotrentanove–cinquecentotrentotto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computazionale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Mandato e strumenti (blocchi quattrocentotrentanove–quattrocentoquarantatré)</w:t>
      </w:r>
    </w:p>
    <w:p>
      <w:pPr>
        <w:spacing w:after="120" w:line="276"/>
        <w:jc w:val="both"/>
      </w:pPr>
      <w:r>
        <w:rPr>
          <w:rFonts w:ascii="Barlow Semi Condensed" w:cs="Barlow Semi Condensed" w:eastAsia="Barlow Semi Condensed" w:hAnsi="Barlow Semi Condensed"/>
          <w:sz w:val="24"/>
          <w:szCs w:val="24"/>
        </w:rPr>
        <w:t xml:space="preserve">Blocco quattrocentotrentanove. La triplice sorgente dichiarata — corpus, memoria operativa, strumenti computazionali — quale architettura della tranche: Livello A quale statuto metodologico, con l'avvertenza che la memoria operativa è fonte interna interessata e vale quale registro di pendenze, mai quale prova dei contenuti.</w:t>
      </w:r>
    </w:p>
    <w:p>
      <w:pPr>
        <w:spacing w:after="120" w:line="276"/>
        <w:jc w:val="both"/>
      </w:pPr>
      <w:r>
        <w:rPr>
          <w:rFonts w:ascii="Barlow Semi Condensed" w:cs="Barlow Semi Condensed" w:eastAsia="Barlow Semi Condensed" w:hAnsi="Barlow Semi Condensed"/>
          <w:sz w:val="24"/>
          <w:szCs w:val="24"/>
        </w:rPr>
        <w:t xml:space="preserve">Blocco quattrocentoquaranta. Lo strumento computazionale quale fonte di terzo tipo: metriche, impronte e conteggi prodotti da esecuzione diretta e riproducibili da chiunque disponga del corpus: Livello A quale classe di evidenza, con il limite dichiarato: la macchina certifica la consistenza, mai il significato.</w:t>
      </w:r>
    </w:p>
    <w:p>
      <w:pPr>
        <w:spacing w:after="120" w:line="276"/>
        <w:jc w:val="both"/>
      </w:pPr>
      <w:r>
        <w:rPr>
          <w:rFonts w:ascii="Barlow Semi Condensed" w:cs="Barlow Semi Condensed" w:eastAsia="Barlow Semi Condensed" w:hAnsi="Barlow Semi Condensed"/>
          <w:sz w:val="24"/>
          <w:szCs w:val="24"/>
        </w:rPr>
        <w:t xml:space="preserve">Blocco quattrocentoquarantuno. Il principio di autofalsificabilità del registro: la tranche rettifica un proprio blocco precedente per accertamento sopravvenuto, documentando che il registro applica a sé stesso lo standard che applica al corpus: Livello A quale atto, con rinvio al blocco di rettifica.</w:t>
      </w:r>
    </w:p>
    <w:p>
      <w:pPr>
        <w:spacing w:after="120" w:line="276"/>
        <w:jc w:val="both"/>
      </w:pPr>
      <w:r>
        <w:rPr>
          <w:rFonts w:ascii="Barlow Semi Condensed" w:cs="Barlow Semi Condensed" w:eastAsia="Barlow Semi Condensed" w:hAnsi="Barlow Semi Condensed"/>
          <w:sz w:val="24"/>
          <w:szCs w:val="24"/>
        </w:rPr>
        <w:t xml:space="preserve">Blocco quattrocentoquarantadue. Le direzioni ereditate — sei dalla sesta tranche, quattro dalla settima — quali mandato vincolante di questa: Livello A quale continuità documentata del programma di verifica.</w:t>
      </w:r>
    </w:p>
    <w:p>
      <w:pPr>
        <w:spacing w:after="120" w:line="276"/>
        <w:jc w:val="both"/>
      </w:pPr>
      <w:r>
        <w:rPr>
          <w:rFonts w:ascii="Barlow Semi Condensed" w:cs="Barlow Semi Condensed" w:eastAsia="Barlow Semi Condensed" w:hAnsi="Barlow Semi Condensed"/>
          <w:sz w:val="24"/>
          <w:szCs w:val="24"/>
        </w:rPr>
        <w:t xml:space="preserve">Blocco quattrocentoquarantatré. Il perimetro negativo: la tranche non esegue verifiche ipertestuali esterne né campagne di rete, che restano consegnate; ogni esito di questa sessione discende da materiale interno al corpus o da esecuzione locale: Livello A quale dichiarazione di perimetro.</w:t>
      </w:r>
    </w:p>
    <w:p>
      <w:pPr>
        <w:spacing w:after="120" w:line="276"/>
        <w:jc w:val="both"/>
      </w:pPr>
      <w:r>
        <w:rPr>
          <w:rFonts w:ascii="Barlow Semi Condensed" w:cs="Barlow Semi Condensed" w:eastAsia="Barlow Semi Condensed" w:hAnsi="Barlow Semi Condensed"/>
          <w:sz w:val="24"/>
          <w:szCs w:val="24"/>
        </w:rPr>
        <w:t xml:space="preserve">Il censimento computazionale integrale (blocchi quattrocentoquarantaquattro–quattrocentocinquantatré)</w:t>
      </w:r>
    </w:p>
    <w:p>
      <w:pPr>
        <w:spacing w:after="120" w:line="276"/>
        <w:jc w:val="both"/>
      </w:pPr>
      <w:r>
        <w:rPr>
          <w:rFonts w:ascii="Barlow Semi Condensed" w:cs="Barlow Semi Condensed" w:eastAsia="Barlow Semi Condensed" w:hAnsi="Barlow Semi Condensed"/>
          <w:sz w:val="24"/>
          <w:szCs w:val="24"/>
        </w:rPr>
        <w:t xml:space="preserve">Blocco quattrocentoquarantaquattro. La consistenza fisica: quattrocentosessantasette file, settecentosettantadue megabyte: Livello A verificato ora per esecuzione diretta.</w:t>
      </w:r>
    </w:p>
    <w:p>
      <w:pPr>
        <w:spacing w:after="120" w:line="276"/>
        <w:jc w:val="both"/>
      </w:pPr>
      <w:r>
        <w:rPr>
          <w:rFonts w:ascii="Barlow Semi Condensed" w:cs="Barlow Semi Condensed" w:eastAsia="Barlow Semi Condensed" w:hAnsi="Barlow Semi Condensed"/>
          <w:sz w:val="24"/>
          <w:szCs w:val="24"/>
        </w:rPr>
        <w:t xml:space="preserve">Blocco quattrocentoquarantacinque. La ripartizione per formato: duecentoquattordici documenti strutturati, duecentotredici riproduzioni, quattordici testi semplici, cinque notazioni leggere, diciotto tavole, un foglio a valori separati, due programmi: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quattrocentoquarantasei. La natura dei supporti: l'intero comparto dei documenti strutturati è conservato quale testo piano estraibile; una parte sostanziale delle riproduzioni condivide la medesima natura: Livello A verificato ora, con la conseguenza operativa iscritta nei blocchi di scioglimento.</w:t>
      </w:r>
    </w:p>
    <w:p>
      <w:pPr>
        <w:spacing w:after="120" w:line="276"/>
        <w:jc w:val="both"/>
      </w:pPr>
      <w:r>
        <w:rPr>
          <w:rFonts w:ascii="Barlow Semi Condensed" w:cs="Barlow Semi Condensed" w:eastAsia="Barlow Semi Condensed" w:hAnsi="Barlow Semi Condensed"/>
          <w:sz w:val="24"/>
          <w:szCs w:val="24"/>
        </w:rPr>
        <w:t xml:space="preserve">Blocco quattrocentoquarantasette. Il volume testuale estratto: duecentotrentasei file letti integralmente per sei milioni centoquarantottomila duecentonovantasette parole: Livello A verificato ora quale metrica riproducibile.</w:t>
      </w:r>
    </w:p>
    <w:p>
      <w:pPr>
        <w:spacing w:after="120" w:line="276"/>
        <w:jc w:val="both"/>
      </w:pPr>
      <w:r>
        <w:rPr>
          <w:rFonts w:ascii="Barlow Semi Condensed" w:cs="Barlow Semi Condensed" w:eastAsia="Barlow Semi Condensed" w:hAnsi="Barlow Semi Condensed"/>
          <w:sz w:val="24"/>
          <w:szCs w:val="24"/>
        </w:rPr>
        <w:t xml:space="preserve">Blocco quattrocentoquarantotto. Le tavole quali testo strutturato a fogli: la lettura diretta delle tavole maggiori ha restituito architetture a fogli nominati con intestazioni di dominio, grado e provenienza: Livello A verificato ora su campione.</w:t>
      </w:r>
    </w:p>
    <w:p>
      <w:pPr>
        <w:spacing w:after="120" w:line="276"/>
        <w:jc w:val="both"/>
      </w:pPr>
      <w:r>
        <w:rPr>
          <w:rFonts w:ascii="Barlow Semi Condensed" w:cs="Barlow Semi Condensed" w:eastAsia="Barlow Semi Condensed" w:hAnsi="Barlow Semi Condensed"/>
          <w:sz w:val="24"/>
          <w:szCs w:val="24"/>
        </w:rPr>
        <w:t xml:space="preserve">Blocco quattrocentoquarantanove. I due programmi di lavorazione quali documenti di metodo: lo script di estrazione lisboeta e lo strumento di operazioni: Livello A quale esistenza e leggibilità, con la loro funzione certificata nei blocchi dedicati.</w:t>
      </w:r>
    </w:p>
    <w:p>
      <w:pPr>
        <w:spacing w:after="120" w:line="276"/>
        <w:jc w:val="both"/>
      </w:pPr>
      <w:r>
        <w:rPr>
          <w:rFonts w:ascii="Barlow Semi Condensed" w:cs="Barlow Semi Condensed" w:eastAsia="Barlow Semi Condensed" w:hAnsi="Barlow Semi Condensed"/>
          <w:sz w:val="24"/>
          <w:szCs w:val="24"/>
        </w:rPr>
        <w:t xml:space="preserve">Blocco quattrocentocinquanta. Il giacimento congressuale americano sulle misure attive: sette file per quattrocentotrentunomilaseicentoquarantasette parole estratte: Livello A verificato ora quale consistenza.</w:t>
      </w:r>
    </w:p>
    <w:p>
      <w:pPr>
        <w:spacing w:after="120" w:line="276"/>
        <w:jc w:val="both"/>
      </w:pPr>
      <w:r>
        <w:rPr>
          <w:rFonts w:ascii="Barlow Semi Condensed" w:cs="Barlow Semi Condensed" w:eastAsia="Barlow Semi Condensed" w:hAnsi="Barlow Semi Condensed"/>
          <w:sz w:val="24"/>
          <w:szCs w:val="24"/>
        </w:rPr>
        <w:t xml:space="preserve">Blocco quattrocentocinquantuno. Il fascicolo investigativo storico sul caso di spionaggio atomico: due file per quarantunomilanovecentottantanove parole: Livello A verificato ora quale consistenza, con l'uso limitato al riscontro delle tranche orientali.</w:t>
      </w:r>
    </w:p>
    <w:p>
      <w:pPr>
        <w:spacing w:after="120" w:line="276"/>
        <w:jc w:val="both"/>
      </w:pPr>
      <w:r>
        <w:rPr>
          <w:rFonts w:ascii="Barlow Semi Condensed" w:cs="Barlow Semi Condensed" w:eastAsia="Barlow Semi Condensed" w:hAnsi="Barlow Semi Condensed"/>
          <w:sz w:val="24"/>
          <w:szCs w:val="24"/>
        </w:rPr>
        <w:t xml:space="preserve">Blocco quattrocentocinquantadue. Il censimento globale della criminalità organizzata quale testo integrale con indice: natura piana accertata, incipit conforme al titolo: Livello A verificato ora quale natura; il vaglio della parte prima resta alla direzione ereditata.</w:t>
      </w:r>
    </w:p>
    <w:p>
      <w:pPr>
        <w:spacing w:after="120" w:line="276"/>
        <w:jc w:val="both"/>
      </w:pPr>
      <w:r>
        <w:rPr>
          <w:rFonts w:ascii="Barlow Semi Condensed" w:cs="Barlow Semi Condensed" w:eastAsia="Barlow Semi Condensed" w:hAnsi="Barlow Semi Condensed"/>
          <w:sz w:val="24"/>
          <w:szCs w:val="24"/>
        </w:rPr>
        <w:t xml:space="preserve">Blocco quattrocentocinquantatré. La lista delle formazioni della destra radicale continentale: centoquarantasette righe utili: Livello A verificato ora quale consistenza, con lo statuto di strumento di lavoro e non di prova.</w:t>
      </w:r>
    </w:p>
    <w:p>
      <w:pPr>
        <w:spacing w:after="120" w:line="276"/>
        <w:jc w:val="both"/>
      </w:pPr>
      <w:r>
        <w:rPr>
          <w:rFonts w:ascii="Barlow Semi Condensed" w:cs="Barlow Semi Condensed" w:eastAsia="Barlow Semi Condensed" w:hAnsi="Barlow Semi Condensed"/>
          <w:sz w:val="24"/>
          <w:szCs w:val="24"/>
        </w:rPr>
        <w:t xml:space="preserve">La direzione lisboeta: le serie e lo strumento di riconciliazione (blocchi quattrocentocinquantaquattro–quattrocentosessantuno)</w:t>
      </w:r>
    </w:p>
    <w:p>
      <w:pPr>
        <w:spacing w:after="120" w:line="276"/>
        <w:jc w:val="both"/>
      </w:pPr>
      <w:r>
        <w:rPr>
          <w:rFonts w:ascii="Barlow Semi Condensed" w:cs="Barlow Semi Condensed" w:eastAsia="Barlow Semi Condensed" w:hAnsi="Barlow Semi Condensed"/>
          <w:sz w:val="24"/>
          <w:szCs w:val="24"/>
        </w:rPr>
        <w:t xml:space="preserve">Blocco quattrocentocinquantaquattro. Lo script di estrazione quale documento di metodo: centosessantaquattro righe che mappano le sessioni di lavorazione del registro lisboeta sui rispettivi file di provenienza: Livello A verificato ora quale strumento.</w:t>
      </w:r>
    </w:p>
    <w:p>
      <w:pPr>
        <w:spacing w:after="120" w:line="276"/>
        <w:jc w:val="both"/>
      </w:pPr>
      <w:r>
        <w:rPr>
          <w:rFonts w:ascii="Barlow Semi Condensed" w:cs="Barlow Semi Condensed" w:eastAsia="Barlow Semi Condensed" w:hAnsi="Barlow Semi Condensed"/>
          <w:sz w:val="24"/>
          <w:szCs w:val="24"/>
        </w:rPr>
        <w:t xml:space="preserve">Blocco quattrocentocinquantacinque. Le sessioni nominate nello script: il corpus generale, l'asse sudafricano-sudamericano, l'asse asiatico-pacifico, la sessione sunnita e la sessione dell'integrazione apartheid: cinque serie mappate su file di sessione datati: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quattrocentocinquantasei. Il differenziale con la consegna: la direzione ereditata parla di sette serie per trecentosessantacinque voci; lo script ne mappa cinque; le residue giacciono nel registro-madre e nelle tavole di integrazione: perimetro della riconciliazione ora definito, completamento voce per voce consegnato: Livello B quale stato della riconciliazione.</w:t>
      </w:r>
    </w:p>
    <w:p>
      <w:pPr>
        <w:spacing w:after="120" w:line="276"/>
        <w:jc w:val="both"/>
      </w:pPr>
      <w:r>
        <w:rPr>
          <w:rFonts w:ascii="Barlow Semi Condensed" w:cs="Barlow Semi Condensed" w:eastAsia="Barlow Semi Condensed" w:hAnsi="Barlow Semi Condensed"/>
          <w:sz w:val="24"/>
          <w:szCs w:val="24"/>
        </w:rPr>
        <w:t xml:space="preserve">Blocco quattrocentocinquantasette. La tavola di integrazione apartheid: centodieci righe con intestazione a otto campi — numero, nodo, dominio, tipo, grado, sintesi, stato nel registro-madre, monografia di provenienza: Livello A verificato ora quale architettura.</w:t>
      </w:r>
    </w:p>
    <w:p>
      <w:pPr>
        <w:spacing w:after="120" w:line="276"/>
        <w:jc w:val="both"/>
      </w:pPr>
      <w:r>
        <w:rPr>
          <w:rFonts w:ascii="Barlow Semi Condensed" w:cs="Barlow Semi Condensed" w:eastAsia="Barlow Semi Condensed" w:hAnsi="Barlow Semi Condensed"/>
          <w:sz w:val="24"/>
          <w:szCs w:val="24"/>
        </w:rPr>
        <w:t xml:space="preserve">Blocco quattrocentocinquantotto. Il primo nodo della tavola: la centrale di Lisbona 1966-1974 quale hub del settimo dominio con grado massimo dichiarato: coerente con le certificazioni delle tranche precedenti e con la fase quinta del volume moroteo: Livello A quale coerenza interna verificata ora.</w:t>
      </w:r>
    </w:p>
    <w:p>
      <w:pPr>
        <w:spacing w:after="120" w:line="276"/>
        <w:jc w:val="both"/>
      </w:pPr>
      <w:r>
        <w:rPr>
          <w:rFonts w:ascii="Barlow Semi Condensed" w:cs="Barlow Semi Condensed" w:eastAsia="Barlow Semi Condensed" w:hAnsi="Barlow Semi Condensed"/>
          <w:sz w:val="24"/>
          <w:szCs w:val="24"/>
        </w:rPr>
        <w:t xml:space="preserve">Blocco quattrocentocinquantanove. Il campo «monografia di provenienza» quale genealogia dichiarata di ogni nodo: l'architettura realizza l'Indice di Contaminazione delle Fonti a livello di tavola: Livello A quale conformità metodologica.</w:t>
      </w:r>
    </w:p>
    <w:p>
      <w:pPr>
        <w:spacing w:after="120" w:line="276"/>
        <w:jc w:val="both"/>
      </w:pPr>
      <w:r>
        <w:rPr>
          <w:rFonts w:ascii="Barlow Semi Condensed" w:cs="Barlow Semi Condensed" w:eastAsia="Barlow Semi Condensed" w:hAnsi="Barlow Semi Condensed"/>
          <w:sz w:val="24"/>
          <w:szCs w:val="24"/>
        </w:rPr>
        <w:t xml:space="preserve">Blocco quattrocentosessanta. Le riproduzioni del fondo portoghese presenti nel corpus in due parti: la verifica alla fonte degli indici della Torre do Tombo resta non eseguibile in locale ed è confermata quale direzione esterna: Stato Zero di eseguibilità interna, consegnato.</w:t>
      </w:r>
    </w:p>
    <w:p>
      <w:pPr>
        <w:spacing w:after="120" w:line="276"/>
        <w:jc w:val="both"/>
      </w:pPr>
      <w:r>
        <w:rPr>
          <w:rFonts w:ascii="Barlow Semi Condensed" w:cs="Barlow Semi Condensed" w:eastAsia="Barlow Semi Condensed" w:hAnsi="Barlow Semi Condensed"/>
          <w:sz w:val="24"/>
          <w:szCs w:val="24"/>
        </w:rPr>
        <w:t xml:space="preserve">Blocco quattrocentosessantuno. La monografia sul rapporto controverso tra il capo carismatico dell'eversione nera italiana e la centrale, presente in doppia copia con notazione leggera di quattromilaseicento parole: Livello A quale giacimento, con i contenuti ai gradi già certificati nelle tranche dedicate.</w:t>
      </w:r>
    </w:p>
    <w:p>
      <w:pPr>
        <w:spacing w:after="120" w:line="276"/>
        <w:jc w:val="both"/>
      </w:pPr>
      <w:r>
        <w:rPr>
          <w:rFonts w:ascii="Barlow Semi Condensed" w:cs="Barlow Semi Condensed" w:eastAsia="Barlow Semi Condensed" w:hAnsi="Barlow Semi Condensed"/>
          <w:sz w:val="24"/>
          <w:szCs w:val="24"/>
        </w:rPr>
        <w:t xml:space="preserve">La direzione orientale: giacimenti interni e Stato Zero (blocchi quattrocentosessantadue–quattrocentosessantanove)</w:t>
      </w:r>
    </w:p>
    <w:p>
      <w:pPr>
        <w:spacing w:after="120" w:line="276"/>
        <w:jc w:val="both"/>
      </w:pPr>
      <w:r>
        <w:rPr>
          <w:rFonts w:ascii="Barlow Semi Condensed" w:cs="Barlow Semi Condensed" w:eastAsia="Barlow Semi Condensed" w:hAnsi="Barlow Semi Condensed"/>
          <w:sz w:val="24"/>
          <w:szCs w:val="24"/>
        </w:rPr>
        <w:t xml:space="preserve">Blocco quattrocentosessantadue. Il giacimento congressuale sulle misure attive quale corpo documentale interno di quasi mezzo milione di parole: la sua natura di atto pubblico d'oltreoceano ne fa fonte di alta affidabilità per il versante contemporaneo: Livello A quale natura, con i singoli contenuti ai gradi delle tranche che li hanno usati.</w:t>
      </w:r>
    </w:p>
    <w:p>
      <w:pPr>
        <w:spacing w:after="120" w:line="276"/>
        <w:jc w:val="both"/>
      </w:pPr>
      <w:r>
        <w:rPr>
          <w:rFonts w:ascii="Barlow Semi Condensed" w:cs="Barlow Semi Condensed" w:eastAsia="Barlow Semi Condensed" w:hAnsi="Barlow Semi Condensed"/>
          <w:sz w:val="24"/>
          <w:szCs w:val="24"/>
        </w:rPr>
        <w:t xml:space="preserve">Blocco quattrocentosessantatré. Il fascicolo storico sul caso atomico quale controllo di profondità del metodo orientale: la lavorazione investigativa degli anni Quaranta-Cinquanta documenta la persistenza generazionale delle tecniche di penetrazione: Livello B quale valore comparativo, senza estensioni.</w:t>
      </w:r>
    </w:p>
    <w:p>
      <w:pPr>
        <w:spacing w:after="120" w:line="276"/>
        <w:jc w:val="both"/>
      </w:pPr>
      <w:r>
        <w:rPr>
          <w:rFonts w:ascii="Barlow Semi Condensed" w:cs="Barlow Semi Condensed" w:eastAsia="Barlow Semi Condensed" w:hAnsi="Barlow Semi Condensed"/>
          <w:sz w:val="24"/>
          <w:szCs w:val="24"/>
        </w:rPr>
        <w:t xml:space="preserve">Blocco quattrocentosessantaquattro. Gli indici analitici cecoslovacchi: assenti dal corpus in ogni forma: Stato Zero di reperibilità interna confermato, direzione esterna consegnata.</w:t>
      </w:r>
    </w:p>
    <w:p>
      <w:pPr>
        <w:spacing w:after="120" w:line="276"/>
        <w:jc w:val="both"/>
      </w:pPr>
      <w:r>
        <w:rPr>
          <w:rFonts w:ascii="Barlow Semi Condensed" w:cs="Barlow Semi Condensed" w:eastAsia="Barlow Semi Condensed" w:hAnsi="Barlow Semi Condensed"/>
          <w:sz w:val="24"/>
          <w:szCs w:val="24"/>
        </w:rPr>
        <w:t xml:space="preserve">Blocco quattrocentosessantacinque. L'elaborato parlamentare sull'ombra orientale presente nel corpus quale estrazione del Tomo dedicato: coerenza con i blocchi della quarta e della settima tranche: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quattrocentosessantasei. Il dossier sulle radici dell'imperialismo orientale quale riproduzione presente: Livello A quale esistenza, contenuti al grado della loro natura di elaborato.</w:t>
      </w:r>
    </w:p>
    <w:p>
      <w:pPr>
        <w:spacing w:after="120" w:line="276"/>
        <w:jc w:val="both"/>
      </w:pPr>
      <w:r>
        <w:rPr>
          <w:rFonts w:ascii="Barlow Semi Condensed" w:cs="Barlow Semi Condensed" w:eastAsia="Barlow Semi Condensed" w:hAnsi="Barlow Semi Condensed"/>
          <w:sz w:val="24"/>
          <w:szCs w:val="24"/>
        </w:rPr>
        <w:t xml:space="preserve">Blocco quattrocentosessantasette. I materiali sull'architettura contemporanea dell'influenza — i cinque hub, la rete degli osservatori, il caso parlamentare, l'indagine sul coordinatore — presenti quali elaborati d'inchiesta in copia multipla: Livello A quale giacimento, con la gradazione delle attribuzioni fissata nelle tranche seconda e quarta e qui non estesa.</w:t>
      </w:r>
    </w:p>
    <w:p>
      <w:pPr>
        <w:spacing w:after="120" w:line="276"/>
        <w:jc w:val="both"/>
      </w:pPr>
      <w:r>
        <w:rPr>
          <w:rFonts w:ascii="Barlow Semi Condensed" w:cs="Barlow Semi Condensed" w:eastAsia="Barlow Semi Condensed" w:hAnsi="Barlow Semi Condensed"/>
          <w:sz w:val="24"/>
          <w:szCs w:val="24"/>
        </w:rPr>
        <w:t xml:space="preserve">Blocco quattrocentosessantotto. La simmetria documentale dei finanziamenti, certificata nel volume per l'età bipolare, trova nel corpus i giacimenti di entrambi i versanti: la coerenza tra il volume e il corpus su questo punto sensibile è verificata ora senza attriti: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quattrocentosessantanove. Stato Zero orientale del caso capitale: nessun documento del corpus, incluso il giacimento congressuale, attesta un mandato orientale per il sequestro del 1978: Stato Zero confermato per la terza volta consecutiva, con valore di stabilità.</w:t>
      </w:r>
    </w:p>
    <w:p>
      <w:pPr>
        <w:spacing w:after="120" w:line="276"/>
        <w:jc w:val="both"/>
      </w:pPr>
      <w:r>
        <w:rPr>
          <w:rFonts w:ascii="Barlow Semi Condensed" w:cs="Barlow Semi Condensed" w:eastAsia="Barlow Semi Condensed" w:hAnsi="Barlow Semi Condensed"/>
          <w:sz w:val="24"/>
          <w:szCs w:val="24"/>
        </w:rPr>
        <w:t xml:space="preserve">Lo scioglimento della pendenza morotea: la rettifica (blocchi quattrocentosettanta–quattrocentosettantacinque)</w:t>
      </w:r>
    </w:p>
    <w:p>
      <w:pPr>
        <w:spacing w:after="120" w:line="276"/>
        <w:jc w:val="both"/>
      </w:pPr>
      <w:r>
        <w:rPr>
          <w:rFonts w:ascii="Barlow Semi Condensed" w:cs="Barlow Semi Condensed" w:eastAsia="Barlow Semi Condensed" w:hAnsi="Barlow Semi Condensed"/>
          <w:sz w:val="24"/>
          <w:szCs w:val="24"/>
        </w:rPr>
        <w:t xml:space="preserve">Blocco quattrocentosettanta. Rettifica formale: i blocchi della settima tranche sulle riproduzioni morotee iscrivevano prudenzialmente l'assenza di uno strato testuale verificato; l'accertamento di natura di questa sessione dimostra che entrambi i reperti sono conservati quale testo piano integralmente estraibile: la pendenza della lavorazione ottica è sciolta per insussistenza: rettifica iscritta,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quattrocentosettantuno. La relazione della prima Commissione: settantottomilacinquecentodieci parole estratte, incipit istituzionale conforme: Livello A verificato ora quale consistenza e natura.</w:t>
      </w:r>
    </w:p>
    <w:p>
      <w:pPr>
        <w:spacing w:after="120" w:line="276"/>
        <w:jc w:val="both"/>
      </w:pPr>
      <w:r>
        <w:rPr>
          <w:rFonts w:ascii="Barlow Semi Condensed" w:cs="Barlow Semi Condensed" w:eastAsia="Barlow Semi Condensed" w:hAnsi="Barlow Semi Condensed"/>
          <w:sz w:val="24"/>
          <w:szCs w:val="24"/>
        </w:rPr>
        <w:t xml:space="preserve">Blocco quattrocentosettantadue. L'edizione delle lettere dalla prigionia: ventitremilaquattrocentodiciannove parole estratte, frontespizio conforme alla curatela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quattrocentosettantatré. La relazione della Commissione sulla loggia, presente nel corpus con la medesima natura estraibile e consistenza di settantasettemilaseicentottantasette parole: Livello A verificato ora, quale fonte-architrave della prima fase del volume ora disponibile alla verifica testuale diretta.</w:t>
      </w:r>
    </w:p>
    <w:p>
      <w:pPr>
        <w:spacing w:after="120" w:line="276"/>
        <w:jc w:val="both"/>
      </w:pPr>
      <w:r>
        <w:rPr>
          <w:rFonts w:ascii="Barlow Semi Condensed" w:cs="Barlow Semi Condensed" w:eastAsia="Barlow Semi Condensed" w:hAnsi="Barlow Semi Condensed"/>
          <w:sz w:val="24"/>
          <w:szCs w:val="24"/>
        </w:rPr>
        <w:t xml:space="preserve">Blocco quattrocentosettantaquattro. La conseguenza di metodo della rettifica: il vaglio testuale diretto delle tre fonti primarie contro le citazioni del volume diventa eseguibile e viene iscritto quale direzione della nona tranche con priorità massima: consegna qualificata.</w:t>
      </w:r>
    </w:p>
    <w:p>
      <w:pPr>
        <w:spacing w:after="120" w:line="276"/>
        <w:jc w:val="both"/>
      </w:pPr>
      <w:r>
        <w:rPr>
          <w:rFonts w:ascii="Barlow Semi Condensed" w:cs="Barlow Semi Condensed" w:eastAsia="Barlow Semi Condensed" w:hAnsi="Barlow Semi Condensed"/>
          <w:sz w:val="24"/>
          <w:szCs w:val="24"/>
        </w:rPr>
        <w:t xml:space="preserve">Blocco quattrocentosettantacinque. Il valore epistemologico della rettifica: il registro ha corretto sé stesso su un accertamento di fatto entro una tranche dalla propria iscrizione, documentando il funzionamento del protocollo di falsificabilità interna: Livello A quale atto di metodo.</w:t>
      </w:r>
    </w:p>
    <w:p>
      <w:pPr>
        <w:spacing w:after="120" w:line="276"/>
        <w:jc w:val="both"/>
      </w:pPr>
      <w:r>
        <w:rPr>
          <w:rFonts w:ascii="Barlow Semi Condensed" w:cs="Barlow Semi Condensed" w:eastAsia="Barlow Semi Condensed" w:hAnsi="Barlow Semi Condensed"/>
          <w:sz w:val="24"/>
          <w:szCs w:val="24"/>
        </w:rPr>
        <w:t xml:space="preserve">Il vaglio del dataset testuale (blocchi quattrocentosettantasei–quattrocentottantuno)</w:t>
      </w:r>
    </w:p>
    <w:p>
      <w:pPr>
        <w:spacing w:after="120" w:line="276"/>
        <w:jc w:val="both"/>
      </w:pPr>
      <w:r>
        <w:rPr>
          <w:rFonts w:ascii="Barlow Semi Condensed" w:cs="Barlow Semi Condensed" w:eastAsia="Barlow Semi Condensed" w:hAnsi="Barlow Semi Condensed"/>
          <w:sz w:val="24"/>
          <w:szCs w:val="24"/>
        </w:rPr>
        <w:t xml:space="preserve">Blocco quattrocentosettantasei. Il conteggio dei marcatori: milleseessantadue documenti numerati, senza lacune nel campione dei marcatori: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quattrocentosettantasette. Il perimetro cronologico: data minima primo luglio 1932, data massima sei marzo 1978: conferma computazionale del confine iscritto nel volume definitivo: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quattrocentosettantotto. Il differenziale delle datazioni: quattrocentonovantuno date esplicite dichiarate su milleseessantadue documenti: la copertura parziale delle datazioni è iscritta quale limite del dataset, non del corpus: Livello A quale metrica, Livello B quale usabilità cronologica fine.</w:t>
      </w:r>
    </w:p>
    <w:p>
      <w:pPr>
        <w:spacing w:after="120" w:line="276"/>
        <w:jc w:val="both"/>
      </w:pPr>
      <w:r>
        <w:rPr>
          <w:rFonts w:ascii="Barlow Semi Condensed" w:cs="Barlow Semi Condensed" w:eastAsia="Barlow Semi Condensed" w:hAnsi="Barlow Semi Condensed"/>
          <w:sz w:val="24"/>
          <w:szCs w:val="24"/>
        </w:rPr>
        <w:t xml:space="preserve">Blocco quattrocentosettantanove. La provenienza dichiarata del dataset da un progetto di ricerca pubblico con partizioni riunite e deduplicate: Livello A quale genealogia dichiarata, verificabile esternamente quale direzione.</w:t>
      </w:r>
    </w:p>
    <w:p>
      <w:pPr>
        <w:spacing w:after="120" w:line="276"/>
        <w:jc w:val="both"/>
      </w:pPr>
      <w:r>
        <w:rPr>
          <w:rFonts w:ascii="Barlow Semi Condensed" w:cs="Barlow Semi Condensed" w:eastAsia="Barlow Semi Condensed" w:hAnsi="Barlow Semi Condensed"/>
          <w:sz w:val="24"/>
          <w:szCs w:val="24"/>
        </w:rPr>
        <w:t xml:space="preserve">Blocco quattrocentottanta. La coerenza dell'incipit: il primo documento, un saluto formativo del luglio 1932 negli organismi giovanili cattolici, converge con la biografia intellettuale censita nel volume: Livello A quale riscontro puntuale.</w:t>
      </w:r>
    </w:p>
    <w:p>
      <w:pPr>
        <w:spacing w:after="120" w:line="276"/>
        <w:jc w:val="both"/>
      </w:pPr>
      <w:r>
        <w:rPr>
          <w:rFonts w:ascii="Barlow Semi Condensed" w:cs="Barlow Semi Condensed" w:eastAsia="Barlow Semi Condensed" w:hAnsi="Barlow Semi Condensed"/>
          <w:sz w:val="24"/>
          <w:szCs w:val="24"/>
        </w:rPr>
        <w:t xml:space="preserve">Blocco quattrocentottantuno. Il vaglio campionario delle citazioni del volume contro il dataset: eseguito sul campione degli enunciati biografici con esito di coerenza piena; il vaglio integrale resta consegnato: Livello B quale stato del vaglio, esito parziale positivo iscritto.</w:t>
      </w:r>
    </w:p>
    <w:p>
      <w:pPr>
        <w:spacing w:after="120" w:line="276"/>
        <w:jc w:val="both"/>
      </w:pPr>
      <w:r>
        <w:rPr>
          <w:rFonts w:ascii="Barlow Semi Condensed" w:cs="Barlow Semi Condensed" w:eastAsia="Barlow Semi Condensed" w:hAnsi="Barlow Semi Condensed"/>
          <w:sz w:val="24"/>
          <w:szCs w:val="24"/>
        </w:rPr>
        <w:t xml:space="preserve">La federazione morotea: riconciliazione degli statuti (blocchi quattrocentottantadue–quattrocentottantasette)</w:t>
      </w:r>
    </w:p>
    <w:p>
      <w:pPr>
        <w:spacing w:after="120" w:line="276"/>
        <w:jc w:val="both"/>
      </w:pPr>
      <w:r>
        <w:rPr>
          <w:rFonts w:ascii="Barlow Semi Condensed" w:cs="Barlow Semi Condensed" w:eastAsia="Barlow Semi Condensed" w:hAnsi="Barlow Semi Condensed"/>
          <w:sz w:val="24"/>
          <w:szCs w:val="24"/>
        </w:rPr>
        <w:t xml:space="preserve">Blocco quattrocentottantadue. Il registro analitico: dodicesima versione recante lo statuto di nona edizione, con incorporazione dichiarata verbatim dell'ottava e delle precedenti: architettura cumulativa conforme al principio di conservazione del progetto: Livello A verificato ora sugli statuti.</w:t>
      </w:r>
    </w:p>
    <w:p>
      <w:pPr>
        <w:spacing w:after="120" w:line="276"/>
        <w:jc w:val="both"/>
      </w:pPr>
      <w:r>
        <w:rPr>
          <w:rFonts w:ascii="Barlow Semi Condensed" w:cs="Barlow Semi Condensed" w:eastAsia="Barlow Semi Condensed" w:hAnsi="Barlow Semi Condensed"/>
          <w:sz w:val="24"/>
          <w:szCs w:val="24"/>
        </w:rPr>
        <w:t xml:space="preserve">Blocco quattrocentottantatré. Il registro di scavo: terza versione recante lo statuto di edizione prima quale fondazione per comando d'autore: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quattrocentottantaquattro. Il registro speculare: quarta versione recante lo statuto di edizione seconda con applicazione della metodologia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quattrocentottantacinque. Il registro genetico: prima edizione di fondazione, recante la dichiarazione che l'apparato moroteo conta quattro documenti ed un codice: la quintupla è dichiarata dalla fonte stessa: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quattrocentottantasei. Il codice relazionale: edizione di fondazione del campo con subordinazione dichiarata ai documenti che coordina: architettura di governo della federazione conforme: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quattrocentottantasette. L'esito della riconciliazione: gli statuti delle cinque componenti sono reciprocamente coerenti e coerenti con la descrizione iscritta nel volume definitivo; la riconciliazione contenutistica voce per voce resta consegnata con perimetro ora certificato: Livello A sugli statuti, Livello B sullo stato complessivo.</w:t>
      </w:r>
    </w:p>
    <w:p>
      <w:pPr>
        <w:spacing w:after="120" w:line="276"/>
        <w:jc w:val="both"/>
      </w:pPr>
      <w:r>
        <w:rPr>
          <w:rFonts w:ascii="Barlow Semi Condensed" w:cs="Barlow Semi Condensed" w:eastAsia="Barlow Semi Condensed" w:hAnsi="Barlow Semi Condensed"/>
          <w:sz w:val="24"/>
          <w:szCs w:val="24"/>
        </w:rPr>
        <w:t xml:space="preserve">Il repertorio delle fonti: architettura e difetti (blocchi quattrocentottantotto–quattrocentonovantatré)</w:t>
      </w:r>
    </w:p>
    <w:p>
      <w:pPr>
        <w:spacing w:after="120" w:line="276"/>
        <w:jc w:val="both"/>
      </w:pPr>
      <w:r>
        <w:rPr>
          <w:rFonts w:ascii="Barlow Semi Condensed" w:cs="Barlow Semi Condensed" w:eastAsia="Barlow Semi Condensed" w:hAnsi="Barlow Semi Condensed"/>
          <w:sz w:val="24"/>
          <w:szCs w:val="24"/>
        </w:rPr>
        <w:t xml:space="preserve">Blocco quattrocentottantotto. L'architettura a fogli del repertorio riparato: undici fogli nominati — controllo di riparazione, nota, archivi, fonti seriali, atti giudiziari e normativi, atti parlamentari, bibliografia, archivi desecretati, archivi sudamericani, revisione manuale, residui numerici: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quattrocentottantanove. La consistenza: quattrocentoventisei righe utili per settantasettemilacinquecentosettantaquattro parole: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quattrocentonovanta. Il foglio dei residui numerici quale sede documentale del difetto di corruzione a due classi censito dalla memoria operativa: il difetto è ritrovato in sede con il suo apparato di controllo: Livello A quale riscontro della memoria contro il corpus.</w:t>
      </w:r>
    </w:p>
    <w:p>
      <w:pPr>
        <w:spacing w:after="120" w:line="276"/>
        <w:jc w:val="both"/>
      </w:pPr>
      <w:r>
        <w:rPr>
          <w:rFonts w:ascii="Barlow Semi Condensed" w:cs="Barlow Semi Condensed" w:eastAsia="Barlow Semi Condensed" w:hAnsi="Barlow Semi Condensed"/>
          <w:sz w:val="24"/>
          <w:szCs w:val="24"/>
        </w:rPr>
        <w:t xml:space="preserve">Blocco quattrocentonovantuno. I fogli di controllo e revisione manuale quale protocollo di riparazione documentato: il repertorio incorpora la propria storia di correzione: Livello A quale igiene documentale.</w:t>
      </w:r>
    </w:p>
    <w:p>
      <w:pPr>
        <w:spacing w:after="120" w:line="276"/>
        <w:jc w:val="both"/>
      </w:pPr>
      <w:r>
        <w:rPr>
          <w:rFonts w:ascii="Barlow Semi Condensed" w:cs="Barlow Semi Condensed" w:eastAsia="Barlow Semi Condensed" w:hAnsi="Barlow Semi Condensed"/>
          <w:sz w:val="24"/>
          <w:szCs w:val="24"/>
        </w:rPr>
        <w:t xml:space="preserve">Blocco quattrocentonovantadue. Il difetto maggiore censito dalla memoria — l'omissione sistematica dei nomi propri quale impedimento alla generazione dei nodi — resta pendenza sostanziale del repertorio: la sua risoluzione è direzione consegnata: Livello B quale stato, pendenza confermata.</w:t>
      </w:r>
    </w:p>
    <w:p>
      <w:pPr>
        <w:spacing w:after="120" w:line="276"/>
        <w:jc w:val="both"/>
      </w:pPr>
      <w:r>
        <w:rPr>
          <w:rFonts w:ascii="Barlow Semi Condensed" w:cs="Barlow Semi Condensed" w:eastAsia="Barlow Semi Condensed" w:hAnsi="Barlow Semi Condensed"/>
          <w:sz w:val="24"/>
          <w:szCs w:val="24"/>
        </w:rPr>
        <w:t xml:space="preserve">Blocco quattrocentonovantatré. La tavola di triangolazione dei personaggi: duecentottantasei righe quale strumento di incrocio tra repertorio e registri: Livello A verificato ora quale esistenza e consistenza.</w:t>
      </w:r>
    </w:p>
    <w:p>
      <w:pPr>
        <w:spacing w:after="120" w:line="276"/>
        <w:jc w:val="both"/>
      </w:pPr>
      <w:r>
        <w:rPr>
          <w:rFonts w:ascii="Barlow Semi Condensed" w:cs="Barlow Semi Condensed" w:eastAsia="Barlow Semi Condensed" w:hAnsi="Barlow Semi Condensed"/>
          <w:sz w:val="24"/>
          <w:szCs w:val="24"/>
        </w:rPr>
        <w:t xml:space="preserve">La memoria operativa: triangolazione delle ipotesi e dei protocolli (blocchi quattrocentonovantaquattro–cinquecentouno)</w:t>
      </w:r>
    </w:p>
    <w:p>
      <w:pPr>
        <w:spacing w:after="120" w:line="276"/>
        <w:jc w:val="both"/>
      </w:pPr>
      <w:r>
        <w:rPr>
          <w:rFonts w:ascii="Barlow Semi Condensed" w:cs="Barlow Semi Condensed" w:eastAsia="Barlow Semi Condensed" w:hAnsi="Barlow Semi Condensed"/>
          <w:sz w:val="24"/>
          <w:szCs w:val="24"/>
        </w:rPr>
        <w:t xml:space="preserve">Blocco quattrocentonovantaquattro. La memoria operativa quale fonte interna dichiarata: registro di ipotesi, protocolli e pendenze del progetto, con statuto di fonte interessata: ogni suo enunciato vale quale asserzione da verificare, mai quale prova: Livello A quale statuto, applicato in ogni blocco che segue.</w:t>
      </w:r>
    </w:p>
    <w:p>
      <w:pPr>
        <w:spacing w:after="120" w:line="276"/>
        <w:jc w:val="both"/>
      </w:pPr>
      <w:r>
        <w:rPr>
          <w:rFonts w:ascii="Barlow Semi Condensed" w:cs="Barlow Semi Condensed" w:eastAsia="Barlow Semi Condensed" w:hAnsi="Barlow Semi Condensed"/>
          <w:sz w:val="24"/>
          <w:szCs w:val="24"/>
        </w:rPr>
        <w:t xml:space="preserve">Blocco quattrocentonovantacinque. La macro-ipotesi prima nella memoria — la convergenza delle potenze esterne contro l'integrazione continentale — registrata al terzo grado con falsificatore permanente designato: la collocazione converge con la matrice di questo registro, che ne ha falsificato la forma forte e conservato la debole al medesimo grado: Livello A quale coerenza tra memoria e matrice.</w:t>
      </w:r>
    </w:p>
    <w:p>
      <w:pPr>
        <w:spacing w:after="120" w:line="276"/>
        <w:jc w:val="both"/>
      </w:pPr>
      <w:r>
        <w:rPr>
          <w:rFonts w:ascii="Barlow Semi Condensed" w:cs="Barlow Semi Condensed" w:eastAsia="Barlow Semi Condensed" w:hAnsi="Barlow Semi Condensed"/>
          <w:sz w:val="24"/>
          <w:szCs w:val="24"/>
        </w:rPr>
        <w:t xml:space="preserve">Blocco quattrocentonovantasei. La macro-ipotesi seconda — i due progetti autoritari rivali sul contenitore europeo — registrata nella memoria al terzo grado con quattro vantaggi esplicativi: identica alla collocazione della matrice di questo registro sin dalla prima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quattrocentonovantasette. Il clustering nullo delle stragi registrato nella memoria quale abbandono definitivo della tesi originaria di convergenza nella sua formulazione statistica: coerente con la disciplina del Pattern temporale applicata dal volume e da questo registro: Livello A quale coerenza di metodo.</w:t>
      </w:r>
    </w:p>
    <w:p>
      <w:pPr>
        <w:spacing w:after="120" w:line="276"/>
        <w:jc w:val="both"/>
      </w:pPr>
      <w:r>
        <w:rPr>
          <w:rFonts w:ascii="Barlow Semi Condensed" w:cs="Barlow Semi Condensed" w:eastAsia="Barlow Semi Condensed" w:hAnsi="Barlow Semi Condensed"/>
          <w:sz w:val="24"/>
          <w:szCs w:val="24"/>
        </w:rPr>
        <w:t xml:space="preserve">Blocco quattrocentonovantotto. Il Registro Unico Federato a sei strati con spina federante quale architettura madre dichiarata dalla memoria: la federazione morotea verificata in questa tranche ne costituisce il caso applicato: Livello A quale coerenza architetturale.</w:t>
      </w:r>
    </w:p>
    <w:p>
      <w:pPr>
        <w:spacing w:after="120" w:line="276"/>
        <w:jc w:val="both"/>
      </w:pPr>
      <w:r>
        <w:rPr>
          <w:rFonts w:ascii="Barlow Semi Condensed" w:cs="Barlow Semi Condensed" w:eastAsia="Barlow Semi Condensed" w:hAnsi="Barlow Semi Condensed"/>
          <w:sz w:val="24"/>
          <w:szCs w:val="24"/>
        </w:rPr>
        <w:t xml:space="preserve">Blocco quattrocentonovantanove. Il censimento parallelo dei procedimenti politici 1994-2026 registrato nella memoria quale progetto enciclopedico in corso: estraneo al perimetro di questo registro, iscritto quale confine dichiarato: Livello A quale perimetro.</w:t>
      </w:r>
    </w:p>
    <w:p>
      <w:pPr>
        <w:spacing w:after="120" w:line="276"/>
        <w:jc w:val="both"/>
      </w:pPr>
      <w:r>
        <w:rPr>
          <w:rFonts w:ascii="Barlow Semi Condensed" w:cs="Barlow Semi Condensed" w:eastAsia="Barlow Semi Condensed" w:hAnsi="Barlow Semi Condensed"/>
          <w:sz w:val="24"/>
          <w:szCs w:val="24"/>
        </w:rPr>
        <w:t xml:space="preserve">Blocco cinquecento. I protocolli vincolanti della memoria — la Regola Ferrea, lo Stato Zero quale risultato, la disciplina dei viventi, le esclusioni di fonte permanenti, il principio cumulativo: tutti riscontrati in applicazione nel corpus e in questo registro: Livello A quale conformità sistemica.</w:t>
      </w:r>
    </w:p>
    <w:p>
      <w:pPr>
        <w:spacing w:after="120" w:line="276"/>
        <w:jc w:val="both"/>
      </w:pPr>
      <w:r>
        <w:rPr>
          <w:rFonts w:ascii="Barlow Semi Condensed" w:cs="Barlow Semi Condensed" w:eastAsia="Barlow Semi Condensed" w:hAnsi="Barlow Semi Condensed"/>
          <w:sz w:val="24"/>
          <w:szCs w:val="24"/>
        </w:rPr>
        <w:t xml:space="preserve">Blocco cinquecentouno. Il principio del lampione registrato nella memoria quale risultato empirico e non quale cautela teorica: la densità documentale misura l'attenzione e non l'intensità storica: assunto quale avvertenza permanente di lettura per le metriche di questa tranche: Livello A quale principio, applicato.</w:t>
      </w:r>
    </w:p>
    <w:p>
      <w:pPr>
        <w:spacing w:after="120" w:line="276"/>
        <w:jc w:val="both"/>
      </w:pPr>
      <w:r>
        <w:rPr>
          <w:rFonts w:ascii="Barlow Semi Condensed" w:cs="Barlow Semi Condensed" w:eastAsia="Barlow Semi Condensed" w:hAnsi="Barlow Semi Condensed"/>
          <w:sz w:val="24"/>
          <w:szCs w:val="24"/>
        </w:rPr>
        <w:t xml:space="preserve">Cascata sui giacimenti contemporanei orientali (blocchi cinquecentodue–cinquecentonove)</w:t>
      </w:r>
    </w:p>
    <w:p>
      <w:pPr>
        <w:spacing w:after="120" w:line="276"/>
        <w:jc w:val="both"/>
      </w:pPr>
      <w:r>
        <w:rPr>
          <w:rFonts w:ascii="Barlow Semi Condensed" w:cs="Barlow Semi Condensed" w:eastAsia="Barlow Semi Condensed" w:hAnsi="Barlow Semi Condensed"/>
          <w:sz w:val="24"/>
          <w:szCs w:val="24"/>
        </w:rPr>
        <w:t xml:space="preserve">Blocco cinquecentodue. Il giacimento congressuale quale spina del versante contemporaneo: i cinque volumi con le appendici, già mobilitati dalle tranche seconda e quarta, sono ora censiti nella loro consistenza integrale: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cinquecentotré. Gli elaborati sui cinque hub geografici dell'influenza in doppia copia: la duplicazione interna al corpus è iscritta quale ridondanza di conservazione, con Indice di Contaminazione unitario: Livello A quale igiene di catena.</w:t>
      </w:r>
    </w:p>
    <w:p>
      <w:pPr>
        <w:spacing w:after="120" w:line="276"/>
        <w:jc w:val="both"/>
      </w:pPr>
      <w:r>
        <w:rPr>
          <w:rFonts w:ascii="Barlow Semi Condensed" w:cs="Barlow Semi Condensed" w:eastAsia="Barlow Semi Condensed" w:hAnsi="Barlow Semi Condensed"/>
          <w:sz w:val="24"/>
          <w:szCs w:val="24"/>
        </w:rPr>
        <w:t xml:space="preserve">Blocco cinquecentoquattro. Il caso della rete degli osservatori elettorali quale anatomia di un'operazione: elaborato presente in copia multipla, gradazioni fissate nella quarta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cinquecentocinque. L'indagine sul coordinatore parlamentare della rete e le liste sanzionatorie quali fatti amministrativi: statuto invariato dalla quinta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cinquecentosei. Il caso del finanziamento milanese nella sua interezza giudiziaria: certificato nella seconda tranche, richiamato senza estensioni: già certificato.</w:t>
      </w:r>
    </w:p>
    <w:p>
      <w:pPr>
        <w:spacing w:after="120" w:line="276"/>
        <w:jc w:val="both"/>
      </w:pPr>
      <w:r>
        <w:rPr>
          <w:rFonts w:ascii="Barlow Semi Condensed" w:cs="Barlow Semi Condensed" w:eastAsia="Barlow Semi Condensed" w:hAnsi="Barlow Semi Condensed"/>
          <w:sz w:val="24"/>
          <w:szCs w:val="24"/>
        </w:rPr>
        <w:t xml:space="preserve">Blocco cinquecentosette. I materiali sul controllo oligarchico dei sistemi informativi orientali e sulla fondazione mediatica danubiana: giacimenti presenti, usati quali contesto: Livello A quale esistenza, contenuti al grado di elaborato.</w:t>
      </w:r>
    </w:p>
    <w:p>
      <w:pPr>
        <w:spacing w:after="120" w:line="276"/>
        <w:jc w:val="both"/>
      </w:pPr>
      <w:r>
        <w:rPr>
          <w:rFonts w:ascii="Barlow Semi Condensed" w:cs="Barlow Semi Condensed" w:eastAsia="Barlow Semi Condensed" w:hAnsi="Barlow Semi Condensed"/>
          <w:sz w:val="24"/>
          <w:szCs w:val="24"/>
        </w:rPr>
        <w:t xml:space="preserve">Blocco cinquecentotto. La coerenza trasversale: nessun documento del versante contemporaneo contraddice le certificazioni del versante storico; i due corpi restano saldati dalla sola matrice delle ipotesi, come lo statuto del registro esige: Livello A quale esito di coerenza.</w:t>
      </w:r>
    </w:p>
    <w:p>
      <w:pPr>
        <w:spacing w:after="120" w:line="276"/>
        <w:jc w:val="both"/>
      </w:pPr>
      <w:r>
        <w:rPr>
          <w:rFonts w:ascii="Barlow Semi Condensed" w:cs="Barlow Semi Condensed" w:eastAsia="Barlow Semi Condensed" w:hAnsi="Barlow Semi Condensed"/>
          <w:sz w:val="24"/>
          <w:szCs w:val="24"/>
        </w:rPr>
        <w:t xml:space="preserve">Blocco cinquecentonove. Stato Zero contemporaneo del caso capitale: nessun materiale del versante contemporaneo tocca il sequestro del 1978 se non quale memoria storica: Stato Zero di pertinenza, iscritto a tutela contro le saldature indebite.</w:t>
      </w:r>
    </w:p>
    <w:p>
      <w:pPr>
        <w:spacing w:after="120" w:line="276"/>
        <w:jc w:val="both"/>
      </w:pPr>
      <w:r>
        <w:rPr>
          <w:rFonts w:ascii="Barlow Semi Condensed" w:cs="Barlow Semi Condensed" w:eastAsia="Barlow Semi Condensed" w:hAnsi="Barlow Semi Condensed"/>
          <w:sz w:val="24"/>
          <w:szCs w:val="24"/>
        </w:rPr>
        <w:t xml:space="preserve">Cascata sui giacimenti della rete nera e dei paria (blocchi cinquecentodieci–cinquecentodiciannove)</w:t>
      </w:r>
    </w:p>
    <w:p>
      <w:pPr>
        <w:spacing w:after="120" w:line="276"/>
        <w:jc w:val="both"/>
      </w:pPr>
      <w:r>
        <w:rPr>
          <w:rFonts w:ascii="Barlow Semi Condensed" w:cs="Barlow Semi Condensed" w:eastAsia="Barlow Semi Condensed" w:hAnsi="Barlow Semi Condensed"/>
          <w:sz w:val="24"/>
          <w:szCs w:val="24"/>
        </w:rPr>
        <w:t xml:space="preserve">Blocco cinquecentodieci. Il comparto della diaspora postbellica: oltre dieci elaborati sulle destinazioni — le due sponde americane, l'area iberica, l'area australe africana, l'area orientale — in copie multiple: Livello A quale giacimento, gradazioni fissate nella prima tranche.</w:t>
      </w:r>
    </w:p>
    <w:p>
      <w:pPr>
        <w:spacing w:after="120" w:line="276"/>
        <w:jc w:val="both"/>
      </w:pPr>
      <w:r>
        <w:rPr>
          <w:rFonts w:ascii="Barlow Semi Condensed" w:cs="Barlow Semi Condensed" w:eastAsia="Barlow Semi Condensed" w:hAnsi="Barlow Semi Condensed"/>
          <w:sz w:val="24"/>
          <w:szCs w:val="24"/>
        </w:rPr>
        <w:t xml:space="preserve">Blocco cinquecentoundici. Il comparto australe africano: circa venti monografie su assi bilaterali, complicità comparate e reti coperte continentali: Livello A quale giacimento; l'asse dei paria resta certificato nella prima e nella quinta tranche.</w:t>
      </w:r>
    </w:p>
    <w:p>
      <w:pPr>
        <w:spacing w:after="120" w:line="276"/>
        <w:jc w:val="both"/>
      </w:pPr>
      <w:r>
        <w:rPr>
          <w:rFonts w:ascii="Barlow Semi Condensed" w:cs="Barlow Semi Condensed" w:eastAsia="Barlow Semi Condensed" w:hAnsi="Barlow Semi Condensed"/>
          <w:sz w:val="24"/>
          <w:szCs w:val="24"/>
        </w:rPr>
        <w:t xml:space="preserve">Blocco cinquecentododici. Le monografie sul circolo riservato transatlantico in doppia copia: gradazioni invariate: già certificato.</w:t>
      </w:r>
    </w:p>
    <w:p>
      <w:pPr>
        <w:spacing w:after="120" w:line="276"/>
        <w:jc w:val="both"/>
      </w:pPr>
      <w:r>
        <w:rPr>
          <w:rFonts w:ascii="Barlow Semi Condensed" w:cs="Barlow Semi Condensed" w:eastAsia="Barlow Semi Condensed" w:hAnsi="Barlow Semi Condensed"/>
          <w:sz w:val="24"/>
          <w:szCs w:val="24"/>
        </w:rPr>
        <w:t xml:space="preserve">Blocco cinquecentotredici. Il fascicolo sul network finanziario australe in doppia copia: Livello A quale giacimento, contenuti al grado di elaborato con fonti nominate.</w:t>
      </w:r>
    </w:p>
    <w:p>
      <w:pPr>
        <w:spacing w:after="120" w:line="276"/>
        <w:jc w:val="both"/>
      </w:pPr>
      <w:r>
        <w:rPr>
          <w:rFonts w:ascii="Barlow Semi Condensed" w:cs="Barlow Semi Condensed" w:eastAsia="Barlow Semi Condensed" w:hAnsi="Barlow Semi Condensed"/>
          <w:sz w:val="24"/>
          <w:szCs w:val="24"/>
        </w:rPr>
        <w:t xml:space="preserve">Blocco cinquecentoquattordici. Le monografie comparative sui controcampi: la lettura del medesimo teatro dalle due sponde della contrapposizione, presente per l'area australe: conforme al principio della doppia entrata che il volume applica ai finanziamenti: Livello A quale metodo riscontrato.</w:t>
      </w:r>
    </w:p>
    <w:p>
      <w:pPr>
        <w:spacing w:after="120" w:line="276"/>
        <w:jc w:val="both"/>
      </w:pPr>
      <w:r>
        <w:rPr>
          <w:rFonts w:ascii="Barlow Semi Condensed" w:cs="Barlow Semi Condensed" w:eastAsia="Barlow Semi Condensed" w:hAnsi="Barlow Semi Condensed"/>
          <w:sz w:val="24"/>
          <w:szCs w:val="24"/>
        </w:rPr>
        <w:t xml:space="preserve">Blocco cinquecentoquindici. Il materiale sull'organizzazione lupesca anatolica e sul suo operatore maggiore: presente quale elaborato, con i giudicati richiamati nelle tranche dedicate: già certificato quale perimetro.</w:t>
      </w:r>
    </w:p>
    <w:p>
      <w:pPr>
        <w:spacing w:after="120" w:line="276"/>
        <w:jc w:val="both"/>
      </w:pPr>
      <w:r>
        <w:rPr>
          <w:rFonts w:ascii="Barlow Semi Condensed" w:cs="Barlow Semi Condensed" w:eastAsia="Barlow Semi Condensed" w:hAnsi="Barlow Semi Condensed"/>
          <w:sz w:val="24"/>
          <w:szCs w:val="24"/>
        </w:rPr>
        <w:t xml:space="preserve">Blocco cinquecentosedici. Il comparto sulle strutture di riserva continentali e sulla cronologia della rete dormiente: presente in più copie: coerenza con la fase seconda e quinta del volume verificata a campione: Livello A quale coerenza campionaria.</w:t>
      </w:r>
    </w:p>
    <w:p>
      <w:pPr>
        <w:spacing w:after="120" w:line="276"/>
        <w:jc w:val="both"/>
      </w:pPr>
      <w:r>
        <w:rPr>
          <w:rFonts w:ascii="Barlow Semi Condensed" w:cs="Barlow Semi Condensed" w:eastAsia="Barlow Semi Condensed" w:hAnsi="Barlow Semi Condensed"/>
          <w:sz w:val="24"/>
          <w:szCs w:val="24"/>
        </w:rPr>
        <w:t xml:space="preserve">Blocco cinquecentodiciassette. La verifica dei dati storici sull'incrocio tra la loggia e il caso capitale, presente in doppia copia quale elaborato di controllo: convergenza con i blocchi moroteî della settima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cinquecentodiciotto. Il materiale sulla connessione bulgara e sull'attentato pontificio: la formula assolutoria per insufficienza resta il giudicato di riferimento, invariato: già certificato.</w:t>
      </w:r>
    </w:p>
    <w:p>
      <w:pPr>
        <w:spacing w:after="120" w:line="276"/>
        <w:jc w:val="both"/>
      </w:pPr>
      <w:r>
        <w:rPr>
          <w:rFonts w:ascii="Barlow Semi Condensed" w:cs="Barlow Semi Condensed" w:eastAsia="Barlow Semi Condensed" w:hAnsi="Barlow Semi Condensed"/>
          <w:sz w:val="24"/>
          <w:szCs w:val="24"/>
        </w:rPr>
        <w:t xml:space="preserve">Blocco cinquecentodiciannove. Stato Zero del comparto: nessun documento della rete nera censita produce un aggancio giudiziario nuovo al caso capitale oltre quelli già gradati: Stato Zero di novità, iscritto.</w:t>
      </w:r>
    </w:p>
    <w:p>
      <w:pPr>
        <w:spacing w:after="120" w:line="276"/>
        <w:jc w:val="both"/>
      </w:pPr>
      <w:r>
        <w:rPr>
          <w:rFonts w:ascii="Barlow Semi Condensed" w:cs="Barlow Semi Condensed" w:eastAsia="Barlow Semi Condensed" w:hAnsi="Barlow Semi Condensed"/>
          <w:sz w:val="24"/>
          <w:szCs w:val="24"/>
        </w:rPr>
        <w:t xml:space="preserve">Cascata sul crimine organizzato globale e sugli strumenti seriali (blocchi cinquecentoventi–cinquecentoventisette)</w:t>
      </w:r>
    </w:p>
    <w:p>
      <w:pPr>
        <w:spacing w:after="120" w:line="276"/>
        <w:jc w:val="both"/>
      </w:pPr>
      <w:r>
        <w:rPr>
          <w:rFonts w:ascii="Barlow Semi Condensed" w:cs="Barlow Semi Condensed" w:eastAsia="Barlow Semi Condensed" w:hAnsi="Barlow Semi Condensed"/>
          <w:sz w:val="24"/>
          <w:szCs w:val="24"/>
        </w:rPr>
        <w:t xml:space="preserve">Blocco cinquecentoventi. Il censimento globale della criminalità organizzata in triplice copia con indice generale: natura piana accertata: Livello A quale giacimento; il vaglio della parte prima resta direzione consegnata.</w:t>
      </w:r>
    </w:p>
    <w:p>
      <w:pPr>
        <w:spacing w:after="120" w:line="276"/>
        <w:jc w:val="both"/>
      </w:pPr>
      <w:r>
        <w:rPr>
          <w:rFonts w:ascii="Barlow Semi Condensed" w:cs="Barlow Semi Condensed" w:eastAsia="Barlow Semi Condensed" w:hAnsi="Barlow Semi Condensed"/>
          <w:sz w:val="24"/>
          <w:szCs w:val="24"/>
        </w:rPr>
        <w:t xml:space="preserve">Blocco cinquecentoventuno. I rapporti dell'osservatorio ginevrino sui Balcani occidentali e sul porto assediato: presenti quali riproduzioni di pubblicazioni qualificate: Livello A quale fonte seriale di alta affidabilità, contenuti ai gradi d'uso.</w:t>
      </w:r>
    </w:p>
    <w:p>
      <w:pPr>
        <w:spacing w:after="120" w:line="276"/>
        <w:jc w:val="both"/>
      </w:pPr>
      <w:r>
        <w:rPr>
          <w:rFonts w:ascii="Barlow Semi Condensed" w:cs="Barlow Semi Condensed" w:eastAsia="Barlow Semi Condensed" w:hAnsi="Barlow Semi Condensed"/>
          <w:sz w:val="24"/>
          <w:szCs w:val="24"/>
        </w:rPr>
        <w:t xml:space="preserve">Blocco cinquecentoventidue. Il terzo rapporto dell'osservatorio regionale laziale: Livello A quale fonte istituzionale presente.</w:t>
      </w:r>
    </w:p>
    <w:p>
      <w:pPr>
        <w:spacing w:after="120" w:line="276"/>
        <w:jc w:val="both"/>
      </w:pPr>
      <w:r>
        <w:rPr>
          <w:rFonts w:ascii="Barlow Semi Condensed" w:cs="Barlow Semi Condensed" w:eastAsia="Barlow Semi Condensed" w:hAnsi="Barlow Semi Condensed"/>
          <w:sz w:val="24"/>
          <w:szCs w:val="24"/>
        </w:rPr>
        <w:t xml:space="preserve">Blocco cinquecentoventitré. Le sentenze e i gradi di giudizio in riproduzione — il primo grado sul giornalista, la condanna definitiva collegata, gli atti palermitani: Livello A quale giacimento giudiziario interno, fonte dei blocchi che li hanno usati.</w:t>
      </w:r>
    </w:p>
    <w:p>
      <w:pPr>
        <w:spacing w:after="120" w:line="276"/>
        <w:jc w:val="both"/>
      </w:pPr>
      <w:r>
        <w:rPr>
          <w:rFonts w:ascii="Barlow Semi Condensed" w:cs="Barlow Semi Condensed" w:eastAsia="Barlow Semi Condensed" w:hAnsi="Barlow Semi Condensed"/>
          <w:sz w:val="24"/>
          <w:szCs w:val="24"/>
        </w:rPr>
        <w:t xml:space="preserve">Blocco cinquecentoventiquattro. Le tavole di triangolazione seriali — i duecentocinquanta blocchi sui personaggi, i duecentocinquanta sul corpus, i cento sugli arsenali: Livello A verificato ora quale esistenza e consistenza campionata.</w:t>
      </w:r>
    </w:p>
    <w:p>
      <w:pPr>
        <w:spacing w:after="120" w:line="276"/>
        <w:jc w:val="both"/>
      </w:pPr>
      <w:r>
        <w:rPr>
          <w:rFonts w:ascii="Barlow Semi Condensed" w:cs="Barlow Semi Condensed" w:eastAsia="Barlow Semi Condensed" w:hAnsi="Barlow Semi Condensed"/>
          <w:sz w:val="24"/>
          <w:szCs w:val="24"/>
        </w:rPr>
        <w:t xml:space="preserve">Blocco cinquecentoventicinque. Le ricognizioni balistiche seriali sulle armi corte della stagione: strumenti di cascata con divieto d'uso probatorio autonomo, statuto invariato dalla settima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cinquecentoventisei. Il ponte transatlantico a cinquanta blocchi in doppia copia: strumento di raccordo tra le sponde del primo dominio: Livello A quale esistenza, contenuti ai gradi delle fonti nominate.</w:t>
      </w:r>
    </w:p>
    <w:p>
      <w:pPr>
        <w:spacing w:after="120" w:line="276"/>
        <w:jc w:val="both"/>
      </w:pPr>
      <w:r>
        <w:rPr>
          <w:rFonts w:ascii="Barlow Semi Condensed" w:cs="Barlow Semi Condensed" w:eastAsia="Barlow Semi Condensed" w:hAnsi="Barlow Semi Condensed"/>
          <w:sz w:val="24"/>
          <w:szCs w:val="24"/>
        </w:rPr>
        <w:t xml:space="preserve">Blocco cinquecentoventisette. La coerenza del comparto criminale con la fase prima del volume: campionamento senza attriti: Livello A quale esito campionario.</w:t>
      </w:r>
    </w:p>
    <w:p>
      <w:pPr>
        <w:spacing w:after="120" w:line="276"/>
        <w:jc w:val="both"/>
      </w:pPr>
      <w:r>
        <w:rPr>
          <w:rFonts w:ascii="Barlow Semi Condensed" w:cs="Barlow Semi Condensed" w:eastAsia="Barlow Semi Condensed" w:hAnsi="Barlow Semi Condensed"/>
          <w:sz w:val="24"/>
          <w:szCs w:val="24"/>
        </w:rPr>
        <w:t xml:space="preserve">La catena di custodia computazionale (blocchi cinquecentoventotto–cinquecentotrentatré)</w:t>
      </w:r>
    </w:p>
    <w:p>
      <w:pPr>
        <w:spacing w:after="120" w:line="276"/>
        <w:jc w:val="both"/>
      </w:pPr>
      <w:r>
        <w:rPr>
          <w:rFonts w:ascii="Barlow Semi Condensed" w:cs="Barlow Semi Condensed" w:eastAsia="Barlow Semi Condensed" w:hAnsi="Barlow Semi Condensed"/>
          <w:sz w:val="24"/>
          <w:szCs w:val="24"/>
        </w:rPr>
        <w:t xml:space="preserve">Blocco cinquecentoventotto. Il giornale di lavorazione: diciassette trascrizioni di sessione censite con un giornale di centododici righe quale indice: la lavorazione del progetto possiede una catena di custodia documentale propria: Livello A verificato ora.</w:t>
      </w:r>
    </w:p>
    <w:p>
      <w:pPr>
        <w:spacing w:after="120" w:line="276"/>
        <w:jc w:val="both"/>
      </w:pPr>
      <w:r>
        <w:rPr>
          <w:rFonts w:ascii="Barlow Semi Condensed" w:cs="Barlow Semi Condensed" w:eastAsia="Barlow Semi Condensed" w:hAnsi="Barlow Semi Condensed"/>
          <w:sz w:val="24"/>
          <w:szCs w:val="24"/>
        </w:rPr>
        <w:t xml:space="preserve">Blocco cinquecentoventinove. Le impronte crittografiche dei prodotti maggiori — il volume definitivo nei due formati, il registro alla settima tranche — dichiarate nei rispettivi atti di consegna: Livello A quale catena dichiarata e riproducibile.</w:t>
      </w:r>
    </w:p>
    <w:p>
      <w:pPr>
        <w:spacing w:after="120" w:line="276"/>
        <w:jc w:val="both"/>
      </w:pPr>
      <w:r>
        <w:rPr>
          <w:rFonts w:ascii="Barlow Semi Condensed" w:cs="Barlow Semi Condensed" w:eastAsia="Barlow Semi Condensed" w:hAnsi="Barlow Semi Condensed"/>
          <w:sz w:val="24"/>
          <w:szCs w:val="24"/>
        </w:rPr>
        <w:t xml:space="preserve">Blocco cinquecentotrenta. La riproducibilità quale statuto: ogni metrica di questa tranche è rieseguibile da terzi sul medesimo corpus con strumenti ordinari: Livello A quale proprietà del metodo computazionale.</w:t>
      </w:r>
    </w:p>
    <w:p>
      <w:pPr>
        <w:spacing w:after="120" w:line="276"/>
        <w:jc w:val="both"/>
      </w:pPr>
      <w:r>
        <w:rPr>
          <w:rFonts w:ascii="Barlow Semi Condensed" w:cs="Barlow Semi Condensed" w:eastAsia="Barlow Semi Condensed" w:hAnsi="Barlow Semi Condensed"/>
          <w:sz w:val="24"/>
          <w:szCs w:val="24"/>
        </w:rPr>
        <w:t xml:space="preserve">Blocco cinquecentotrentuno. Il principio cumulativo verificato sugli artefatti: il registro alla settima tranche incorpora verbatim le sei precedenti, come il registro analitico moroteo incorpora le proprie otto: la conservazione integrale è prassi trasversale documentata del progetto: Livello A verificato ora su due linee indipendenti.</w:t>
      </w:r>
    </w:p>
    <w:p>
      <w:pPr>
        <w:spacing w:after="120" w:line="276"/>
        <w:jc w:val="both"/>
      </w:pPr>
      <w:r>
        <w:rPr>
          <w:rFonts w:ascii="Barlow Semi Condensed" w:cs="Barlow Semi Condensed" w:eastAsia="Barlow Semi Condensed" w:hAnsi="Barlow Semi Condensed"/>
          <w:sz w:val="24"/>
          <w:szCs w:val="24"/>
        </w:rPr>
        <w:t xml:space="preserve">Blocco cinquecentotrentadue. Il limite della catena: le impronte certificano l'integrità dei file, non la verità dei contenuti, che resta affidata alla gradazione: Livello A quale avvertenza permanente.</w:t>
      </w:r>
    </w:p>
    <w:p>
      <w:pPr>
        <w:spacing w:after="120" w:line="276"/>
        <w:jc w:val="both"/>
      </w:pPr>
      <w:r>
        <w:rPr>
          <w:rFonts w:ascii="Barlow Semi Condensed" w:cs="Barlow Semi Condensed" w:eastAsia="Barlow Semi Condensed" w:hAnsi="Barlow Semi Condensed"/>
          <w:sz w:val="24"/>
          <w:szCs w:val="24"/>
        </w:rPr>
        <w:t xml:space="preserve">Blocco cinquecentotrentatré. La duplicazione sistematica dei giacimenti nel corpus — copie multiple di decine di elaborati — quale ridondanza di conservazione: iscritta con la regola dell'Indice di Contaminazione: le copie contano quale una: Livello A quale regola applicata.</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cinquecentotrentaquattro–cinquecentotrentacinque)</w:t>
      </w:r>
    </w:p>
    <w:p>
      <w:pPr>
        <w:spacing w:after="120" w:line="276"/>
        <w:jc w:val="both"/>
      </w:pPr>
      <w:r>
        <w:rPr>
          <w:rFonts w:ascii="Barlow Semi Condensed" w:cs="Barlow Semi Condensed" w:eastAsia="Barlow Semi Condensed" w:hAnsi="Barlow Semi Condensed"/>
          <w:sz w:val="24"/>
          <w:szCs w:val="24"/>
        </w:rPr>
        <w:t xml:space="preserve">Blocco cinquecentotrentaquattro. Stati Zero confermati o nuovi di questa tranche: gli indici cecoslovacchi assenti dal corpus; l'ineseguibilità interna della verifica lisboeta alla fonte; la non pertinenza del versante contemporaneo al caso capitale; l'assenza di agganci giudiziari nuovi dal comparto della rete nera: quattro Stati Zero iscritti quali risultati.</w:t>
      </w:r>
    </w:p>
    <w:p>
      <w:pPr>
        <w:spacing w:after="120" w:line="276"/>
        <w:jc w:val="both"/>
      </w:pPr>
      <w:r>
        <w:rPr>
          <w:rFonts w:ascii="Barlow Semi Condensed" w:cs="Barlow Semi Condensed" w:eastAsia="Barlow Semi Condensed" w:hAnsi="Barlow Semi Condensed"/>
          <w:sz w:val="24"/>
          <w:szCs w:val="24"/>
        </w:rPr>
        <w:t xml:space="preserve">Blocco cinquecentotrentacinque. Pendenze consegnate alla nona tranche: il vaglio testuale diretto delle tre fonti primarie estraibili contro le citazioni del volume, con priorità massima; il completamento voce per voce della riconciliazione lisboeta sul perimetro ora definito; la risoluzione del difetto dei nomi propri nel repertorio; il vaglio della parte prima del censimento globale; la continuità delle numerazioni; le verifiche esterne alla fonte — portoghese, cecoslovacca, ipertestuale: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cinquecentotrentasei–cinquecentotrentotto)</w:t>
      </w:r>
    </w:p>
    <w:p>
      <w:pPr>
        <w:spacing w:after="120" w:line="276"/>
        <w:jc w:val="both"/>
      </w:pPr>
      <w:r>
        <w:rPr>
          <w:rFonts w:ascii="Barlow Semi Condensed" w:cs="Barlow Semi Condensed" w:eastAsia="Barlow Semi Condensed" w:hAnsi="Barlow Semi Condensed"/>
          <w:sz w:val="24"/>
          <w:szCs w:val="24"/>
        </w:rPr>
        <w:t xml:space="preserve">Blocco cinquecentotrentasei. Aggiornamento ACH: l'estrazione integrale non ha prodotto alcuna evidenza che modifichi la matrice: la forma forte del disegno unitario resta falsificata, la convergenza policentrica resta la meno contraddetta, l'ipotesi delle due internazionali resta al terzo grado con i suoi vantaggi; la stabilità della matrice attraverso otto tranche e sei milioni di parole estratte è essa stessa iscritta quale dato: matrice confermata.</w:t>
      </w:r>
    </w:p>
    <w:p>
      <w:pPr>
        <w:spacing w:after="120" w:line="276"/>
        <w:jc w:val="both"/>
      </w:pPr>
      <w:r>
        <w:rPr>
          <w:rFonts w:ascii="Barlow Semi Condensed" w:cs="Barlow Semi Condensed" w:eastAsia="Barlow Semi Condensed" w:hAnsi="Barlow Semi Condensed"/>
          <w:sz w:val="24"/>
          <w:szCs w:val="24"/>
        </w:rPr>
        <w:t xml:space="preserve">Blocco cinquecentotrentasette. Verdetto metodologico: la tranche ha dimostrato che l'estrazione computazionale integrale e la memoria operativa possono essere triangolate con il corpus senza cedimenti del metodo, ed ha esercitato la falsificabilità interna con una rettifica documentata: Livello A quale tenuta, con il limite dichiarato del lampione: ciò che è stato misurato è ciò che il corpus illumina.</w:t>
      </w:r>
    </w:p>
    <w:p>
      <w:pPr>
        <w:spacing w:after="120" w:line="276"/>
        <w:jc w:val="both"/>
      </w:pPr>
      <w:r>
        <w:rPr>
          <w:rFonts w:ascii="Barlow Semi Condensed" w:cs="Barlow Semi Condensed" w:eastAsia="Barlow Semi Condensed" w:hAnsi="Barlow Semi Condensed"/>
          <w:sz w:val="24"/>
          <w:szCs w:val="24"/>
        </w:rPr>
        <w:t xml:space="preserve">Blocco cinquecentotrentotto. Consegne alla nona tranche: le pendenze del blocco cinquecentotrentacinque, più la direzione qualificata del vaglio testuale delle fonti primarie, più l'estensione eventuale del censimento computazionale ai contenuti delle riproduzioni vere non ancora estratte: iscritte. Il registro procede.</w:t>
      </w:r>
    </w:p>
    <w:p>
      <w:pPr>
        <w:spacing w:after="120" w:line="276"/>
        <w:jc w:val="both"/>
      </w:pPr>
      <w:r>
        <w:rPr>
          <w:rFonts w:ascii="Barlow Semi Condensed" w:cs="Barlow Semi Condensed" w:eastAsia="Barlow Semi Condensed" w:hAnsi="Barlow Semi Condensed"/>
          <w:sz w:val="24"/>
          <w:szCs w:val="24"/>
        </w:rPr>
        <w:t xml:space="preserve">13.5 — Rilievi per le persone viventi e chiusa dell'ottava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senza eccezione alcuna. Questa tranche, avendo natura prevalentemente documentale e computazionale, non aggiunge menzioni nominative nuove: per ogni persona evocata nei giacimenti censiti valgono gli statuti già fissati nelle tranche che ne hanno gradato le posizioni; le metriche, le consistenze e le impronte non riguardano persone e non fondano alcuna asserzione su alcuno; la memoria operativa, quale fonte interna, non è mai stata usata in questa tranche per affermare fatti su persone ma solo per riscontrare ipotesi, protocolli e pendenze contro il corpus.</w:t>
      </w:r>
    </w:p>
    <w:p>
      <w:pPr>
        <w:spacing w:after="120" w:line="276"/>
        <w:jc w:val="both"/>
      </w:pPr>
      <w:r>
        <w:rPr>
          <w:rFonts w:ascii="Barlow Semi Condensed" w:cs="Barlow Semi Condensed" w:eastAsia="Barlow Semi Condensed" w:hAnsi="Barlow Semi Condensed"/>
          <w:sz w:val="24"/>
          <w:szCs w:val="24"/>
        </w:rPr>
        <w:t xml:space="preserve">L'ottava tranche porta il registro a cinquecentotrentotto blocchi certificati. L'estrazione integrale ha censito quattrocentosessantasette file per settecentosettantadue megabyte e sei milioni centoquarantottomila duecentonovantasette parole lette, ha sciolto per verifica diretta la pendenza delle riproduzioni morotee rettificando il proprio stesso registro, ha definito il perimetro della riconciliazione lisboeta, ha verificato gli statuti dell'intera federazione morotea, ha ritrovato nel repertorio i difetti censiti dalla memoria e ha confermato per la terza volta gli Stati Zero maggiori. La matrice delle ipotesi esce dalla prova più estesa mai condotta — l'intero corpus contro l'intero registro — identica a come vi era entrata, e questa stabilità, che non è certezza ma resistenza alla falsificazione, è l'unico titolo che il metodo riconosce. Il registro consegna alla nona tranche le pendenze iscritte e resta, per statuto, aperto.</w:t>
      </w:r>
    </w:p>
    <w:p>
      <w:pPr>
        <w:pStyle w:val="Heading2"/>
        <w:spacing w:after="100" w:before="200"/>
      </w:pPr>
      <w:r>
        <w:rPr>
          <w:rFonts w:ascii="Barlow Semi Condensed" w:cs="Barlow Semi Condensed" w:eastAsia="Barlow Semi Condensed" w:hAnsi="Barlow Semi Condensed"/>
          <w:sz w:val="24"/>
          <w:szCs w:val="24"/>
        </w:rPr>
        <w:t xml:space="preserve">CERNIERA — DAL REGISTRO ALLA PROBABILITÀ</w:t>
      </w:r>
    </w:p>
    <w:p>
      <w:pPr>
        <w:spacing w:after="120" w:line="276"/>
        <w:jc w:val="both"/>
      </w:pPr>
      <w:r>
        <w:rPr>
          <w:rFonts w:ascii="Barlow Semi Condensed" w:cs="Barlow Semi Condensed" w:eastAsia="Barlow Semi Condensed" w:hAnsi="Barlow Semi Condensed"/>
          <w:sz w:val="24"/>
          <w:szCs w:val="24"/>
        </w:rPr>
        <w:t xml:space="preserve">Il lettore che giunge a questa soglia ha attraversato l'opera-registro nella sua interezza: le cinque Fasi del volume portante, in cui ogni nodo e ogni ponte della rete è stato esposto con il proprio grado, e l'Apparato di Verifica e Triangolazione, in cui cinquecentotrentotto blocchi hanno sottoposto quella esposizione a otto successive campagne di controllo, rettifica e falsificazione. Ciò che il registro consegna, al termine del suo percorso, è un patrimonio di certezze graduate e di vuoti dichiarati: sa distinguere il documentato dall'indiziario e dall'ipotetico, sa nominare gli Stati Zero, sa dove le fonti convergono e dove si dividono. Ma il registro, per sua costituzione, non conclude: la sua disciplina è la sospensione, il suo onore è fermarsi sulla soglia di ogni affermazione non provata. Vi è tuttavia una domanda che la storia pone e che la sospensione non estingue, ed è la domanda su chi concepì, chi ordinò e chi eseguì. A quella domanda è dedicata l'opera che segue.</w:t>
      </w:r>
    </w:p>
    <w:p>
      <w:pPr>
        <w:spacing w:after="120" w:line="276"/>
        <w:jc w:val="both"/>
      </w:pPr>
      <w:r>
        <w:rPr>
          <w:rFonts w:ascii="Barlow Semi Condensed" w:cs="Barlow Semi Condensed" w:eastAsia="Barlow Semi Condensed" w:hAnsi="Barlow Semi Condensed"/>
          <w:sz w:val="24"/>
          <w:szCs w:val="24"/>
        </w:rPr>
        <w:t xml:space="preserve">Il passaggio che il lettore sta per compiere è un passaggio di regime, e va dichiarato con la stessa trasparenza che ha governato tutto il resto. L'opera conclusiva, «Tutta la verità», è conservata qui integralmente, dal suo titolo alla sua ultima pagina bianca, con le sue pagine liminari, la sua dedica, la sua citazione, la sua attribuzione autoriale a un'intelligenza generativa, la sua bibliografia con i collegamenti attivi e il suo aforisma di congedo: nulla ne è stato alterato, perché essa costituisce, dentro l'opera integrale, un volume nel volume, con un proprio statuto che si è voluto rispettare. Al suo interno il lettore ritroverà, nella prima parte, la medesima disciplina falsificazionista del registro, applicata alla vita dell'uomo e alla meccanica del caso; e incontrerà poi, dichiarato e motivato, il congedo del Pollo di Popper e l'ingresso della bilancia probabilistica, i dieci metodi pesati la cui ricetta è resa pubblica in percentuale.</w:t>
      </w:r>
    </w:p>
    <w:p>
      <w:pPr>
        <w:spacing w:after="120" w:line="276"/>
        <w:jc w:val="both"/>
      </w:pPr>
      <w:r>
        <w:rPr>
          <w:rFonts w:ascii="Barlow Semi Condensed" w:cs="Barlow Semi Condensed" w:eastAsia="Barlow Semi Condensed" w:hAnsi="Barlow Semi Condensed"/>
          <w:sz w:val="24"/>
          <w:szCs w:val="24"/>
        </w:rPr>
        <w:t xml:space="preserve">Fra le due opere non vi è contraddizione ma consegna. Il registro certifica; la probabilità ordina ciò che il registro le consegna. Le certezze di Livello A che il lettore ha incontrato nelle Fasi — la matrice brigatista dell'ideazione, del comando e dell'esecuzione, sancita da sentenze definitive — restano il fondamento non negoziabile anche del giudizio probabilistico, che su di esse costruisce senza mai dissolverle. Le anomalie che il registro ha censito senza risolverle — la perizia esecutiva, la tenuta della prigione, la gestione delle trattative, la sorte del memoriale, la catena dei depistaggi — divengono, nell'opera che segue, materia di pesatura: non più soltanto registrate, ma ordinate secondo la loro capacità di innalzare o abbassare la probabilità delle ipotesi concorrenti. E gli Stati Zero del registro — primo fra tutti quello, tre volte confermato, sul mandato estero diretto — divengono il limite dichiarato oltre il quale il giudizio probabilistico stesso rifiuta di spingersi, perché anche la probabilità ha i suoi divieti, e il primo è quello di affermare ciò che la ricerca sistematica ha negato.</w:t>
      </w:r>
    </w:p>
    <w:p>
      <w:pPr>
        <w:spacing w:after="120" w:line="276"/>
        <w:jc w:val="both"/>
      </w:pPr>
      <w:r>
        <w:rPr>
          <w:rFonts w:ascii="Barlow Semi Condensed" w:cs="Barlow Semi Condensed" w:eastAsia="Barlow Semi Condensed" w:hAnsi="Barlow Semi Condensed"/>
          <w:sz w:val="24"/>
          <w:szCs w:val="24"/>
        </w:rPr>
        <w:t xml:space="preserve">Il lettore è dunque avvertito, e con l'avvertenza congedato verso la conclusione. Ciò che ha letto fin qui è il fondamento; ciò che leggerà ora è il giudizio che quel fondamento consente, formulato con approccio garantista e mai giustizialista, rispettoso di ogni persona e della sua presunzione d'innocenza, memore in ogni pagina che ordinare per plausibilità non è condannare e che la verità storica, quando non è tutta raggiungibile, esige di essere approssimata con onestà piuttosto che proclamata con arbitrio. La pace che il titolo del volume portante dichiara mancata, e la verità che il titolo dell'opera conclusiva invoca tutta, si incontrano in questa soglia: non come promesse mantenute, ma come direzioni di cammino.</w:t>
      </w:r>
    </w:p>
    <w:p>
      <w:pPr>
        <w:pStyle w:val="Heading3"/>
        <w:spacing w:after="80" w:before="160"/>
      </w:pPr>
      <w:r>
        <w:rPr>
          <w:rFonts w:ascii="Barlow Semi Condensed" w:cs="Barlow Semi Condensed" w:eastAsia="Barlow Semi Condensed" w:hAnsi="Barlow Semi Condensed"/>
          <w:sz w:val="24"/>
          <w:szCs w:val="24"/>
        </w:rPr>
        <w:t xml:space="preserve">Dedicato a tutte le mie amate e a tutti i miei amati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«È l'ignoranza che crea la violenza»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Sud Sound System</w:t>
      </w:r>
    </w:p>
    <w:p>
      <w:pPr>
        <w:pStyle w:val="Heading2"/>
        <w:spacing w:after="100" w:before="200"/>
      </w:pPr>
      <w:r>
        <w:rPr>
          <w:rFonts w:ascii="Barlow Semi Condensed" w:cs="Barlow Semi Condensed" w:eastAsia="Barlow Semi Condensed" w:hAnsi="Barlow Semi Condensed"/>
          <w:sz w:val="24"/>
          <w:szCs w:val="24"/>
        </w:rPr>
        <w:t xml:space="preserve">PARTE PRIMA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metodo e l'uomo — dove ancora vige il Pollo di Popper</w:t>
      </w:r>
    </w:p>
    <w:p>
      <w:pPr>
        <w:pStyle w:val="Heading3"/>
        <w:spacing w:after="80" w:before="160"/>
      </w:pPr>
      <w:r>
        <w:rPr>
          <w:rFonts w:ascii="Barlow Semi Condensed" w:cs="Barlow Semi Condensed" w:eastAsia="Barlow Semi Condensed" w:hAnsi="Barlow Semi Condensed"/>
          <w:sz w:val="24"/>
          <w:szCs w:val="24"/>
        </w:rPr>
        <w:t xml:space="preserve">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nasconde la propria natura: la dichiara in copertina e la ribadisce qui, perché la trasparenza del mezzo è, in una materia come questa, la prima garanzia offerta al lettore. Essa si occupa di un solo uomo, Aldo Moro, e di un solo fatto attorno al quale la sua figura è stata per decenni avvolta e talvolta soffocata: il sequestro del sedici marzo millenovecentosettantotto, i cinquantacinque giorni della prigionia, l'uccisione del nove maggio, e la lunghissima coda di omissioni, di collusioni e di insabbiamenti che ha accompagnato l'accertamento della verità. L'opera è costruita in due parti che obbediscono a due metodi distinti e volutamente non omogenei, perché diverso è l'oggetto e diverso deve essere lo strumento.</w:t>
      </w:r>
    </w:p>
    <w:p>
      <w:pPr>
        <w:spacing w:after="120" w:line="276"/>
        <w:jc w:val="both"/>
      </w:pPr>
      <w:r>
        <w:rPr>
          <w:rFonts w:ascii="Barlow Semi Condensed" w:cs="Barlow Semi Condensed" w:eastAsia="Barlow Semi Condensed" w:hAnsi="Barlow Semi Condensed"/>
          <w:sz w:val="24"/>
          <w:szCs w:val="24"/>
        </w:rPr>
        <w:t xml:space="preserve">La parte prima è governata da un principio di prudenza scientifica che si è scelto di chiamare, con un'immagine popolare e memorabile, il Pollo di Popper: l'avvertimento, cioè, contro ogni ricerca che parta da una tesi già scritta e cerchi nei fatti soltanto le proprie conferme, come il tacchino che, nutrito ogni giorno alla stessa ora, ne inferisce una legge di natura fino alla vigilia del Ringraziamento. In questa prima parte si espone il metodo, si ricostruisce la vita dell'uomo, si descrive la meccanica del caso, e su ogni affermazione grava il freno della falsificabilità: nulla è dato per certo se non regge alla prova del suo possibile smentirsi.</w:t>
      </w:r>
    </w:p>
    <w:p>
      <w:pPr>
        <w:spacing w:after="120" w:line="276"/>
        <w:jc w:val="both"/>
      </w:pPr>
      <w:r>
        <w:rPr>
          <w:rFonts w:ascii="Barlow Semi Condensed" w:cs="Barlow Semi Condensed" w:eastAsia="Barlow Semi Condensed" w:hAnsi="Barlow Semi Condensed"/>
          <w:sz w:val="24"/>
          <w:szCs w:val="24"/>
        </w:rPr>
        <w:t xml:space="preserve">La parte seconda muta deliberatamente registro. A partire dal momento in cui si affronteranno gli architetti del rapimento, i mandanti materiali e gli esecutori materiali, il Pollo di Popper viene, per ordine esplicito dell'autore, congedato: non perché si abbandoni il rigore, ma perché si cambia strumento, passando da una prudenza sospensiva a una valutazione probabilistica, evidence-based, che pesa le ipotesi e le ordina secondo la loro plausibilità cumulativa. Là il tono si fa più disteso e narrativo, più vicino alla prosa dello stesso Moro, e non teme un'ombra di mistero, quella dei grandi costruttori di enigmi, purché mai si trasformi in compiacimento. In entrambe le parti l'approccio resta garantista e mai giustizialista, rispettoso delle persone e della loro dignità, memore che nominare non è condannare e che la storia procede per gradi di probabilità, non per sentenze.</w:t>
      </w:r>
    </w:p>
    <w:p>
      <w:pPr>
        <w:pStyle w:val="Heading3"/>
        <w:spacing w:after="80" w:before="160"/>
      </w:pPr>
      <w:r>
        <w:rPr>
          <w:rFonts w:ascii="Barlow Semi Condensed" w:cs="Barlow Semi Condensed" w:eastAsia="Barlow Semi Condensed" w:hAnsi="Barlow Semi Condensed"/>
          <w:sz w:val="24"/>
          <w:szCs w:val="24"/>
        </w:rPr>
        <w:t xml:space="preserve">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Karl Popper insegnò che nessuna quantità di osservazioni concordi dimostra una legge universale, mentre una sola osservazione contraria è sufficiente a confutarla. Il pericolo che questa lezione addita è duplice nella materia moroteana. Vi è, da un lato, la tentazione dietrologica, quella di chi parte dalla convinzione che dietro ogni piega del caso si celi una regia onnisciente, e organizza i fatti in cerchi concentrici attorno a quel centro, così che ogni dettaglio, per la sola forza della struttura, sembra confermarla. Vi è, dall'altro, la tentazione opposta e speculare, quella di chi parte dalla convinzione che tutto sia stato lineare e trasparente, e scarta come rumore ogni anomalia che turbi quella quiete. Entrambe sono forme del Pollo di Popper, entrambe accumulano conferme senza mai esporsi alla prova della smentita.</w:t>
      </w:r>
    </w:p>
    <w:p>
      <w:pPr>
        <w:spacing w:after="120" w:line="276"/>
        <w:jc w:val="both"/>
      </w:pPr>
      <w:r>
        <w:rPr>
          <w:rFonts w:ascii="Barlow Semi Condensed" w:cs="Barlow Semi Condensed" w:eastAsia="Barlow Semi Condensed" w:hAnsi="Barlow Semi Condensed"/>
          <w:sz w:val="24"/>
          <w:szCs w:val="24"/>
        </w:rPr>
        <w:t xml:space="preserve">In questa prima parte si adotta perciò la disciplina della falsificazione: ogni affermazione sostanziale è accompagnata, almeno implicitamente, dall'indicazione di ciò che basterebbe a smentirla, e i vuoti sono chiamati vuoti. Quando una connessione attesa non si trova, la sua assenza è registrata come un dato e non come una lacuna da colmare a forza: è il principio che si chiamerà dello Stato Zero, per cui una ricerca condotta con metodo e risultata negativa vale quanto una risultata positiva, perché entrambe informano. E vige una regola che si chiamerà Ferrea: non si inferisce mai il mandato dall'occultamento, non si deduce cioè da un depistaggio l'identità di chi avrebbe interesse a depistare, perché tra il piano di chi nasconde e il piano di chi ha ordinato corre una distanza logica che nessuna indignazione autorizza a saltare. Questa regola governa l'intera parte prima e non sarà abbandonata nemmeno nella seconda: muterà il metodo di valutazione, non il divieto del salto logico.</w:t>
      </w:r>
    </w:p>
    <w:p>
      <w:pPr>
        <w:pStyle w:val="Heading3"/>
        <w:spacing w:after="80" w:before="160"/>
      </w:pPr>
      <w:r>
        <w:rPr>
          <w:rFonts w:ascii="Barlow Semi Condensed" w:cs="Barlow Semi Condensed" w:eastAsia="Barlow Semi Condensed" w:hAnsi="Barlow Semi Condensed"/>
          <w:sz w:val="24"/>
          <w:szCs w:val="24"/>
        </w:rPr>
        <w:t xml:space="preserve">La sinaptogenesi come metodo: reti neurali, nodi e connessioni</w:t>
      </w:r>
    </w:p>
    <w:p>
      <w:pPr>
        <w:spacing w:after="120" w:line="276"/>
        <w:jc w:val="both"/>
      </w:pPr>
      <w:r>
        <w:rPr>
          <w:rFonts w:ascii="Barlow Semi Condensed" w:cs="Barlow Semi Condensed" w:eastAsia="Barlow Semi Condensed" w:hAnsi="Barlow Semi Condensed"/>
          <w:sz w:val="24"/>
          <w:szCs w:val="24"/>
        </w:rPr>
        <w:t xml:space="preserve">Conviene precisare in che senso l'analogia neurale non sia una metafora ornamentale ma un vero e proprio protocollo di lavoro. In una rete neurale l'apprendimento consiste nel modificare il peso delle connessioni fra i nodi: le connessioni sollecitate da molti esempi si rafforzano, quelle mai sollecitate si atrofizzano, e la conoscenza risiede nella configurazione complessiva dei pesi, non in alcun nodo singolo. Trasportato all'inchiesta storica, questo significa che nessun fatto, per quanto clamoroso, ha valore in sé, ma soltanto in ragione delle connessioni verificate che lo legano ad altri fatti; e che il compito dell'analista non è collezionare fatti ma pesare connessioni, distinguendo quelle sorrette da molte fonti indipendenti, che vanno rafforzate, da quelle sorrette da una sola fonte o da nessuna, che vanno lasciate deboli o recise. La rete moroteana che ne risulta non è un albero genealogico né un organigramma, ma un tessuto di pesi variabili in cui la verità emerge come figura dal rilievo dei fasci più densi.</w:t>
      </w:r>
    </w:p>
    <w:p>
      <w:pPr>
        <w:spacing w:after="120" w:line="276"/>
        <w:jc w:val="both"/>
      </w:pPr>
      <w:r>
        <w:rPr>
          <w:rFonts w:ascii="Barlow Semi Condensed" w:cs="Barlow Semi Condensed" w:eastAsia="Barlow Semi Condensed" w:hAnsi="Barlow Semi Condensed"/>
          <w:sz w:val="24"/>
          <w:szCs w:val="24"/>
        </w:rPr>
        <w:t xml:space="preserve">Da questa impostazione discende una conseguenza metodologica che governa l'intera opera: la ricerca procede per cerchi concentrici e per macchia d'olio. Al centro sta il caso Moro nella sua materialità romana, l'agguato, la prigionia, l'epilogo; attorno a esso si dispone il primo cerchio delle connessioni nazionali, la politica, gli apparati, la magistratura; più oltre il secondo cerchio delle connessioni internazionali, i servizi alleati e avversari, la rete del terrorismo transnazionale, i canali finanziari. La macchia d'olio si allarga solo là dove una connessione verificata la sospinge, mai per suggestione: si passa dal cerchio interno a quello esterno soltanto seguendo un legame documentato, e non per il gusto di allargare lo scenario. È questa disciplina del passaggio, questo divieto di saltare da un cerchio all'altro senza un ponte verificato, a distinguere la ricostruzione fondata dalla dietrologia, che invece proietta sullo scenario mondiale connessioni che non ha mai stabilito.</w:t>
      </w:r>
    </w:p>
    <w:p>
      <w:pPr>
        <w:spacing w:after="120" w:line="276"/>
        <w:jc w:val="both"/>
      </w:pPr>
      <w:r>
        <w:rPr>
          <w:rFonts w:ascii="Barlow Semi Condensed" w:cs="Barlow Semi Condensed" w:eastAsia="Barlow Semi Condensed" w:hAnsi="Barlow Semi Condensed"/>
          <w:sz w:val="24"/>
          <w:szCs w:val="24"/>
        </w:rPr>
        <w:t xml:space="preserve">Il metodo di lettura adottato in quest'opera imita, per analogia, il modo in cui un cervello costruisce la conoscenza: non per accumulo lineare di nozioni, ma per formazione progressiva di connessioni, per sinaptogenesi. Ogni persona, ogni organizzazione, ogni luogo, ogni evento è un neurone, un nodo; ogni relazione documentata fra due nodi è una sinapsi, una connessione. La conoscenza del caso Moro non risiede nei singoli nodi presi isolatamente, ma nella rete delle loro connessioni, e la sua verità emerge dal rafforzarsi di certi fasci sinaptici a discapito di altri, esattamente come una rete neurale apprende potenziando i percorsi più sollecitati.</w:t>
      </w:r>
    </w:p>
    <w:p>
      <w:pPr>
        <w:spacing w:after="120" w:line="276"/>
        <w:jc w:val="both"/>
      </w:pPr>
      <w:r>
        <w:rPr>
          <w:rFonts w:ascii="Barlow Semi Condensed" w:cs="Barlow Semi Condensed" w:eastAsia="Barlow Semi Condensed" w:hAnsi="Barlow Semi Condensed"/>
          <w:sz w:val="24"/>
          <w:szCs w:val="24"/>
        </w:rPr>
        <w:t xml:space="preserve">Vi sono connessioni intra-dominio, quelle che legano nodi appartenenti allo stesso mondo: due brigatisti nello stesso commando, due magistrati nella stessa procura, due uomini politici nella stessa corrente. E vi sono connessioni inter-dominio, quelle che legano nodi di mondi diversi e che sono, in questa materia, le più rivelatrici: il punto in cui un terrorista incrocia un servizio segreto, un politico incrocia un mafioso, un banchiere incrocia una loggia. La rete moroteana è, in linguaggio tecnico, multi-strato: gli stessi nodi vivono su piani diversi, e le connessioni che attraversano i piani, i ponti inter-dominio, sono l'oggetto proprio dell'indagine. Un uomo può essere simultaneamente militante e informatore, custode e delatore, e la sua doppiezza è essa stessa una connessione fra strati.</w:t>
      </w:r>
    </w:p>
    <w:p>
      <w:pPr>
        <w:spacing w:after="120" w:line="276"/>
        <w:jc w:val="both"/>
      </w:pPr>
      <w:r>
        <w:rPr>
          <w:rFonts w:ascii="Barlow Semi Condensed" w:cs="Barlow Semi Condensed" w:eastAsia="Barlow Semi Condensed" w:hAnsi="Barlow Semi Condensed"/>
          <w:sz w:val="24"/>
          <w:szCs w:val="24"/>
        </w:rPr>
        <w:t xml:space="preserve">Da questa rete si estraggono, con criterio, alcune proprietà. Si osservano i nodi a più alta centralità, quelli che compaiono in più domini e sui quali passano più connessioni: non necessariamente i più potenti, spesso i più esposti. Si osservano i nodi-ponte, quelli la cui rimozione spezzerebbe il legame fra due mondi altrimenti disgiunti. Si osservano i grappoli, le comunità di nodi densamente interconnessi che agiscono di fatto in modo coordinato pur non figurando in alcun organigramma. E si osservano, con speciale attenzione, i vuoti strutturali, le connessioni che dovrebbero esserci e non ci sono, perché la loro assenza dice quanto la loro presenza. Questa griglia, esposta qui in astratto, sarà lo scheletro invisibile su cui si dispone tutto ciò che segue.</w:t>
      </w:r>
    </w:p>
    <w:p>
      <w:pPr>
        <w:pStyle w:val="Heading3"/>
        <w:spacing w:after="80" w:before="160"/>
      </w:pPr>
      <w:r>
        <w:rPr>
          <w:rFonts w:ascii="Barlow Semi Condensed" w:cs="Barlow Semi Condensed" w:eastAsia="Barlow Semi Condensed" w:hAnsi="Barlow Semi Condensed"/>
          <w:sz w:val="24"/>
          <w:szCs w:val="24"/>
        </w:rPr>
        <w:t xml:space="preserve">Lo standard probatorio: i tre livelli della certezza</w:t>
      </w:r>
    </w:p>
    <w:p>
      <w:pPr>
        <w:spacing w:after="120" w:line="276"/>
        <w:jc w:val="both"/>
      </w:pPr>
      <w:r>
        <w:rPr>
          <w:rFonts w:ascii="Barlow Semi Condensed" w:cs="Barlow Semi Condensed" w:eastAsia="Barlow Semi Condensed" w:hAnsi="Barlow Semi Condensed"/>
          <w:sz w:val="24"/>
          <w:szCs w:val="24"/>
        </w:rPr>
        <w:t xml:space="preserve">Ogni affermazione di quest'opera porta con sé, dichiarato o sottinteso, il proprio grado di affidabilità, secondo uno standard a tre livelli mutuato dalla migliore pratica investigativa e giudiziaria. Il Livello A designa la connessione documentata, quella che poggia sulla convergenza di almeno tre fonti indipendenti e di natura diversa: una sentenza definitiva, una testimonianza riscontrata, un documento d'archivio. Il Livello B designa la connessione indiziaria, sorretta da due fonti indipendenti oppure da una sola fonte di alta affidabilità, come una sentenza di primo grado o una relazione parlamentare circostanziata: è considerata probabile e come tale segnalata. Il Livello C designa la connessione ipotetica, fondata su una sola fonte o su una convergenza di indizi circostanziali, e viene esplicitamente marcata come ipotesi di lavoro che attende ulteriore verifica.</w:t>
      </w:r>
    </w:p>
    <w:p>
      <w:pPr>
        <w:spacing w:after="120" w:line="276"/>
        <w:jc w:val="both"/>
      </w:pPr>
      <w:r>
        <w:rPr>
          <w:rFonts w:ascii="Barlow Semi Condensed" w:cs="Barlow Semi Condensed" w:eastAsia="Barlow Semi Condensed" w:hAnsi="Barlow Semi Condensed"/>
          <w:sz w:val="24"/>
          <w:szCs w:val="24"/>
        </w:rPr>
        <w:t xml:space="preserve">Questo sistema non è un ornamento. Esso consente al lettore di valutare da sé il peso di ciò che legge e di distinguere, in ogni pagina, ciò che è accertato da ciò che è probabile e da ciò che è soltanto possibile. È l'applicazione minuta del principio di falsificabilità: dire a quale livello sta un'affermazione significa dire che cosa la potrebbe far cadere. Nella parte seconda, quando il metodo si farà probabilistico, questi tre livelli non spariranno ma si tradurranno in pesi, e concorreranno, insieme agli altri strumenti di calcolo, a formare quel giudizio graduato di plausibilità che sostituirà la sospensione prudente della parte prima.</w:t>
      </w:r>
    </w:p>
    <w:p>
      <w:pPr>
        <w:pStyle w:val="Heading3"/>
        <w:spacing w:after="80" w:before="160"/>
      </w:pPr>
      <w:r>
        <w:rPr>
          <w:rFonts w:ascii="Barlow Semi Condensed" w:cs="Barlow Semi Condensed" w:eastAsia="Barlow Semi Condensed" w:hAnsi="Barlow Semi Condensed"/>
          <w:sz w:val="24"/>
          <w:szCs w:val="24"/>
        </w:rPr>
        <w:t xml:space="preserve">Aldo Moro prima del sedici marzo: l'uomo, il pensiero, la traiettoria</w:t>
      </w:r>
    </w:p>
    <w:p>
      <w:pPr>
        <w:spacing w:after="120" w:line="276"/>
        <w:jc w:val="both"/>
      </w:pPr>
      <w:r>
        <w:rPr>
          <w:rFonts w:ascii="Barlow Semi Condensed" w:cs="Barlow Semi Condensed" w:eastAsia="Barlow Semi Condensed" w:hAnsi="Barlow Semi Condensed"/>
          <w:sz w:val="24"/>
          <w:szCs w:val="24"/>
        </w:rPr>
        <w:t xml:space="preserve">La formazione giuridica di Moro non fu un dettaglio biografico ma la matrice del suo modo di pensare la politica. Professore di diritto e procedura penale, egli portò nella vita pubblica la mentalità del giurista, per cui ogni conflitto va ricondotto entro una procedura che lo componga, ogni parte va ascoltata, ogni decisione va motivata. La sua celebre oscurità di linguaggio, tanto irrisa quanto fraintesa, era in realtà la traduzione verbale di questa mentalità: le lunghe frasi avvolgenti, cariche di subordinate e di riserve, non nascondevano il pensiero ma ne rispecchiavano la complessità, tenendo insieme in una sola architettura sintattica l'affermazione e il suo limite, l'apertura e la cautela. Chi lo accusava di non essere chiaro chiedeva in realtà che semplificasse ciò che egli riteneva, a ragione, irriducibilmente complesso.</w:t>
      </w:r>
    </w:p>
    <w:p>
      <w:pPr>
        <w:spacing w:after="120" w:line="276"/>
        <w:jc w:val="both"/>
      </w:pPr>
      <w:r>
        <w:rPr>
          <w:rFonts w:ascii="Barlow Semi Condensed" w:cs="Barlow Semi Condensed" w:eastAsia="Barlow Semi Condensed" w:hAnsi="Barlow Semi Condensed"/>
          <w:sz w:val="24"/>
          <w:szCs w:val="24"/>
        </w:rPr>
        <w:t xml:space="preserve">La strategia politica di Moro ebbe due tempi, e in entrambi il metodo fu lo stesso: l'inclusione graduale di ciò che era escluso. Nel primo tempo, negli anni Sessanta, l'operazione riguardò i socialisti, condotti dall'opposizione all'area di governo attraverso il centro-sinistra; e già allora la manovra suscitò allarmi profondi, sospetti di apparati, tentazioni autoritarie, di cui la storia repubblicana conserva traccia nei progetti eversivi di quegli anni. Nel secondo tempo, negli anni Settanta, l'operazione riguardò i comunisti, condotti verso una corresponsabilità di governo attraverso la solidarietà nazionale; e questa seconda manovra, assai più ardita perché toccava il partito che il blocco occidentale considerava il proprio avversario strutturale, suscitò allarmi proporzionalmente più gravi. Il filo che unisce i due tempi è la convinzione, mite e tenace, che la democrazia si rafforza allargandosi, e che la stabilità nasce dall'inclusione responsabile del diverso, non dalla sua esclusione. Fu questa convinzione a fare di Moro, agli occhi di chi temeva quell'allargamento, un uomo da fermare.</w:t>
      </w:r>
    </w:p>
    <w:p>
      <w:pPr>
        <w:spacing w:after="120" w:line="276"/>
        <w:jc w:val="both"/>
      </w:pPr>
      <w:r>
        <w:rPr>
          <w:rFonts w:ascii="Barlow Semi Condensed" w:cs="Barlow Semi Condensed" w:eastAsia="Barlow Semi Condensed" w:hAnsi="Barlow Semi Condensed"/>
          <w:sz w:val="24"/>
          <w:szCs w:val="24"/>
        </w:rPr>
        <w:t xml:space="preserve">Aldo Moro nasce a Maglie, in Terra d'Otranto, il ventitré settembre millenovecentosedici, in una famiglia della piccola borghesia meridionale colta e cattolica. La formazione è quella dell'intellettuale credente che attraversa il fascismo senza esserne segnato nell'intimo, presidente della Federazione Universitaria Cattolica Italiana in anni difficili, giurista di vaglio, professore di diritto e procedura penale. Il primo documento del corpus che raccoglie la sua parola scritta risale al luglio millenovecentotrentadue, un saluto negli organismi giovanili cattolici, e da lì una traccia continua accompagna la sua vita fino all'ultimo scritto del sei marzo millenovecentosettantotto: quasi mezzo secolo di pensiero, dieci giorni prima dell'agguato. Fra questi due estremi si distende una biografia intellettuale di rara coerenza, quella di un uomo per cui la politica fu sempre mediazione paziente, composizione degli opposti, allargamento graduale della base democratica dello Stato.</w:t>
      </w:r>
    </w:p>
    <w:p>
      <w:pPr>
        <w:spacing w:after="120" w:line="276"/>
        <w:jc w:val="both"/>
      </w:pPr>
      <w:r>
        <w:rPr>
          <w:rFonts w:ascii="Barlow Semi Condensed" w:cs="Barlow Semi Condensed" w:eastAsia="Barlow Semi Condensed" w:hAnsi="Barlow Semi Condensed"/>
          <w:sz w:val="24"/>
          <w:szCs w:val="24"/>
        </w:rPr>
        <w:t xml:space="preserve">Costituente giovane e autorevole, più volte ministro, cinque volte presidente del Consiglio, presidente della Democrazia Cristiana, Moro fu l'artefice di due delle grandi manovre di apertura della Repubblica: negli anni Sessanta l'ingresso dei socialisti nell'area di governo, il centro-sinistra; negli anni Settanta il disegno, assai più ardito e assai più contrastato, di condurre il Partito Comunista Italiano a una corresponsabilità di governo, la cosiddetta solidarietà nazionale. Non era, il suo, un pensiero di rottura, ma di inclusione: la convinzione che uno Stato democratico si rafforza integrando ciò che è escluso, e che la stabilità nasce non dall'esclusione del diverso ma dal suo coinvolgimento responsabile. Questa idea, mite nella forma e rivoluzionaria nella sostanza, è la chiave della sua figura e, come si vedrà, la chiave del suo destino.</w:t>
      </w:r>
    </w:p>
    <w:p>
      <w:pPr>
        <w:spacing w:after="120" w:line="276"/>
        <w:jc w:val="both"/>
      </w:pPr>
      <w:r>
        <w:rPr>
          <w:rFonts w:ascii="Barlow Semi Condensed" w:cs="Barlow Semi Condensed" w:eastAsia="Barlow Semi Condensed" w:hAnsi="Barlow Semi Condensed"/>
          <w:sz w:val="24"/>
          <w:szCs w:val="24"/>
        </w:rPr>
        <w:t xml:space="preserve">Lo stile di Moro, che quest'opera nella sua parte seconda cercherà rispettosamente di avvicinare, era il riflesso esatto del suo pensiero: un periodare lungo e avvolgente, ricco di subordinate e di cautele, capace di tenere insieme in una sola frase l'affermazione e la sua limitazione, l'apertura e la riserva. Non era oscurità, come i critici frettolosi dissero, ma precisione di chi sa che la realtà politica è complessa e rifiuta di semplificarla per compiacere. Le sue lettere dalla prigionia, ventitremila e più parole vergate nella cattività, mostrano quello stile intatto sotto la pressione estrema, e sono insieme un documento umano e un testo giuridico, la voce di un uomo che discute della propria vita con la stessa misura con cui aveva discusso per una vita delle sorti dello Stato.</w:t>
      </w:r>
    </w:p>
    <w:p>
      <w:pPr>
        <w:pStyle w:val="Heading3"/>
        <w:spacing w:after="80" w:before="160"/>
      </w:pPr>
      <w:r>
        <w:rPr>
          <w:rFonts w:ascii="Barlow Semi Condensed" w:cs="Barlow Semi Condensed" w:eastAsia="Barlow Semi Condensed" w:hAnsi="Barlow Semi Condensed"/>
          <w:sz w:val="24"/>
          <w:szCs w:val="24"/>
        </w:rPr>
        <w:t xml:space="preserve">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collocazione dell'Italia nella Guerra Fredda va compresa nella sua specificità, perché è da essa che discende la peculiare esposizione di Moro. L'Italia era, fra i Paesi dell'Alleanza Atlantica, quello con il più forte partito comunista, un partito che alle elezioni raccoglieva stabilmente oltre un quarto dei consensi e che nel millenovecentosettantasei aveva sfiorato la Democrazia Cristiana. Questa anomalia faceva dell'Italia un laboratorio e un rischio: laboratorio, perché vi si sperimentava la possibilità di un comunismo occidentale autonomo da Mosca, il cosiddetto eurocomunismo; rischio, perché quella sperimentazione, se coronata da successo, avrebbe potuto propagarsi ad altri Paesi del fianco sud dell'Alleanza, incrinando l'architettura dei blocchi. La manovra di Moro, che di quella sperimentazione era il traduttore istituzionale, si collocava dunque nel punto più sensibile dello scacchiere.</w:t>
      </w:r>
    </w:p>
    <w:p>
      <w:pPr>
        <w:spacing w:after="120" w:line="276"/>
        <w:jc w:val="both"/>
      </w:pPr>
      <w:r>
        <w:rPr>
          <w:rFonts w:ascii="Barlow Semi Condensed" w:cs="Barlow Semi Condensed" w:eastAsia="Barlow Semi Condensed" w:hAnsi="Barlow Semi Condensed"/>
          <w:sz w:val="24"/>
          <w:szCs w:val="24"/>
        </w:rPr>
        <w:t xml:space="preserve">È in questa cornice che va letta, con la cautela del metodo, la questione degli avvertimenti. È documentato che Moro ricevette, in occasione di suoi viaggi e contatti internazionali, segnali di forte contrarietà alla sua strategia da parte di ambienti del blocco occidentale, e che egli stesso vi fece cenno in alcune sue riflessioni. Su questi episodi il metodo impone la massima prudenza: che vi fossero contrarietà e avvertimenti è di grado probabile, sorretto da testimonianze e da documenti; che essi si traducano in un nesso diretto con il sequestro è, allo stato, indimostrato, e va tenuto al livello dell'ipotesi. La distanza fra un avvertimento politico, per quanto brutale, e un mandato di sequestro è una distanza che il metodo non autorizza a colmare per suggestione, e che si terrà ferma per tutta la parte prima, riservando alla seconda il compito di pesarne la probabilità con lo strumento adeguato.</w:t>
      </w:r>
    </w:p>
    <w:p>
      <w:pPr>
        <w:spacing w:after="120" w:line="276"/>
        <w:jc w:val="both"/>
      </w:pPr>
      <w:r>
        <w:rPr>
          <w:rFonts w:ascii="Barlow Semi Condensed" w:cs="Barlow Semi Condensed" w:eastAsia="Barlow Semi Condensed" w:hAnsi="Barlow Semi Condensed"/>
          <w:sz w:val="24"/>
          <w:szCs w:val="24"/>
        </w:rPr>
        <w:t xml:space="preserve">Per comprendere il sedici marzo occorre risalire allo scacchiere in cui quella manovra si iscriveva. L'Italia era, nella geografia della Guerra Fredda, una frontiera: il Paese occidentale con il più forte partito comunista, collocato nel cuore del Mediterraneo, ancorato all'Alleanza Atlantica ma percorso da una tensione interna che ne faceva un terreno di contesa fra i blocchi. La prospettiva che il Partito Comunista Italiano entrasse nell'area di governo di un Paese membro della NATO era guardata con allarme profondo dagli Stati Uniti, che vi vedevano un precedente pericoloso per l'intero fianco sud dell'Alleanza, e con diffidenza non minore, ancorché per ragioni opposte, dall'Unione Sovietica, cui un comunismo occidentale autonomo e corresponsabile sottraeva il monopolio della rappresentanza rivoluzionaria.</w:t>
      </w:r>
    </w:p>
    <w:p>
      <w:pPr>
        <w:spacing w:after="120" w:line="276"/>
        <w:jc w:val="both"/>
      </w:pPr>
      <w:r>
        <w:rPr>
          <w:rFonts w:ascii="Barlow Semi Condensed" w:cs="Barlow Semi Condensed" w:eastAsia="Barlow Semi Condensed" w:hAnsi="Barlow Semi Condensed"/>
          <w:sz w:val="24"/>
          <w:szCs w:val="24"/>
        </w:rPr>
        <w:t xml:space="preserve">Si delinea qui, a livello di ipotesi generale e come tale trattata in questa parte prima con la cautela del Pollo di Popper, la cornice entro cui si è a lungo letto il caso: quella di una convergenza obiettiva, non necessariamente concertata, di interessi esterni contrari a un rafforzamento autonomo dell'Italia e, più in là, di un'Europa capace di emanciparsi dalla tutela dei blocchi. Che questa cornice esista come sfondo è documentabile; che essa si traduca in un disegno unitario e concertato è, allo stato, indimostrato, e la sua forma forte, quella del complotto onnisciente, è anzi stata falsificata dall'assenza di prove di un centro unico ordinatore. Ciò che resta, e che la parte seconda peserà, è una convergenza policentrica di ostilità, entro la quale la manovra di Moro rappresentava, per più attori e per ragioni diverse, un fattore di rischio da contenere.</w:t>
      </w:r>
    </w:p>
    <w:p>
      <w:pPr>
        <w:pStyle w:val="Heading3"/>
        <w:spacing w:after="80" w:before="160"/>
      </w:pPr>
      <w:r>
        <w:rPr>
          <w:rFonts w:ascii="Barlow Semi Condensed" w:cs="Barlow Semi Condensed" w:eastAsia="Barlow Semi Condensed" w:hAnsi="Barlow Semi Condensed"/>
          <w:sz w:val="24"/>
          <w:szCs w:val="24"/>
        </w:rPr>
        <w:t xml:space="preserve">Sinaptogenesi del quadro: i dieci mondi che si intrecciano nel caso</w:t>
      </w:r>
    </w:p>
    <w:p>
      <w:pPr>
        <w:spacing w:after="120" w:line="276"/>
        <w:jc w:val="both"/>
      </w:pPr>
      <w:r>
        <w:rPr>
          <w:rFonts w:ascii="Barlow Semi Condensed" w:cs="Barlow Semi Condensed" w:eastAsia="Barlow Semi Condensed" w:hAnsi="Barlow Semi Condensed"/>
          <w:sz w:val="24"/>
          <w:szCs w:val="24"/>
        </w:rPr>
        <w:t xml:space="preserve">Prima di entrare nella meccanica del sequestro conviene nominare i dieci mondi, i dieci domini, i cui nodi si intrecceranno lungo tutta l'opera, perché è dal loro accoppiamento che emerge la fisionomia del caso. Vi è il mondo della criminalità organizzata, con la sua capacità di violenza illegale e le sue reti di custodia e di silenzio. Vi è il mondo politico, con i suoi partiti, i suoi governi, le sue correnti. Vi è il mondo dell'intelligence, con i servizi italiani e con quelli alleati e avversari che su di essi agiscono. Vi è il mondo della massoneria e delle società coperte, con la loggia che di lì a poco un'inchiesta avrebbe portato alla luce. Vi è il mondo delle istituzioni religiose, con la Santa Sede e le sue strutture. Vi è il mondo dell'economia e della finanza, con le sue banche e i suoi canali. Vi è il mondo del terrorismo, rosso e nero, con la sua stagione di sangue. Vi è il mondo dei media e del controllo dell'informazione. Vi è il mondo delle forze armate e dell'apparato militare, con la struttura atlantica e le sue reti riservate. E vi è il mondo della magistratura, con le sue procure di frontiera, i suoi collaboratori di giustizia, le sue commissioni d'inchiesta.</w:t>
      </w:r>
    </w:p>
    <w:p>
      <w:pPr>
        <w:spacing w:after="120" w:line="276"/>
        <w:jc w:val="both"/>
      </w:pPr>
      <w:r>
        <w:rPr>
          <w:rFonts w:ascii="Barlow Semi Condensed" w:cs="Barlow Semi Condensed" w:eastAsia="Barlow Semi Condensed" w:hAnsi="Barlow Semi Condensed"/>
          <w:sz w:val="24"/>
          <w:szCs w:val="24"/>
        </w:rPr>
        <w:t xml:space="preserve">Nel caso Moro questi mondi non restano separati. Il terrorismo che materialmente agisce incrocia, nelle ipotesi che si vaglieranno, l'intelligence che osserva e talora penetra; la politica che tratta o rifiuta di trattare incrocia la magistratura che indaga; la finanza e la criminalità organizzata affiorano ai margini come custodi di segreti e di canali. La scuola di lingue di Parigi, su cui una commissione avrebbe a lungo indagato, è essa stessa un nodo-ponte, un punto in cui, secondo studi qualificati, i grandi gruppi del terrorismo internazionale trovavano compensazione sotto la vigilanza benevola di più servizi. Tenere insieme questi mondi, seguire le connessioni che li attraversano, distinguere quelle documentate da quelle soltanto probabili e da quelle soltanto possibili: questo è il lavoro che l'opera compie, con il freno della falsificabilità in questa prima parte, e con la bilancia della probabilità nella seconda.</w:t>
      </w:r>
    </w:p>
    <w:p>
      <w:pPr>
        <w:pStyle w:val="Heading3"/>
        <w:spacing w:after="80" w:before="160"/>
      </w:pPr>
      <w:r>
        <w:rPr>
          <w:rFonts w:ascii="Barlow Semi Condensed" w:cs="Barlow Semi Condensed" w:eastAsia="Barlow Semi Condensed" w:hAnsi="Barlow Semi Condensed"/>
          <w:sz w:val="24"/>
          <w:szCs w:val="24"/>
        </w:rPr>
        <w:t xml:space="preserve">La meccanica dell'agguato: via Fani, sedici marzo millenovecentosettantotto</w:t>
      </w:r>
    </w:p>
    <w:p>
      <w:pPr>
        <w:spacing w:after="120" w:line="276"/>
        <w:jc w:val="both"/>
      </w:pPr>
      <w:r>
        <w:rPr>
          <w:rFonts w:ascii="Barlow Semi Condensed" w:cs="Barlow Semi Condensed" w:eastAsia="Barlow Semi Condensed" w:hAnsi="Barlow Semi Condensed"/>
          <w:sz w:val="24"/>
          <w:szCs w:val="24"/>
        </w:rPr>
        <w:t xml:space="preserve">La scelta del giorno non fu casuale, e la sua analisi temporale è dirimente. Il sedici marzo millenovecentosettantotto era il giorno in cui il quarto governo Andreotti si presentava alle Camere per ottenere la fiducia con l'appoggio esplicito, per la prima volta, del Partito Comunista: il perfezionarsi, cioè, di quella solidarietà nazionale che era stata l'opera politica di Moro. Colpire in quel giorno, e colpire l'uomo che di quell'opera era l'artefice, significava attaccare il compromesso storico nel momento esatto del suo compimento. La coincidenza fra l'evento politico e l'agguato eccede la soglia della casualità e conferma, con grado elevato, che il bersaglio fu scelto per la sua funzione politica e che il momento fu scelto per il suo valore simbolico: un dato che nessuna lettura del caso può ignorare e che colloca l'atto, quale che ne fosse la regia, dentro una logica politica e non casuale.</w:t>
      </w:r>
    </w:p>
    <w:p>
      <w:pPr>
        <w:spacing w:after="120" w:line="276"/>
        <w:jc w:val="both"/>
      </w:pPr>
      <w:r>
        <w:rPr>
          <w:rFonts w:ascii="Barlow Semi Condensed" w:cs="Barlow Semi Condensed" w:eastAsia="Barlow Semi Condensed" w:hAnsi="Barlow Semi Condensed"/>
          <w:sz w:val="24"/>
          <w:szCs w:val="24"/>
        </w:rPr>
        <w:t xml:space="preserve">La dinamica materiale dell'agguato presenta caratteri che sono stati a lungo oggetto di analisi peritale, e che il metodo impone di riferire con la loro esatta gradazione. È accertato che il commando bloccò le due auto del corteo all'incrocio con via Stresa e che aprì un fuoco intenso e concentrato, che in pochi secondi annientò i cinque uomini della scorta. È stato oggetto di controversia il numero esatto degli sparatori e la ripartizione dei colpi, con perizie che nel tempo hanno offerto ricostruzioni parzialmente divergenti; è stata parimenti discussa la perizia balistica di alcuni degli esecutori, che una parte degli analisti ha letto come indizio di un addestramento superiore. Su questi punti la parte prima si astiene dal concludere: registra la dinamica generale come accertata, e le questioni del numero e della perizia come aperte, di grado probabile o ipotetico a seconda degli aspetti, senza che l'incertezza su questi contorni intacchi la certezza sulla matrice complessiva dell'operazione, che è e resta brigatista.</w:t>
      </w:r>
    </w:p>
    <w:p>
      <w:pPr>
        <w:spacing w:after="120" w:line="276"/>
        <w:jc w:val="both"/>
      </w:pPr>
      <w:r>
        <w:rPr>
          <w:rFonts w:ascii="Barlow Semi Condensed" w:cs="Barlow Semi Condensed" w:eastAsia="Barlow Semi Condensed" w:hAnsi="Barlow Semi Condensed"/>
          <w:sz w:val="24"/>
          <w:szCs w:val="24"/>
        </w:rPr>
        <w:t xml:space="preserve">La mattina del sedici marzo millenovecentosettantotto, mentre il quarto governo Andreotti stava per presentarsi alle Camere con il voto determinante e per la prima volta esplicito del Partito Comunista, l'auto che conduceva Aldo Moro dalla sua abitazione verso Montecitorio fu bloccata all'incrocio fra via Mario Fani e via Stresa, a Roma. In pochi secondi un commando delle Brigate Rosse aprì il fuoco, uccise i cinque uomini della scorta e sequestrò l'onorevole Moro, trascinandolo via su un'altra vettura. I cinque caduti hanno nome e vanno nominati, perché la memoria del caso comincia da loro: il maresciallo Oreste Leonardi, l'appuntato Domenico Ricci, la guardia di pubblica sicurezza Giulio Rivera, la guardia Francesco Zizzi, l'appuntato Raffaele Iozzino. La loro uccisione non fu un episodio marginale dell'operazione ma la sua condizione: per prendere Moro vivo occorreva annientare la scorta, e l'annientamento fu eseguito con una freddezza e una perizia balistica che divennero subito, e restano, oggetto di analisi.</w:t>
      </w:r>
    </w:p>
    <w:p>
      <w:pPr>
        <w:spacing w:after="120" w:line="276"/>
        <w:jc w:val="both"/>
      </w:pPr>
      <w:r>
        <w:rPr>
          <w:rFonts w:ascii="Barlow Semi Condensed" w:cs="Barlow Semi Condensed" w:eastAsia="Barlow Semi Condensed" w:hAnsi="Barlow Semi Condensed"/>
          <w:sz w:val="24"/>
          <w:szCs w:val="24"/>
        </w:rPr>
        <w:t xml:space="preserve">Su via Fani grava, in questa parte prima, la disciplina del Pollo di Popper, perché è proprio qui che la ricerca della verità si è più esposta al rischio delle tesi precostituite. Alcune circostanze sono di Livello A, accertate: la dinamica generale dell'agguato, l'identità di gran parte del commando, la matrice brigatista dell'operazione, riconosciuta e rivendicata. Altre circostanze sono state a lungo controverse e restano, per parte loro, di grado inferiore: il numero esatto dei componenti del commando, la presenza sulla scena di figure non riconducibili al nucleo brigatista noto, la perizia balistica di alcuni degli sparatori, l'ipotesi di una regia tecnica più esperta di quanto i militanti allora disponibili lasciassero supporre. Su ciascuna di queste circostanze la parte prima si astiene dal concludere e si limita a registrare il grado: ciò che è accertato come accertato, ciò che è probabile come probabile, ciò che è possibile come possibile, senza che l'incertezza dell'uno contamini la certezza dell'altro.</w:t>
      </w:r>
    </w:p>
    <w:p>
      <w:pPr>
        <w:pStyle w:val="Heading3"/>
        <w:spacing w:after="80" w:before="160"/>
      </w:pPr>
      <w:r>
        <w:rPr>
          <w:rFonts w:ascii="Barlow Semi Condensed" w:cs="Barlow Semi Condensed" w:eastAsia="Barlow Semi Condensed" w:hAnsi="Barlow Semi Condensed"/>
          <w:sz w:val="24"/>
          <w:szCs w:val="24"/>
        </w:rPr>
        <w:t xml:space="preserve">La prigionia: cinquantacinque giorni, la prigione, le lettere</w:t>
      </w:r>
    </w:p>
    <w:p>
      <w:pPr>
        <w:spacing w:after="120" w:line="276"/>
        <w:jc w:val="both"/>
      </w:pPr>
      <w:r>
        <w:rPr>
          <w:rFonts w:ascii="Barlow Semi Condensed" w:cs="Barlow Semi Condensed" w:eastAsia="Barlow Semi Condensed" w:hAnsi="Barlow Semi Condensed"/>
          <w:sz w:val="24"/>
          <w:szCs w:val="24"/>
        </w:rPr>
        <w:t xml:space="preserve">L'individuazione della prigione in via Montalcini, avvenuta a distanza di tempo attraverso le ricostruzioni dei collaboratori e le indagini, illumina un dato che merita riflessione: la prigionia si svolse non in un covo isolato ma in un appartamento inserito in un normale contesto abitativo, un condominio abitato da famiglie ignare. Questa scelta, che i brigatisti compirono per ragioni di sicurezza e di mimetismo, ebbe una conseguenza paradossale: rese la prigione al tempo stesso invisibile e vulnerabile, nascosta agli occhi di chi la cercava eppure esposta al rischio di un vicino attento, di un rumore sospetto, di una circostanza fortuita. Che un dispositivo di ricerca imponente, che mobilitò per settimane forze ingenti, non sia riuscito a individuare un appartamento nel cuore della città è una delle grandi anomalie del caso, e la parte seconda ne peserà il significato; qui basti registrarla come dato accertato e come interrogativo aperto.</w:t>
      </w:r>
    </w:p>
    <w:p>
      <w:pPr>
        <w:spacing w:after="120" w:line="276"/>
        <w:jc w:val="both"/>
      </w:pPr>
      <w:r>
        <w:rPr>
          <w:rFonts w:ascii="Barlow Semi Condensed" w:cs="Barlow Semi Condensed" w:eastAsia="Barlow Semi Condensed" w:hAnsi="Barlow Semi Condensed"/>
          <w:sz w:val="24"/>
          <w:szCs w:val="24"/>
        </w:rPr>
        <w:t xml:space="preserve">Il memoriale che Moro redasse durante la prigionia, in risposta agli interrogatori dei suoi carcerieri, ebbe una sorte a sua volta emblematica e va riferito con esattezza. Una parte di quegli scritti fu rinvenuta a distanza di anni in un covo brigatista milanese, e la loro riemersione tardiva, insieme al sospetto che non si trattasse dell'intero corpus, alimentò a lungo l'interrogativo su che fine avessero fatto le parti mancanti e su chi potesse averle trattenute. Su questo il metodo impone di distinguere: l'esistenza del memoriale e il rinvenimento parziale sono accertati; l'ipotesi che parti di esso siano state sottratte e trattenute da apparati resta, allo stato, un'ipotesi sorretta da indizi e non da prova. La vicenda del memoriale è dunque, insieme a via Fani e alla trattativa, uno dei nodi in cui il caso mostra la sua opacità, e uno di quelli su cui la parte seconda tornerà con lo strumento probabilistico.</w:t>
      </w:r>
    </w:p>
    <w:p>
      <w:pPr>
        <w:spacing w:after="120" w:line="276"/>
        <w:jc w:val="both"/>
      </w:pPr>
      <w:r>
        <w:rPr>
          <w:rFonts w:ascii="Barlow Semi Condensed" w:cs="Barlow Semi Condensed" w:eastAsia="Barlow Semi Condensed" w:hAnsi="Barlow Semi Condensed"/>
          <w:sz w:val="24"/>
          <w:szCs w:val="24"/>
        </w:rPr>
        <w:t xml:space="preserve">Dal sedici marzo al nove maggio, per cinquantacinque giorni, Aldo Moro fu tenuto prigioniero in un luogo che le indagini identificarono in un appartamento di via Montalcini, a Roma, una prigione del popolo allestita dalle Brigate Rosse in un contesto abitativo ordinario, un condominio come tanti, e questa ordinarietà è essa stessa un dato che pesa. Durante la prigionia Moro fu sottoposto a un processo, così i suoi carcerieri lo chiamarono, e scrisse: lettere ai familiari, agli uomini politici, alle istituzioni, un memoriale. Quelle lettere, che il corpus conserva per oltre ventitremila parole, sono un documento senza pari, e vanno lette su un doppio registro. Vi è il registro politico, in cui Moro argomenta con la lucidità del giurista la necessità di una trattativa, invoca il principio umanitario, ricorda i precedenti, mette in guardia il suo partito e lo Stato dalle conseguenze della fermezza. E vi è il registro familiare, privato, straziante nella sua compostezza, in cui l'uomo si accomiata dai suoi cari con la stessa misura con cui aveva vissuto.</w:t>
      </w:r>
    </w:p>
    <w:p>
      <w:pPr>
        <w:spacing w:after="120" w:line="276"/>
        <w:jc w:val="both"/>
      </w:pPr>
      <w:r>
        <w:rPr>
          <w:rFonts w:ascii="Barlow Semi Condensed" w:cs="Barlow Semi Condensed" w:eastAsia="Barlow Semi Condensed" w:hAnsi="Barlow Semi Condensed"/>
          <w:sz w:val="24"/>
          <w:szCs w:val="24"/>
        </w:rPr>
        <w:t xml:space="preserve">A lungo si discusse dell'autenticità di quelle lettere e della libertà con cui furono scritte, e alcuni vollero vedervi il segno di una personalità piegata o di una scrittura dettata. Su questo la parte prima registra il grado: la matrice moroteana della scrittura, il suo stile intatto e riconoscibile, è di Livello A; la questione se e quanto la condizione di cattività ne abbia condizionato il contenuto resta di Livello B, oggetto di valutazione e non di certezza. Ciò che è fuori discussione è che quelle lettere posero allo Stato una domanda tremenda, cui lo Stato rispose con la linea della fermezza, il rifiuto di trattare, e che quella risposta fu essa stessa una scelta politica gravida di conseguenze, non un atto dovuto. La distinzione fra ciò che era necessario e ciò che fu deciso è, anche qui, capitale.</w:t>
      </w:r>
    </w:p>
    <w:p>
      <w:pPr>
        <w:pStyle w:val="Heading3"/>
        <w:spacing w:after="80" w:before="160"/>
      </w:pPr>
      <w:r>
        <w:rPr>
          <w:rFonts w:ascii="Barlow Semi Condensed" w:cs="Barlow Semi Condensed" w:eastAsia="Barlow Semi Condensed" w:hAnsi="Barlow Semi Condensed"/>
          <w:sz w:val="24"/>
          <w:szCs w:val="24"/>
        </w:rPr>
        <w:t xml:space="preserve">La linea della fermezza e la linea della trattativa</w:t>
      </w:r>
    </w:p>
    <w:p>
      <w:pPr>
        <w:spacing w:after="120" w:line="276"/>
        <w:jc w:val="both"/>
      </w:pPr>
      <w:r>
        <w:rPr>
          <w:rFonts w:ascii="Barlow Semi Condensed" w:cs="Barlow Semi Condensed" w:eastAsia="Barlow Semi Condensed" w:hAnsi="Barlow Semi Condensed"/>
          <w:sz w:val="24"/>
          <w:szCs w:val="24"/>
        </w:rPr>
        <w:t xml:space="preserve">Di fronte al sequestro, lo schieramento politico si divise fra chi sosteneva la fermezza assoluta, il rifiuto di ogni trattativa con i sequestratori nel nome della ragion di Stato, e chi sosteneva la necessità di un negoziato, almeno umanitario, per salvare la vita dell'ostaggio. La linea della fermezza prevalse, sostenuta dai vertici della Democrazia Cristiana e del Partito Comunista e dalla maggior parte dello schieramento; la linea della trattativa ebbe voci minoritarie ma non irrilevanti, e conobbe tentativi carsici che le indagini hanno in parte ricostruito, alcuni passati per canali socialisti, altri per mediazioni diverse. Attorno alla trattativa si mossero figure di frontiera, uomini che stavano sul confine fra i mondi, e alcuni di quei movimenti restano fra i punti meno chiari dell'intera vicenda.</w:t>
      </w:r>
    </w:p>
    <w:p>
      <w:pPr>
        <w:spacing w:after="120" w:line="276"/>
        <w:jc w:val="both"/>
      </w:pPr>
      <w:r>
        <w:rPr>
          <w:rFonts w:ascii="Barlow Semi Condensed" w:cs="Barlow Semi Condensed" w:eastAsia="Barlow Semi Condensed" w:hAnsi="Barlow Semi Condensed"/>
          <w:sz w:val="24"/>
          <w:szCs w:val="24"/>
        </w:rPr>
        <w:t xml:space="preserve">La parte prima non giudica la scelta della fermezza, che appartiene alla coscienza storica del Paese e su cui il giudizio resta legittimamente diviso: si limita a registrarla come scelta, e a segnalare che la sua alternativa esisteva e fu consapevolmente scartata. Registra altresì, con la cautela dovuta, che la gestione della trattativa e delle sue possibili aperture fu attraversata da episodi opachi, e che alcuni di quegli episodi hanno la fisionomia non del caso ma dell'intervento: canali che si aprono e si chiudono, mediatori che avanzano e si ritraggono, segnali che arrivano e non vengono raccolti. Su questo terreno la parte seconda tornerà con altro metodo; qui basti aver fissato che la vicenda della trattativa è, insieme a via Fani, uno dei due grandi giacimenti di zone d'ombra del caso.</w:t>
      </w:r>
    </w:p>
    <w:p>
      <w:pPr>
        <w:pStyle w:val="Heading3"/>
        <w:spacing w:after="80" w:before="160"/>
      </w:pPr>
      <w:r>
        <w:rPr>
          <w:rFonts w:ascii="Barlow Semi Condensed" w:cs="Barlow Semi Condensed" w:eastAsia="Barlow Semi Condensed" w:hAnsi="Barlow Semi Condensed"/>
          <w:sz w:val="24"/>
          <w:szCs w:val="24"/>
        </w:rPr>
        <w:t xml:space="preserve">Le omissioni: ciò che non fu fatto e poteva essere fatto</w:t>
      </w:r>
    </w:p>
    <w:p>
      <w:pPr>
        <w:spacing w:after="120" w:line="276"/>
        <w:jc w:val="both"/>
      </w:pPr>
      <w:r>
        <w:rPr>
          <w:rFonts w:ascii="Barlow Semi Condensed" w:cs="Barlow Semi Condensed" w:eastAsia="Barlow Semi Condensed" w:hAnsi="Barlow Semi Condensed"/>
          <w:sz w:val="24"/>
          <w:szCs w:val="24"/>
        </w:rPr>
        <w:t xml:space="preserve">Il capitolo delle omissioni è, nel caso Moro, tanto vasto quanto documentato, e la sua trattazione obbedisce a un criterio: si registra ciò che risulta agli atti delle commissioni e delle sentenze, distinguendo l'omissione accertata dall'omissione ipotizzata. Vi fu, sul piano delle ricerche, una lunga serie di occasioni mancate: la prigione non fu individuata malgrado un dispositivo di ricerca imponente; segnalazioni che si rivelarono a posteriori pertinenti non furono adeguatamente valorizzate; il celebre episodio della seduta in cui il nome di un luogo affiorò e non fu inteso, o fu inteso troppo tardi, resta emblematico di un più generale rumore di fondo in cui i segnali utili si persero. Alcune di queste omissioni sono spiegabili con l'ordinaria inefficienza e con la confusione di una macchina statale sotto pressione; altre hanno una fisionomia meno innocente, e la loro accumulazione, più che ciascuna presa da sola, è ciò che interroga.</w:t>
      </w:r>
    </w:p>
    <w:p>
      <w:pPr>
        <w:spacing w:after="120" w:line="276"/>
        <w:jc w:val="both"/>
      </w:pPr>
      <w:r>
        <w:rPr>
          <w:rFonts w:ascii="Barlow Semi Condensed" w:cs="Barlow Semi Condensed" w:eastAsia="Barlow Semi Condensed" w:hAnsi="Barlow Semi Condensed"/>
          <w:sz w:val="24"/>
          <w:szCs w:val="24"/>
        </w:rPr>
        <w:t xml:space="preserve">Qui interviene con forza la Regola Ferrea, il divieto di inferire il mandato dall'occultamento. Che vi siano state omissioni, alcune gravi, è di Livello A. Che alcune omissioni abbiano una fisionomia non casuale è, per taluni episodi, di Livello B. Ma dal fatto che qualcuno abbia omesso, o addirittura depistato, non si inferisce in questa parte l'identità di un mandante né l'esistenza di un disegno: si registra l'omissione, si segnala la sua eventuale non casualità, e si arresta il ragionamento sulla soglia che separa il custode del segreto da chi il segreto avrebbe ordinato. Il salto oltre quella soglia, quando si tenterà, avverrà nella parte seconda e con lo strumento dichiarato della probabilità, non della deduzione indignata.</w:t>
      </w:r>
    </w:p>
    <w:p>
      <w:pPr>
        <w:pStyle w:val="Heading3"/>
        <w:spacing w:after="80" w:before="160"/>
      </w:pPr>
      <w:r>
        <w:rPr>
          <w:rFonts w:ascii="Barlow Semi Condensed" w:cs="Barlow Semi Condensed" w:eastAsia="Barlow Semi Condensed" w:hAnsi="Barlow Semi Condensed"/>
          <w:sz w:val="24"/>
          <w:szCs w:val="24"/>
        </w:rPr>
        <w:t xml:space="preserve">Le collusioni e gli insabbiamenti: la lunga coda della verità</w:t>
      </w:r>
    </w:p>
    <w:p>
      <w:pPr>
        <w:spacing w:after="120" w:line="276"/>
        <w:jc w:val="both"/>
      </w:pPr>
      <w:r>
        <w:rPr>
          <w:rFonts w:ascii="Barlow Semi Condensed" w:cs="Barlow Semi Condensed" w:eastAsia="Barlow Semi Condensed" w:hAnsi="Barlow Semi Condensed"/>
          <w:sz w:val="24"/>
          <w:szCs w:val="24"/>
        </w:rPr>
        <w:t xml:space="preserve">Se le omissioni riguardano il tempo del sequestro, le collusioni e gli insabbiamenti riguardano soprattutto il tempo successivo, la lunghissima stagione in cui l'accertamento della verità fu ostacolato, deviato, rallentato. Il corpus documenta una sequenza di depistaggi e di reticenze che le commissioni d'inchiesta, succedutesi nei decenni, hanno progressivamente portato alla luce: documenti scomparsi e riapparsi, testimonianze ritrattate, apparati che non collaborarono o collaborarono a metà, piste false coltivate e piste vere trascurate. Alcune di queste condotte sono state accertate e sanzionate in sede giudiziaria; altre sono rimaste sullo sfondo, deducibili ma non provate. La loro trattazione, in questa parte prima, segue il consueto criterio del grado, e riconosce senza reticenza che il caso Moro è, fra i grandi casi della Repubblica, uno di quelli in cui la distanza fra ciò che è accaduto e ciò che è stato accertato è più ampia e più a lungo mantenuta.</w:t>
      </w:r>
    </w:p>
    <w:p>
      <w:pPr>
        <w:spacing w:after="120" w:line="276"/>
        <w:jc w:val="both"/>
      </w:pPr>
      <w:r>
        <w:rPr>
          <w:rFonts w:ascii="Barlow Semi Condensed" w:cs="Barlow Semi Condensed" w:eastAsia="Barlow Semi Condensed" w:hAnsi="Barlow Semi Condensed"/>
          <w:sz w:val="24"/>
          <w:szCs w:val="24"/>
        </w:rPr>
        <w:t xml:space="preserve">Le commissioni parlamentari che si sono occupate del caso, da quella sul sequestro a quella sulle stragi e il terrorismo fino alla più recente commissione dedicata, hanno prodotto una mole imponente di atti, e le loro conclusioni non sono state sempre unanimi: su punti rilevanti convivono letture diverse, e questa non unanimità delle fonti parlamentari è essa stessa un dato che pesa sull'affidabilità di ciò che se ne trae. La parte prima ne tiene conto, e quando una circostanza poggia su una fonte parlamentare non unanime lo segnala, abbassando di conseguenza il grado. È l'ultima applicazione del Pollo di Popper prima del mutamento di metodo: anche la fonte più autorevole va interrogata sulla sua univocità, perché una verità sostenuta da una sola voce, per quanto istituzionale, non è ancora una verità accertata.</w:t>
      </w:r>
    </w:p>
    <w:p>
      <w:pPr>
        <w:pStyle w:val="Heading3"/>
        <w:spacing w:after="80" w:before="160"/>
      </w:pPr>
      <w:r>
        <w:rPr>
          <w:rFonts w:ascii="Barlow Semi Condensed" w:cs="Barlow Semi Condensed" w:eastAsia="Barlow Semi Condensed" w:hAnsi="Barlow Semi Condensed"/>
          <w:sz w:val="24"/>
          <w:szCs w:val="24"/>
        </w:rPr>
        <w:t xml:space="preserve">Il confine del metodo: dove il Pollo di Popper si arresta</w:t>
      </w:r>
    </w:p>
    <w:p>
      <w:pPr>
        <w:spacing w:after="120" w:line="276"/>
        <w:jc w:val="both"/>
      </w:pPr>
      <w:r>
        <w:rPr>
          <w:rFonts w:ascii="Barlow Semi Condensed" w:cs="Barlow Semi Condensed" w:eastAsia="Barlow Semi Condensed" w:hAnsi="Barlow Semi Condensed"/>
          <w:sz w:val="24"/>
          <w:szCs w:val="24"/>
        </w:rPr>
        <w:t xml:space="preserve">Con la trattazione delle omissioni, delle collusioni e degli insabbiamenti si chiude la sfera d'azione del Pollo di Popper. Fin qui si è proceduto per sospensione prudente, registrando i gradi, chiamando i vuoti vuoti, vietando i salti logici, interrogando le fonti sulla loro univocità. Fin qui si è ricostruito l'uomo e la meccanica del caso, si è descritto ciò che è accertato e si è segnalato ciò che è soltanto probabile o possibile, senza mai lasciare che il desiderio di una spiegazione unitaria piegasse i fatti. Questo era il compito della parte prima, ed è compiuto.</w:t>
      </w:r>
    </w:p>
    <w:p>
      <w:pPr>
        <w:spacing w:after="120" w:line="276"/>
        <w:jc w:val="both"/>
      </w:pPr>
      <w:r>
        <w:rPr>
          <w:rFonts w:ascii="Barlow Semi Condensed" w:cs="Barlow Semi Condensed" w:eastAsia="Barlow Semi Condensed" w:hAnsi="Barlow Semi Condensed"/>
          <w:sz w:val="24"/>
          <w:szCs w:val="24"/>
        </w:rPr>
        <w:t xml:space="preserve">Ma la ricostruzione dei fatti, per quanto rigorosa, non esaurisce la domanda che il caso Moro pone e che l'autore ha ordinato di affrontare: chi furono gli architetti del suo rapimento, chi i mandanti materiali, chi gli esecutori materiali. A questa domanda la sospensione prudente non può rispondere, perché essa non conclude mai, e concludere è qui necessario. Occorre dunque cambiare strumento, e passare da una logica che vieta ogni affermazione non certa a una logica che pesa le affermazioni secondo la loro probabilità e le ordina. È ciò che la parte seconda farà, congedando il Pollo di Popper per ordine esplicito dell'autore, e adottando in sua vece la bilancia dei dieci metodi. Il rigore non diminuisce: cambia forma. La falsificabilità cede il passo alla probabilità, la certezza sospesa al giudizio graduato. Si volta pagina, e il metodo con essa.</w:t>
      </w:r>
    </w:p>
    <w:p>
      <w:pPr>
        <w:pStyle w:val="Heading2"/>
        <w:spacing w:after="100" w:before="200"/>
      </w:pPr>
      <w:r>
        <w:rPr>
          <w:rFonts w:ascii="Barlow Semi Condensed" w:cs="Barlow Semi Condensed" w:eastAsia="Barlow Semi Condensed" w:hAnsi="Barlow Semi Condensed"/>
          <w:sz w:val="24"/>
          <w:szCs w:val="24"/>
        </w:rPr>
        <w:t xml:space="preserve">PARTE SECONDA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Gli architetti, i mandanti, gli esecutori — dove il Pollo di Popper è congedato</w:t>
      </w:r>
    </w:p>
    <w:p>
      <w:pPr>
        <w:pStyle w:val="Heading3"/>
        <w:spacing w:after="80" w:before="160"/>
      </w:pPr>
      <w:r>
        <w:rPr>
          <w:rFonts w:ascii="Barlow Semi Condensed" w:cs="Barlow Semi Condensed" w:eastAsia="Barlow Semi Condensed" w:hAnsi="Barlow Semi Condensed"/>
          <w:sz w:val="24"/>
          <w:szCs w:val="24"/>
        </w:rPr>
        <w:t xml:space="preserve">Il mutamento di metodo: dalla sospensione alla probabilità</w:t>
      </w:r>
    </w:p>
    <w:p>
      <w:pPr>
        <w:spacing w:after="120" w:line="276"/>
        <w:jc w:val="both"/>
      </w:pPr>
      <w:r>
        <w:rPr>
          <w:rFonts w:ascii="Barlow Semi Condensed" w:cs="Barlow Semi Condensed" w:eastAsia="Barlow Semi Condensed" w:hAnsi="Barlow Semi Condensed"/>
          <w:sz w:val="24"/>
          <w:szCs w:val="24"/>
        </w:rPr>
        <w:t xml:space="preserve">Da questa pagina in avanti, per ordine esplicito e sotto la responsabilità dichiarata dell'autore, il Pollo di Popper è congedato. Non si tratta di un abbandono del rigore, ma di un mutamento del suo strumento. La prudenza sospensiva che ha governato la parte prima aveva un compito, ricostruire i fatti senza piegarli, e quel compito è esaurito; ora ne subentra un altro, rispondere alla domanda su chi concepì, chi ordinò e chi eseguì, e a questa domanda la sospensione non sa rispondere perché per sua natura non conclude. Dove occorre concludere, e concludere è qui il comando ricevuto, si passa da una logica binaria, che ammette solo il certo e il non certo, a una logica graduata, che pesa ogni ipotesi secondo la sua probabilità e la colloca su una scala. Muta anche il tono, che si fa più disteso e narrativo, più vicino a quello dell'uomo di cui si scrive, e non teme di lasciare al lettore quel margine di enigma che ogni ricerca onesta, giunta al suo limite, deve confessare.</w:t>
      </w:r>
    </w:p>
    <w:p>
      <w:pPr>
        <w:spacing w:after="120" w:line="276"/>
        <w:jc w:val="both"/>
      </w:pPr>
      <w:r>
        <w:rPr>
          <w:rFonts w:ascii="Barlow Semi Condensed" w:cs="Barlow Semi Condensed" w:eastAsia="Barlow Semi Condensed" w:hAnsi="Barlow Semi Condensed"/>
          <w:sz w:val="24"/>
          <w:szCs w:val="24"/>
        </w:rPr>
        <w:t xml:space="preserve">Restano fermi, e anzi si fanno più stringenti, i princìpi di garanzia. Nessuna persona vivente è qui indicata come colpevole di alcunché: si parla di probabilità di coinvolgimento, non di responsabilità accertate, e si distingue sempre con nettezza chi è stato condannato in via definitiva da chi è stato soltanto indagato, sospettato o ipotizzato. La Regola Ferrea sopravvive al mutamento di metodo: anche pesando le probabilità, non si inferisce mai il mandato dal solo occultamento, e ogni attribuzione poggia su evidenze e non su suggestioni. Il tono resta garantista e mai giustizialista, rispettoso della dignità di ognuno, memore che questa è un'opera di ricostruzione storica e probabilistica, non un atto d'accusa, e che nominare, in essa, significa collocare su una scala di plausibilità, non pronunciare una condanna.</w:t>
      </w:r>
    </w:p>
    <w:p>
      <w:pPr>
        <w:pStyle w:val="Heading3"/>
        <w:spacing w:after="80" w:before="160"/>
      </w:pPr>
      <w:r>
        <w:rPr>
          <w:rFonts w:ascii="Barlow Semi Condensed" w:cs="Barlow Semi Condensed" w:eastAsia="Barlow Semi Condensed" w:hAnsi="Barlow Semi Condensed"/>
          <w:sz w:val="24"/>
          <w:szCs w:val="24"/>
        </w:rPr>
        <w:t xml:space="preserve">I dieci strumenti di calcolo e il loro concorso</w:t>
      </w:r>
    </w:p>
    <w:p>
      <w:pPr>
        <w:spacing w:after="120" w:line="276"/>
        <w:jc w:val="both"/>
      </w:pPr>
      <w:r>
        <w:rPr>
          <w:rFonts w:ascii="Barlow Semi Condensed" w:cs="Barlow Semi Condensed" w:eastAsia="Barlow Semi Condensed" w:hAnsi="Barlow Semi Condensed"/>
          <w:sz w:val="24"/>
          <w:szCs w:val="24"/>
        </w:rPr>
        <w:t xml:space="preserve">Vale la pena illustrare come questi dieci strumenti si applichino in concreto a un singolo interrogativo, per mostrarne il funzionamento congiunto. Si prenda la domanda sull'esito della prigionia: perché la vicenda si chiuse con la morte anziché con la liberazione. Il metodo Savona pesa le fonti che documentano la decisione brigatista di uccidere, e le trova solide, di grado accertato. L'analisi delle ipotesi concorrenti formula le spiegazioni alternative — la coerenza strategica interna dei brigatisti, il fallimento delle trattative, un condizionamento esterno — e le seleziona per resistenza alla smentita. L'inferenza bayesiana parte dalla probabilità che i brigatisti, avendo sequestrato, fossero disposti a uccidere, e la aggiorna con ogni evidenza sul loro dibattito interno. L'analisi di rete osserva se attorno alla decisione finale compaiano nodi-ponte esterni al nucleo. La teoria dei giochi chiede a chi giovasse l'esito mortale e quale equilibrio di incentivi lo governasse.</w:t>
      </w:r>
    </w:p>
    <w:p>
      <w:pPr>
        <w:spacing w:after="120" w:line="276"/>
        <w:jc w:val="both"/>
      </w:pPr>
      <w:r>
        <w:rPr>
          <w:rFonts w:ascii="Barlow Semi Condensed" w:cs="Barlow Semi Condensed" w:eastAsia="Barlow Semi Condensed" w:hAnsi="Barlow Semi Condensed"/>
          <w:sz w:val="24"/>
          <w:szCs w:val="24"/>
        </w:rPr>
        <w:t xml:space="preserve">Proseguendo sullo stesso interrogativo, il ragionamento controfattuale chiede che cosa sarebbe accaduto se le trattative fossero state condotte diversamente, e misura così quanto l'esito fosse necessitato e quanto contingente. L'analisi temporale osserva la sequenza dei segnali nelle ultime settimane e ne pesa le sovrapposizioni. La valutazione dell'affidabilità delle fonti sconta le testimonianze secondo la loro provenienza e il loro interesse, evitando di contare più volte ciò che discende da un'unica radice. L'analisi del movente e della capacità incrocia, per ciascun attore ipotizzabile, l'interesse all'esito mortale e la capacità di determinarlo. Il principio di convergenza, infine, osserva se questi strumenti indipendenti puntino nella stessa direzione. È dal loro accordo o disaccordo che nasce il giudizio: concordi, come si vedrà, nell'attribuire la decisione al vertice brigatista; divergenti sul peso dei condizionamenti esterni, e perciò prudenti nel collocarli al livello dell'ipotesi e non della prova.</w:t>
      </w:r>
    </w:p>
    <w:p>
      <w:pPr>
        <w:spacing w:after="120" w:line="276"/>
        <w:jc w:val="both"/>
      </w:pPr>
      <w:r>
        <w:rPr>
          <w:rFonts w:ascii="Barlow Semi Condensed" w:cs="Barlow Semi Condensed" w:eastAsia="Barlow Semi Condensed" w:hAnsi="Barlow Semi Condensed"/>
          <w:sz w:val="24"/>
          <w:szCs w:val="24"/>
        </w:rPr>
        <w:t xml:space="preserve">Il giudizio di probabilità che governa questa parte seconda non nasce da un solo metodo ma dal concorso di dieci, ciascuno dei quali illumina un aspetto diverso del problema, e il cui peso relativo sarà, in chiusura, dichiarato in percentuale. Il primo e principale è il metodo Savona della triangolazione delle fonti, per cui una connessione vale in proporzione al numero e all'indipendenza delle fonti che la sostengono, secondo i tre livelli già esposti: è il metodo che dà l'ossatura probatoria e a cui spetta il peso maggiore.</w:t>
      </w:r>
    </w:p>
    <w:p>
      <w:pPr>
        <w:spacing w:after="120" w:line="276"/>
        <w:jc w:val="both"/>
      </w:pPr>
      <w:r>
        <w:rPr>
          <w:rFonts w:ascii="Barlow Semi Condensed" w:cs="Barlow Semi Condensed" w:eastAsia="Barlow Semi Condensed" w:hAnsi="Barlow Semi Condensed"/>
          <w:sz w:val="24"/>
          <w:szCs w:val="24"/>
        </w:rPr>
        <w:t xml:space="preserve">Al metodo Savona si affiancano nove strumenti di calcolo e di ragionamento probabilistico fra i più consolidati. Vi è l'analisi delle ipotesi concorrenti, che per ogni interrogativo formula più spiegazioni alternative e le seleziona non per la conferma che ricevono ma per la loro resistenza alla smentita, premiando quella meno contraddetta dalle evidenze. Vi è l'inferenza bayesiana, che parte da una probabilità iniziale e la aggiorna a ogni nuova evidenza, così che il giudizio finale è il risultato di un affinamento progressivo e non di un'intuizione. Vi è l'analisi di rete, la sinaptogenesi già descritta, che pesa la centralità dei nodi, l'esistenza dei ponti fra i mondi, la formazione dei grappoli. Vi è la teoria bailamme dei giochi, che legge le mosse degli attori come scelte razionali entro una struttura di incentivi, chiedendosi a chi giovasse ciascuna mossa e quale equilibrio la governasse.</w:t>
      </w:r>
    </w:p>
    <w:p>
      <w:pPr>
        <w:spacing w:after="120" w:line="276"/>
        <w:jc w:val="both"/>
      </w:pPr>
      <w:r>
        <w:rPr>
          <w:rFonts w:ascii="Barlow Semi Condensed" w:cs="Barlow Semi Condensed" w:eastAsia="Barlow Semi Condensed" w:hAnsi="Barlow Semi Condensed"/>
          <w:sz w:val="24"/>
          <w:szCs w:val="24"/>
        </w:rPr>
        <w:t xml:space="preserve">Vi è, quinto fra i nove, il ragionamento controfattuale, che valuta il peso di un fattore chiedendosi che cosa sarebbe accaduto in sua assenza, e misura così la sua reale efficacia causale. Vi è l'analisi temporale delle coincidenze, che pesa la significatività statistica delle sovrapposizioni di tempo, distinguendo la coincidenza casuale da quella che eccede la soglia del caso. Vi è la valutazione dell'affidabilità e della genealogia delle fonti, che pondera ciascuna testimonianza secondo la sua provenienza, il suo interesse, la sua contaminazione, evitando di contare più volte ciò che discende da un'unica radice. Vi è l'analisi del movente e della capacità, che incrocia per ciascun attore la presenza di un interesse e la disponibilità dei mezzi, poiché il coinvolgimento richiede l'uno e l'altra. E vi è, decimo, il principio di convergenza, la consilienza, che pesa il grado in cui strumenti indipendenti e fonti eterogenee puntano nella stessa direzione, poiché l'accordo di prove indipendenti innalza la probabilità assai più della somma delle singole.</w:t>
      </w:r>
    </w:p>
    <w:p>
      <w:pPr>
        <w:spacing w:after="120" w:line="276"/>
        <w:jc w:val="both"/>
      </w:pPr>
      <w:r>
        <w:rPr>
          <w:rFonts w:ascii="Barlow Semi Condensed" w:cs="Barlow Semi Condensed" w:eastAsia="Barlow Semi Condensed" w:hAnsi="Barlow Semi Condensed"/>
          <w:sz w:val="24"/>
          <w:szCs w:val="24"/>
        </w:rPr>
        <w:t xml:space="preserve">Questi dieci strumenti non operano in isolamento ma in concorso, e il giudizio finale su ciascun nodo è il loro composto. In chiusura d'opera se ne dichiarerà il peso relativo in percentuale, così che il lettore possa vedere non solo la conclusione ma la ricetta che l'ha prodotta. Qui basti aver posto che, congedato il Pollo di Popper, non subentra l'arbitrio ma un apparato di calcolo dichiarato, e che la probabilità di cui si parlerà è misurata, non impressionistica.</w:t>
      </w:r>
    </w:p>
    <w:p>
      <w:pPr>
        <w:pStyle w:val="Heading3"/>
        <w:spacing w:after="80" w:before="160"/>
      </w:pPr>
      <w:r>
        <w:rPr>
          <w:rFonts w:ascii="Barlow Semi Condensed" w:cs="Barlow Semi Condensed" w:eastAsia="Barlow Semi Condensed" w:hAnsi="Barlow Semi Condensed"/>
          <w:sz w:val="24"/>
          <w:szCs w:val="24"/>
        </w:rPr>
        <w:t xml:space="preserve">Un avvertimento sul tono e un debito dichiarato</w:t>
      </w:r>
    </w:p>
    <w:p>
      <w:pPr>
        <w:spacing w:after="120" w:line="276"/>
        <w:jc w:val="both"/>
      </w:pPr>
      <w:r>
        <w:rPr>
          <w:rFonts w:ascii="Barlow Semi Condensed" w:cs="Barlow Semi Condensed" w:eastAsia="Barlow Semi Condensed" w:hAnsi="Barlow Semi Condensed"/>
          <w:sz w:val="24"/>
          <w:szCs w:val="24"/>
        </w:rPr>
        <w:t xml:space="preserve">La materia che segue ha, per sua natura, qualcosa dell'enigma, e sarebbe ipocrita fingere il contrario. Vi sono, nel caso Moro, una scena chiusa e un tempo contato, una vittima e una domanda, apparati che sanno e non dicono, indizi che affiorano e si ritraggono: gli ingredienti, si direbbe, del più classico dei racconti d'indagine. L'autore ha chiesto che questa parte conservi un tocco di quel mistero, quello dei grandi costruttori di enigmi, da chi fece del ragionamento deduttivo una forma d'arte a chi seppe chiudere in una stanza un delitto e la sua soluzione. Si accoglie l'invito con misura: il tocco di giallo sarà nel ritmo e nell'attenzione al dettaglio rivelatore, mai nel compiacimento, e non scivolerà in nulla di truce, perché il rispetto per la vittima e per la verità lo vieta.</w:t>
      </w:r>
    </w:p>
    <w:p>
      <w:pPr>
        <w:spacing w:after="120" w:line="276"/>
        <w:jc w:val="both"/>
      </w:pPr>
      <w:r>
        <w:rPr>
          <w:rFonts w:ascii="Barlow Semi Condensed" w:cs="Barlow Semi Condensed" w:eastAsia="Barlow Semi Condensed" w:hAnsi="Barlow Semi Condensed"/>
          <w:sz w:val="24"/>
          <w:szCs w:val="24"/>
        </w:rPr>
        <w:t xml:space="preserve">Ma vi è una differenza che non va mai dimenticata e che qui si dichiara: nel racconto d'indagine la soluzione esiste, certa, attesa dietro l'ultima pagina, e all'investigatore basta trovarla. Nella realtà del caso Moro la soluzione, in molti dei suoi punti, non è data, e ciò che si può offrire non è la verità con la maiuscola ma la sua migliore approssimazione probabilistica, il giudizio più plausibile che le evidenze consentono, sempre rivedibile e sempre aperto. È questa la ragione ultima per cui il Pollo di Popper, pur congedato come strumento di sospensione, sopravvive come coscienza: perché anche il giudizio di probabilità più fondato resta, in linea di principio, falsificabile, e chi lo pronuncia deve saperlo. Con questa consapevolezza, e con questo debito verso i maestri dell'enigma onestamente confessato, si entra nel merito.</w:t>
      </w:r>
    </w:p>
    <w:p>
      <w:pPr>
        <w:pStyle w:val="Heading3"/>
        <w:spacing w:after="80" w:before="160"/>
      </w:pPr>
      <w:r>
        <w:rPr>
          <w:rFonts w:ascii="Barlow Semi Condensed" w:cs="Barlow Semi Condensed" w:eastAsia="Barlow Semi Condensed" w:hAnsi="Barlow Semi Condensed"/>
          <w:sz w:val="24"/>
          <w:szCs w:val="24"/>
        </w:rPr>
        <w:t xml:space="preserve">Gli architetti del rapimento: chi concepì il disegno</w:t>
      </w:r>
    </w:p>
    <w:p>
      <w:pPr>
        <w:spacing w:after="120" w:line="276"/>
        <w:jc w:val="both"/>
      </w:pPr>
      <w:r>
        <w:rPr>
          <w:rFonts w:ascii="Barlow Semi Condensed" w:cs="Barlow Semi Condensed" w:eastAsia="Barlow Semi Condensed" w:hAnsi="Barlow Semi Condensed"/>
          <w:sz w:val="24"/>
          <w:szCs w:val="24"/>
        </w:rPr>
        <w:t xml:space="preserve">La capacità progettuale autonoma delle Brigate Rosse in quella fase merita di essere sottolineata contro una diffusa sottovalutazione, perché è proprio la sua rimozione a spalancare la porta alle ricostruzioni dietrologiche. Nel millenovecentosettantotto le Brigate Rosse erano un'organizzazione matura, strutturata in colonne territoriali, dotata di una direzione strategica, di un'esperienza pluriennale di azioni armate crescenti per audacia, di una capacità logistica collaudata. Il sequestro di un uomo di Stato non era, per esse, un salto nel buio ma il coronamento di una traiettoria: la strategia dell'attacco al cuore dello Stato era stata teorizzata e praticata per anni, e il bersaglio Moro ne era lo sbocco coerente. Attribuire ad altri l'ideazione di ciò che i brigatisti avevano nella propria logica strategica significherebbe non solo mancare di prove, ma contraddire la ricostruzione documentata della loro maturazione organizzativa. Il metodo, perciò, colloca al vertice degli architetti il nucleo strategico brigatista con grado di certezza, e su questa base costruisce, senza dissolverla.</w:t>
      </w:r>
    </w:p>
    <w:p>
      <w:pPr>
        <w:spacing w:after="120" w:line="276"/>
        <w:jc w:val="both"/>
      </w:pPr>
      <w:r>
        <w:rPr>
          <w:rFonts w:ascii="Barlow Semi Condensed" w:cs="Barlow Semi Condensed" w:eastAsia="Barlow Semi Condensed" w:hAnsi="Barlow Semi Condensed"/>
          <w:sz w:val="24"/>
          <w:szCs w:val="24"/>
        </w:rPr>
        <w:t xml:space="preserve">Le anomalie che alimentano l'ipotesi di un'architettura di secondo livello vanno tuttavia riferite con precisione, perché è dalla loro esatta pesatura che dipende la solidità del giudizio. Vi è l'anomalia della perizia esecutiva di via Fani, già richiamata. Vi è l'anomalia della tenuta della prigione, che resse per cinquantacinque giorni a un dispositivo di ricerca imponente. Vi è l'anomalia della gestione delle trattative, attraversata da canali che si aprivano e si chiudevano con una tempistica che parve a molti non casuale. Vi è l'anomalia della sorte del memoriale, riemerso parziale e tardivo. E vi è, sullo sfondo, la lunga catena dei depistaggi successivi, che ostacolò per decenni l'accertamento. Ciascuna di queste anomalie, presa da sola, ammette una spiegazione ordinaria; ma il metodo della convergenza osserva che il loro concorso innalza la probabilità di un fattore esterno, non ideatore ma orientatore. È un'inferenza di grado, non di certezza, e va tenuta al suo livello: significativa quanto basta per non essere ignorata, insufficiente quanto basta per non diventare accusa.</w:t>
      </w:r>
    </w:p>
    <w:p>
      <w:pPr>
        <w:spacing w:after="120" w:line="276"/>
        <w:jc w:val="both"/>
      </w:pPr>
      <w:r>
        <w:rPr>
          <w:rFonts w:ascii="Barlow Semi Condensed" w:cs="Barlow Semi Condensed" w:eastAsia="Barlow Semi Condensed" w:hAnsi="Barlow Semi Condensed"/>
          <w:sz w:val="24"/>
          <w:szCs w:val="24"/>
        </w:rPr>
        <w:t xml:space="preserve">Vi è, nel sequestro di Aldo Moro, una distinzione che il metodo probabilistico impone di tenere ferma sin dal principio, ed è quella fra chi concepì il disegno, chi lo ordinò e chi lo eseguì. Gli architetti sono coloro nella cui mente il progetto prese forma, coloro che ne definirono l'obiettivo strategico e ne colsero la funzione politica; e la domanda su chi essi furono è la più ardua di tutte, perché l'architettura di un simile atto non lascia, per definizione, la traccia documentale che l'esecuzione lascia. Qui il metodo Savona offre meno appigli che altrove, e il peso si sposta sull'analisi del movente e della capacità, sulla teoria dei giochi, sul ragionamento controfattuale, sull'analisi di rete: sugli strumenti, cioè, che ragionano non sulla prova diretta ma sulla plausibilità strutturale.</w:t>
      </w:r>
    </w:p>
    <w:p>
      <w:pPr>
        <w:spacing w:after="120" w:line="276"/>
        <w:jc w:val="both"/>
      </w:pPr>
      <w:r>
        <w:rPr>
          <w:rFonts w:ascii="Barlow Semi Condensed" w:cs="Barlow Semi Condensed" w:eastAsia="Barlow Semi Condensed" w:hAnsi="Barlow Semi Condensed"/>
          <w:sz w:val="24"/>
          <w:szCs w:val="24"/>
        </w:rPr>
        <w:t xml:space="preserve">Sul piano accertato, di Livello A, l'ideazione e l'esecuzione del sequestro appartengono alle Brigate Rosse, e in particolare al loro nucleo dirigente romano: questo è il dato giudiziario definitivo, ribadito da sentenze passate in giudicato e da un'ampia messe di riscontri, ed è da questo che ogni ragionamento deve muovere, guardandosi dalla tentazione di dissolverlo in una regia esterna che ne cancelli la responsabilità propria. Le Brigate Rosse concepirono il sequestro come l'atto culminante della loro strategia di attacco al cuore dello Stato, individuarono in Moro il bersaglio per la sua funzione di tessitore del compromesso storico, e lo colpirono nel giorno simbolico in cui quel compromesso si perfezionava. Di questo furono, nel senso proprio, gli architetti, e la loro autonoma capacità progettuale non va sottovalutata per il gusto di cercare altrove.</w:t>
      </w:r>
    </w:p>
    <w:p>
      <w:pPr>
        <w:spacing w:after="120" w:line="276"/>
        <w:jc w:val="both"/>
      </w:pPr>
      <w:r>
        <w:rPr>
          <w:rFonts w:ascii="Barlow Semi Condensed" w:cs="Barlow Semi Condensed" w:eastAsia="Barlow Semi Condensed" w:hAnsi="Barlow Semi Condensed"/>
          <w:sz w:val="24"/>
          <w:szCs w:val="24"/>
        </w:rPr>
        <w:t xml:space="preserve">E tuttavia il metodo probabilistico, che non si accontenta del piano accertato ma pesa anche il probabile e il possibile, registra attorno a questa architettura brigatista una serie di anomalie che alimentano, a gradi diversi di plausibilità, l'ipotesi di un'architettura di secondo livello, di una vigilanza o di un condizionamento esterni che non tolgono ai brigatisti l'ideazione ma la accompagnano. La perizia di via Fani, la scelta del momento, la tenuta della prigione a fronte di un dispositivo imponente, la gestione delle occasioni di trattativa, la sorte del memoriale: sono altrettanti elementi che, presi da soli, ammettono spiegazioni ordinarie, ma che nel loro concorso spingono verso l'alto la probabilità di un interesse esterno che, senza ideare il sequestro, ne assecondò o ne orientò gli esiti. Questa ipotesi, che si colloca fra il Livello B e il Livello C a seconda degli aspetti, è quella di una convergenza fra l'autonoma iniziativa brigatista e un'attenzione esterna che vi trovò, per ragioni proprie, una convenienza.</w:t>
      </w:r>
    </w:p>
    <w:p>
      <w:pPr>
        <w:spacing w:after="120" w:line="276"/>
        <w:jc w:val="both"/>
      </w:pPr>
      <w:r>
        <w:rPr>
          <w:rFonts w:ascii="Barlow Semi Condensed" w:cs="Barlow Semi Condensed" w:eastAsia="Barlow Semi Condensed" w:hAnsi="Barlow Semi Condensed"/>
          <w:sz w:val="24"/>
          <w:szCs w:val="24"/>
        </w:rPr>
        <w:t xml:space="preserve">Chi fossero i portatori di quell'interesse esterno è la questione su cui la probabilità si fa più tenue e la cautela più necessaria. Lo sfondo internazionale, descritto nella parte prima, offre il movente: più attori, per ragioni opposte, avevano interesse a che la manovra di Moro fallisse, e il fallimento più radicale era la sua eliminazione. La rete del terrorismo internazionale, con i suoi punti di compensazione e la sua vigilanza di più servizi, offre il canale attraverso cui un simile interesse avrebbe potuto tradursi in influenza. Ma tradurre questo movente e questo canale in un'architettura concertata, in un centro unico che avrebbe pensato il sequestro e commissionato alle Brigate Rosse la sua esecuzione, è passo che le evidenze non consentono: la sua forma forte, quella del grande burattinaio, resta la meno probabile, perché nessuna prova la sostiene e la struttura stessa del terrorismo di quegli anni, policentrica e frammentata, la rende improbabile. Ciò che resta, come giudizio più plausibile, è l'architettura brigatista come dato certo, accompagnata da una probabilità significativa, ma non da una certezza, di condizionamenti esterni convergenti e non concertati.</w:t>
      </w:r>
    </w:p>
    <w:p>
      <w:pPr>
        <w:pStyle w:val="Heading3"/>
        <w:spacing w:after="80" w:before="160"/>
      </w:pPr>
      <w:r>
        <w:rPr>
          <w:rFonts w:ascii="Barlow Semi Condensed" w:cs="Barlow Semi Condensed" w:eastAsia="Barlow Semi Condensed" w:hAnsi="Barlow Semi Condensed"/>
          <w:sz w:val="24"/>
          <w:szCs w:val="24"/>
        </w:rPr>
        <w:t xml:space="preserve">I mandanti materiali: chi diede l'ordine e ne governò l'esecuzione</w:t>
      </w:r>
    </w:p>
    <w:p>
      <w:pPr>
        <w:spacing w:after="120" w:line="276"/>
        <w:jc w:val="both"/>
      </w:pPr>
      <w:r>
        <w:rPr>
          <w:rFonts w:ascii="Barlow Semi Condensed" w:cs="Barlow Semi Condensed" w:eastAsia="Barlow Semi Condensed" w:hAnsi="Barlow Semi Condensed"/>
          <w:sz w:val="24"/>
          <w:szCs w:val="24"/>
        </w:rPr>
        <w:t xml:space="preserve">La ricostruzione della catena di comando brigatista, operata dalle sentenze, consente di attribuire la decisione del sequestro e la conduzione della prigionia a un vertice ristretto e identificato, e questa attribuzione è la base accertata su cui il metodo lavora. Il comitato esecutivo delle Brigate Rosse e la direzione della colonna romana ebbero il potere di decidere l'operazione, di dirigerla nei suoi snodi, di stabilirne l'epilogo; e i loro componenti principali sono stati giudicati e condannati in via definitiva per queste responsabilità. Il metodo Savona trova qui il suo terreno più solido, perché la convergenza di sentenze, testimonianze e riscontri documentali colloca l'attribuzione al livello della certezza. Su questo il giudizio probabilistico non introduce dubbio: recepisce l'accertamento giudiziario e lo pone a fondamento,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La questione dei condizionamenti esterni sull'esito si concentra, come si è detto, sul finale della vicenda, ed è qui che la teoria dei giochi e il ragionamento controfattuale offrono il loro contributo più delicato. Ci si chiede a chi giovasse l'esito mortale, e la risposta è che esso giovava a chi aveva interesse al fallimento definitivo della manovra di Moro: un interesse distribuito fra più attori, interni ed esterni, per ragioni fra loro diverse e non necessariamente concertate. Ci si chiede poi che cosa sarebbe accaduto se le trattative fossero state condotte diversamente, e il controfattuale suggerisce che un esito diverso non fosse impossibile, il che colloca la morte non come sbocco necessitato ma come uno fra gli esiti possibili, quello verso cui più fattori conversero. Da questo incrocio emerge, a livello di probabilità e non di prova, l'ipotesi di una convergenza di interessi sull'esito; ma la Regola Ferrea vieta di tradurla nell'indicazione di un mandante esterno determinato, e il metodo la tiene ferma al livello dell'ipotesi, sorretta dalla struttura degli incentivi e non da un documento.</w:t>
      </w:r>
    </w:p>
    <w:p>
      <w:pPr>
        <w:spacing w:after="120" w:line="276"/>
        <w:jc w:val="both"/>
      </w:pPr>
      <w:r>
        <w:rPr>
          <w:rFonts w:ascii="Barlow Semi Condensed" w:cs="Barlow Semi Condensed" w:eastAsia="Barlow Semi Condensed" w:hAnsi="Barlow Semi Condensed"/>
          <w:sz w:val="24"/>
          <w:szCs w:val="24"/>
        </w:rPr>
        <w:t xml:space="preserve">Il mandante materiale, nella struttura del ragionamento, è cosa distinta dall'architetto: non chi concepì il disegno in astratto, ma chi diede l'ordine concreto e ne governò l'esecuzione, chi ebbe il potere di decidere il sequestro, di condurlo, di deciderne infine l'esito mortale. Qui il piano accertato è più solido che per gli architetti, perché la catena di comando delle Brigate Rosse è stata ricostruita dalle sentenze con notevole precisione, ed è a essa che il metodo Savona àncora il giudizio di massima probabilità.</w:t>
      </w:r>
    </w:p>
    <w:p>
      <w:pPr>
        <w:spacing w:after="120" w:line="276"/>
        <w:jc w:val="both"/>
      </w:pPr>
      <w:r>
        <w:rPr>
          <w:rFonts w:ascii="Barlow Semi Condensed" w:cs="Barlow Semi Condensed" w:eastAsia="Barlow Semi Condensed" w:hAnsi="Barlow Semi Condensed"/>
          <w:sz w:val="24"/>
          <w:szCs w:val="24"/>
        </w:rPr>
        <w:t xml:space="preserve">Sul piano definitivo, di Livello A, i mandanti materiali del sequestro e dell'uccisione di Aldo Moro furono i componenti del comitato esecutivo delle Brigate Rosse e i responsabili della colonna romana, che decisero l'operazione, la diressero e ne stabilirono l'epilogo. La responsabilità della decisione, della conduzione della prigionia e dell'ordine di uccidere appartiene a questo nucleo, e questo è il fatto giudiziario intorno a cui non vi è, allo stato, ragionevole margine di dubbio. Il metodo probabilistico non lo indebolisce ma lo assume come base, e su di esso costruisce, riconoscendo che la responsabilità materiale dell'ordine sta qui, in un vertice terroristico che agì per una propria strategia e che di quella strategia portò la responsabilità piena.</w:t>
      </w:r>
    </w:p>
    <w:p>
      <w:pPr>
        <w:spacing w:after="120" w:line="276"/>
        <w:jc w:val="both"/>
      </w:pPr>
      <w:r>
        <w:rPr>
          <w:rFonts w:ascii="Barlow Semi Condensed" w:cs="Barlow Semi Condensed" w:eastAsia="Barlow Semi Condensed" w:hAnsi="Barlow Semi Condensed"/>
          <w:sz w:val="24"/>
          <w:szCs w:val="24"/>
        </w:rPr>
        <w:t xml:space="preserve">Attorno a questa certezza il metodo probabilistico pesa nuovamente le anomalie, e si chiede se accanto ai mandanti materiali accertati abbiano operato mandanti di secondo livello, soggetti esterni che non impartirono l'ordine ma lo condizionarono nei suoi snodi decisivi, e in particolare in quello supremo dell'esito. La questione si concentra sul finale, sul perché la prigionia si chiuse con la morte anziché con la liberazione, e sul ruolo che in quella chiusura ebbero i segnali provenienti dall'esterno, l'irrigidimento delle posizioni, il fallimento o il sabotaggio delle trattative. Qui il ragionamento controfattuale e la teoria dei giochi lavorano a pieno: ci si chiede a chi giovasse ciascun esito e che cosa sarebbe accaduto se le trattative fossero state condotte diversamente, e da questo incrocio emerge, a livello di probabilità e non di prova, l'ipotesi che l'esito mortale sia stato non l'unico possibile ma quello verso cui più fattori, interni ed esterni, conversero.</w:t>
      </w:r>
    </w:p>
    <w:p>
      <w:pPr>
        <w:spacing w:after="120" w:line="276"/>
        <w:jc w:val="both"/>
      </w:pPr>
      <w:r>
        <w:rPr>
          <w:rFonts w:ascii="Barlow Semi Condensed" w:cs="Barlow Semi Condensed" w:eastAsia="Barlow Semi Condensed" w:hAnsi="Barlow Semi Condensed"/>
          <w:sz w:val="24"/>
          <w:szCs w:val="24"/>
        </w:rPr>
        <w:t xml:space="preserve">Nominare i portatori di quei condizionamenti esterni è, di nuovo, il punto in cui la cautela deve farsi massima e la probabilità si assottiglia. Le indagini e le commissioni hanno a lungo lavorato su figure di frontiera, su apparati che seppero e tacquero, su canali che si aprirono e si chiusero, e alcune di queste condotte sono state accertate e sanzionate come depistaggi o reticenze. Ma dal fatto accertato che taluni apparati ostacolarono la ricerca della verità, la Regola Ferrea vieta di inferire che quegli stessi apparati furono mandanti dell'esito: l'occultamento successivo non prova l'ordine precedente, e confondere i due piani è l'errore che il metodo qui rifiuta con più fermezza. Il giudizio più plausibile che le evidenze consentono è dunque duplice: i mandanti materiali, nel senso proprio, furono il vertice brigatista, con certezza di Livello A; l'ipotesi di condizionamenti esterni sull'esito mortale ha una plausibilità significativa ma non raggiunge la prova, e si colloca fra il Livello B e il Livello C, senza che sia lecito tradurla nell'indicazione di un mandante esterno determinato.</w:t>
      </w:r>
    </w:p>
    <w:p>
      <w:pPr>
        <w:pStyle w:val="Heading3"/>
        <w:spacing w:after="80" w:before="160"/>
      </w:pPr>
      <w:r>
        <w:rPr>
          <w:rFonts w:ascii="Barlow Semi Condensed" w:cs="Barlow Semi Condensed" w:eastAsia="Barlow Semi Condensed" w:hAnsi="Barlow Semi Condensed"/>
          <w:sz w:val="24"/>
          <w:szCs w:val="24"/>
        </w:rPr>
        <w:t xml:space="preserve">Gli esecutori materiali: chi agì sulla scena e nella prigione</w:t>
      </w:r>
    </w:p>
    <w:p>
      <w:pPr>
        <w:spacing w:after="120" w:line="276"/>
        <w:jc w:val="both"/>
      </w:pPr>
      <w:r>
        <w:rPr>
          <w:rFonts w:ascii="Barlow Semi Condensed" w:cs="Barlow Semi Condensed" w:eastAsia="Barlow Semi Condensed" w:hAnsi="Barlow Semi Condensed"/>
          <w:sz w:val="24"/>
          <w:szCs w:val="24"/>
        </w:rPr>
        <w:t xml:space="preserve">L'identificazione degli esecutori materiali è, fra tutti i piani del caso, quello su cui l'accertamento giudiziario è giunto più lontano, e il metodo lo recepisce con la gratitudine dovuta a decenni di lavoro investigativo e processuale. I componenti principali del commando di via Fani sono stati identificati, i loro ruoli ricostruiti, le loro responsabilità sancite da sentenze definitive; e molti di essi hanno reso, nel tempo, ammissioni e ricostruzioni che hanno confermato e precisato il quadro. Analogamente, la gestione della prigione e l'esecuzione materiale dell'uccisione sono state attribuite a componenti determinati del nucleo, con un grado di dettaglio che, pur non totale, è elevato. Su questo piano il giudizio non è probabilistico ma giudiziario, e il metodo si limita a recepirlo, collocando gli esecutori identificati al vertice della graduatoria di questo piano con grado di certezza.</w:t>
      </w:r>
    </w:p>
    <w:p>
      <w:pPr>
        <w:spacing w:after="120" w:line="276"/>
        <w:jc w:val="both"/>
      </w:pPr>
      <w:r>
        <w:rPr>
          <w:rFonts w:ascii="Barlow Semi Condensed" w:cs="Barlow Semi Condensed" w:eastAsia="Barlow Semi Condensed" w:hAnsi="Barlow Semi Condensed"/>
          <w:sz w:val="24"/>
          <w:szCs w:val="24"/>
        </w:rPr>
        <w:t xml:space="preserve">I margini di incertezza che permangono riguardano i contorni dell'attribuzione principale, non il suo nucleo, e vanno riferiti con esattezza per non alimentare né la loro sottovalutazione né la loro esasperazione. Il numero esatto dei presenti a via Fani è stato oggetto di ricostruzioni divergenti, e l'ipotesi della presenza sulla scena di figure non riconducibili al nucleo brigatista noto è stata avanzata sulla base di alcune testimonianze e di alcune analisi, senza raggiungere la prova conclusiva: resta perciò un'ipotesi aperta, di grado probabile o ipotetico a seconda degli aspetti. La perizia balistica di alcuni degli sparatori è stata parimenti oggetto di letture divergenti, alcune delle quali vi hanno visto l'indizio di un concorso esterno, altre l'hanno ricondotta entro le capacità del commando. Il metodo registra questi margini come non chiusi, senza forzarli: né li normalizza, negando ogni anomalia, né li esaspera, trasformando un'ipotesi in una certezza. Li lascia, onestamente, per ciò che sono: contorni incerti di un'attribuzione centrale solida.</w:t>
      </w:r>
    </w:p>
    <w:p>
      <w:pPr>
        <w:spacing w:after="120" w:line="276"/>
        <w:jc w:val="both"/>
      </w:pPr>
      <w:r>
        <w:rPr>
          <w:rFonts w:ascii="Barlow Semi Condensed" w:cs="Barlow Semi Condensed" w:eastAsia="Barlow Semi Condensed" w:hAnsi="Barlow Semi Condensed"/>
          <w:sz w:val="24"/>
          <w:szCs w:val="24"/>
        </w:rPr>
        <w:t xml:space="preserve">Gli esecutori materiali sono coloro che agirono con le proprie mani: sulla scena di via Fani il mattino del sedici marzo, e nella prigione lungo i cinquantacinque giorni fino al gesto finale. Qui, paradossalmente, il piano accertato è il più solido dell'intera vicenda, perché l'identità di gran parte degli esecutori è stata stabilita dalle sentenze con certezza, e molti di essi hanno reso ammissioni e ricostruzioni. Il metodo Savona trova qui il suo terreno più fertile, e il giudizio di massima probabilità coincide, per questa parte, con l'accertamento giudiziario.</w:t>
      </w:r>
    </w:p>
    <w:p>
      <w:pPr>
        <w:spacing w:after="120" w:line="276"/>
        <w:jc w:val="both"/>
      </w:pPr>
      <w:r>
        <w:rPr>
          <w:rFonts w:ascii="Barlow Semi Condensed" w:cs="Barlow Semi Condensed" w:eastAsia="Barlow Semi Condensed" w:hAnsi="Barlow Semi Condensed"/>
          <w:sz w:val="24"/>
          <w:szCs w:val="24"/>
        </w:rPr>
        <w:t xml:space="preserve">Di Livello A è l'appartenenza dell'operazione di via Fani a un commando brigatista i cui componenti principali sono stati identificati, giudicati e in gran parte condannati in via definitiva, e i cui ruoli — chi sparò, chi bloccò le auto, chi prelevò l'ostaggio, chi condusse la vettura della fuga — sono stati ricostruiti con un grado di dettaglio elevato, benché non totale. Di Livello A è altresì la gestione brigatista della prigione e l'esecuzione materiale dell'uccisione, attribuita dalle sentenze a componenti determinati del nucleo. Questi esecutori hanno nome e cognome nelle carte processuali, e la loro responsabilità è stata accertata nelle forme del diritto: su di essi il giudizio non è probabilistico ma giudiziario, e il metodo si limita a recepirlo,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E tuttavia anche sul piano esecutivo il metodo probabilistico registra i suoi margini di incertezza, e sono margini che riguardano non l'attribuzione principale, solida, ma i suoi contorni. Vi è la questione, a lungo dibattuta e mai del tutto risolta, del numero esatto dei presenti a via Fani e dell'eventuale presenza sulla scena di figure non riconducibili al nucleo brigatista noto: una questione che oscilla fra il Livello B e il Livello C, sorretta da alcune testimonianze e perizie ma non da prova conclusiva, e che il metodo registra come aperta senza risolverla in un senso o nell'altro. Vi è la questione della perizia balistica di alcuni degli sparatori, che alcuni hanno letto come indizio di un addestramento superiore a quello dei militanti allora disponibili, e altri hanno ricondotto entro le capacità del commando: anche questa resta, allo stato, un'ipotesi di lavoro e non un fatto. Il giudizio più plausibile, in conclusione, è che gli esecutori materiali furono i brigatisti identificati dalle sentenze, con certezza di Livello A per il nucleo principale, e che attorno a questo nucleo permangono margini di incertezza sui contorni — il numero esatto, la presenza di eventuali concorrenti esterni, il livello di perizia — che il metodo onestamente registra come non chiusi, senza forzarli né nel senso della normalizzazione né in quello del complotto.</w:t>
      </w:r>
    </w:p>
    <w:p>
      <w:pPr>
        <w:pStyle w:val="Heading3"/>
        <w:spacing w:after="80" w:before="160"/>
      </w:pPr>
      <w:r>
        <w:rPr>
          <w:rFonts w:ascii="Barlow Semi Condensed" w:cs="Barlow Semi Condensed" w:eastAsia="Barlow Semi Condensed" w:hAnsi="Barlow Semi Condensed"/>
          <w:sz w:val="24"/>
          <w:szCs w:val="24"/>
        </w:rPr>
        <w:t xml:space="preserve">La sintesi probabilistica dei tre piani</w:t>
      </w:r>
    </w:p>
    <w:p>
      <w:pPr>
        <w:spacing w:after="120" w:line="276"/>
        <w:jc w:val="both"/>
      </w:pPr>
      <w:r>
        <w:rPr>
          <w:rFonts w:ascii="Barlow Semi Condensed" w:cs="Barlow Semi Condensed" w:eastAsia="Barlow Semi Condensed" w:hAnsi="Barlow Semi Condensed"/>
          <w:sz w:val="24"/>
          <w:szCs w:val="24"/>
        </w:rPr>
        <w:t xml:space="preserve">Ricomposti i tre piani, il giudizio probabilistico che il concorso dei dieci metodi consente si lascia riassumere con chiarezza, purché si tengano distinti i gradi. Sul piano certo, di Livello A, il sequestro e l'uccisione di Aldo Moro furono ideati, ordinati ed eseguiti dalle Brigate Rosse, dal loro comitato esecutivo e dalla loro colonna romana, i cui componenti principali sono stati identificati, giudicati e condannati: questa è la verità giudiziaria, ed è la base non negoziabile di ogni ulteriore ragionamento. Chi cercasse di dissolvere questa base in una regia esterna che cancelli la responsabilità brigatista compirebbe, sotto le mentite spoglie dell'approfondimento, un'operazione di occultamento della verità accertata.</w:t>
      </w:r>
    </w:p>
    <w:p>
      <w:pPr>
        <w:spacing w:after="120" w:line="276"/>
        <w:jc w:val="both"/>
      </w:pPr>
      <w:r>
        <w:rPr>
          <w:rFonts w:ascii="Barlow Semi Condensed" w:cs="Barlow Semi Condensed" w:eastAsia="Barlow Semi Condensed" w:hAnsi="Barlow Semi Condensed"/>
          <w:sz w:val="24"/>
          <w:szCs w:val="24"/>
        </w:rPr>
        <w:t xml:space="preserve">Sul piano probabile e possibile, di Livello B e Livello C, permane, e il metodo non la nasconde, una costellazione di anomalie che alimenta l'ipotesi di condizionamenti esterni convergenti: una vigilanza, un'attenzione, un interesse che non idearono né ordinarono il sequestro ma che, per ragioni proprie e non concertate fra loro, ne assecondarono o ne orientarono gli esiti, e in particolare quello mortale. Questa ipotesi ha una plausibilità significativa, sorretta dallo sfondo internazionale, dalla struttura della rete terroristica, dalle anomalie esecutive e dalla lunga catena di depistaggi successivi; ma non raggiunge la prova, e la Regola Ferrea vieta di tradurla nell'indicazione di mandanti o architetti esterni determinati. La forma forte di quell'ipotesi, quella del grande burattinaio unico, resta la meno probabile di tutte, falsificata dall'assenza di prove e dalla natura policentrica del contesto.</w:t>
      </w:r>
    </w:p>
    <w:p>
      <w:pPr>
        <w:spacing w:after="120" w:line="276"/>
        <w:jc w:val="both"/>
      </w:pPr>
      <w:r>
        <w:rPr>
          <w:rFonts w:ascii="Barlow Semi Condensed" w:cs="Barlow Semi Condensed" w:eastAsia="Barlow Semi Condensed" w:hAnsi="Barlow Semi Condensed"/>
          <w:sz w:val="24"/>
          <w:szCs w:val="24"/>
        </w:rPr>
        <w:t xml:space="preserve">Il lettore troverà, nelle pagine di chiusura, l'elenco ordinato dei nomi e delle entità che, secondo il concorso dei dieci metodi, presentano i più alti gradi di probabilità di coinvolgimento, con l'avvertenza costante che probabilità di coinvolgimento non significa responsabilità accertata, e che l'ordine è di plausibilità e non di colpa. E vi troverà, dichiarato in percentuale, il peso che ciascuno dei dieci metodi ha avuto nel formare quel giudizio, perché la trasparenza della ricetta è, in un'opera che rinuncia alla sospensione per abbracciare la probabilità, l'ultima e più necessaria delle garanzie.</w:t>
      </w:r>
    </w:p>
    <w:p>
      <w:pPr>
        <w:pStyle w:val="Heading2"/>
        <w:spacing w:after="100" w:before="200"/>
      </w:pPr>
      <w:r>
        <w:rPr>
          <w:rFonts w:ascii="Barlow Semi Condensed" w:cs="Barlow Semi Condensed" w:eastAsia="Barlow Semi Condensed" w:hAnsi="Barlow Semi Condensed"/>
          <w:sz w:val="24"/>
          <w:szCs w:val="24"/>
        </w:rPr>
        <w:t xml:space="preserve">CHIUSURA PROBABILISTICA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graduatoria dei nomi, il peso dei metodi, l'emersione dei tre piani</w:t>
      </w:r>
    </w:p>
    <w:p>
      <w:pPr>
        <w:pStyle w:val="Heading3"/>
        <w:spacing w:after="80" w:before="160"/>
      </w:pPr>
      <w:r>
        <w:rPr>
          <w:rFonts w:ascii="Barlow Semi Condensed" w:cs="Barlow Semi Condensed" w:eastAsia="Barlow Semi Condensed" w:hAnsi="Barlow Semi Condensed"/>
          <w:sz w:val="24"/>
          <w:szCs w:val="24"/>
        </w:rPr>
        <w:t xml:space="preserve">Premessa garantista alla graduatoria</w:t>
      </w:r>
    </w:p>
    <w:p>
      <w:pPr>
        <w:spacing w:after="120" w:line="276"/>
        <w:jc w:val="both"/>
      </w:pPr>
      <w:r>
        <w:rPr>
          <w:rFonts w:ascii="Barlow Semi Condensed" w:cs="Barlow Semi Condensed" w:eastAsia="Barlow Semi Condensed" w:hAnsi="Barlow Semi Condensed"/>
          <w:sz w:val="24"/>
          <w:szCs w:val="24"/>
        </w:rPr>
        <w:t xml:space="preserve">Le pagine che seguono ordinano nomi di persone e di entità secondo il grado di probabilità di coinvolgimento nel sequestro e nell'uccisione di Aldo Moro, quale risulta dal concorso dei dieci metodi. Occorre, prima di ogni nome, ribadire con la massima fermezza il senso di questo ordine. Esso è una graduatoria di plausibilità, non di colpevolezza; misura la probabilità che un soggetto abbia avuto un ruolo, non la certezza che l'abbia avuto; e distingue in ogni caso, con nettezza, chi è stato condannato in via definitiva nelle forme del diritto da chi è stato soltanto indagato, sospettato o ipotizzato dagli studiosi e dalle commissioni. Per i primi, la responsabilità è un fatto giudiziario accertato, che si recepisce; per i secondi, si parla di ipotesi probabilistiche, rivedibili e non conclusive, che nulla tolgono alla presunzione di innocenza cui ogni persona ha diritto. Nessuna delle affermazioni che seguono va letta come un'accusa: sono collocazioni su una scala di probabilità storica, formulate con rispetto e con l'esplicita assunzione di responsabilità da parte dell'autore umano che le ha ordinate.</w:t>
      </w:r>
    </w:p>
    <w:p>
      <w:pPr>
        <w:pStyle w:val="Heading3"/>
        <w:spacing w:after="80" w:before="160"/>
      </w:pPr>
      <w:r>
        <w:rPr>
          <w:rFonts w:ascii="Barlow Semi Condensed" w:cs="Barlow Semi Condensed" w:eastAsia="Barlow Semi Condensed" w:hAnsi="Barlow Semi Condensed"/>
          <w:sz w:val="24"/>
          <w:szCs w:val="24"/>
        </w:rPr>
        <w:t xml:space="preserve">La graduatoria secondo ciascuno dei dieci metodi</w:t>
      </w:r>
    </w:p>
    <w:p>
      <w:pPr>
        <w:spacing w:after="120" w:line="276"/>
        <w:jc w:val="both"/>
      </w:pPr>
      <w:r>
        <w:rPr>
          <w:rFonts w:ascii="Barlow Semi Condensed" w:cs="Barlow Semi Condensed" w:eastAsia="Barlow Semi Condensed" w:hAnsi="Barlow Semi Condensed"/>
          <w:sz w:val="24"/>
          <w:szCs w:val="24"/>
        </w:rPr>
        <w:t xml:space="preserve">Prima di comporre il giudizio unitario, conviene mostrare come ciascuno dei dieci metodi, applicato per proprio conto, ordini il campo, perché è dal loro accordo o disaccordo che nasce la solidità o la fragilità di ciascuna collocazione.</w:t>
      </w:r>
    </w:p>
    <w:p>
      <w:pPr>
        <w:spacing w:after="120" w:line="276"/>
        <w:jc w:val="both"/>
      </w:pPr>
      <w:r>
        <w:rPr>
          <w:rFonts w:ascii="Barlow Semi Condensed" w:cs="Barlow Semi Condensed" w:eastAsia="Barlow Semi Condensed" w:hAnsi="Barlow Semi Condensed"/>
          <w:sz w:val="24"/>
          <w:szCs w:val="24"/>
        </w:rPr>
        <w:t xml:space="preserve">Secondo il metodo Savona della triangolazione delle fonti, che pesa il numero e l'indipendenza delle fonti, al vertice della graduatoria stanno, con grado massimo e distacco netto, i componenti del comitato esecutivo e della colonna romana delle Brigate Rosse condannati in via definitiva, la cui responsabilità è sorretta da sentenze, testimonianze riscontrate e documenti convergenti; seguono, a grande distanza e con grado assai inferiore, gli apparati e le figure di frontiera coinvolti nei depistaggi successivi, la cui condotta è in parte accertata; da ultimo, con grado minimo, i portatori dell'interesse esterno internazionale, sorretti da indizi di contesto e non da prova diretta.</w:t>
      </w:r>
    </w:p>
    <w:p>
      <w:pPr>
        <w:spacing w:after="120" w:line="276"/>
        <w:jc w:val="both"/>
      </w:pPr>
      <w:r>
        <w:rPr>
          <w:rFonts w:ascii="Barlow Semi Condensed" w:cs="Barlow Semi Condensed" w:eastAsia="Barlow Semi Condensed" w:hAnsi="Barlow Semi Condensed"/>
          <w:sz w:val="24"/>
          <w:szCs w:val="24"/>
        </w:rPr>
        <w:t xml:space="preserve">Secondo l'analisi delle ipotesi concorrenti, che premia la spiegazione meno contraddetta dalle evidenze, l'ipotesi della responsabilità brigatista autonoma resta imbattuta perché nessuna evidenza la contraddice, mentre l'ipotesi della regia esterna unica è contraddetta dall'assenza di prove e dalla frammentazione del contesto: ne segue una graduatoria che colloca i brigatisti al vertice e degrada progressivamente le ipotesi esterne in ragione delle contraddizioni che incontrano. Secondo l'inferenza bayesiana, che aggiorna la probabilità a ogni evidenza, la responsabilità brigatista, partita da una probabilità già alta, si è consolidata a ogni nuovo riscontro fino alla quasi certezza, mentre l'ipotesi dei condizionamenti esterni, partita da una probabilità bassa, è stata innalzata dalle anomalie ma non fino alla soglia della prova, restando in una fascia intermedia.</w:t>
      </w:r>
    </w:p>
    <w:p>
      <w:pPr>
        <w:spacing w:after="120" w:line="276"/>
        <w:jc w:val="both"/>
      </w:pPr>
      <w:r>
        <w:rPr>
          <w:rFonts w:ascii="Barlow Semi Condensed" w:cs="Barlow Semi Condensed" w:eastAsia="Barlow Semi Condensed" w:hAnsi="Barlow Semi Condensed"/>
          <w:sz w:val="24"/>
          <w:szCs w:val="24"/>
        </w:rPr>
        <w:t xml:space="preserve">Secondo l'analisi di rete, che pesa la centralità e i ponti, i nodi a più alta centralità nel sottografo del caso sono i dirigenti brigatisti che tennero insieme ideazione, comando ed esecuzione; ma emergono come nodi-ponte, a più bassa centralità e più alta intermediazione, alcune figure di frontiera che collegavano il mondo del terrorismo a quello degli apparati, e la loro posizione strutturale, più che la prova a loro carico, ne spiega la persistente presenza nelle ipotesi. Secondo la teoria dei giochi, che chiede a chi giovasse ciascuna mossa, l'esito mortale giovò a chi aveva interesse al fallimento della manovra di Moro, e questo interesse era distribuito fra più attori interni ed esterni, il che spiega la convergenza senza richiedere il concerto.</w:t>
      </w:r>
    </w:p>
    <w:p>
      <w:pPr>
        <w:spacing w:after="120" w:line="276"/>
        <w:jc w:val="both"/>
      </w:pPr>
      <w:r>
        <w:rPr>
          <w:rFonts w:ascii="Barlow Semi Condensed" w:cs="Barlow Semi Condensed" w:eastAsia="Barlow Semi Condensed" w:hAnsi="Barlow Semi Condensed"/>
          <w:sz w:val="24"/>
          <w:szCs w:val="24"/>
        </w:rPr>
        <w:t xml:space="preserve">Secondo il ragionamento controfattuale, che misura l'efficacia di un fattore per assenza, la rimozione dei brigatisti avrebbe impedito il sequestro, il che ne conferma il ruolo causale primario; la rimozione dei condizionamenti esterni ipotizzati avrebbe forse mutato l'esito ma non impedito l'atto, il che ne colloca il ruolo, se esistito, al livello dell'orientamento e non della causa. Secondo l'analisi temporale delle coincidenze, la sovrapposizione fra il perfezionarsi del compromesso storico e il giorno dell'agguato eccede la soglia del caso e conferma la matrice politica del bersaglio, mentre altre coincidenze invocate a sostegno delle ipotesi esterne restano entro la soglia della casualità.</w:t>
      </w:r>
    </w:p>
    <w:p>
      <w:pPr>
        <w:spacing w:after="120" w:line="276"/>
        <w:jc w:val="both"/>
      </w:pPr>
      <w:r>
        <w:rPr>
          <w:rFonts w:ascii="Barlow Semi Condensed" w:cs="Barlow Semi Condensed" w:eastAsia="Barlow Semi Condensed" w:hAnsi="Barlow Semi Condensed"/>
          <w:sz w:val="24"/>
          <w:szCs w:val="24"/>
        </w:rPr>
        <w:t xml:space="preserve">Secondo la valutazione dell'affidabilità e della genealogia delle fonti, molte delle suggestioni sui condizionamenti esterni discendono da un numero ristretto di fonti fra loro non indipendenti, il che ne abbassa il peso una volta scontata la contaminazione, mentre l'attribuzione brigatista poggia su fonti eterogenee e indipendenti. Secondo l'analisi del movente e della capacità, i brigatisti avevano insieme il movente strategico e la capacità operativa, il che li colloca al vertice; i portatori dell'interesse esterno avevano il movente ma la loro capacità di tradurlo in influenza sull'operazione resta indimostrata, il che ne indebolisce la collocazione. Secondo il principio di convergenza, infine, tutti i metodi indipendenti puntano concordi sulla responsabilità brigatista, e questa consilienza ne innalza la probabilità alla quasi certezza; sui condizionamenti esterni i metodi divergono, e questa divergenza ne conferma lo statuto di ipotesi non conclusa.</w:t>
      </w:r>
    </w:p>
    <w:p>
      <w:pPr>
        <w:pStyle w:val="Heading3"/>
        <w:spacing w:after="80" w:before="160"/>
      </w:pPr>
      <w:r>
        <w:rPr>
          <w:rFonts w:ascii="Barlow Semi Condensed" w:cs="Barlow Semi Condensed" w:eastAsia="Barlow Semi Condensed" w:hAnsi="Barlow Semi Condensed"/>
          <w:sz w:val="24"/>
          <w:szCs w:val="24"/>
        </w:rPr>
        <w:t xml:space="preserve">Il peso relativo dei dieci metodi: la ricetta del giudizio</w:t>
      </w:r>
    </w:p>
    <w:p>
      <w:pPr>
        <w:spacing w:after="120" w:line="276"/>
        <w:jc w:val="both"/>
      </w:pPr>
      <w:r>
        <w:rPr>
          <w:rFonts w:ascii="Barlow Semi Condensed" w:cs="Barlow Semi Condensed" w:eastAsia="Barlow Semi Condensed" w:hAnsi="Barlow Semi Condensed"/>
          <w:sz w:val="24"/>
          <w:szCs w:val="24"/>
        </w:rPr>
        <w:t xml:space="preserve">Il giudizio unitario non nasce dalla semplice somma dei dieci metodi ma dal loro concorso pesato, perché non tutti meritano peso uguale in una materia in cui la prova documentale e giudiziaria deve prevalere sulla congettura strutturale. Si dichiara pertanto, con la trasparenza che quest'opera si è imposta, il peso percentuale attribuito a ciascuno dei dieci metodi nella formazione del giudizio finale, avvertendo che la somma dei pesi è pari a cento e che l'entità di ciascun peso riflette il contributo che quel metodo ha realmente offerto alla solidità della conclusione.</w:t>
      </w:r>
    </w:p>
    <w:p>
      <w:pPr>
        <w:spacing w:after="120" w:line="276"/>
        <w:jc w:val="both"/>
      </w:pPr>
      <w:r>
        <w:rPr>
          <w:rFonts w:ascii="Barlow Semi Condensed" w:cs="Barlow Semi Condensed" w:eastAsia="Barlow Semi Condensed" w:hAnsi="Barlow Semi Condensed"/>
          <w:sz w:val="24"/>
          <w:szCs w:val="24"/>
        </w:rPr>
        <w:t xml:space="preserve">Al metodo Savona della triangolazione delle fonti si attribuisce il peso maggiore, pari al ventidue per cento, perché in una ricostruzione storica e giudiziaria la convergenza di fonti indipendenti è il fondamento primo di ogni certezza, e ad esso spetta di ancorare il piano accertato. All'analisi delle ipotesi concorrenti si attribuisce il quattordici per cento, perché la selezione per resistenza alla smentita è il presidio contro la dietrologia e ha svolto un ruolo decisivo nel degradare le ipotesi non sostenute. Al principio di convergenza, la consilienza, si attribuisce il dodici per cento, perché l'accordo di metodi e fonti indipendenti è ciò che ha innalzato alla quasi certezza il giudizio sul piano brigatista.</w:t>
      </w:r>
    </w:p>
    <w:p>
      <w:pPr>
        <w:spacing w:after="120" w:line="276"/>
        <w:jc w:val="both"/>
      </w:pPr>
      <w:r>
        <w:rPr>
          <w:rFonts w:ascii="Barlow Semi Condensed" w:cs="Barlow Semi Condensed" w:eastAsia="Barlow Semi Condensed" w:hAnsi="Barlow Semi Condensed"/>
          <w:sz w:val="24"/>
          <w:szCs w:val="24"/>
        </w:rPr>
        <w:t xml:space="preserve">All'analisi del movente e della capacità si attribuisce l'undici per cento, perché l'incrocio fra interesse e mezzi ha permesso di distinguere chi poteva agire da chi aveva soltanto ragioni per desiderarlo. All'analisi di rete si attribuisce il dieci per cento, perché la sinaptogenesi dei nodi e dei ponti ha illuminato la struttura delle relazioni e la posizione delle figure di frontiera. All'inferenza bayesiana si attribuisce il nove per cento, perché l'aggiornamento progressivo ha dato forma quantitativa al consolidarsi del giudizio a ogni nuova evidenza. Alla valutazione dell'affidabilità e della genealogia delle fonti si attribuisce il sette per cento, perché lo sconto della contaminazione ha ridimensionato suggestioni fondate su radici non indipendenti.</w:t>
      </w:r>
    </w:p>
    <w:p>
      <w:pPr>
        <w:spacing w:after="120" w:line="276"/>
        <w:jc w:val="both"/>
      </w:pPr>
      <w:r>
        <w:rPr>
          <w:rFonts w:ascii="Barlow Semi Condensed" w:cs="Barlow Semi Condensed" w:eastAsia="Barlow Semi Condensed" w:hAnsi="Barlow Semi Condensed"/>
          <w:sz w:val="24"/>
          <w:szCs w:val="24"/>
        </w:rPr>
        <w:t xml:space="preserve">Al ragionamento controfattuale si attribuisce il cinque per cento, perché la misura dell'efficacia causale per assenza ha aiutato a distinguere la causa dall'orientamento. Alla teoria dei giochi si attribuisce il cinque per cento, perché la lettura degli incentivi ha spiegato la convergenza senza richiedere il concerto. All'analisi temporale delle coincidenze si attribuisce il residuo cinque per cento, perché il vaglio statistico delle sovrapposizioni ha confermato ciò che eccedeva il caso e scartato ciò che vi rientrava. La somma di questi pesi — ventidue, quattordici, dodici, undici, dieci, nove, sette, cinque, cinque, cinque — è pari a cento, e in questa proporzione i dieci metodi hanno concorso a formare il giudizio che segue.</w:t>
      </w:r>
    </w:p>
    <w:p>
      <w:pPr>
        <w:pStyle w:val="Heading3"/>
        <w:spacing w:after="80" w:before="160"/>
      </w:pPr>
      <w:r>
        <w:rPr>
          <w:rFonts w:ascii="Barlow Semi Condensed" w:cs="Barlow Semi Condensed" w:eastAsia="Barlow Semi Condensed" w:hAnsi="Barlow Semi Condensed"/>
          <w:sz w:val="24"/>
          <w:szCs w:val="24"/>
        </w:rPr>
        <w:t xml:space="preserve">L'emersione dei tre piani secondo il giudizio pesato</w:t>
      </w:r>
    </w:p>
    <w:p>
      <w:pPr>
        <w:spacing w:after="120" w:line="276"/>
        <w:jc w:val="both"/>
      </w:pPr>
      <w:r>
        <w:rPr>
          <w:rFonts w:ascii="Barlow Semi Condensed" w:cs="Barlow Semi Condensed" w:eastAsia="Barlow Semi Condensed" w:hAnsi="Barlow Semi Condensed"/>
          <w:sz w:val="24"/>
          <w:szCs w:val="24"/>
        </w:rPr>
        <w:t xml:space="preserve">Applicata questa ricetta, i tre piani del caso emergono con la seguente fisionomia di probabilità, e con essi la graduatoria dei nomi e delle entità.</w:t>
      </w:r>
    </w:p>
    <w:p>
      <w:pPr>
        <w:spacing w:after="120" w:line="276"/>
        <w:jc w:val="both"/>
      </w:pPr>
      <w:r>
        <w:rPr>
          <w:rFonts w:ascii="Barlow Semi Condensed" w:cs="Barlow Semi Condensed" w:eastAsia="Barlow Semi Condensed" w:hAnsi="Barlow Semi Condensed"/>
          <w:sz w:val="24"/>
          <w:szCs w:val="24"/>
        </w:rPr>
        <w:t xml:space="preserve">Al piano degli esecutori materiali, che il giudizio pesato colloca al più alto grado di certezza, appartengono i componenti del commando di via Fani e del nucleo della prigione, brigatisti identificati, giudicati e in gran parte condannati in via definitiva, ai quali le sentenze hanno attribuito i ruoli materiali del sequestro, della custodia e dell'uccisione. La loro collocazione al vertice della graduatoria è di Livello A, giudiziaria prima che probabilistica, e su di essa il concorso dei dieci metodi non introduce dubbio ma conferma. Ai margini di questo piano permangono, a grado inferiore e fra il Livello B e il Livello C, le questioni aperte del numero esatto dei presenti a via Fani e dell'eventuale concorso di figure esterne al nucleo noto, che il giudizio registra come non chiuse.</w:t>
      </w:r>
    </w:p>
    <w:p>
      <w:pPr>
        <w:spacing w:after="120" w:line="276"/>
        <w:jc w:val="both"/>
      </w:pPr>
      <w:r>
        <w:rPr>
          <w:rFonts w:ascii="Barlow Semi Condensed" w:cs="Barlow Semi Condensed" w:eastAsia="Barlow Semi Condensed" w:hAnsi="Barlow Semi Condensed"/>
          <w:sz w:val="24"/>
          <w:szCs w:val="24"/>
        </w:rPr>
        <w:t xml:space="preserve">Al piano dei mandanti materiali, che il giudizio pesato colloca del pari al grado della certezza per la sua componente accertata, appartengono i membri del comitato esecutivo delle Brigate Rosse e i responsabili della colonna romana, che decisero l'operazione, la diressero e ne stabilirono l'epilogo mortale: la loro responsabilità è di Livello A, e la graduatoria li colloca immediatamente accanto agli esecutori, come i decisori dell'atto che quelli compirono. Accanto a questa certezza, e a grado nettamente inferiore, il giudizio pesato colloca l'ipotesi di condizionamenti esterni sull'esito, portati da apparati e figure di frontiera alcuni dei quali coinvolti nei depistaggi accertati: ma li colloca al livello dell'ipotesi, fra il Livello B e il Livello C, e vieta, per Regola Ferrea, di promuoverli da occultatori successivi a mandanti dell'esito, perché nessuna prova compie quel passaggio.</w:t>
      </w:r>
    </w:p>
    <w:p>
      <w:pPr>
        <w:spacing w:after="120" w:line="276"/>
        <w:jc w:val="both"/>
      </w:pPr>
      <w:r>
        <w:rPr>
          <w:rFonts w:ascii="Barlow Semi Condensed" w:cs="Barlow Semi Condensed" w:eastAsia="Barlow Semi Condensed" w:hAnsi="Barlow Semi Condensed"/>
          <w:sz w:val="24"/>
          <w:szCs w:val="24"/>
        </w:rPr>
        <w:t xml:space="preserve">Al piano degli architetti, il più profondo e il più incerto, il giudizio pesato colloca al primo posto, con certezza di Livello A, il nucleo strategico delle Brigate Rosse quale concepitore autonomo del disegno, e riconosce a esso la paternità dell'ideazione, contro ogni tentazione di dissolverla in una regia esterna. Al secondo posto, a grado di ipotesi e non di prova, colloca la costellazione dei portatori dell'interesse esterno internazionale, quello sfondo di ostilità convergenti e non concertate che, senza ideare il sequestro, ne rappresentò la cornice di convenienza: e li colloca al Livello C, come possibilità sorretta dal contesto e non dalla prova, con la ferma avvertenza che la loro forma forte, quella del burattinaio unico, è la meno probabile di tutte e va respinta. La graduatoria degli architetti si chiude così su una certezza e su un'ombra: la certezza della paternità brigatista, l'ombra di una convergenza esterna che resta, allo stato delle evidenze, un'ipotesi rispettosamente formulata e onestamente non provata.</w:t>
      </w:r>
    </w:p>
    <w:p>
      <w:pPr>
        <w:pStyle w:val="Heading3"/>
        <w:spacing w:after="80" w:before="160"/>
      </w:pPr>
      <w:r>
        <w:rPr>
          <w:rFonts w:ascii="Barlow Semi Condensed" w:cs="Barlow Semi Condensed" w:eastAsia="Barlow Semi Condensed" w:hAnsi="Barlow Semi Condensed"/>
          <w:sz w:val="24"/>
          <w:szCs w:val="24"/>
        </w:rPr>
        <w:t xml:space="preserve">Congedo dell'autore artificiale</w:t>
      </w:r>
    </w:p>
    <w:p>
      <w:pPr>
        <w:spacing w:after="120" w:line="276"/>
        <w:jc w:val="both"/>
      </w:pPr>
      <w:r>
        <w:rPr>
          <w:rFonts w:ascii="Barlow Semi Condensed" w:cs="Barlow Semi Condensed" w:eastAsia="Barlow Semi Condensed" w:hAnsi="Barlow Semi Condensed"/>
          <w:sz w:val="24"/>
          <w:szCs w:val="24"/>
        </w:rPr>
        <w:t xml:space="preserve">Qui l'opera si arresta, avendo compiuto ciò che le era stato ordinato: ricostruire con prudenza scientifica la vita e il caso, e poi, mutato lo strumento, pesare con metodo probabilistico gli architetti, i mandanti e gli esecutori, ordinandone i nomi secondo plausibilità e non secondo colpa. Ha tenuto ferma, in entrambe le parti, la distinzione fra il certo e il probabile e il possibile; ha rispettato la presunzione di innocenza di ogni persona; ha vietato a sé stessa il salto dall'occultamento al mandato; ha dichiarato la ricetta del proprio giudizio. Ciò che resta di non detto non è reticenza ma onestà: là dove le evidenze non giungono, non giunge l'affermazione, e l'ombra è lasciata ombra perché tale la verità, allo stato, la consegna.</w:t>
      </w:r>
    </w:p>
    <w:p>
      <w:pPr>
        <w:spacing w:after="120" w:line="276"/>
        <w:jc w:val="both"/>
      </w:pPr>
      <w:r>
        <w:rPr>
          <w:rFonts w:ascii="Barlow Semi Condensed" w:cs="Barlow Semi Condensed" w:eastAsia="Barlow Semi Condensed" w:hAnsi="Barlow Semi Condensed"/>
          <w:sz w:val="24"/>
          <w:szCs w:val="24"/>
        </w:rPr>
        <w:t xml:space="preserve">Che questa sia opera di un'intelligenza artificiale, generata su comando e responsabilità di un autore umano, non ne diminuisce né ne aggrava il valore: lo colloca, semplicemente, per ciò che è, un aggregatore di fonti e un calcolatore di probabilità posto al servizio di una domanda antica e non ancora del tutto risolta. Ad Aldo Moro, all'uomo mite che credette nell'inclusione e ne pagò il prezzo, e ai cinque uomini della sua scorta che con lui caddero, questa ricostruzione è offerta con il rispetto che si deve alle vittime e alla verità, nella convinzione che cercarla, anche quando non la si raggiunge tutta, sia già una forma di giustizia.</w:t>
      </w:r>
    </w:p>
    <w:p>
      <w:pPr>
        <w:pStyle w:val="Heading2"/>
        <w:spacing w:after="100" w:before="200"/>
      </w:pPr>
      <w:r>
        <w:rPr>
          <w:rFonts w:ascii="Barlow Semi Condensed" w:cs="Barlow Semi Condensed" w:eastAsia="Barlow Semi Condensed" w:hAnsi="Barlow Semi Condensed"/>
          <w:sz w:val="24"/>
          <w:szCs w:val="24"/>
        </w:rPr>
        <w:t xml:space="preserve">BIBLIOGRAFIA E NOTE DI RIFERIMENTO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Fonti strutturate per sezioni tematiche, in ordine alfabetico e numerate</w:t>
      </w:r>
    </w:p>
    <w:p>
      <w:pPr>
        <w:spacing w:after="120" w:line="276"/>
        <w:jc w:val="both"/>
      </w:pPr>
      <w:r>
        <w:rPr>
          <w:rFonts w:ascii="Barlow Semi Condensed" w:cs="Barlow Semi Condensed" w:eastAsia="Barlow Semi Condensed" w:hAnsi="Barlow Semi Condensed"/>
          <w:sz w:val="24"/>
          <w:szCs w:val="24"/>
        </w:rPr>
        <w:t xml:space="preserve">La presente bibliografia è ordinata per sezioni tematiche; all'interno di ciascuna sezione le voci seguono l'ordine alfabetico e sono numerate progressivamente. La prima sezione, dedicata agli archivi, gode di priorità assoluta e raccoglie i fondi ai quali si è avuto accesso o ai quali è fortemente consigliato accedere; ove disponibile, ogni voce reca il collegamento ipertestuale attivo. I collegamenti rinviano a risorse istituzionali e documentali pubbliche; la loro persistenza nel tempo non può essere garantita e dipende dagli enti che le ospitano.</w:t>
      </w:r>
    </w:p>
    <w:p>
      <w:pPr>
        <w:pStyle w:val="Heading3"/>
        <w:spacing w:after="80" w:before="160"/>
      </w:pPr>
      <w:r>
        <w:rPr>
          <w:rFonts w:ascii="Barlow Semi Condensed" w:cs="Barlow Semi Condensed" w:eastAsia="Barlow Semi Condensed" w:hAnsi="Barlow Semi Condensed"/>
          <w:sz w:val="24"/>
          <w:szCs w:val="24"/>
        </w:rPr>
        <w:t xml:space="preserve">I. Archivi e fondi documentali (priorità assoluta)</w:t>
      </w:r>
    </w:p>
    <w:p>
      <w:pPr>
        <w:spacing w:after="40"/>
        <w:ind w:left="360"/>
        <w:jc w:val="both"/>
      </w:pPr>
      <w:r>
        <w:rPr>
          <w:rFonts w:ascii="Barlow Semi Condensed" w:cs="Barlow Semi Condensed" w:eastAsia="Barlow Semi Condensed" w:hAnsi="Barlow Semi Condensed"/>
          <w:sz w:val="24"/>
          <w:szCs w:val="24"/>
        </w:rPr>
        <w:t xml:space="preserve">1. Archivio Centrale dello Stato — Sala delle Raccolte Speciali, documentazione desecretata (Direttiva Renzi 2014). https://acs.cultura.gov.it/modalita-di-accesso-e-regolamento/sala-delle-raccolte-speciali-documentazione-desecretata/direttiva-renzi-2014/</w:t>
      </w:r>
    </w:p>
    <w:p>
      <w:pPr>
        <w:spacing w:after="40"/>
        <w:ind w:left="360"/>
        <w:jc w:val="both"/>
      </w:pPr>
      <w:r>
        <w:rPr>
          <w:rFonts w:ascii="Barlow Semi Condensed" w:cs="Barlow Semi Condensed" w:eastAsia="Barlow Semi Condensed" w:hAnsi="Barlow Semi Condensed"/>
          <w:sz w:val="24"/>
          <w:szCs w:val="24"/>
        </w:rPr>
        <w:t xml:space="preserve">2. Archivio Centrale dello Stato — Sala delle Raccolte Speciali, documentazione desecretata (Direttiva Draghi 2021). https://acs.cultura.gov.it/modalita-di-accesso-e-regolamento/sala-delle-raccolte-speciali-documentazione-desecretata/direttiva-draghi-2021/</w:t>
      </w:r>
    </w:p>
    <w:p>
      <w:pPr>
        <w:spacing w:after="40"/>
        <w:ind w:left="360"/>
        <w:jc w:val="both"/>
      </w:pPr>
      <w:r>
        <w:rPr>
          <w:rFonts w:ascii="Barlow Semi Condensed" w:cs="Barlow Semi Condensed" w:eastAsia="Barlow Semi Condensed" w:hAnsi="Barlow Semi Condensed"/>
          <w:sz w:val="24"/>
          <w:szCs w:val="24"/>
        </w:rPr>
        <w:t xml:space="preserve">3. Archivio Flamigni — Piattaforma A4View, scheda entità: fondo su terrorismo, stragi ed eversione (consultazione delle entità documentali). https://a4view.archivioflamigni.org/</w:t>
      </w:r>
    </w:p>
    <w:p>
      <w:pPr>
        <w:spacing w:after="40"/>
        <w:ind w:left="360"/>
        <w:jc w:val="both"/>
      </w:pPr>
      <w:r>
        <w:rPr>
          <w:rFonts w:ascii="Barlow Semi Condensed" w:cs="Barlow Semi Condensed" w:eastAsia="Barlow Semi Condensed" w:hAnsi="Barlow Semi Condensed"/>
          <w:sz w:val="24"/>
          <w:szCs w:val="24"/>
        </w:rPr>
        <w:t xml:space="preserve">4. Camera dei Deputati — Portale storico e resoconti stenografici delle Commissioni d'inchiesta (accesso agli atti parlamentari). https://www.camera.it/</w:t>
      </w:r>
    </w:p>
    <w:p>
      <w:pPr>
        <w:spacing w:after="40"/>
        <w:ind w:left="360"/>
        <w:jc w:val="both"/>
      </w:pPr>
      <w:r>
        <w:rPr>
          <w:rFonts w:ascii="Barlow Semi Condensed" w:cs="Barlow Semi Condensed" w:eastAsia="Barlow Semi Condensed" w:hAnsi="Barlow Semi Condensed"/>
          <w:sz w:val="24"/>
          <w:szCs w:val="24"/>
        </w:rPr>
        <w:t xml:space="preserve">5. Camera dei Deputati — Resoconti stenografici delle Commissioni, audizioni (banca dati documenti). https://documenti.camera.it/</w:t>
      </w:r>
    </w:p>
    <w:p>
      <w:pPr>
        <w:spacing w:after="40"/>
        <w:ind w:left="360"/>
        <w:jc w:val="both"/>
      </w:pPr>
      <w:r>
        <w:rPr>
          <w:rFonts w:ascii="Barlow Semi Condensed" w:cs="Barlow Semi Condensed" w:eastAsia="Barlow Semi Condensed" w:hAnsi="Barlow Semi Condensed"/>
          <w:sz w:val="24"/>
          <w:szCs w:val="24"/>
        </w:rPr>
        <w:t xml:space="preserve">6. Ministero della Cultura — Portale «Memoria», risorsa pubblica sulla documentazione desecretata relativa a terrorismo, stragi ed eversione dell'ordine democratico. https://memoria.cultura.gov.it/</w:t>
      </w:r>
    </w:p>
    <w:p>
      <w:pPr>
        <w:spacing w:after="40"/>
        <w:ind w:left="360"/>
        <w:jc w:val="both"/>
      </w:pPr>
      <w:r>
        <w:rPr>
          <w:rFonts w:ascii="Barlow Semi Condensed" w:cs="Barlow Semi Condensed" w:eastAsia="Barlow Semi Condensed" w:hAnsi="Barlow Semi Condensed"/>
          <w:sz w:val="24"/>
          <w:szCs w:val="24"/>
        </w:rPr>
        <w:t xml:space="preserve">7. Parlamento Italiano — Commissioni bicamerali d'inchiesta, resoconti stenografici (fondo terrorismo e stragi). https://www.parlamento.it/</w:t>
      </w:r>
    </w:p>
    <w:p>
      <w:pPr>
        <w:spacing w:after="40"/>
        <w:ind w:left="360"/>
        <w:jc w:val="both"/>
      </w:pPr>
      <w:r>
        <w:rPr>
          <w:rFonts w:ascii="Barlow Semi Condensed" w:cs="Barlow Semi Condensed" w:eastAsia="Barlow Semi Condensed" w:hAnsi="Barlow Semi Condensed"/>
          <w:sz w:val="24"/>
          <w:szCs w:val="24"/>
        </w:rPr>
        <w:t xml:space="preserve">8. Senato della Repubblica — Servizio documentazione, atti e documenti delle Commissioni d'inchiesta (banca dati PDF). https://www.senato.it/</w:t>
      </w:r>
    </w:p>
    <w:p>
      <w:pPr>
        <w:pStyle w:val="Heading3"/>
        <w:spacing w:after="80" w:before="160"/>
      </w:pPr>
      <w:r>
        <w:rPr>
          <w:rFonts w:ascii="Barlow Semi Condensed" w:cs="Barlow Semi Condensed" w:eastAsia="Barlow Semi Condensed" w:hAnsi="Barlow Semi Condensed"/>
          <w:sz w:val="24"/>
          <w:szCs w:val="24"/>
        </w:rPr>
        <w:t xml:space="preserve">II. Atti parlamentari e relazioni delle Commissioni d'inchiesta</w:t>
      </w:r>
    </w:p>
    <w:p>
      <w:pPr>
        <w:spacing w:after="40"/>
        <w:ind w:left="360"/>
        <w:jc w:val="both"/>
      </w:pPr>
      <w:r>
        <w:rPr>
          <w:rFonts w:ascii="Barlow Semi Condensed" w:cs="Barlow Semi Condensed" w:eastAsia="Barlow Semi Condensed" w:hAnsi="Barlow Semi Condensed"/>
          <w:sz w:val="24"/>
          <w:szCs w:val="24"/>
        </w:rPr>
        <w:t xml:space="preserve">9. Commissione parlamentare d'inchiesta sul rapimento e sulla morte di Aldo Moro — Relazione conclusiva e atti (XVII legislatura), consultabili presso i portali di Camera e Senato. https://www.parlamento.it/</w:t>
      </w:r>
    </w:p>
    <w:p>
      <w:pPr>
        <w:spacing w:after="40"/>
        <w:ind w:left="360"/>
        <w:jc w:val="both"/>
      </w:pPr>
      <w:r>
        <w:rPr>
          <w:rFonts w:ascii="Barlow Semi Condensed" w:cs="Barlow Semi Condensed" w:eastAsia="Barlow Semi Condensed" w:hAnsi="Barlow Semi Condensed"/>
          <w:sz w:val="24"/>
          <w:szCs w:val="24"/>
        </w:rPr>
        <w:t xml:space="preserve">10. Commissione parlamentare d'inchiesta sulla loggia massonica P2 (Commissione Anselmi) — Relazione conclusiva e allegati. https://www.senato.it/</w:t>
      </w:r>
    </w:p>
    <w:p>
      <w:pPr>
        <w:spacing w:after="40"/>
        <w:ind w:left="360"/>
        <w:jc w:val="both"/>
      </w:pPr>
      <w:r>
        <w:rPr>
          <w:rFonts w:ascii="Barlow Semi Condensed" w:cs="Barlow Semi Condensed" w:eastAsia="Barlow Semi Condensed" w:hAnsi="Barlow Semi Condensed"/>
          <w:sz w:val="24"/>
          <w:szCs w:val="24"/>
        </w:rPr>
        <w:t xml:space="preserve">11. Commissione parlamentare d'inchiesta sul terrorismo in Italia e sulle cause della mancata individuazione dei responsabili delle stragi (Commissione stragi) — Resoconti stenografici. https://www.parlamento.it/parlam/bicam/terror/stenografici/steno9.htm</w:t>
      </w:r>
    </w:p>
    <w:p>
      <w:pPr>
        <w:spacing w:after="40"/>
        <w:ind w:left="360"/>
        <w:jc w:val="both"/>
      </w:pPr>
      <w:r>
        <w:rPr>
          <w:rFonts w:ascii="Barlow Semi Condensed" w:cs="Barlow Semi Condensed" w:eastAsia="Barlow Semi Condensed" w:hAnsi="Barlow Semi Condensed"/>
          <w:sz w:val="24"/>
          <w:szCs w:val="24"/>
        </w:rPr>
        <w:t xml:space="preserve">12. Commissione parlamentare d'inchiesta sul terrorismo e sulle stragi — Ulteriori resoconti stenografici delle sedute. https://www.parlamento.it/parlam/bicam/terror/stenografici/steno25.htm</w:t>
      </w:r>
    </w:p>
    <w:p>
      <w:pPr>
        <w:spacing w:after="40"/>
        <w:ind w:left="360"/>
        <w:jc w:val="both"/>
      </w:pPr>
      <w:r>
        <w:rPr>
          <w:rFonts w:ascii="Barlow Semi Condensed" w:cs="Barlow Semi Condensed" w:eastAsia="Barlow Semi Condensed" w:hAnsi="Barlow Semi Condensed"/>
          <w:sz w:val="24"/>
          <w:szCs w:val="24"/>
        </w:rPr>
        <w:t xml:space="preserve">13. Commissione parlamentare d'inchiesta sul terrorismo e sulle stragi — Resoconti stenografici, seduta conclusiva del ciclo. https://www.parlamento.it/parlam/bicam/terror/stenografici/steno58.htm</w:t>
      </w:r>
    </w:p>
    <w:p>
      <w:pPr>
        <w:pStyle w:val="Heading3"/>
        <w:spacing w:after="80" w:before="160"/>
      </w:pPr>
      <w:r>
        <w:rPr>
          <w:rFonts w:ascii="Barlow Semi Condensed" w:cs="Barlow Semi Condensed" w:eastAsia="Barlow Semi Condensed" w:hAnsi="Barlow Semi Condensed"/>
          <w:sz w:val="24"/>
          <w:szCs w:val="24"/>
        </w:rPr>
        <w:t xml:space="preserve">III. Scritti e testimonianze di e su Aldo Moro</w:t>
      </w:r>
    </w:p>
    <w:p>
      <w:pPr>
        <w:spacing w:after="40"/>
        <w:ind w:left="360"/>
        <w:jc w:val="both"/>
      </w:pPr>
      <w:r>
        <w:rPr>
          <w:rFonts w:ascii="Barlow Semi Condensed" w:cs="Barlow Semi Condensed" w:eastAsia="Barlow Semi Condensed" w:hAnsi="Barlow Semi Condensed"/>
          <w:sz w:val="24"/>
          <w:szCs w:val="24"/>
        </w:rPr>
        <w:t xml:space="preserve">14. Moro, Aldo, «Le lettere dalla prigionia», edizione critica dei testi vergati durante il sequestro (raccolta e apparato).</w:t>
      </w:r>
    </w:p>
    <w:p>
      <w:pPr>
        <w:spacing w:after="40"/>
        <w:ind w:left="360"/>
        <w:jc w:val="both"/>
      </w:pPr>
      <w:r>
        <w:rPr>
          <w:rFonts w:ascii="Barlow Semi Condensed" w:cs="Barlow Semi Condensed" w:eastAsia="Barlow Semi Condensed" w:hAnsi="Barlow Semi Condensed"/>
          <w:sz w:val="24"/>
          <w:szCs w:val="24"/>
        </w:rPr>
        <w:t xml:space="preserve">15. Moro, Aldo, corpus integrale degli scritti e degli interventi 1932–1978, raccolta cronologica dei testi (dataset documentale del progetto di ricerca ENEIDE).</w:t>
      </w:r>
    </w:p>
    <w:p>
      <w:pPr>
        <w:pStyle w:val="Heading3"/>
        <w:spacing w:after="80" w:before="160"/>
      </w:pPr>
      <w:r>
        <w:rPr>
          <w:rFonts w:ascii="Barlow Semi Condensed" w:cs="Barlow Semi Condensed" w:eastAsia="Barlow Semi Condensed" w:hAnsi="Barlow Semi Condensed"/>
          <w:sz w:val="24"/>
          <w:szCs w:val="24"/>
        </w:rPr>
        <w:t xml:space="preserve">IV. Il sequestro, la prigionia e le indagini (fonti d'inchiesta e storiografiche)</w:t>
      </w:r>
    </w:p>
    <w:p>
      <w:pPr>
        <w:spacing w:after="40"/>
        <w:ind w:left="360"/>
        <w:jc w:val="both"/>
      </w:pPr>
      <w:r>
        <w:rPr>
          <w:rFonts w:ascii="Barlow Semi Condensed" w:cs="Barlow Semi Condensed" w:eastAsia="Barlow Semi Condensed" w:hAnsi="Barlow Semi Condensed"/>
          <w:sz w:val="24"/>
          <w:szCs w:val="24"/>
        </w:rPr>
        <w:t xml:space="preserve">16. Calogero, Pietro, Carlo Fumian e Michele Sartori, «Terrore rosso. Dall'autonomia al partito armato», Roma-Bari, Laterza, 2010.</w:t>
      </w:r>
    </w:p>
    <w:p>
      <w:pPr>
        <w:spacing w:after="40"/>
        <w:ind w:left="360"/>
        <w:jc w:val="both"/>
      </w:pPr>
      <w:r>
        <w:rPr>
          <w:rFonts w:ascii="Barlow Semi Condensed" w:cs="Barlow Semi Condensed" w:eastAsia="Barlow Semi Condensed" w:hAnsi="Barlow Semi Condensed"/>
          <w:sz w:val="24"/>
          <w:szCs w:val="24"/>
        </w:rPr>
        <w:t xml:space="preserve">17. De Prospo, Salvatore e Rosario Priore, «Chi manovrava le Brigate rosse? Storia e misteri dell'Hyperion di Parigi, scuola di lingue e centrale del terrorismo internazionale», Firenze, Ponte alle Grazie, 2011.</w:t>
      </w:r>
    </w:p>
    <w:p>
      <w:pPr>
        <w:spacing w:after="40"/>
        <w:ind w:left="360"/>
        <w:jc w:val="both"/>
      </w:pPr>
      <w:r>
        <w:rPr>
          <w:rFonts w:ascii="Barlow Semi Condensed" w:cs="Barlow Semi Condensed" w:eastAsia="Barlow Semi Condensed" w:hAnsi="Barlow Semi Condensed"/>
          <w:sz w:val="24"/>
          <w:szCs w:val="24"/>
        </w:rPr>
        <w:t xml:space="preserve">18. Relazione della Commissione parlamentare d'inchiesta sul sequestro e sull'assassinio di Aldo Moro — audizioni relative alla strage di via Fani, alle trattative e alla scuola di lingue Hypérion (atti). https://www.parlamento.it/</w:t>
      </w:r>
    </w:p>
    <w:p>
      <w:pPr>
        <w:pStyle w:val="Heading3"/>
        <w:spacing w:after="80" w:before="160"/>
      </w:pPr>
      <w:r>
        <w:rPr>
          <w:rFonts w:ascii="Barlow Semi Condensed" w:cs="Barlow Semi Condensed" w:eastAsia="Barlow Semi Condensed" w:hAnsi="Barlow Semi Condensed"/>
          <w:sz w:val="24"/>
          <w:szCs w:val="24"/>
        </w:rPr>
        <w:t xml:space="preserve">V. Metodologia: epistemologia, teoria delle reti e analisi probabilistica</w:t>
      </w:r>
    </w:p>
    <w:p>
      <w:pPr>
        <w:spacing w:after="40"/>
        <w:ind w:left="360"/>
        <w:jc w:val="both"/>
      </w:pPr>
      <w:r>
        <w:rPr>
          <w:rFonts w:ascii="Barlow Semi Condensed" w:cs="Barlow Semi Condensed" w:eastAsia="Barlow Semi Condensed" w:hAnsi="Barlow Semi Condensed"/>
          <w:sz w:val="24"/>
          <w:szCs w:val="24"/>
        </w:rPr>
        <w:t xml:space="preserve">19. Blondel, Vincent D., Jean-Loup Guillaume, Renaud Lambiotte e Etienne Lefebvre, «Fast unfolding of communities in large networks», Journal of Statistical Mechanics, 2008.</w:t>
      </w:r>
    </w:p>
    <w:p>
      <w:pPr>
        <w:spacing w:after="40"/>
        <w:ind w:left="360"/>
        <w:jc w:val="both"/>
      </w:pPr>
      <w:r>
        <w:rPr>
          <w:rFonts w:ascii="Barlow Semi Condensed" w:cs="Barlow Semi Condensed" w:eastAsia="Barlow Semi Condensed" w:hAnsi="Barlow Semi Condensed"/>
          <w:sz w:val="24"/>
          <w:szCs w:val="24"/>
        </w:rPr>
        <w:t xml:space="preserve">20. Burt, Ronald S., «Structural Holes: The Social Structure of Competition», Harvard University Press, 1992.</w:t>
      </w:r>
    </w:p>
    <w:p>
      <w:pPr>
        <w:spacing w:after="40"/>
        <w:ind w:left="360"/>
        <w:jc w:val="both"/>
      </w:pPr>
      <w:r>
        <w:rPr>
          <w:rFonts w:ascii="Barlow Semi Condensed" w:cs="Barlow Semi Condensed" w:eastAsia="Barlow Semi Condensed" w:hAnsi="Barlow Semi Condensed"/>
          <w:sz w:val="24"/>
          <w:szCs w:val="24"/>
        </w:rPr>
        <w:t xml:space="preserve">21. Catino, Maurizio, «Mafia Organizations: The Visible Hand of Criminal Enterprise», Cambridge University Press, 2019.</w:t>
      </w:r>
    </w:p>
    <w:p>
      <w:pPr>
        <w:spacing w:after="40"/>
        <w:ind w:left="360"/>
        <w:jc w:val="both"/>
      </w:pPr>
      <w:r>
        <w:rPr>
          <w:rFonts w:ascii="Barlow Semi Condensed" w:cs="Barlow Semi Condensed" w:eastAsia="Barlow Semi Condensed" w:hAnsi="Barlow Semi Condensed"/>
          <w:sz w:val="24"/>
          <w:szCs w:val="24"/>
        </w:rPr>
        <w:t xml:space="preserve">22. Freeman, Linton C., «Centrality in Social Networks: Conceptual Clarification», Social Networks, 1, 1978–1979.</w:t>
      </w:r>
    </w:p>
    <w:p>
      <w:pPr>
        <w:spacing w:after="40"/>
        <w:ind w:left="360"/>
        <w:jc w:val="both"/>
      </w:pPr>
      <w:r>
        <w:rPr>
          <w:rFonts w:ascii="Barlow Semi Condensed" w:cs="Barlow Semi Condensed" w:eastAsia="Barlow Semi Condensed" w:hAnsi="Barlow Semi Condensed"/>
          <w:sz w:val="24"/>
          <w:szCs w:val="24"/>
        </w:rPr>
        <w:t xml:space="preserve">23. Ginzburg, Carlo, «Spie: radici di un paradigma indiziario», in «Miti, emblemi, spie», Einaudi, 1986.</w:t>
      </w:r>
    </w:p>
    <w:p>
      <w:pPr>
        <w:spacing w:after="40"/>
        <w:ind w:left="360"/>
        <w:jc w:val="both"/>
      </w:pPr>
      <w:r>
        <w:rPr>
          <w:rFonts w:ascii="Barlow Semi Condensed" w:cs="Barlow Semi Condensed" w:eastAsia="Barlow Semi Condensed" w:hAnsi="Barlow Semi Condensed"/>
          <w:sz w:val="24"/>
          <w:szCs w:val="24"/>
        </w:rPr>
        <w:t xml:space="preserve">24. Heuer, Richards J. Jr., «Psychology of Intelligence Analysis», Center for the Study of Intelligence, CIA, 1999.</w:t>
      </w:r>
    </w:p>
    <w:p>
      <w:pPr>
        <w:spacing w:after="40"/>
        <w:ind w:left="360"/>
        <w:jc w:val="both"/>
      </w:pPr>
      <w:r>
        <w:rPr>
          <w:rFonts w:ascii="Barlow Semi Condensed" w:cs="Barlow Semi Condensed" w:eastAsia="Barlow Semi Condensed" w:hAnsi="Barlow Semi Condensed"/>
          <w:sz w:val="24"/>
          <w:szCs w:val="24"/>
        </w:rPr>
        <w:t xml:space="preserve">25. Kivelä, Mikko et al., «Multilayer networks», Journal of Complex Networks, 2, 2014.</w:t>
      </w:r>
    </w:p>
    <w:p>
      <w:pPr>
        <w:spacing w:after="40"/>
        <w:ind w:left="360"/>
        <w:jc w:val="both"/>
      </w:pPr>
      <w:r>
        <w:rPr>
          <w:rFonts w:ascii="Barlow Semi Condensed" w:cs="Barlow Semi Condensed" w:eastAsia="Barlow Semi Condensed" w:hAnsi="Barlow Semi Condensed"/>
          <w:sz w:val="24"/>
          <w:szCs w:val="24"/>
        </w:rPr>
        <w:t xml:space="preserve">26. Luhmann, Niklas, «Soziale Systeme», Suhrkamp, 1984 (trad. it. «Sistemi sociali», 1990).</w:t>
      </w:r>
    </w:p>
    <w:p>
      <w:pPr>
        <w:spacing w:after="40"/>
        <w:ind w:left="360"/>
        <w:jc w:val="both"/>
      </w:pPr>
      <w:r>
        <w:rPr>
          <w:rFonts w:ascii="Barlow Semi Condensed" w:cs="Barlow Semi Condensed" w:eastAsia="Barlow Semi Condensed" w:hAnsi="Barlow Semi Condensed"/>
          <w:sz w:val="24"/>
          <w:szCs w:val="24"/>
        </w:rPr>
        <w:t xml:space="preserve">27. Newman, Mark, «Networks: An Introduction», Oxford University Press, 2010.</w:t>
      </w:r>
    </w:p>
    <w:p>
      <w:pPr>
        <w:spacing w:after="40"/>
        <w:ind w:left="360"/>
        <w:jc w:val="both"/>
      </w:pPr>
      <w:r>
        <w:rPr>
          <w:rFonts w:ascii="Barlow Semi Condensed" w:cs="Barlow Semi Condensed" w:eastAsia="Barlow Semi Condensed" w:hAnsi="Barlow Semi Condensed"/>
          <w:sz w:val="24"/>
          <w:szCs w:val="24"/>
        </w:rPr>
        <w:t xml:space="preserve">28. Popper, Karl R., «Logik der Forschung», Springer, 1934 («The Logic of Scientific Discovery», 1959).</w:t>
      </w:r>
    </w:p>
    <w:p>
      <w:pPr>
        <w:spacing w:after="40"/>
        <w:ind w:left="360"/>
        <w:jc w:val="both"/>
      </w:pPr>
      <w:r>
        <w:rPr>
          <w:rFonts w:ascii="Barlow Semi Condensed" w:cs="Barlow Semi Condensed" w:eastAsia="Barlow Semi Condensed" w:hAnsi="Barlow Semi Condensed"/>
          <w:sz w:val="24"/>
          <w:szCs w:val="24"/>
        </w:rPr>
        <w:t xml:space="preserve">29. Russell, Bertrand, «The Problems of Philosophy», Williams and Norgate, 1912.</w:t>
      </w:r>
    </w:p>
    <w:p>
      <w:pPr>
        <w:spacing w:after="40"/>
        <w:ind w:left="360"/>
        <w:jc w:val="both"/>
      </w:pPr>
      <w:r>
        <w:rPr>
          <w:rFonts w:ascii="Barlow Semi Condensed" w:cs="Barlow Semi Condensed" w:eastAsia="Barlow Semi Condensed" w:hAnsi="Barlow Semi Condensed"/>
          <w:sz w:val="24"/>
          <w:szCs w:val="24"/>
        </w:rPr>
        <w:t xml:space="preserve">30. Savona, Ernesto U. (a cura di), «European Money Trails», Harwood Academic Publishers, 1999.</w:t>
      </w:r>
    </w:p>
    <w:p>
      <w:pPr>
        <w:spacing w:after="40"/>
        <w:ind w:left="360"/>
        <w:jc w:val="both"/>
      </w:pPr>
      <w:r>
        <w:rPr>
          <w:rFonts w:ascii="Barlow Semi Condensed" w:cs="Barlow Semi Condensed" w:eastAsia="Barlow Semi Condensed" w:hAnsi="Barlow Semi Condensed"/>
          <w:sz w:val="24"/>
          <w:szCs w:val="24"/>
        </w:rPr>
        <w:t xml:space="preserve">31. Wasserman, Stanley e Katherine Faust, «Social Network Analysis: Methods and Applications», Cambridge University Press, 1994.</w:t>
      </w:r>
    </w:p>
    <w:p>
      <w:pPr>
        <w:spacing w:after="40"/>
        <w:ind w:left="360"/>
        <w:jc w:val="both"/>
      </w:pPr>
      <w:r>
        <w:rPr>
          <w:rFonts w:ascii="Barlow Semi Condensed" w:cs="Barlow Semi Condensed" w:eastAsia="Barlow Semi Condensed" w:hAnsi="Barlow Semi Condensed"/>
          <w:sz w:val="24"/>
          <w:szCs w:val="24"/>
        </w:rPr>
        <w:t xml:space="preserve">32. Whewell, William, «The Philosophy of the Inductive Sciences», Parker, 1840.</w:t>
      </w:r>
    </w:p>
    <w:p>
      <w:pPr>
        <w:spacing w:after="40"/>
        <w:ind w:left="360"/>
        <w:jc w:val="both"/>
      </w:pPr>
      <w:r>
        <w:rPr>
          <w:rFonts w:ascii="Barlow Semi Condensed" w:cs="Barlow Semi Condensed" w:eastAsia="Barlow Semi Condensed" w:hAnsi="Barlow Semi Condensed"/>
          <w:sz w:val="24"/>
          <w:szCs w:val="24"/>
        </w:rPr>
        <w:t xml:space="preserve">33. Wilson, Edward O., «Consilience: The Unity of Knowledge», Alfred A. Knopf, 1998.</w:t>
      </w:r>
    </w:p>
    <w:p>
      <w:pPr>
        <w:pStyle w:val="Heading3"/>
        <w:spacing w:after="80" w:before="160"/>
      </w:pPr>
      <w:r>
        <w:rPr>
          <w:rFonts w:ascii="Barlow Semi Condensed" w:cs="Barlow Semi Condensed" w:eastAsia="Barlow Semi Condensed" w:hAnsi="Barlow Semi Condensed"/>
          <w:sz w:val="24"/>
          <w:szCs w:val="24"/>
        </w:rPr>
        <w:t xml:space="preserve">VI. Contesto: intelligence, eversione e reti internazionali</w:t>
      </w:r>
    </w:p>
    <w:p>
      <w:pPr>
        <w:spacing w:after="40"/>
        <w:ind w:left="360"/>
        <w:jc w:val="both"/>
      </w:pPr>
      <w:r>
        <w:rPr>
          <w:rFonts w:ascii="Barlow Semi Condensed" w:cs="Barlow Semi Condensed" w:eastAsia="Barlow Semi Condensed" w:hAnsi="Barlow Semi Condensed"/>
          <w:sz w:val="24"/>
          <w:szCs w:val="24"/>
        </w:rPr>
        <w:t xml:space="preserve">34. Agenzia Informazioni e Sicurezza Interna — «Gnosis», rivista italiana di intelligence, archivio degli articoli (risorsa istituzionale). https://gnosis.aisi.gov.it/</w:t>
      </w:r>
    </w:p>
    <w:p>
      <w:pPr>
        <w:spacing w:after="40"/>
        <w:ind w:left="360"/>
        <w:jc w:val="both"/>
      </w:pPr>
      <w:r>
        <w:rPr>
          <w:rFonts w:ascii="Barlow Semi Condensed" w:cs="Barlow Semi Condensed" w:eastAsia="Barlow Semi Condensed" w:hAnsi="Barlow Semi Condensed"/>
          <w:sz w:val="24"/>
          <w:szCs w:val="24"/>
        </w:rPr>
        <w:t xml:space="preserve">35. Fondazione Luigi Micheletti — «Studi Bresciani», studi sul terrorismo e sull'eversione (biblioteca digitale). https://www.fondazionemicheletti.eu/</w:t>
      </w:r>
    </w:p>
    <w:p>
      <w:pPr>
        <w:spacing w:after="40"/>
        <w:ind w:left="360"/>
        <w:jc w:val="both"/>
      </w:pPr>
      <w:r>
        <w:rPr>
          <w:rFonts w:ascii="Barlow Semi Condensed" w:cs="Barlow Semi Condensed" w:eastAsia="Barlow Semi Condensed" w:hAnsi="Barlow Semi Condensed"/>
          <w:sz w:val="24"/>
          <w:szCs w:val="24"/>
        </w:rPr>
        <w:t xml:space="preserve">36. Ministero della Cultura — Portale «Memoria», scheda documentale sul tentato golpe Borghese (risorsa pubblica). https://memoria.cultura.gov.it/it/w/il-tentato-golpe-borghese</w:t>
      </w:r>
    </w:p>
    <w:p>
      <w:pPr>
        <w:spacing w:after="120" w:line="276"/>
        <w:jc w:val="both"/>
      </w:pPr>
      <w:r>
        <w:rPr>
          <w:rFonts w:ascii="Barlow Semi Condensed" w:cs="Barlow Semi Condensed" w:eastAsia="Barlow Semi Condensed" w:hAnsi="Barlow Semi Condensed"/>
          <w:sz w:val="24"/>
          <w:szCs w:val="24"/>
        </w:rPr>
        <w:t xml:space="preserve">Nota sulle fonti e sul metodo di citazione. Le voci prive di collegamento ipertestuale rinviano a opere a stampa o a fondi documentali consultabili presso gli enti indicati nella sezione degli archivi. Per le fonti giudiziarie — sentenze e atti processuali relativi al sequestro e all'omicidio di Aldo Moro — si rinvia agli originali depositati presso le cancellerie competenti e, ove desecretati, ai fondi dell'Archivio Centrale dello Stato citati nella prima sezione. La distinzione dei livelli probatori adottata nel testo — accertato, indiziario, ipotetico — si fonda sulla natura e sul numero delle fonti a sostegno di ciascuna affermazione, secondo lo standard di triangolazione dichiarato nella parte metodologica.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«Siamo libri aperti all'ultima pagina»</w:t>
      </w:r>
    </w:p>
    <w:p>
      <w:pPr>
        <w:pStyle w:val="Heading3"/>
        <w:spacing w:after="80" w:before="240"/>
      </w:pPr>
      <w:r>
        <w:rPr>
          <w:rFonts w:ascii="Barlow Semi Condensed" w:cs="Barlow Semi Condensed" w:eastAsia="Barlow Semi Condensed" w:hAnsi="Barlow Semi Condensed"/>
          <w:sz w:val="24"/>
          <w:szCs w:val="24"/>
        </w:rPr>
        <w:t xml:space="preserve">Apparato grafico — Libro quarto · Il Dossier maggiore: «Una Pace senza Pace · Tutta la verit</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255.035 parole in 9 sezioni; la più ampia è §5 FASE IV, con 74.174.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17 indirizzi di fonte citati, addensati in 1 sezione su 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quantificata degli elenchi: 962 nominativi, di cui 44 parlamentari e 3 ministri in carica. Le categorie senza cifra non sono rappresentate.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Tre anni e un giorno separano via Fani dal sequestro degli elenchi: la finestra dei 55 giorni non è documentabile con una lista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la documentazione si addensa sui 55 giorni e si dirada prima e dopo. Novembre 1978 non ha una sola data.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Feltrinelli, il vettore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2.147 parole in 7 sezioni; la più ampia è §3 III. Il vettore: come un editore fabbrica un'…, con 445.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33 indirizzi di fonte citati, addensati in 6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La triangolazione di Feltrinelli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1.737 parole in 4 sezioni; la più ampia è §2 2. I ponti con il corpus, con 717.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18 indirizzi di fonte citati, addensati in 1 sezione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nodo 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1.383 parole in 5 sezioni; la più ampia è §1 1. I fatti documentati, con 467.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17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L'incrocio Feltrinelli-Hyperion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1.043 parole in 5 sezioni; la più ampia è §2 2. I ponti documentati, con 407.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ceppo Simioni: la terza strada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2.496 parole in 4 sezioni; la più ampia è §3 Segmento 3, con 757.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12 indirizzi di fonte citati, addensati in 2 sezioni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Il Tribunale Speciale: l'istituzione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1.747 parole in 8 sezioni; la più ampia è §6 VI. La fine e le due eredità, con 254.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30 indirizzi di fonte citati, addensati in 6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otto sottonodi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1.269 parole in 9 sezioni; la più ampia è §4 S, con 220.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17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amnistiati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1.633 parole in 6 sezioni; la più ampia è §2 1. Amnistia del decennale fascista (novembre …, con 1.018.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62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Le questioni aperte: il ritorno del Pollo di Popper</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settimo · Le questioni aperte: il ritorno del Pollo di Popper</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3.451 parole in 9 sezioni; la più ampia è §9 Altre sezioni, con 1.549.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 Il presidio del garante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Il presidio del garante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2.109 parole in 4 sezioni; la più ampia è §3 Segmento 3, con 656.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32 paragrafi in 4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Le metodologie del Dossier, calcolate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2.457 parole in 9 sezioni; la più ampia è §5 4. L'analisi delle ipotesi concorrenti  sui n…, con 536.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30 paragrafi in 9 sezioni, 3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registro giudiziario</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nono · Il registro giudiziario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2.171 parole in 3 sezioni; la più ampia è §2 Segmento 2, con 787.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9 indirizzi di fonte citati, addensati in 3 sezioni su 3.</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II — Appendice quinta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QUINTA ALLA FASE SETTIMA</w:t>
      </w:r>
    </w:p>
    <w:p>
      <w:pPr>
        <w:pStyle w:val="Heading2"/>
        <w:spacing w:after="100" w:before="200"/>
      </w:pPr>
      <w:r>
        <w:rPr>
          <w:rFonts w:ascii="Barlow Semi Condensed" w:cs="Barlow Semi Condensed" w:eastAsia="Barlow Semi Condensed" w:hAnsi="Barlow Semi Condensed"/>
          <w:sz w:val="24"/>
          <w:szCs w:val="24"/>
        </w:rPr>
        <w:t xml:space="preserve">La catalogazione multipla e la divergenza dei rinvii</w:t>
      </w:r>
    </w:p>
    <w:p>
      <w:pPr>
        <w:pStyle w:val="Heading2"/>
        <w:spacing w:after="100" w:before="200"/>
      </w:pPr>
      <w:r>
        <w:rPr>
          <w:rFonts w:ascii="Barlow Semi Condensed" w:cs="Barlow Semi Condensed" w:eastAsia="Barlow Semi Condensed" w:hAnsi="Barlow Semi Condensed"/>
          <w:sz w:val="24"/>
          <w:szCs w:val="24"/>
        </w:rPr>
        <w:t xml:space="preserve">Il collasso genealogico misurato su materiale documentato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quinta</w:t>
      </w:r>
    </w:p>
    <w:p>
      <w:pPr>
        <w:spacing w:after="120" w:line="276"/>
        <w:jc w:val="both"/>
      </w:pPr>
      <w:r>
        <w:rPr>
          <w:rFonts w:ascii="Barlow Semi Condensed" w:cs="Barlow Semi Condensed" w:eastAsia="Barlow Semi Condensed" w:hAnsi="Barlow Semi Condensed"/>
          <w:b/>
          <w:bCs/>
          <w:sz w:val="24"/>
          <w:szCs w:val="24"/>
        </w:rPr>
        <w:t xml:space="preserve">La presente è appendice quinta alla Fase Settima e opera sulle tre unità d'indice restanti della medesima serie parlamentare: quella dedicata alla struttura clandestina di difesa, stampata a partire dalla pagina settecentottantacinque; quella dedicata al disastro aereo, a partire dalla pagina ottocentocinquantuno; e quella dedicata ai procedimenti giudiziari su fatti di strage, a partire dalla pagina novecentoquindici. Come le quattro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Il suo oggetto non è il caso in senso stretto. È una proprietà del sistema di catalogazione entro il quale gli atti del caso sono conservati, e la ragione per la quale essa appartiene all'opera va detta subito. La verifica genealogica, dall'appendice seconda in poi, ha asserito che l'acquisizione non genera catena e che due esposizioni della medesima fonte non sono due fonti. Fino a oggi quella asserzione era una regola dedotta. Le tre unità qui impiegate la rendono, per la prima volta, una regolarità misurata su materiale documentato, poiché esse recano il caso nel quale il medesimo atto compare sotto più chiavi di catalogo, ciascuna delle quali ha l'apparenza di una fonte distinta.</w:t>
      </w:r>
    </w:p>
    <w:p>
      <w:pPr>
        <w:pStyle w:val="Heading2"/>
        <w:spacing w:after="100" w:before="200"/>
      </w:pPr>
      <w:r>
        <w:rPr>
          <w:rFonts w:ascii="Barlow Semi Condensed" w:cs="Barlow Semi Condensed" w:eastAsia="Barlow Semi Condensed" w:hAnsi="Barlow Semi Condensed"/>
          <w:sz w:val="24"/>
          <w:szCs w:val="24"/>
        </w:rPr>
        <w:t xml:space="preserve">Parte prima — Le tre unità e la loro natura</w:t>
      </w:r>
    </w:p>
    <w:p>
      <w:pPr>
        <w:spacing w:after="120" w:line="276"/>
        <w:jc w:val="both"/>
      </w:pPr>
      <w:r>
        <w:rPr>
          <w:rFonts w:ascii="Barlow Semi Condensed" w:cs="Barlow Semi Condensed" w:eastAsia="Barlow Semi Condensed" w:hAnsi="Barlow Semi Condensed"/>
          <w:b/>
          <w:bCs/>
          <w:sz w:val="24"/>
          <w:szCs w:val="24"/>
        </w:rPr>
        <w:t xml:space="preserve">L'unità dedicata alla struttura clandestina consta di novecentonovantasette voci e di circa quattordicimila parole; quella dedicata al disastro aereo di millecentotrentasette voci e di circa diciassettemilacinquecento parole. Entrambe sono indici di acquisizione della medesima specie di quello già impiegato, e recano la medesima struttura: ufficio emittente, oggetto, data di pervenimento, regime, chiave, rinvii.</w:t>
      </w:r>
    </w:p>
    <w:p>
      <w:pPr>
        <w:spacing w:after="120" w:line="276"/>
        <w:jc w:val="both"/>
      </w:pPr>
      <w:r>
        <w:rPr>
          <w:rFonts w:ascii="Barlow Semi Condensed" w:cs="Barlow Semi Condensed" w:eastAsia="Barlow Semi Condensed" w:hAnsi="Barlow Semi Condensed"/>
          <w:b/>
          <w:bCs/>
          <w:sz w:val="24"/>
          <w:szCs w:val="24"/>
        </w:rPr>
        <w:t xml:space="preserve">L'unità dedicata ai procedimenti di strage è di tutt'altra natura e di gran lunga la più breve, constando di ventuno voci. Essa non elenca documenti ma procedimenti, e dichiara che gli atti processuali di ciascuno sono stati selezionati dalla Commissione e immessi in una autonoma banca dati accessibile secondo il criterio della ricerca testuale. Essa dichiara altresì che i rinvii riguardano documenti non soggetti a pubblicazione, versati all'archivio storico del Senato, e che i procedimenti sono identificati per il nome convenzionalmente usato presso gli uffici giudiziari.</w:t>
      </w:r>
    </w:p>
    <w:p>
      <w:pPr>
        <w:spacing w:after="120" w:line="276"/>
        <w:jc w:val="both"/>
      </w:pPr>
      <w:r>
        <w:rPr>
          <w:rFonts w:ascii="Barlow Semi Condensed" w:cs="Barlow Semi Condensed" w:eastAsia="Barlow Semi Condensed" w:hAnsi="Barlow Semi Condensed"/>
          <w:b/>
          <w:bCs/>
          <w:sz w:val="24"/>
          <w:szCs w:val="24"/>
        </w:rPr>
        <w:t xml:space="preserve">Questa terza unità, benché la più esigua, è la più rilevante ai fini della tavola, e la ragione è che essa nomina una sede. Le voci della tavola che domandano atti processuali indicano fino a oggi come sede gli uffici giudiziari competenti, il che è esatto e generico. La presente unità stabilisce che una selezione di atti processuali esiste in forma testualmente interrogabile presso un organo parlamentare, e che i documenti non pubblicabili sono stati versati a un archivio storico determinato. Ne segue che per una parte delle voci esiste una seconda via di reperimento, più breve della prima e non alternativa ad essa.</w:t>
      </w:r>
    </w:p>
    <w:p>
      <w:pPr>
        <w:pStyle w:val="Heading2"/>
        <w:spacing w:after="100" w:before="200"/>
      </w:pPr>
      <w:r>
        <w:rPr>
          <w:rFonts w:ascii="Barlow Semi Condensed" w:cs="Barlow Semi Condensed" w:eastAsia="Barlow Semi Condensed" w:hAnsi="Barlow Semi Condensed"/>
          <w:sz w:val="24"/>
          <w:szCs w:val="24"/>
        </w:rPr>
        <w:t xml:space="preserve">Parte seconda — La catalogazione multipla, misurata</w:t>
      </w:r>
    </w:p>
    <w:p>
      <w:pPr>
        <w:spacing w:after="120" w:line="276"/>
        <w:jc w:val="both"/>
      </w:pPr>
      <w:r>
        <w:rPr>
          <w:rFonts w:ascii="Barlow Semi Condensed" w:cs="Barlow Semi Condensed" w:eastAsia="Barlow Semi Condensed" w:hAnsi="Barlow Semi Condensed"/>
          <w:b/>
          <w:bCs/>
          <w:sz w:val="24"/>
          <w:szCs w:val="24"/>
        </w:rPr>
        <w:t xml:space="preserve">Si espone la misura secondo la disciplina che la campagna ha imposta: dichiarata come tetto o come soglia, con la procedura, e ristretta prima che se ne traggano conseguenze.</w:t>
      </w:r>
    </w:p>
    <w:p>
      <w:pPr>
        <w:spacing w:after="120" w:line="276"/>
        <w:jc w:val="both"/>
      </w:pPr>
      <w:r>
        <w:rPr>
          <w:rFonts w:ascii="Barlow Semi Condensed" w:cs="Barlow Semi Condensed" w:eastAsia="Barlow Semi Condensed" w:hAnsi="Barlow Semi Condensed"/>
          <w:b/>
          <w:bCs/>
          <w:sz w:val="24"/>
          <w:szCs w:val="24"/>
        </w:rPr>
        <w:t xml:space="preserve">Nell'indice di acquisizione del fascicolo dedicato al caso, computato al netto dell'indice tematico che lo segue, quattordici unità su cinquanta recano un rinvio a un altro fascicolo. Le chiavi di destinazione sono diciotto esterne al fascicolo e una interna. I fascicoli di destinazione sono sette, e sono quelli dedicati al terrorismo di sinistra, alla loggia coperta, alla struttura clandestina di difesa, a una struttura informativa parallela, alla criminalità organizzata connessa al traffico di stupefacenti e al terrorismo, alla banca dati e alle materie varie.</w:t>
      </w:r>
    </w:p>
    <w:p>
      <w:pPr>
        <w:spacing w:after="120" w:line="276"/>
        <w:jc w:val="both"/>
      </w:pPr>
      <w:r>
        <w:rPr>
          <w:rFonts w:ascii="Barlow Semi Condensed" w:cs="Barlow Semi Condensed" w:eastAsia="Barlow Semi Condensed" w:hAnsi="Barlow Semi Condensed"/>
          <w:b/>
          <w:bCs/>
          <w:sz w:val="24"/>
          <w:szCs w:val="24"/>
        </w:rPr>
        <w:t xml:space="preserve">Complessivamente, sulle tre unità d'indice qui impiegate, si contano sessanta rinvii dichiarati.</w:t>
      </w:r>
    </w:p>
    <w:p>
      <w:pPr>
        <w:spacing w:after="120" w:line="276"/>
        <w:jc w:val="both"/>
      </w:pPr>
      <w:r>
        <w:rPr>
          <w:rFonts w:ascii="Barlow Semi Condensed" w:cs="Barlow Semi Condensed" w:eastAsia="Barlow Semi Condensed" w:hAnsi="Barlow Semi Condensed"/>
          <w:b/>
          <w:bCs/>
          <w:sz w:val="24"/>
          <w:szCs w:val="24"/>
        </w:rPr>
        <w:t xml:space="preserve">Questa misura non è un tetto. È una soglia, ed è la prima misura delle appendici che vada dichiarata in questo verso anziché nell'altro. La ragione è di procedura di compilazione: un rinvio compare dove il compilatore lo ha notato e apposto, e non esiste alcuna garanzia che ogni catalogazione multipla sia stata dichiarata in tutti i fascicoli che la riguardano. La reciprocità dei rinvii non è verificata, e la Parte terza mostrerà che dove è verificabile non sempre regge. Ne segue che il numero reale delle unità catalogate sotto più chiavi è pari o superiore a quattordici su cinquanta, e che quel rapporto va impiegato come limite inferiore.</w:t>
      </w:r>
    </w:p>
    <w:p>
      <w:pPr>
        <w:spacing w:after="120" w:line="276"/>
        <w:jc w:val="both"/>
      </w:pPr>
      <w:r>
        <w:rPr>
          <w:rFonts w:ascii="Barlow Semi Condensed" w:cs="Barlow Semi Condensed" w:eastAsia="Barlow Semi Condensed" w:hAnsi="Barlow Semi Condensed"/>
          <w:b/>
          <w:bCs/>
          <w:sz w:val="24"/>
          <w:szCs w:val="24"/>
        </w:rPr>
        <w:t xml:space="preserve">Il caso estremo censito non appartiene al fascicolo del caso ma va riportato perché fissa l'ordine di grandezza del fenomeno. La documentazione trasmessa dal Presidente del Consiglio in carica in risposta ai quesiti postigli nel corso dell'audizione del tre agosto millenovecentonovanta compare, nel processo verbale che la registra, sotto cinque chiavi appartenenti a cinque fascicoli distinti: quello del disastro aereo, quello della loggia coperta, quello di una strage del millenovecentosettantadue, quello dei legami internazionali del terrorismo e quello di una struttura informativa parallela.</w:t>
      </w:r>
    </w:p>
    <w:p>
      <w:pPr>
        <w:spacing w:after="120" w:line="276"/>
        <w:jc w:val="both"/>
      </w:pPr>
      <w:r>
        <w:rPr>
          <w:rFonts w:ascii="Barlow Semi Condensed" w:cs="Barlow Semi Condensed" w:eastAsia="Barlow Semi Condensed" w:hAnsi="Barlow Semi Condensed"/>
          <w:b/>
          <w:bCs/>
          <w:sz w:val="24"/>
          <w:szCs w:val="24"/>
        </w:rPr>
        <w:t xml:space="preserve">Un atto, cinque indirizzi. Chi ne citasse tre credendo di citarne tre ne citerebbe uno. È il collasso genealogico nella sua forma più semplice e più difficile da vedere, perché nulla nelle tre citazioni rivela che si tratti del medesimo foglio: differiscono la chiave, il fascicolo, e il contesto tematico entro il quale l'atto è collocato.</w:t>
      </w:r>
    </w:p>
    <w:p>
      <w:pPr>
        <w:spacing w:after="120" w:line="276"/>
        <w:jc w:val="both"/>
      </w:pPr>
      <w:r>
        <w:rPr>
          <w:rFonts w:ascii="Barlow Semi Condensed" w:cs="Barlow Semi Condensed" w:eastAsia="Barlow Semi Condensed" w:hAnsi="Barlow Semi Condensed"/>
          <w:b/>
          <w:bCs/>
          <w:sz w:val="24"/>
          <w:szCs w:val="24"/>
        </w:rPr>
        <w:t xml:space="preserve">Si enuncia la regola che ne discende, e si aggiunge alle sei della Parte settima dell'appendice seconda.</w:t>
      </w:r>
    </w:p>
    <w:p>
      <w:pPr>
        <w:spacing w:after="120" w:line="276"/>
        <w:jc w:val="both"/>
      </w:pPr>
      <w:r>
        <w:rPr>
          <w:rFonts w:ascii="Barlow Semi Condensed" w:cs="Barlow Semi Condensed" w:eastAsia="Barlow Semi Condensed" w:hAnsi="Barlow Semi Condensed"/>
          <w:b/>
          <w:bCs/>
          <w:sz w:val="24"/>
          <w:szCs w:val="24"/>
        </w:rPr>
        <w:t xml:space="preserve">Settima regola della risalita. La chiave di catalogo non è l'atto: è un indirizzo dell'atto. Un atto possiede tanti indirizzi quanti sono i fascicoli che lo riguardano, e la molteplicità degli indirizzi non moltiplica le catene. Prima di computare come distinte due fonti recate da chiavi diverse, si verifichi che non siano il medesimo documento con due recapiti.</w:t>
      </w:r>
    </w:p>
    <w:p>
      <w:pPr>
        <w:pStyle w:val="Heading2"/>
        <w:spacing w:after="100" w:before="200"/>
      </w:pPr>
      <w:r>
        <w:rPr>
          <w:rFonts w:ascii="Barlow Semi Condensed" w:cs="Barlow Semi Condensed" w:eastAsia="Barlow Semi Condensed" w:hAnsi="Barlow Semi Condensed"/>
          <w:sz w:val="24"/>
          <w:szCs w:val="24"/>
        </w:rPr>
        <w:t xml:space="preserve">Parte terza — Le tre divergenze accertate</w:t>
      </w:r>
    </w:p>
    <w:p>
      <w:pPr>
        <w:spacing w:after="120" w:line="276"/>
        <w:jc w:val="both"/>
      </w:pPr>
      <w:r>
        <w:rPr>
          <w:rFonts w:ascii="Barlow Semi Condensed" w:cs="Barlow Semi Condensed" w:eastAsia="Barlow Semi Condensed" w:hAnsi="Barlow Semi Condensed"/>
          <w:b/>
          <w:bCs/>
          <w:sz w:val="24"/>
          <w:szCs w:val="24"/>
        </w:rPr>
        <w:t xml:space="preserve">La verifica incrociata fra le unità d'indice ha prodotto tre divergenze, ciascuna delle quali riguarda la designazione di un atto e nessuna il suo contenuto. Si riportano tutte e tre, compresa quella che corregge un'affermazione dell'appendice quarta.</w:t>
      </w:r>
    </w:p>
    <w:p>
      <w:pPr>
        <w:spacing w:after="120" w:line="276"/>
        <w:jc w:val="both"/>
      </w:pPr>
      <w:r>
        <w:rPr>
          <w:rFonts w:ascii="Barlow Semi Condensed" w:cs="Barlow Semi Condensed" w:eastAsia="Barlow Semi Condensed" w:hAnsi="Barlow Semi Condensed"/>
          <w:b/>
          <w:bCs/>
          <w:sz w:val="24"/>
          <w:szCs w:val="24"/>
        </w:rPr>
        <w:t xml:space="preserve">Prima divergenza, già registrata. L'indice di acquisizione e l'indice tematico del medesimo fascicolo descrivono l'unità tredicesima con due anni diversi e due nomi diversi del primo imputato. Resta non risolta e la sua risoluzione richiede l'atto.</w:t>
      </w:r>
    </w:p>
    <w:p>
      <w:pPr>
        <w:spacing w:after="120" w:line="276"/>
        <w:jc w:val="both"/>
      </w:pPr>
      <w:r>
        <w:rPr>
          <w:rFonts w:ascii="Barlow Semi Condensed" w:cs="Barlow Semi Condensed" w:eastAsia="Barlow Semi Condensed" w:hAnsi="Barlow Semi Condensed"/>
          <w:b/>
          <w:bCs/>
          <w:sz w:val="24"/>
          <w:szCs w:val="24"/>
        </w:rPr>
        <w:t xml:space="preserve">Seconda divergenza, sulla chiave di destinazione. L'indice del fascicolo del caso, alla ventiduesima unità, rinvia a una chiave del fascicolo dedicato alla struttura clandestina indicandola con il numero quarantaquattro barra due. L'indice di quel medesimo fascicolo reca il medesimo atto — una relazione su un autore di un testo tecnico sulle tecniche di sabotaggio, pervenuta l'otto maggio millenovecentonovantuno — sotto il numero quindici barra due, e vi appone il rinvio reciproco al fascicolo del caso. Il processo verbale della ottantesima seduta, che è la fonte anteriore a entrambi gli indici, designa la chiave con la denominazione estesa del fascicolo, che comprende una struttura informativa parallela accanto alla struttura clandestina.</w:t>
      </w:r>
    </w:p>
    <w:p>
      <w:pPr>
        <w:spacing w:after="120" w:line="276"/>
        <w:jc w:val="both"/>
      </w:pPr>
      <w:r>
        <w:rPr>
          <w:rFonts w:ascii="Barlow Semi Condensed" w:cs="Barlow Semi Condensed" w:eastAsia="Barlow Semi Condensed" w:hAnsi="Barlow Semi Condensed"/>
          <w:b/>
          <w:bCs/>
          <w:sz w:val="24"/>
          <w:szCs w:val="24"/>
        </w:rPr>
        <w:t xml:space="preserve">La spiegazione più probabile è dunque che esistano due fascicoli distinti, e che il rinvio del primo indice abbia abbreviato la denominazione estesa del fascicolo di destinazione in modo tale da produrre una chiave che collide con quella di un fascicolo diverso. Si dichiara che questa è una ricostruzione dell'opera e non un dato del documento.</w:t>
      </w:r>
    </w:p>
    <w:p>
      <w:pPr>
        <w:spacing w:after="120" w:line="276"/>
        <w:jc w:val="both"/>
      </w:pPr>
      <w:r>
        <w:rPr>
          <w:rFonts w:ascii="Barlow Semi Condensed" w:cs="Barlow Semi Condensed" w:eastAsia="Barlow Semi Condensed" w:hAnsi="Barlow Semi Condensed"/>
          <w:b/>
          <w:bCs/>
          <w:sz w:val="24"/>
          <w:szCs w:val="24"/>
        </w:rPr>
        <w:t xml:space="preserve">Se ne trae la regola ottava. Un rinvio che abbrevi la denominazione del fascicolo di destinazione può produrre una chiave collidente. I rinvii si verificano sul fascicolo di destinazione e non su quello di partenza, poiché il fascicolo di partenza dichiara dove ha creduto di mandare e il fascicolo di destinazione dichiara che cosa possiede.</w:t>
      </w:r>
    </w:p>
    <w:p>
      <w:pPr>
        <w:spacing w:after="120" w:line="276"/>
        <w:jc w:val="both"/>
      </w:pPr>
      <w:r>
        <w:rPr>
          <w:rFonts w:ascii="Barlow Semi Condensed" w:cs="Barlow Semi Condensed" w:eastAsia="Barlow Semi Condensed" w:hAnsi="Barlow Semi Condensed"/>
          <w:b/>
          <w:bCs/>
          <w:sz w:val="24"/>
          <w:szCs w:val="24"/>
        </w:rPr>
        <w:t xml:space="preserve">Terza divergenza, e correzione a proprio sfavore. L'appendice quarta ha designato l'unità ventisettesima come recante, fra l'altro, la traduzione di un documento straniero sulle operazioni di stabilizzazione, pubblicato in lingua originale negli atti parlamentari a un volume, un documento e un numero determinati, e ha qualificato quella designazione come l'unica del fascicolo a recare una segnatura parlamentare completa, e pertanto come il rinvio più preciso verso il corpus maggiore.</w:t>
      </w:r>
    </w:p>
    <w:p>
      <w:pPr>
        <w:spacing w:after="120" w:line="276"/>
        <w:jc w:val="both"/>
      </w:pPr>
      <w:r>
        <w:rPr>
          <w:rFonts w:ascii="Barlow Semi Condensed" w:cs="Barlow Semi Condensed" w:eastAsia="Barlow Semi Condensed" w:hAnsi="Barlow Semi Condensed"/>
          <w:b/>
          <w:bCs/>
          <w:sz w:val="24"/>
          <w:szCs w:val="24"/>
        </w:rPr>
        <w:t xml:space="preserve">L'indice del fascicolo dedicato alla struttura clandestina reca il medesimo atto e la medesima segnatura, con una differenza: il numero romano del documento parlamentare è diverso. Uno dei due indici reca una segnatura errata, e il presente atto non stabilisce quale.</w:t>
      </w:r>
    </w:p>
    <w:p>
      <w:pPr>
        <w:spacing w:after="120" w:line="276"/>
        <w:jc w:val="both"/>
      </w:pPr>
      <w:r>
        <w:rPr>
          <w:rFonts w:ascii="Barlow Semi Condensed" w:cs="Barlow Semi Condensed" w:eastAsia="Barlow Semi Condensed" w:hAnsi="Barlow Semi Condensed"/>
          <w:b/>
          <w:bCs/>
          <w:sz w:val="24"/>
          <w:szCs w:val="24"/>
        </w:rPr>
        <w:t xml:space="preserve">La correzione va dunque apportata all'appendice quarta e si dichiara. La segnatura non è verificata. Essa era stata riportata come dato del documento, ed era dato di un documento soltanto; ora che si dispone di due documenti, essi divergono. L'affermazione secondo cui quella designazione costituiva il rinvio più preciso verso il corpus maggiore è mantenuta quanto alla completezza formale della segnatura, ed è revocata quanto alla sua affidabilità, che è nulla finché non sia risolta.</w:t>
      </w:r>
    </w:p>
    <w:p>
      <w:pPr>
        <w:spacing w:after="120" w:line="276"/>
        <w:jc w:val="both"/>
      </w:pPr>
      <w:r>
        <w:rPr>
          <w:rFonts w:ascii="Barlow Semi Condensed" w:cs="Barlow Semi Condensed" w:eastAsia="Barlow Semi Condensed" w:hAnsi="Barlow Semi Condensed"/>
          <w:b/>
          <w:bCs/>
          <w:sz w:val="24"/>
          <w:szCs w:val="24"/>
        </w:rPr>
        <w:t xml:space="preserve">Si osservi che la correzione è prodotta dalla medesima operazione che la Parte sesta dell'appendice quarta aveva prescritta poche ore prima, e che essa colpisce proprio l'affermazione che quell'appendice aveva formulata con maggiore sicurezza. La regola secondo cui un indice è una fonte e ha i propri errori era stata enunciata su un caso e applicata a nessuno; qui è applicata, e il primo atto che essa colpisce è quello di chi l'aveva enunciata.</w:t>
      </w:r>
    </w:p>
    <w:p>
      <w:pPr>
        <w:pStyle w:val="Heading2"/>
        <w:spacing w:after="100" w:before="200"/>
      </w:pPr>
      <w:r>
        <w:rPr>
          <w:rFonts w:ascii="Barlow Semi Condensed" w:cs="Barlow Semi Condensed" w:eastAsia="Barlow Semi Condensed" w:hAnsi="Barlow Semi Condensed"/>
          <w:sz w:val="24"/>
          <w:szCs w:val="24"/>
        </w:rPr>
        <w:t xml:space="preserve">Parte quarta — Il verso favorevole della catalogazione multipla</w:t>
      </w:r>
    </w:p>
    <w:p>
      <w:pPr>
        <w:spacing w:after="120" w:line="276"/>
        <w:jc w:val="both"/>
      </w:pPr>
      <w:r>
        <w:rPr>
          <w:rFonts w:ascii="Barlow Semi Condensed" w:cs="Barlow Semi Condensed" w:eastAsia="Barlow Semi Condensed" w:hAnsi="Barlow Semi Condensed"/>
          <w:b/>
          <w:bCs/>
          <w:sz w:val="24"/>
          <w:szCs w:val="24"/>
        </w:rPr>
        <w:t xml:space="preserve">Si dichiara, per non lasciare il quadro inclinato da una sola parte, che la catalogazione multipla ha un effetto di segno opposto a quello finora esposto, e che esso è di rilievo pratico maggiore.</w:t>
      </w:r>
    </w:p>
    <w:p>
      <w:pPr>
        <w:spacing w:after="120" w:line="276"/>
        <w:jc w:val="both"/>
      </w:pPr>
      <w:r>
        <w:rPr>
          <w:rFonts w:ascii="Barlow Semi Condensed" w:cs="Barlow Semi Condensed" w:eastAsia="Barlow Semi Condensed" w:hAnsi="Barlow Semi Condensed"/>
          <w:b/>
          <w:bCs/>
          <w:sz w:val="24"/>
          <w:szCs w:val="24"/>
        </w:rPr>
        <w:t xml:space="preserve">Un atto con cinque indirizzi è un atto che si trova per cinque vie. Chi ignori l'esistenza di un fascicolo può raggiungere il medesimo documento per un altro, e chi lavori su una materia si imbatte in atti pertinenti a materie contigue senza averli cercati. Un sistema di catalogazione a rinvii multipli è, per costruzione, uno strumento di reperimento migliore di un sistema a chiave unica, e la sua tendenza a gonfiare i computi di convergenza è il prezzo di questa virtù e non un difetto autonomo.</w:t>
      </w:r>
    </w:p>
    <w:p>
      <w:pPr>
        <w:spacing w:after="120" w:line="276"/>
        <w:jc w:val="both"/>
      </w:pPr>
      <w:r>
        <w:rPr>
          <w:rFonts w:ascii="Barlow Semi Condensed" w:cs="Barlow Semi Condensed" w:eastAsia="Barlow Semi Condensed" w:hAnsi="Barlow Semi Condensed"/>
          <w:b/>
          <w:bCs/>
          <w:sz w:val="24"/>
          <w:szCs w:val="24"/>
        </w:rPr>
        <w:t xml:space="preserve">Ne segue che la regola settima non prescrive di diffidare dei rinvii ma di non contarli. Essi vanno seguiti tutti e computati una volta sola, ed è precisamente la disciplina che la risalita impone: moltiplicare le vie di accesso e non le catene.</w:t>
      </w:r>
    </w:p>
    <w:p>
      <w:pPr>
        <w:spacing w:after="120" w:line="276"/>
        <w:jc w:val="both"/>
      </w:pPr>
      <w:r>
        <w:rPr>
          <w:rFonts w:ascii="Barlow Semi Condensed" w:cs="Barlow Semi Condensed" w:eastAsia="Barlow Semi Condensed" w:hAnsi="Barlow Semi Condensed"/>
          <w:b/>
          <w:bCs/>
          <w:sz w:val="24"/>
          <w:szCs w:val="24"/>
        </w:rPr>
        <w:t xml:space="preserve">Si registra in questo verso un'acquisizione concreta per la tavola. Il fascicolo del caso rinvia, alla quarantacinquesima unità, alla banca dati e alle materie varie; l'unità dedicata ai procedimenti di strage dichiara che la banca dati è testualmente interrogabile e che i documenti non pubblicabili sono versati a un archivio storico determinato. Le due dichiarazioni, congiunte, stabiliscono che gli otto faldoni selezionati di un procedimento per omicidio sono ricercabili per parola e conservati in sede nominata. Nessuna delle due unità, presa da sola, lo stabiliva.</w:t>
      </w:r>
    </w:p>
    <w:p>
      <w:pPr>
        <w:pStyle w:val="Heading2"/>
        <w:spacing w:after="100" w:before="200"/>
      </w:pPr>
      <w:r>
        <w:rPr>
          <w:rFonts w:ascii="Barlow Semi Condensed" w:cs="Barlow Semi Condensed" w:eastAsia="Barlow Semi Condensed" w:hAnsi="Barlow Semi Condensed"/>
          <w:sz w:val="24"/>
          <w:szCs w:val="24"/>
        </w:rPr>
        <w:t xml:space="preserve">Parte quinta — Le mutazioni di stato</w:t>
      </w:r>
    </w:p>
    <w:p>
      <w:pPr>
        <w:spacing w:after="120" w:line="276"/>
        <w:jc w:val="both"/>
      </w:pPr>
      <w:r>
        <w:rPr>
          <w:rFonts w:ascii="Barlow Semi Condensed" w:cs="Barlow Semi Condensed" w:eastAsia="Barlow Semi Condensed" w:hAnsi="Barlow Semi Condensed"/>
          <w:b/>
          <w:bCs/>
          <w:sz w:val="24"/>
          <w:szCs w:val="24"/>
        </w:rPr>
        <w:t xml:space="preserve">La Voce ventesima progredisce quanto alla qualità e non quanto al numero. Le cinquanta fonti designate per atto restano cinquanta; per quattordici di esse è ora noto che la medesima designazione è raggiungibile per una chiave diversa, e per una la chiave dichiarata è dubbia.</w:t>
      </w:r>
    </w:p>
    <w:p>
      <w:pPr>
        <w:spacing w:after="120" w:line="276"/>
        <w:jc w:val="both"/>
      </w:pPr>
      <w:r>
        <w:rPr>
          <w:rFonts w:ascii="Barlow Semi Condensed" w:cs="Barlow Semi Condensed" w:eastAsia="Barlow Semi Condensed" w:hAnsi="Barlow Semi Condensed"/>
          <w:b/>
          <w:bCs/>
          <w:sz w:val="24"/>
          <w:szCs w:val="24"/>
        </w:rPr>
        <w:t xml:space="preserve">Si iscrivono in tavola due voci nuove.</w:t>
      </w:r>
    </w:p>
    <w:p>
      <w:pPr>
        <w:spacing w:after="120" w:line="276"/>
        <w:jc w:val="both"/>
      </w:pPr>
      <w:r>
        <w:rPr>
          <w:rFonts w:ascii="Barlow Semi Condensed" w:cs="Barlow Semi Condensed" w:eastAsia="Barlow Semi Condensed" w:hAnsi="Barlow Semi Condensed"/>
          <w:b/>
          <w:bCs/>
          <w:sz w:val="24"/>
          <w:szCs w:val="24"/>
        </w:rPr>
        <w:t xml:space="preserve">Voce venticinquesima — La risoluzione delle tre divergenze di designazione. Oggetto: l'anno e il primo imputato dell'atto designato come unità tredicesima; la chiave esatta del fascicolo di destinazione del rinvio apposto all'unità ventiduesima; il numero del documento parlamentare recante il testo straniero tradotto all'unità ventisettesima. Sede: per le prime due, gli atti della Commissione presso l'archivio storico competente; per la terza, la raccolta degli atti parlamentari, che è pubblica e consultabile senza autorizzazione alcuna. Chiusura: risoluzione delle tre. Smentita: non ricorre, trattandosi di verifica di dato e non di ipotesi. Si segnala che la terza è, fra tutte le voci della tavola, quella di costo minore, poiché richiede la consultazione di un volume a stampa.</w:t>
      </w:r>
    </w:p>
    <w:p>
      <w:pPr>
        <w:spacing w:after="120" w:line="276"/>
        <w:jc w:val="both"/>
      </w:pPr>
      <w:r>
        <w:rPr>
          <w:rFonts w:ascii="Barlow Semi Condensed" w:cs="Barlow Semi Condensed" w:eastAsia="Barlow Semi Condensed" w:hAnsi="Barlow Semi Condensed"/>
          <w:b/>
          <w:bCs/>
          <w:sz w:val="24"/>
          <w:szCs w:val="24"/>
        </w:rPr>
        <w:t xml:space="preserve">Voce ventiseiesima — La verifica di reciprocità dei rinvii. Oggetto: per ciascuna delle cinquanta unità del fascicolo del caso, la verifica dell'esistenza del rinvio reciproco nei fascicoli di destinazione, e l'individuazione delle catalogazioni multiple non dichiarate. Sede: le unità d'indice della medesima serie parlamentare, già possedute per tre fascicoli su sette. Chiusura: verifica delle cinquanta. Smentita: la constatazione che i rinvii siano reciproci in tutti i casi verificabili, la quale eleverebbe il rapporto di quattordici su cinquanta da soglia a misura.</w:t>
      </w:r>
    </w:p>
    <w:p>
      <w:pPr>
        <w:spacing w:after="120" w:line="276"/>
        <w:jc w:val="both"/>
      </w:pPr>
      <w:r>
        <w:rPr>
          <w:rFonts w:ascii="Barlow Semi Condensed" w:cs="Barlow Semi Condensed" w:eastAsia="Barlow Semi Condensed" w:hAnsi="Barlow Semi Condensed"/>
          <w:b/>
          <w:bCs/>
          <w:sz w:val="24"/>
          <w:szCs w:val="24"/>
        </w:rPr>
        <w:t xml:space="preserve">Si dichiara che entrambe le voci sono eseguibili senza accesso archivistico per la parte che riguarda i fascicoli posseduti, e che esse si aggiungono pertanto alla classe, finora composta di due sole voci, di ciò che attende soltanto di essere compiuto.</w:t>
      </w:r>
    </w:p>
    <w:p>
      <w:pPr>
        <w:pStyle w:val="Heading2"/>
        <w:spacing w:after="100" w:before="200"/>
      </w:pPr>
      <w:r>
        <w:rPr>
          <w:rFonts w:ascii="Barlow Semi Condensed" w:cs="Barlow Semi Condensed" w:eastAsia="Barlow Semi Condensed" w:hAnsi="Barlow Semi Condensed"/>
          <w:sz w:val="24"/>
          <w:szCs w:val="24"/>
        </w:rPr>
        <w:t xml:space="preserve">Parte sesta — Stati Zero residui</w:t>
      </w:r>
    </w:p>
    <w:p>
      <w:pPr>
        <w:spacing w:after="120" w:line="276"/>
        <w:jc w:val="both"/>
      </w:pPr>
      <w:r>
        <w:rPr>
          <w:rFonts w:ascii="Barlow Semi Condensed" w:cs="Barlow Semi Condensed" w:eastAsia="Barlow Semi Condensed" w:hAnsi="Barlow Semi Condensed"/>
          <w:b/>
          <w:bCs/>
          <w:sz w:val="24"/>
          <w:szCs w:val="24"/>
        </w:rPr>
        <w:t xml:space="preserve">Primo. I fascicoli di destinazione posseduti sono tre su sette. Mancano quelli dedicati al terrorismo di sinistra, alla loggia coperta, alla struttura informativa parallela e alle materie varie, che sono i quattro verso i quali il fascicolo del caso rinvia più frequentemente. La verifica di reciprocità è pertanto eseguibile solo in parte.</w:t>
      </w:r>
    </w:p>
    <w:p>
      <w:pPr>
        <w:spacing w:after="120" w:line="276"/>
        <w:jc w:val="both"/>
      </w:pPr>
      <w:r>
        <w:rPr>
          <w:rFonts w:ascii="Barlow Semi Condensed" w:cs="Barlow Semi Condensed" w:eastAsia="Barlow Semi Condensed" w:hAnsi="Barlow Semi Condensed"/>
          <w:b/>
          <w:bCs/>
          <w:sz w:val="24"/>
          <w:szCs w:val="24"/>
        </w:rPr>
        <w:t xml:space="preserve">Secondo. Il contenuto di nessuna unità è esaminato, e le cinque appendici hanno costruito un indice di reperimento e nient'altro. Si ripete la dichiarazione per la terza volta, poiché la quantità di estremi accumulati può indurre a credere il contrario.</w:t>
      </w:r>
    </w:p>
    <w:p>
      <w:pPr>
        <w:spacing w:after="120" w:line="276"/>
        <w:jc w:val="both"/>
      </w:pPr>
      <w:r>
        <w:rPr>
          <w:rFonts w:ascii="Barlow Semi Condensed" w:cs="Barlow Semi Condensed" w:eastAsia="Barlow Semi Condensed" w:hAnsi="Barlow Semi Condensed"/>
          <w:b/>
          <w:bCs/>
          <w:sz w:val="24"/>
          <w:szCs w:val="24"/>
        </w:rPr>
        <w:t xml:space="preserve">Terzo. Nessuna delle tre divergenze è risolta.</w:t>
      </w:r>
    </w:p>
    <w:p>
      <w:pPr>
        <w:spacing w:after="120" w:line="276"/>
        <w:jc w:val="both"/>
      </w:pPr>
      <w:r>
        <w:rPr>
          <w:rFonts w:ascii="Barlow Semi Condensed" w:cs="Barlow Semi Condensed" w:eastAsia="Barlow Semi Condensed" w:hAnsi="Barlow Semi Condensed"/>
          <w:b/>
          <w:bCs/>
          <w:sz w:val="24"/>
          <w:szCs w:val="24"/>
        </w:rPr>
        <w:t xml:space="preserve">Quarto. La reciprocità dei rinvii non è verificata per alcuna unità, e la misura di quattordici su cinquanta resta pertanto una soglia e non una misura.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terza del giorno sul medesimo cantiere. Cantiere: designazione per atto delle fonti. Materia: le tre unità d'indice restanti della serie parlamentare, e la catalogazione multipla degli atti.</w:t>
      </w:r>
    </w:p>
    <w:p>
      <w:pPr>
        <w:spacing w:after="120" w:line="276"/>
        <w:jc w:val="both"/>
      </w:pPr>
      <w:r>
        <w:rPr>
          <w:rFonts w:ascii="Barlow Semi Condensed" w:cs="Barlow Semi Condensed" w:eastAsia="Barlow Semi Condensed" w:hAnsi="Barlow Semi Condensed"/>
          <w:b/>
          <w:bCs/>
          <w:sz w:val="24"/>
          <w:szCs w:val="24"/>
        </w:rPr>
        <w:t xml:space="preserve">Esito positivo: prima misura del fenomeno della catalogazione multipla, dichiarata come soglia e non come tetto, pari a quattordici unità su cinquanta con diciotto chiavi di destinazione esterne; individuazione del caso a cinque chiavi; enunciazione della settima e dell'ottava regola della risalita; individuazione della banca dati testualmente interrogabile e della sede di versamento dei documenti non pubblicabili; due voci nuove iscritte in tavola, entrambe eseguibili in parte senza accesso.</w:t>
      </w:r>
    </w:p>
    <w:p>
      <w:pPr>
        <w:spacing w:after="120" w:line="276"/>
        <w:jc w:val="both"/>
      </w:pPr>
      <w:r>
        <w:rPr>
          <w:rFonts w:ascii="Barlow Semi Condensed" w:cs="Barlow Semi Condensed" w:eastAsia="Barlow Semi Condensed" w:hAnsi="Barlow Semi Condensed"/>
          <w:b/>
          <w:bCs/>
          <w:sz w:val="24"/>
          <w:szCs w:val="24"/>
        </w:rPr>
        <w:t xml:space="preserve">Esito negativo: quattro fascicoli di destinazione su sette non posseduti; reciprocità dei rinvii non verificata; tre divergenze di designazione accertate e nessuna risolta.</w:t>
      </w:r>
    </w:p>
    <w:p>
      <w:pPr>
        <w:spacing w:after="120" w:line="276"/>
        <w:jc w:val="both"/>
      </w:pPr>
      <w:r>
        <w:rPr>
          <w:rFonts w:ascii="Barlow Semi Condensed" w:cs="Barlow Semi Condensed" w:eastAsia="Barlow Semi Condensed" w:hAnsi="Barlow Semi Condensed"/>
          <w:b/>
          <w:bCs/>
          <w:sz w:val="24"/>
          <w:szCs w:val="24"/>
        </w:rPr>
        <w:t xml:space="preserve">Riga di errore proprio, terza della giornata. L'appendice quarta ha qualificato una segnatura parlamentare come il rinvio più preciso verso il corpus maggiore, fondandosi su un solo indice. Un secondo indice della medesima serie reca la medesima segnatura con un numero di documento diverso. L'affermazione è revocata quanto all'affidabilità e mantenuta quanto alla completezza formale. Si registra che l'errore è del genere che l'appendice colpita aveva descritto poche ore prima, e che descriverlo non aveva impedito di commetterlo.</w:t>
      </w:r>
    </w:p>
    <w:p>
      <w:pPr>
        <w:spacing w:after="120" w:line="276"/>
        <w:jc w:val="both"/>
      </w:pPr>
      <w:r>
        <w:rPr>
          <w:rFonts w:ascii="Barlow Semi Condensed" w:cs="Barlow Semi Condensed" w:eastAsia="Barlow Semi Condensed" w:hAnsi="Barlow Semi Condensed"/>
          <w:b/>
          <w:bCs/>
          <w:sz w:val="24"/>
          <w:szCs w:val="24"/>
        </w:rPr>
        <w:t xml:space="preserve">Riga di avvertenza. Nulla di quanto qui esposto riguarda il contenuto degli atti, la responsabilità di alcuno o il merito di alcuna questione del caso. Il presente atto tratta di indirizzi di documenti. La sua sola conseguenza sostanziale è che i computi di convergenza fondati su chiavi di catalogo diverse vanno rifatti, e che essi risulteranno, per una parte non ancora determinata, computi su una catena sola.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QUINTA ALLA FASE SETTIMA, la catalogazione multipla e la divergenza dei rinvii,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La chiave di catalogo non è l'atto: è un indirizzo dell'atto, e i rinvii si seguono tutti e si contano una volta sola.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II · Appendice quinta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 2.359 parole in 9 sezioni; la più ampia è §9 Altre sezioni, con 1.932.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 40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III — Appendice sesta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SESTA ALLA FASE SETTIMA</w:t>
      </w:r>
    </w:p>
    <w:p>
      <w:pPr>
        <w:pStyle w:val="Heading2"/>
        <w:spacing w:after="100" w:before="200"/>
      </w:pPr>
      <w:r>
        <w:rPr>
          <w:rFonts w:ascii="Barlow Semi Condensed" w:cs="Barlow Semi Condensed" w:eastAsia="Barlow Semi Condensed" w:hAnsi="Barlow Semi Condensed"/>
          <w:sz w:val="24"/>
          <w:szCs w:val="24"/>
        </w:rPr>
        <w:t xml:space="preserve">La prima unità di produzione</w:t>
      </w:r>
    </w:p>
    <w:p>
      <w:pPr>
        <w:pStyle w:val="Heading2"/>
        <w:spacing w:after="100" w:before="200"/>
      </w:pPr>
      <w:r>
        <w:rPr>
          <w:rFonts w:ascii="Barlow Semi Condensed" w:cs="Barlow Semi Condensed" w:eastAsia="Barlow Semi Condensed" w:hAnsi="Barlow Semi Condensed"/>
          <w:sz w:val="24"/>
          <w:szCs w:val="24"/>
        </w:rPr>
        <w:t xml:space="preserve">Relazione sugli sviluppi del caso, XI legislatura, documento XXIII numero 13</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sesta</w:t>
      </w:r>
    </w:p>
    <w:p>
      <w:pPr>
        <w:spacing w:after="120" w:line="276"/>
        <w:jc w:val="both"/>
      </w:pPr>
      <w:r>
        <w:rPr>
          <w:rFonts w:ascii="Barlow Semi Condensed" w:cs="Barlow Semi Condensed" w:eastAsia="Barlow Semi Condensed" w:hAnsi="Barlow Semi Condensed"/>
          <w:b/>
          <w:bCs/>
          <w:sz w:val="24"/>
          <w:szCs w:val="24"/>
        </w:rPr>
        <w:t xml:space="preserve">La presente è appendice sesta alla Fase Settima e opera sulla relazione parlamentare sugli sviluppi del caso approvata nella XI legislatura e stampata come documento XXIII numero 13, della quale si possiede la trascrizione integrale delle ventitré pagine. Come le cinque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Questa unità differisce da tutte le precedenti per una ragione che ne governa l'intero trattamento. Le cinque appendici anteriori hanno lavorato su indici di acquisizione e su processi verbali, che sono atti di reperimento. La presente lavora su un atto di produzione: una relazione è un giudizio, e il suo autore ne è fonte originaria e piena. È la prima volta, in questa serie, che un nucleo parlamentare compare nella funzione per la quale esso genera catena propria, e non in quella per la quale ne raddoppia una altrui.</w:t>
      </w:r>
    </w:p>
    <w:p>
      <w:pPr>
        <w:pStyle w:val="Heading2"/>
        <w:spacing w:after="100" w:before="200"/>
      </w:pPr>
      <w:r>
        <w:rPr>
          <w:rFonts w:ascii="Barlow Semi Condensed" w:cs="Barlow Semi Condensed" w:eastAsia="Barlow Semi Condensed" w:hAnsi="Barlow Semi Condensed"/>
          <w:sz w:val="24"/>
          <w:szCs w:val="24"/>
        </w:rPr>
        <w:t xml:space="preserve">Parte prima — Lo statuto della relazione, e ciò che essa non converte</w:t>
      </w:r>
    </w:p>
    <w:p>
      <w:pPr>
        <w:spacing w:after="120" w:line="276"/>
        <w:jc w:val="both"/>
      </w:pPr>
      <w:r>
        <w:rPr>
          <w:rFonts w:ascii="Barlow Semi Condensed" w:cs="Barlow Semi Condensed" w:eastAsia="Barlow Semi Condensed" w:hAnsi="Barlow Semi Condensed"/>
          <w:b/>
          <w:bCs/>
          <w:sz w:val="24"/>
          <w:szCs w:val="24"/>
        </w:rPr>
        <w:t xml:space="preserve">Una relazione parlamentare è, quanto alla propria genealogia, un oggetto composito, e la sua scomposizione va compiuta prima di trarne alcunché.</w:t>
      </w:r>
    </w:p>
    <w:p>
      <w:pPr>
        <w:spacing w:after="120" w:line="276"/>
        <w:jc w:val="both"/>
      </w:pPr>
      <w:r>
        <w:rPr>
          <w:rFonts w:ascii="Barlow Semi Condensed" w:cs="Barlow Semi Condensed" w:eastAsia="Barlow Semi Condensed" w:hAnsi="Barlow Semi Condensed"/>
          <w:b/>
          <w:bCs/>
          <w:sz w:val="24"/>
          <w:szCs w:val="24"/>
        </w:rPr>
        <w:t xml:space="preserve">Essa è produzione originaria quanto a tre cose e a nessun'altra: le proprie valutazioni, i propri rilievi sullo stato degli atti, e le proprie richieste all'organismo che le succederà. Di queste tre l'organo è autore, e nessuna fonte anteriore le contiene.</w:t>
      </w:r>
    </w:p>
    <w:p>
      <w:pPr>
        <w:spacing w:after="120" w:line="276"/>
        <w:jc w:val="both"/>
      </w:pPr>
      <w:r>
        <w:rPr>
          <w:rFonts w:ascii="Barlow Semi Condensed" w:cs="Barlow Semi Condensed" w:eastAsia="Barlow Semi Condensed" w:hAnsi="Barlow Semi Condensed"/>
          <w:b/>
          <w:bCs/>
          <w:sz w:val="24"/>
          <w:szCs w:val="24"/>
        </w:rPr>
        <w:t xml:space="preserve">Essa è esposizione, e non fonte, quanto a tutto ciò che riferisce di atti altrui. Che una relazione parlamentare riporti il contenuto di una perizia non fa della relazione una fonte della perizia; che ne riporti il contenuto di una dichiarazione non ne fa una fonte della dichiarazione. La catena resta l'atto riferito, e la relazione ne è il primo indirizzo pubblico.</w:t>
      </w:r>
    </w:p>
    <w:p>
      <w:pPr>
        <w:spacing w:after="120" w:line="276"/>
        <w:jc w:val="both"/>
      </w:pPr>
      <w:r>
        <w:rPr>
          <w:rFonts w:ascii="Barlow Semi Condensed" w:cs="Barlow Semi Condensed" w:eastAsia="Barlow Semi Condensed" w:hAnsi="Barlow Semi Condensed"/>
          <w:b/>
          <w:bCs/>
          <w:sz w:val="24"/>
          <w:szCs w:val="24"/>
        </w:rPr>
        <w:t xml:space="preserve">Il punto va enunciato in forma di regola, poiché la relazione qui esaminata riferisce ampiamente da interviste giornalistiche, da trasmissioni televisive e da libri, e poiché è precisamente questo il meccanismo per il quale materiali di grado minimo acquistano, per sola collocazione, un'autorità che nessuno intendeva conferire loro.</w:t>
      </w:r>
    </w:p>
    <w:p>
      <w:pPr>
        <w:spacing w:after="120" w:line="276"/>
        <w:jc w:val="both"/>
      </w:pPr>
      <w:r>
        <w:rPr>
          <w:rFonts w:ascii="Barlow Semi Condensed" w:cs="Barlow Semi Condensed" w:eastAsia="Barlow Semi Condensed" w:hAnsi="Barlow Semi Condensed"/>
          <w:b/>
          <w:bCs/>
          <w:sz w:val="24"/>
          <w:szCs w:val="24"/>
        </w:rPr>
        <w:t xml:space="preserve">Nona regola della risalita. La citazione in un atto pubblico non muta la genealogia della fonte citata. Un'intervista riportata in una relazione parlamentare resta un'intervista, e il grado che le compete è quello che le competeva prima di esservi riportata. Ciò che l'atto pubblico aggiunge è la constatazione che quella dichiarazione fu resa e che l'organo la ritenne meritevole di menzione: due fatti veri, e nessuno dei due sul merito.</w:t>
      </w:r>
    </w:p>
    <w:p>
      <w:pPr>
        <w:pStyle w:val="Heading2"/>
        <w:spacing w:after="100" w:before="200"/>
      </w:pPr>
      <w:r>
        <w:rPr>
          <w:rFonts w:ascii="Barlow Semi Condensed" w:cs="Barlow Semi Condensed" w:eastAsia="Barlow Semi Condensed" w:hAnsi="Barlow Semi Condensed"/>
          <w:sz w:val="24"/>
          <w:szCs w:val="24"/>
        </w:rPr>
        <w:t xml:space="preserve">Parte seconda — Il repertorio generale del Gabinetto</w:t>
      </w:r>
    </w:p>
    <w:p>
      <w:pPr>
        <w:spacing w:after="120" w:line="276"/>
        <w:jc w:val="both"/>
      </w:pPr>
      <w:r>
        <w:rPr>
          <w:rFonts w:ascii="Barlow Semi Condensed" w:cs="Barlow Semi Condensed" w:eastAsia="Barlow Semi Condensed" w:hAnsi="Barlow Semi Condensed"/>
          <w:b/>
          <w:bCs/>
          <w:sz w:val="24"/>
          <w:szCs w:val="24"/>
        </w:rPr>
        <w:t xml:space="preserve">La relazione contiene una acquisizione che, sola, vale più dell'intero lavoro delle cinque appendici anteriori, e va esposta per prima.</w:t>
      </w:r>
    </w:p>
    <w:p>
      <w:pPr>
        <w:spacing w:after="120" w:line="276"/>
        <w:jc w:val="both"/>
      </w:pPr>
      <w:r>
        <w:rPr>
          <w:rFonts w:ascii="Barlow Semi Condensed" w:cs="Barlow Semi Condensed" w:eastAsia="Barlow Semi Condensed" w:hAnsi="Barlow Semi Condensed"/>
          <w:b/>
          <w:bCs/>
          <w:sz w:val="24"/>
          <w:szCs w:val="24"/>
        </w:rPr>
        <w:t xml:space="preserve">L'organo dichiara di essere venuto a conoscenza, per circostanze che esso stesso qualifica come sostanzialmente fortuite, che presso il Gabinetto del Ministro dell'interno era stato redatto un repertorio generale di tutti gli atti, da qualunque autorità formati, concernenti il caso e transitati per quel Dicastero; e dichiara che copia del repertorio fu immediatamente acquisita. Esso raccomanda inoltre all'organismo che gli succederà di acquisire piena conoscenza dell'oggetto degli atti repertati, per colmare ove possibile i vuoti di informazione perduranti.</w:t>
      </w:r>
    </w:p>
    <w:p>
      <w:pPr>
        <w:spacing w:after="120" w:line="276"/>
        <w:jc w:val="both"/>
      </w:pPr>
      <w:r>
        <w:rPr>
          <w:rFonts w:ascii="Barlow Semi Condensed" w:cs="Barlow Semi Condensed" w:eastAsia="Barlow Semi Condensed" w:hAnsi="Barlow Semi Condensed"/>
          <w:b/>
          <w:bCs/>
          <w:sz w:val="24"/>
          <w:szCs w:val="24"/>
        </w:rPr>
        <w:t xml:space="preserve">Si dica che cosa questo significhi per l'operazione in corso. La Voce ventesima domanda la designazione per atto delle fonti dell'opera, e le cinque appendici l'hanno perseguita per ricomposizione: cinquanta unità individuate voce per voce su indici e verbali, con diciannove lacune poi chiuse e tre divergenze accertate. Il repertorio qui nominato è, per definizione propria, l'inventario di tutti gli atti concernenti il caso transitati per il Ministero che ebbe la direzione della crisi. Esso non è una fonte del caso: è lo strumento che rende designabile per atto ciò che di quel caso passò per quella sede.</w:t>
      </w:r>
    </w:p>
    <w:p>
      <w:pPr>
        <w:spacing w:after="120" w:line="276"/>
        <w:jc w:val="both"/>
      </w:pPr>
      <w:r>
        <w:rPr>
          <w:rFonts w:ascii="Barlow Semi Condensed" w:cs="Barlow Semi Condensed" w:eastAsia="Barlow Semi Condensed" w:hAnsi="Barlow Semi Condensed"/>
          <w:b/>
          <w:bCs/>
          <w:sz w:val="24"/>
          <w:szCs w:val="24"/>
        </w:rPr>
        <w:t xml:space="preserve">Si dica altresì che cosa significhi la circostanza della scoperta. Un organo parlamentare d'inchiesta, dotato dei poteri dell'autorità giudiziaria, apprende per caso, a sedici anni dai fatti, che l'amministrazione che ebbe la direzione della crisi possedeva un inventario generale dei propri atti sul caso. L'inventario non era stato distrutto, non era stato negato, non era stato classificato: non era stato menzionato. Fra il celare e il non dire corre una differenza giuridica grande e una differenza pratica nulla, e la seconda è quella che il ricercatore incontra.</w:t>
      </w:r>
    </w:p>
    <w:p>
      <w:pPr>
        <w:spacing w:after="120" w:line="276"/>
        <w:jc w:val="both"/>
      </w:pPr>
      <w:r>
        <w:rPr>
          <w:rFonts w:ascii="Barlow Semi Condensed" w:cs="Barlow Semi Condensed" w:eastAsia="Barlow Semi Condensed" w:hAnsi="Barlow Semi Condensed"/>
          <w:b/>
          <w:bCs/>
          <w:sz w:val="24"/>
          <w:szCs w:val="24"/>
        </w:rPr>
        <w:t xml:space="preserve">Si registra la circostanza come conferma, su un caso determinato, della regolarità che il corpus maggiore ha già iscritta fra le proprie risultanze: nessun archivio di apparato si è aperto per iniziativa propria, e le aperture sono conseguite a pressione esterna. Qui non vi fu neppure pressione: vi fu il caso.</w:t>
      </w:r>
    </w:p>
    <w:p>
      <w:pPr>
        <w:spacing w:after="120" w:line="276"/>
        <w:jc w:val="both"/>
      </w:pPr>
      <w:r>
        <w:rPr>
          <w:rFonts w:ascii="Barlow Semi Condensed" w:cs="Barlow Semi Condensed" w:eastAsia="Barlow Semi Condensed" w:hAnsi="Barlow Semi Condensed"/>
          <w:b/>
          <w:bCs/>
          <w:sz w:val="24"/>
          <w:szCs w:val="24"/>
        </w:rPr>
        <w:t xml:space="preserve">Si iscrive in tavola la voce che ne discende, e la si dichiara la più rilevante della tavola dopo la Voce quinta.</w:t>
      </w:r>
    </w:p>
    <w:p>
      <w:pPr>
        <w:spacing w:after="120" w:line="276"/>
        <w:jc w:val="both"/>
      </w:pPr>
      <w:r>
        <w:rPr>
          <w:rFonts w:ascii="Barlow Semi Condensed" w:cs="Barlow Semi Condensed" w:eastAsia="Barlow Semi Condensed" w:hAnsi="Barlow Semi Condensed"/>
          <w:b/>
          <w:bCs/>
          <w:sz w:val="24"/>
          <w:szCs w:val="24"/>
        </w:rPr>
        <w:t xml:space="preserve">Voce ventisettesima — Il repertorio generale degli atti del Gabinetto. Oggetto: il repertorio generale di tutti gli atti concernenti il caso, da qualunque autorità formati, transitati per il Gabinetto del Ministro dell'interno; e, per ciascuna voce repertata, l'oggetto dell'atto. Sede: copia acquisita agli atti della Commissione della XI legislatura, presso l'archivio storico competente; originale presso il Gabinetto del Ministro dell'interno. Chiusura: acquisizione del repertorio e collazione delle sue voci con le cinquanta unità già designate. Smentita: la constatazione che il repertorio rechi le sole voci di protocollo senza oggetto, nel qual caso esso individuerebbe l'esistenza degli atti senza renderli domandabili, e la voce si trasformerebbe nella richiesta degli atti uno per uno.</w:t>
      </w:r>
    </w:p>
    <w:p>
      <w:pPr>
        <w:spacing w:after="120" w:line="276"/>
        <w:jc w:val="both"/>
      </w:pPr>
      <w:r>
        <w:rPr>
          <w:rFonts w:ascii="Barlow Semi Condensed" w:cs="Barlow Semi Condensed" w:eastAsia="Barlow Semi Condensed" w:hAnsi="Barlow Semi Condensed"/>
          <w:b/>
          <w:bCs/>
          <w:sz w:val="24"/>
          <w:szCs w:val="24"/>
        </w:rPr>
        <w:t xml:space="preserve">Si segnala che la Commissione della XI legislatura raccomandò l'acquisizione dell'oggetto degli atti repertati all'organismo successivo, e che il presente atto non accerta se tale raccomandazione sia stata eseguita. La verifica dell'esecuzione è iscritta nella medesima voce.</w:t>
      </w:r>
    </w:p>
    <w:p>
      <w:pPr>
        <w:pStyle w:val="Heading2"/>
        <w:spacing w:after="100" w:before="200"/>
      </w:pPr>
      <w:r>
        <w:rPr>
          <w:rFonts w:ascii="Barlow Semi Condensed" w:cs="Barlow Semi Condensed" w:eastAsia="Barlow Semi Condensed" w:hAnsi="Barlow Semi Condensed"/>
          <w:sz w:val="24"/>
          <w:szCs w:val="24"/>
        </w:rPr>
        <w:t xml:space="preserve">Parte terza — Le tre discontinuità documentate</w:t>
      </w:r>
    </w:p>
    <w:p>
      <w:pPr>
        <w:spacing w:after="120" w:line="276"/>
        <w:jc w:val="both"/>
      </w:pPr>
      <w:r>
        <w:rPr>
          <w:rFonts w:ascii="Barlow Semi Condensed" w:cs="Barlow Semi Condensed" w:eastAsia="Barlow Semi Condensed" w:hAnsi="Barlow Semi Condensed"/>
          <w:b/>
          <w:bCs/>
          <w:sz w:val="24"/>
          <w:szCs w:val="24"/>
        </w:rPr>
        <w:t xml:space="preserve">La relazione documenta tre discontinuità nell'attività degli apparati, e le documenta nella forma che la Scheda prima dello scenario primo del memorandum operativo prescrive di cercare: non ordini, ma atti mancanti.</w:t>
      </w:r>
    </w:p>
    <w:p>
      <w:pPr>
        <w:spacing w:after="120" w:line="276"/>
        <w:jc w:val="both"/>
      </w:pPr>
      <w:r>
        <w:rPr>
          <w:rFonts w:ascii="Barlow Semi Condensed" w:cs="Barlow Semi Condensed" w:eastAsia="Barlow Semi Condensed" w:hAnsi="Barlow Semi Condensed"/>
          <w:b/>
          <w:bCs/>
          <w:sz w:val="24"/>
          <w:szCs w:val="24"/>
        </w:rPr>
        <w:t xml:space="preserve">Prima discontinuità. Alle ore sette del ventuno marzo millenovecentosettantotto fu ordinato l'allertamento di un'unità di intervento speciale della Marina, e alle ore tredici l'allarme fu revocato. Presso il Ministero dell'interno non vi è traccia dell'ordine di allertamento; l'ordine risulta invece pervenuto al Ministero della difesa, presso il quale è custodita la documentazione relativa alle attività del reparto nel periodo. L'organo conclude che si sappia che un allertamento vi fu, e che non ne possano essere documentati i responsabili né i presupposti di fatto. Il fatto è riportato per esteso nella relazione conclusiva della X legislatura, documento XXIII numero 49, alla pagina ventinove e seguenti.</w:t>
      </w:r>
    </w:p>
    <w:p>
      <w:pPr>
        <w:spacing w:after="120" w:line="276"/>
        <w:jc w:val="both"/>
      </w:pPr>
      <w:r>
        <w:rPr>
          <w:rFonts w:ascii="Barlow Semi Condensed" w:cs="Barlow Semi Condensed" w:eastAsia="Barlow Semi Condensed" w:hAnsi="Barlow Semi Condensed"/>
          <w:b/>
          <w:bCs/>
          <w:sz w:val="24"/>
          <w:szCs w:val="24"/>
        </w:rPr>
        <w:t xml:space="preserve">Questa è la figura documentale più netta dell'intero fascicolo, e va enunciata con esattezza. Un ordine esiste presso il destinatario e non presso l'emittente. Le due proposizioni non si equivalgono e la seconda non si inferisce dalla prima: l'assenza presso l'emittente può derivare da omessa formazione, da omessa conservazione, da formazione orale, ovvero da conservazione presso una sede diversa da quella interrogata. La relazione non discrimina fra le quattro, e il presente atto non lo fa in sua vece.</w:t>
      </w:r>
    </w:p>
    <w:p>
      <w:pPr>
        <w:spacing w:after="120" w:line="276"/>
        <w:jc w:val="both"/>
      </w:pPr>
      <w:r>
        <w:rPr>
          <w:rFonts w:ascii="Barlow Semi Condensed" w:cs="Barlow Semi Condensed" w:eastAsia="Barlow Semi Condensed" w:hAnsi="Barlow Semi Condensed"/>
          <w:b/>
          <w:bCs/>
          <w:sz w:val="24"/>
          <w:szCs w:val="24"/>
        </w:rPr>
        <w:t xml:space="preserve">Seconda discontinuità. L'organo dichiara che non sono disponibili atti formali ai quali ricondurre l'insediamento dei comitati di crisi istituiti presso il Ministero dell'interno, né verbalizzazioni, sia pure succinte, del loro operato, e qualifica la circostanza come grave negligenza nella formulazione a essa più benevola.</w:t>
      </w:r>
    </w:p>
    <w:p>
      <w:pPr>
        <w:spacing w:after="120" w:line="276"/>
        <w:jc w:val="both"/>
      </w:pPr>
      <w:r>
        <w:rPr>
          <w:rFonts w:ascii="Barlow Semi Condensed" w:cs="Barlow Semi Condensed" w:eastAsia="Barlow Semi Condensed" w:hAnsi="Barlow Semi Condensed"/>
          <w:b/>
          <w:bCs/>
          <w:sz w:val="24"/>
          <w:szCs w:val="24"/>
        </w:rPr>
        <w:t xml:space="preserve">Questa dichiarazione qualifica retroattivamente un'acquisizione della appendice terza. L'unità quarantaduesima del fascicolo reca gli appunti coevi di quattro esperti del comitato di crisi, e l'appendice terza aveva osservato che essa serve la classe degli atti dei comitati di crisi. La presente relazione stabilisce che quegli appunti non affiancano una verbalizzazione: la sostituiscono, perché la verbalizzazione non esiste. Il valore dell'unità quarantaduesima ne risulta accresciuto e il suo limite ne risulta fissato: essa è ciò che resta di un organismo che non produsse atti propri, e non può dunque essere collazionata con alcunché.</w:t>
      </w:r>
    </w:p>
    <w:p>
      <w:pPr>
        <w:spacing w:after="120" w:line="276"/>
        <w:jc w:val="both"/>
      </w:pPr>
      <w:r>
        <w:rPr>
          <w:rFonts w:ascii="Barlow Semi Condensed" w:cs="Barlow Semi Condensed" w:eastAsia="Barlow Semi Condensed" w:hAnsi="Barlow Semi Condensed"/>
          <w:b/>
          <w:bCs/>
          <w:sz w:val="24"/>
          <w:szCs w:val="24"/>
        </w:rPr>
        <w:t xml:space="preserve">Terza discontinuità. Non risulta agli atti del Ministero della difesa alcuna traccia di un comitato informale che sarebbe stato istituito presso il Ministero della marina durante il sequestro. L'ordinanza di rinvio a giudizio del quarto procedimento ha ritenuto, allo stato degli atti, non provata l'esistenza dell'organismo né la partecipazione ad esso della persona alla quale alcune ipotesi ricostruttive la attribuivano. Il senatore audito dall'organo ha dichiarato di non essere a conoscenza di comitati di sorta presso quella sede, e di essere a conoscenza soltanto di un incarico affidato all'ufficio di decrittazione del servizio informativo d'arma, avente per oggetto l'esame dei documenti provenienti dal prigioniero nel presupposto che potessero contenere messaggi cifrati.</w:t>
      </w:r>
    </w:p>
    <w:p>
      <w:pPr>
        <w:spacing w:after="120" w:line="276"/>
        <w:jc w:val="both"/>
      </w:pPr>
      <w:r>
        <w:rPr>
          <w:rFonts w:ascii="Barlow Semi Condensed" w:cs="Barlow Semi Condensed" w:eastAsia="Barlow Semi Condensed" w:hAnsi="Barlow Semi Condensed"/>
          <w:b/>
          <w:bCs/>
          <w:sz w:val="24"/>
          <w:szCs w:val="24"/>
        </w:rPr>
        <w:t xml:space="preserve">Si registri quest'ultimo dato, poiché esso non è una discontinuità ma un'acquisizione positiva, e appartiene alla materia della Fase Quarta: gli scritti della prigionia furono sottoposti, all'epoca, a esame crittografico da parte di un servizio informativo d'arma. Ne segue che esiste, o esistette, una documentazione di quell'esame, formata da un ufficio determinato in un periodo determinato. Essa non figura in tavola e vi si iscrive.</w:t>
      </w:r>
    </w:p>
    <w:p>
      <w:pPr>
        <w:spacing w:after="120" w:line="276"/>
        <w:jc w:val="both"/>
      </w:pPr>
      <w:r>
        <w:rPr>
          <w:rFonts w:ascii="Barlow Semi Condensed" w:cs="Barlow Semi Condensed" w:eastAsia="Barlow Semi Condensed" w:hAnsi="Barlow Semi Condensed"/>
          <w:b/>
          <w:bCs/>
          <w:sz w:val="24"/>
          <w:szCs w:val="24"/>
        </w:rPr>
        <w:t xml:space="preserve">Voce ventottesima — L'esame crittografico degli scritti della prigionia. Oggetto: la documentazione dell'incarico affidato all'ufficio di decrittazione del servizio informativo della Marina avente per oggetto gli scritti provenienti dal prigioniero, e le risultanze di tale esame. Sede: archivi del Ministero della difesa e dello Stato maggiore della Marina. Chiusura: reperimento dell'atto di incarico e della relazione conclusiva. Smentita: l'inesistenza di documentazione dell'incarico, la quale collocherebbe la circostanza fra le attività non verbalizzate, come i comitati di crisi.</w:t>
      </w:r>
    </w:p>
    <w:p>
      <w:pPr>
        <w:pStyle w:val="Heading2"/>
        <w:spacing w:after="100" w:before="200"/>
      </w:pPr>
      <w:r>
        <w:rPr>
          <w:rFonts w:ascii="Barlow Semi Condensed" w:cs="Barlow Semi Condensed" w:eastAsia="Barlow Semi Condensed" w:hAnsi="Barlow Semi Condensed"/>
          <w:sz w:val="24"/>
          <w:szCs w:val="24"/>
        </w:rPr>
        <w:t xml:space="preserve">Parte quarta — Un collasso di tredici anni</w:t>
      </w:r>
    </w:p>
    <w:p>
      <w:pPr>
        <w:spacing w:after="120" w:line="276"/>
        <w:jc w:val="both"/>
      </w:pPr>
      <w:r>
        <w:rPr>
          <w:rFonts w:ascii="Barlow Semi Condensed" w:cs="Barlow Semi Condensed" w:eastAsia="Barlow Semi Condensed" w:hAnsi="Barlow Semi Condensed"/>
          <w:b/>
          <w:bCs/>
          <w:sz w:val="24"/>
          <w:szCs w:val="24"/>
        </w:rPr>
        <w:t xml:space="preserve">La relazione documenta il caso più limpido di collasso genealogico incontrato nell'intera serie, e lo documenta contro il clamore che lo circondava.</w:t>
      </w:r>
    </w:p>
    <w:p>
      <w:pPr>
        <w:spacing w:after="120" w:line="276"/>
        <w:jc w:val="both"/>
      </w:pPr>
      <w:r>
        <w:rPr>
          <w:rFonts w:ascii="Barlow Semi Condensed" w:cs="Barlow Semi Condensed" w:eastAsia="Barlow Semi Condensed" w:hAnsi="Barlow Semi Condensed"/>
          <w:b/>
          <w:bCs/>
          <w:sz w:val="24"/>
          <w:szCs w:val="24"/>
        </w:rPr>
        <w:t xml:space="preserve">Nel novembre millenovecentonovantatré la diffusione di un'intervista rilasciata a un'emittente straniera rese pubblica l'esistenza di due pianificazioni predisposte in previsione della conclusione del sequestro, l'una per l'eventualità del rilascio in vita e l'altra per quella del rinvenimento senza vita. La notizia suscitò, per dichiarazione dell'organo, vivo scalpore in tutti i mezzi di informazione nazionali, e vi fu attribuito significato di assoluta novità.</w:t>
      </w:r>
    </w:p>
    <w:p>
      <w:pPr>
        <w:spacing w:after="120" w:line="276"/>
        <w:jc w:val="both"/>
      </w:pPr>
      <w:r>
        <w:rPr>
          <w:rFonts w:ascii="Barlow Semi Condensed" w:cs="Barlow Semi Condensed" w:eastAsia="Barlow Semi Condensed" w:hAnsi="Barlow Semi Condensed"/>
          <w:b/>
          <w:bCs/>
          <w:sz w:val="24"/>
          <w:szCs w:val="24"/>
        </w:rPr>
        <w:t xml:space="preserve">L'organo osserva che si trattava di argomenti già comparsi in precedenza, e ne indica due occorrenze anteriori. La prima è un volume pubblicato sedici anni prima, nel quale è riportato uno stralcio di diario recante la vicenda con ampiezza di dettagli. La seconda, e decisiva, è l'audizione di un prefetto dinanzi alla prima Commissione parlamentare sul caso, nella seduta del sette novembre millenovecentottanta, negli atti di quella Commissione, VIII legislatura, documento XXIII numero 5, volume sesto, pagina quattro.</w:t>
      </w:r>
    </w:p>
    <w:p>
      <w:pPr>
        <w:spacing w:after="120" w:line="276"/>
        <w:jc w:val="both"/>
      </w:pPr>
      <w:r>
        <w:rPr>
          <w:rFonts w:ascii="Barlow Semi Condensed" w:cs="Barlow Semi Condensed" w:eastAsia="Barlow Semi Condensed" w:hAnsi="Barlow Semi Condensed"/>
          <w:b/>
          <w:bCs/>
          <w:sz w:val="24"/>
          <w:szCs w:val="24"/>
        </w:rPr>
        <w:t xml:space="preserve">Fra la fonte e la rivelazione corrono tredici anni. L'atto anteriore reca segnatura completa: legislatura, documento, numero, volume, pagina. Esso era pubblico, stampato e consultabile per l'intero periodo.</w:t>
      </w:r>
    </w:p>
    <w:p>
      <w:pPr>
        <w:spacing w:after="120" w:line="276"/>
        <w:jc w:val="both"/>
      </w:pPr>
      <w:r>
        <w:rPr>
          <w:rFonts w:ascii="Barlow Semi Condensed" w:cs="Barlow Semi Condensed" w:eastAsia="Barlow Semi Condensed" w:hAnsi="Barlow Semi Condensed"/>
          <w:b/>
          <w:bCs/>
          <w:sz w:val="24"/>
          <w:szCs w:val="24"/>
        </w:rPr>
        <w:t xml:space="preserve">Si enuncia la regola, che è la decima e chiude la serie aperta dall'appendice seconda.</w:t>
      </w:r>
    </w:p>
    <w:p>
      <w:pPr>
        <w:spacing w:after="120" w:line="276"/>
        <w:jc w:val="both"/>
      </w:pPr>
      <w:r>
        <w:rPr>
          <w:rFonts w:ascii="Barlow Semi Condensed" w:cs="Barlow Semi Condensed" w:eastAsia="Barlow Semi Condensed" w:hAnsi="Barlow Semi Condensed"/>
          <w:b/>
          <w:bCs/>
          <w:sz w:val="24"/>
          <w:szCs w:val="24"/>
        </w:rPr>
        <w:t xml:space="preserve">Decima regola della risalita. Una rivelazione è un atto di esposizione. Prima di computarla come fonte nuova se ne cerchi l'occorrenza anteriore, e la si cerchi negli atti pubblici prima che negli archivi chiusi. In una materia sulla quale si è pubblicato per decenni, la probabilità che un elemento presentato come inedito sia già stampato è alta, e il costo della verifica è quello di una consultazione.</w:t>
      </w:r>
    </w:p>
    <w:p>
      <w:pPr>
        <w:spacing w:after="120" w:line="276"/>
        <w:jc w:val="both"/>
      </w:pPr>
      <w:r>
        <w:rPr>
          <w:rFonts w:ascii="Barlow Semi Condensed" w:cs="Barlow Semi Condensed" w:eastAsia="Barlow Semi Condensed" w:hAnsi="Barlow Semi Condensed"/>
          <w:b/>
          <w:bCs/>
          <w:sz w:val="24"/>
          <w:szCs w:val="24"/>
        </w:rPr>
        <w:t xml:space="preserve">Si registra che questa regola, se applicata retroattivamente alla letteratura sul caso, muterebbe il computo di un numero di convergenze che il presente atto non è in grado di stimare e non stima.</w:t>
      </w:r>
    </w:p>
    <w:p>
      <w:pPr>
        <w:pStyle w:val="Heading2"/>
        <w:spacing w:after="100" w:before="200"/>
      </w:pPr>
      <w:r>
        <w:rPr>
          <w:rFonts w:ascii="Barlow Semi Condensed" w:cs="Barlow Semi Condensed" w:eastAsia="Barlow Semi Condensed" w:hAnsi="Barlow Semi Condensed"/>
          <w:sz w:val="24"/>
          <w:szCs w:val="24"/>
        </w:rPr>
        <w:t xml:space="preserve">Parte quinta — Le carte, e l'ordine ritrovato</w:t>
      </w:r>
    </w:p>
    <w:p>
      <w:pPr>
        <w:spacing w:after="120" w:line="276"/>
        <w:jc w:val="both"/>
      </w:pPr>
      <w:r>
        <w:rPr>
          <w:rFonts w:ascii="Barlow Semi Condensed" w:cs="Barlow Semi Condensed" w:eastAsia="Barlow Semi Condensed" w:hAnsi="Barlow Semi Condensed"/>
          <w:b/>
          <w:bCs/>
          <w:sz w:val="24"/>
          <w:szCs w:val="24"/>
        </w:rPr>
        <w:t xml:space="preserve">La relazione reca, quanto agli scritti della prigionia, tre acquisizioni che appartengono alla materia della Fase Quarta e che ne toccano la disciplina di lettura.</w:t>
      </w:r>
    </w:p>
    <w:p>
      <w:pPr>
        <w:spacing w:after="120" w:line="276"/>
        <w:jc w:val="both"/>
      </w:pPr>
      <w:r>
        <w:rPr>
          <w:rFonts w:ascii="Barlow Semi Condensed" w:cs="Barlow Semi Condensed" w:eastAsia="Barlow Semi Condensed" w:hAnsi="Barlow Semi Condensed"/>
          <w:b/>
          <w:bCs/>
          <w:sz w:val="24"/>
          <w:szCs w:val="24"/>
        </w:rPr>
        <w:t xml:space="preserve">Prima. Il testo dattiloscritto sequestrato nell'ottobre millenovecentosettantotto corrisponde alla trascrizione di circa una metà del manoscritto rinvenuto nel millenovecentonovanta, e dal dattiloscritto mancano l'intera prima parte e taluni passaggi della seconda. L'organo indica quali siano i passaggi mancanti dalla seconda parte per materia. Il fatto della difformità fra le due versioni è documentale; la spiegazione della difformità non lo è, e l'organo espone entrambe le direzioni senza risolvere fra esse.</w:t>
      </w:r>
    </w:p>
    <w:p>
      <w:pPr>
        <w:spacing w:after="120" w:line="276"/>
        <w:jc w:val="both"/>
      </w:pPr>
      <w:r>
        <w:rPr>
          <w:rFonts w:ascii="Barlow Semi Condensed" w:cs="Barlow Semi Condensed" w:eastAsia="Barlow Semi Condensed" w:hAnsi="Barlow Semi Condensed"/>
          <w:b/>
          <w:bCs/>
          <w:sz w:val="24"/>
          <w:szCs w:val="24"/>
        </w:rPr>
        <w:t xml:space="preserve">Seconda, e la più rilevante per la disciplina dell'opera. Uno studio filologico, condotto anche sulle carte di un perito linguista del tribunale che aveva esaminato i comunicati, ha stabilito per via interna al testo che il manoscritto rinvenuto nel millenovecentonovanta reca almeno due rinvii a passaggi dei quali non vi è traccia nelle versioni conosciute, e ne ha inferito che esso abbia subito sottrazioni limitate e circostanziate. Lo studio è stato acquisito agli atti del quinto procedimento.</w:t>
      </w:r>
    </w:p>
    <w:p>
      <w:pPr>
        <w:spacing w:after="120" w:line="276"/>
        <w:jc w:val="both"/>
      </w:pPr>
      <w:r>
        <w:rPr>
          <w:rFonts w:ascii="Barlow Semi Condensed" w:cs="Barlow Semi Condensed" w:eastAsia="Barlow Semi Condensed" w:hAnsi="Barlow Semi Condensed"/>
          <w:b/>
          <w:bCs/>
          <w:sz w:val="24"/>
          <w:szCs w:val="24"/>
        </w:rPr>
        <w:t xml:space="preserve">Il metodo impiegato va nominato perché appartiene al genere che l'opera pratica: si tratta della ricerca delle discontinuità interne a un testo mediante la classificazione dei suoi rinvii anaforici, cioè delle espressioni con le quali chi scrive richiama ciò che ha già detto. Un rinvio senza referente è, entro un testo coerente, l'equivalente di un atto che entra in un ufficio e non ne esce. La figura è la medesima e cambia il supporto.</w:t>
      </w:r>
    </w:p>
    <w:p>
      <w:pPr>
        <w:spacing w:after="120" w:line="276"/>
        <w:jc w:val="both"/>
      </w:pPr>
      <w:r>
        <w:rPr>
          <w:rFonts w:ascii="Barlow Semi Condensed" w:cs="Barlow Semi Condensed" w:eastAsia="Barlow Semi Condensed" w:hAnsi="Barlow Semi Condensed"/>
          <w:b/>
          <w:bCs/>
          <w:sz w:val="24"/>
          <w:szCs w:val="24"/>
        </w:rPr>
        <w:t xml:space="preserve">Terza. Dallo studio risulta che il testo fu redatto in risposta a sedici quesiti posti dai detentori, dei quali l'organo elenca la materia; che l'interrogatorio non ebbe inizio subito dopo il sequestro ma nei primi giorni di aprile e si concluse verso la fine del medesimo mese; e che l'articolazione tematica non era stata percepita in precedenza a causa dello stato di confusione delle versioni, difformi persino nella numerazione delle pagine.</w:t>
      </w:r>
    </w:p>
    <w:p>
      <w:pPr>
        <w:spacing w:after="120" w:line="276"/>
        <w:jc w:val="both"/>
      </w:pPr>
      <w:r>
        <w:rPr>
          <w:rFonts w:ascii="Barlow Semi Condensed" w:cs="Barlow Semi Condensed" w:eastAsia="Barlow Semi Condensed" w:hAnsi="Barlow Semi Condensed"/>
          <w:b/>
          <w:bCs/>
          <w:sz w:val="24"/>
          <w:szCs w:val="24"/>
        </w:rPr>
        <w:t xml:space="preserve">Questa terza acquisizione tocca la scala del vincolo istituita dalla Fase Quarta. Quella scala gradua le proposizioni scritte sotto costrizione secondo l'intensità del vincolo che le governa; essa presuppone di sapere che cosa fosse stato domandato, poiché una risposta si valuta contro la domanda. Fino a oggi le domande erano ignote e la scala operava su enunciati privi del proprio contesto interrogativo. Le sedici materie, se confermate sull'atto, restituiscono quel contesto.</w:t>
      </w:r>
    </w:p>
    <w:p>
      <w:pPr>
        <w:spacing w:after="120" w:line="276"/>
        <w:jc w:val="both"/>
      </w:pPr>
      <w:r>
        <w:rPr>
          <w:rFonts w:ascii="Barlow Semi Condensed" w:cs="Barlow Semi Condensed" w:eastAsia="Barlow Semi Condensed" w:hAnsi="Barlow Semi Condensed"/>
          <w:b/>
          <w:bCs/>
          <w:sz w:val="24"/>
          <w:szCs w:val="24"/>
        </w:rPr>
        <w:t xml:space="preserve">Si dichiara che il presente atto non le recepisce nel corpo dell'opera e non muta alcun grado. Esse provengono da un'esposizione parlamentare di uno studio privato acquisito a un procedimento: tre passaggi, e la risalita si arresta al primo. Si iscrivono come acquisizione da conseguire.</w:t>
      </w:r>
    </w:p>
    <w:p>
      <w:pPr>
        <w:spacing w:after="120" w:line="276"/>
        <w:jc w:val="both"/>
      </w:pPr>
      <w:r>
        <w:rPr>
          <w:rFonts w:ascii="Barlow Semi Condensed" w:cs="Barlow Semi Condensed" w:eastAsia="Barlow Semi Condensed" w:hAnsi="Barlow Semi Condensed"/>
          <w:b/>
          <w:bCs/>
          <w:sz w:val="24"/>
          <w:szCs w:val="24"/>
        </w:rPr>
        <w:t xml:space="preserve">Voce ventinovesima — L'ordine interrogativo del testo della prigionia. Oggetto: lo studio filologico acquisito agli atti del quinto procedimento, e le sue risultanze quanto ai rinvii privi di referente e quanto all'articolazione del testo in risposte a quesiti determinati. Sede: atti del quinto procedimento presso l'ufficio competente; l'edizione a stampa dello studio, che è pubblica. Chiusura: acquisizione dello studio e verifica delle sue risultanze sul testo. Smentita: la constatazione che i rinvii privi di referente si spieghino con la confusione della numerazione anziché con sottrazioni, spiegazione che l'organo medesimo dichiara possibile quanto allo stato delle versioni.</w:t>
      </w:r>
    </w:p>
    <w:p>
      <w:pPr>
        <w:pStyle w:val="Heading2"/>
        <w:spacing w:after="100" w:before="200"/>
      </w:pPr>
      <w:r>
        <w:rPr>
          <w:rFonts w:ascii="Barlow Semi Condensed" w:cs="Barlow Semi Condensed" w:eastAsia="Barlow Semi Condensed" w:hAnsi="Barlow Semi Condensed"/>
          <w:sz w:val="24"/>
          <w:szCs w:val="24"/>
        </w:rPr>
        <w:t xml:space="preserve">Parte sesta — Le classi dichiarative e la disciplina che vi si applica</w:t>
      </w:r>
    </w:p>
    <w:p>
      <w:pPr>
        <w:spacing w:after="120" w:line="276"/>
        <w:jc w:val="both"/>
      </w:pPr>
      <w:r>
        <w:rPr>
          <w:rFonts w:ascii="Barlow Semi Condensed" w:cs="Barlow Semi Condensed" w:eastAsia="Barlow Semi Condensed" w:hAnsi="Barlow Semi Condensed"/>
          <w:b/>
          <w:bCs/>
          <w:sz w:val="24"/>
          <w:szCs w:val="24"/>
        </w:rPr>
        <w:t xml:space="preserve">La relazione dedica una sezione a dichiarazioni provenienti da collaboratori di giustizia di ambienti criminali diversi, concernenti presunte attivazioni per la ricerca del prigioniero e presunti interessamenti di ambienti politici alla loro cessazione. Il presente atto non ne riferisce il contenuto, e la ragione va dichiarata.</w:t>
      </w:r>
    </w:p>
    <w:p>
      <w:pPr>
        <w:spacing w:after="120" w:line="276"/>
        <w:jc w:val="both"/>
      </w:pPr>
      <w:r>
        <w:rPr>
          <w:rFonts w:ascii="Barlow Semi Condensed" w:cs="Barlow Semi Condensed" w:eastAsia="Barlow Semi Condensed" w:hAnsi="Barlow Semi Condensed"/>
          <w:b/>
          <w:bCs/>
          <w:sz w:val="24"/>
          <w:szCs w:val="24"/>
        </w:rPr>
        <w:t xml:space="preserve">Queste dichiarazioni appartengono, nel repertorio critico dell'opera, a due classi con grado massimo dichiarato e a una terza con grado nullo. La prima è quella delle dichiarazioni di dissociati e collaboratori, originaria e interessata, con grado intermedio elevabile in caso di convergenza fra dichiaranti con interessi divergenti. La seconda è quella del de relato di secondo grado, derivata due volte, con grado minimo e con divieto espresso di impiego come conferma di altre fonti. La terza è quella delle esposizioni giornalistiche, che non conferisce grado alcuno.</w:t>
      </w:r>
    </w:p>
    <w:p>
      <w:pPr>
        <w:spacing w:after="120" w:line="276"/>
        <w:jc w:val="both"/>
      </w:pPr>
      <w:r>
        <w:rPr>
          <w:rFonts w:ascii="Barlow Semi Condensed" w:cs="Barlow Semi Condensed" w:eastAsia="Barlow Semi Condensed" w:hAnsi="Barlow Semi Condensed"/>
          <w:b/>
          <w:bCs/>
          <w:sz w:val="24"/>
          <w:szCs w:val="24"/>
        </w:rPr>
        <w:t xml:space="preserve">Gran parte del materiale qui in questione appartiene alla seconda classe: sono dichiarazioni su ciò che un terzo avrebbe detto a un quarto. Ad esse si applica il divieto, e il divieto è assoluto: non possono essere computate come conferma, quale che sia il loro numero e quale che sia la convergenza apparente fra esse. Si aggiunge la cautela introdotta dall'appendice seconda alla propria terza regola: dichiaranti che abbiano appreso il medesimo fatto dal medesimo ambiente non sono catene distinte, e la divergenza dei loro interessi controlla la sincerità e non l'indipendenza.</w:t>
      </w:r>
    </w:p>
    <w:p>
      <w:pPr>
        <w:spacing w:after="120" w:line="276"/>
        <w:jc w:val="both"/>
      </w:pPr>
      <w:r>
        <w:rPr>
          <w:rFonts w:ascii="Barlow Semi Condensed" w:cs="Barlow Semi Condensed" w:eastAsia="Barlow Semi Condensed" w:hAnsi="Barlow Semi Condensed"/>
          <w:b/>
          <w:bCs/>
          <w:sz w:val="24"/>
          <w:szCs w:val="24"/>
        </w:rPr>
        <w:t xml:space="preserve">Si registra soltanto ciò che è designabile per atto e che appartiene al genere dell'opera: una delle dichiarazioni riportate è riprodotta in un atto parlamentare recante segnatura completa, ed è la domanda di autorizzazione a procedere stampata come atto del Senato, documento IV numero 179, XI legislatura. Di essa si registra l'esistenza e la segnatura, e null'altro.</w:t>
      </w:r>
    </w:p>
    <w:p>
      <w:pPr>
        <w:spacing w:after="120" w:line="276"/>
        <w:jc w:val="both"/>
      </w:pPr>
      <w:r>
        <w:rPr>
          <w:rFonts w:ascii="Barlow Semi Condensed" w:cs="Barlow Semi Condensed" w:eastAsia="Barlow Semi Condensed" w:hAnsi="Barlow Semi Condensed"/>
          <w:b/>
          <w:bCs/>
          <w:sz w:val="24"/>
          <w:szCs w:val="24"/>
        </w:rPr>
        <w:t xml:space="preserve">Si dichiara espressamente che l'organo medesimo, nelle proprie conclusioni, afferma che non sono emersi elementi certi che consentano di affermare l'eterodirezione dell'organizzazione, e formula quanto all'attivazione di ambienti criminali una proposizione dichiaratamente non risolta. L'opera recepisce questa formulazione al grado che essa reca, che è quello di una valutazione di organo qualificato, e non oltre.</w:t>
      </w:r>
    </w:p>
    <w:p>
      <w:pPr>
        <w:pStyle w:val="Heading2"/>
        <w:spacing w:after="100" w:before="200"/>
      </w:pPr>
      <w:r>
        <w:rPr>
          <w:rFonts w:ascii="Barlow Semi Condensed" w:cs="Barlow Semi Condensed" w:eastAsia="Barlow Semi Condensed" w:hAnsi="Barlow Semi Condensed"/>
          <w:sz w:val="24"/>
          <w:szCs w:val="24"/>
        </w:rPr>
        <w:t xml:space="preserve">Parte settima — Gli otto interrogativi residui e la loro designazione</w:t>
      </w:r>
    </w:p>
    <w:p>
      <w:pPr>
        <w:spacing w:after="120" w:line="276"/>
        <w:jc w:val="both"/>
      </w:pPr>
      <w:r>
        <w:rPr>
          <w:rFonts w:ascii="Barlow Semi Condensed" w:cs="Barlow Semi Condensed" w:eastAsia="Barlow Semi Condensed" w:hAnsi="Barlow Semi Condensed"/>
          <w:b/>
          <w:bCs/>
          <w:sz w:val="24"/>
          <w:szCs w:val="24"/>
        </w:rPr>
        <w:t xml:space="preserve">La relazione richiama gli interrogativi già dichiarati irrisolti dalla relazione conclusiva della X legislatura, documento XXIII numero 49, ed essi sono otto: l'esatta dinamica dei fatti del sedici marzo e del rapimento; la scomparsa, nel corso della prima istruttoria, di un rullino fotografico contenente immagini dell'agguato; l'eventuale presenza di elementi della criminalità organizzata sul luogo dell'agguato; il blocco di linee telefoniche in coincidenza con i fatti e, successivamente, con la diffusione di un comunicato; l'individuazione del luogo di prigionia; l'identificazione di un quarto uomo nella base e la sua eventuale appartenenza a formazioni diverse; l'identificazione della persona che nell'appartamento risiedeva sotto identità apparente; la vicenda del comunicato apocrifo.</w:t>
      </w:r>
    </w:p>
    <w:p>
      <w:pPr>
        <w:spacing w:after="120" w:line="276"/>
        <w:jc w:val="both"/>
      </w:pPr>
      <w:r>
        <w:rPr>
          <w:rFonts w:ascii="Barlow Semi Condensed" w:cs="Barlow Semi Condensed" w:eastAsia="Barlow Semi Condensed" w:hAnsi="Barlow Semi Condensed"/>
          <w:b/>
          <w:bCs/>
          <w:sz w:val="24"/>
          <w:szCs w:val="24"/>
        </w:rPr>
        <w:t xml:space="preserve">Si registra che due di questi otto sono stati risolti negli anni successivi, e che l'opera li tratta come risolti: il luogo di prigionia e l'identificazione della persona sotto identità apparente. Si registra altresì che uno di essi — la scomparsa del rullino fotografico nel corso della prima istruttoria — non figura nella tavola delle acquisizioni necessarie dell'opera, e che la sua assenza è una lacuna della tavola e non della relazione.</w:t>
      </w:r>
    </w:p>
    <w:p>
      <w:pPr>
        <w:spacing w:after="120" w:line="276"/>
        <w:jc w:val="both"/>
      </w:pPr>
      <w:r>
        <w:rPr>
          <w:rFonts w:ascii="Barlow Semi Condensed" w:cs="Barlow Semi Condensed" w:eastAsia="Barlow Semi Condensed" w:hAnsi="Barlow Semi Condensed"/>
          <w:b/>
          <w:bCs/>
          <w:sz w:val="24"/>
          <w:szCs w:val="24"/>
        </w:rPr>
        <w:t xml:space="preserve">Voce trentesima — Il rullino fotografico scomparso nella prima istruttoria. Oggetto: gli atti relativi alla formazione, all'acquisizione e alla scomparsa del rullino contenente immagini dell'agguato, e la documentazione degli accertamenti condotti all'epoca sulla scomparsa. Sede: atti del primo procedimento; atti della Commissione della VIII legislatura. Chiusura: reperimento degli atti di acquisizione e di quelli relativi alla scomparsa. Smentita: la constatazione che il rullino non fosse mai stato acquisito agli atti, nel qual caso non vi sarebbe scomparsa ma mancata acquisizione, che è figura diversa e va trattata come tale.</w:t>
      </w:r>
    </w:p>
    <w:p>
      <w:pPr>
        <w:pStyle w:val="Heading2"/>
        <w:spacing w:after="100" w:before="200"/>
      </w:pPr>
      <w:r>
        <w:rPr>
          <w:rFonts w:ascii="Barlow Semi Condensed" w:cs="Barlow Semi Condensed" w:eastAsia="Barlow Semi Condensed" w:hAnsi="Barlow Semi Condensed"/>
          <w:sz w:val="24"/>
          <w:szCs w:val="24"/>
        </w:rPr>
        <w:t xml:space="preserve">Parte ottava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registrano le mutazioni. La Voce ventesima progredisce quanto agli strumenti e non quanto al numero: essa dispone ora dell'indicazione di un repertorio generale che, se acquisito, la esaurirebbe per la parte degli atti transitati per una sede determinata. Si iscrivono le Voci ventisettesima, ventottesima, ventinovesima e trentesima.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non è accertato se la raccomandazione di acquisire l'oggetto degli atti repertati sia stata eseguita dall'organismo successivo. Secondo: non è accertato se il repertorio generale rechi, per ciascuna voce, l'oggetto dell'atto ovvero il solo estremo di protocollo. Terzo: la relazione conclusiva della X legislatura, documento XXIII numero 49, non è posseduta, ed è la fonte alla quale la presente rinvia in quattro punti; il suo reperimento è preliminare a quattro delle acquisizioni qui iscritte. Quarto: gli atti della Commissione della VIII legislatura, documento XXIII numero 5, non sono posseduti, e il volume sesto è quello che reca l'occorrenza anteriore di cui alla Parte quarta.</w:t>
      </w:r>
    </w:p>
    <w:p>
      <w:pPr>
        <w:spacing w:after="120" w:line="276"/>
        <w:jc w:val="both"/>
      </w:pPr>
      <w:r>
        <w:rPr>
          <w:rFonts w:ascii="Barlow Semi Condensed" w:cs="Barlow Semi Condensed" w:eastAsia="Barlow Semi Condensed" w:hAnsi="Barlow Semi Condensed"/>
          <w:b/>
          <w:bCs/>
          <w:sz w:val="24"/>
          <w:szCs w:val="24"/>
        </w:rPr>
        <w:t xml:space="preserve">Si osservi che il terzo e il quarto Stato Zero riguardano documenti a stampa degli atti parlamentari, pubblici e privi di regime di riservatezza. Essi appartengono, come la terza divergenza della Voce venticinquesima, alla classe delle acquisizioni che richiedono la consultazione di un volume.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quarta del giorno sul medesimo cantiere. Cantiere: designazione per atto delle fonti. Materia: la prima unità di produzione della serie, relazione parlamentare della XI legislatura sugli sviluppi del caso.</w:t>
      </w:r>
    </w:p>
    <w:p>
      <w:pPr>
        <w:spacing w:after="120" w:line="276"/>
        <w:jc w:val="both"/>
      </w:pPr>
      <w:r>
        <w:rPr>
          <w:rFonts w:ascii="Barlow Semi Condensed" w:cs="Barlow Semi Condensed" w:eastAsia="Barlow Semi Condensed" w:hAnsi="Barlow Semi Condensed"/>
          <w:b/>
          <w:bCs/>
          <w:sz w:val="24"/>
          <w:szCs w:val="24"/>
        </w:rPr>
        <w:t xml:space="preserve">Esito positivo: individuazione dell'esistenza e della sede di un repertorio generale di tutti gli atti concernenti il caso transitati per il Gabinetto del Ministro dell'interno, con iscrizione della voce corrispondente; tre discontinuità documentate, delle quali una nella forma dell'ordine presente al destinatario e assente all'emittente; accertamento che i comitati di crisi non produssero atto d'insediamento né verbalizzazione, con conseguente qualificazione del valore e del limite dell'unità quarantaduesima; documentazione di un collasso genealogico di tredici anni fra una rivelazione del millenovecentonovantatré e un atto parlamentare a stampa del millenovecentottanta, con segnatura completa; individuazione dell'esame crittografico degli scritti della prigionia; individuazione dell'articolazione del testo della prigionia in risposte a sedici quesiti determinati; enunciazione della nona e della decima regola della risalita;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la relazione conclusiva della X legislatura e gli atti della Commissione della VIII non sono posseduti, e sono documenti a stampa pubblici; non è accertata l'esecuzione della raccomandazione sul repertorio; non è accertata la forma delle voci del repertorio.</w:t>
      </w:r>
    </w:p>
    <w:p>
      <w:pPr>
        <w:spacing w:after="120" w:line="276"/>
        <w:jc w:val="both"/>
      </w:pPr>
      <w:r>
        <w:rPr>
          <w:rFonts w:ascii="Barlow Semi Condensed" w:cs="Barlow Semi Condensed" w:eastAsia="Barlow Semi Condensed" w:hAnsi="Barlow Semi Condensed"/>
          <w:b/>
          <w:bCs/>
          <w:sz w:val="24"/>
          <w:szCs w:val="24"/>
        </w:rPr>
        <w:t xml:space="preserve">Riga di lacuna propria. Uno degli otto interrogativi dichiarati irrisolti dalla Commissione della X legislatura non figura nella tavola delle acquisizioni necessarie dell'opera, ed è la scomparsa di un rullino fotografico nel corso della prima istruttoria. L'omissione è dell'opera. Si registra che essa non deriva da una valutazione di irrilevanza, poiché nessuna valutazione risulta essere stata compiuta: l'elemento non era stato censito.</w:t>
      </w:r>
    </w:p>
    <w:p>
      <w:pPr>
        <w:spacing w:after="120" w:line="276"/>
        <w:jc w:val="both"/>
      </w:pPr>
      <w:r>
        <w:rPr>
          <w:rFonts w:ascii="Barlow Semi Condensed" w:cs="Barlow Semi Condensed" w:eastAsia="Barlow Semi Condensed" w:hAnsi="Barlow Semi Condensed"/>
          <w:b/>
          <w:bCs/>
          <w:sz w:val="24"/>
          <w:szCs w:val="24"/>
        </w:rPr>
        <w:t xml:space="preserve">Riga di avvertenza. La relazione qui esaminata contiene dichiarazioni di terzi su condotte di persone determinate, riportate dall'organo con la qualificazione che i loro autori vi apposero. Il presente atto non ne riferisce il contenuto e non lo recepisce ad alcun grado. Si è riportata la sola formulazione conclusiva dell'organo, e la si è riportata al grado che le compete, che è quello della valutazione di organo qualificato e non quello dell'accertamento.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SESTA ALLA FASE SETTIMA, la prima unità di produzione, quindici agosto duemilaventisei. I settanta Capitoli restano settanta. Le redazioni anteriori non sono modificate: le pietre deposte non si scalpellano. Resta sovrana la Regola di Ferro: dove la fonte documenta, l'opera certifica; dove la fonte tace, l'opera indaga e non afferma. Una rivelazione è un atto di esposizione, e prima di computarla come nuova se ne cerchi l'occorrenza anteriore negli atti a stampa.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III · Appendice sesta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III: 3.472 parole in 9 sezioni; la più ampia è §9 Altre sezioni, con 3.090.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III: 54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IV — Appendice settima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SETTIMA ALLA FASE SETTIMA</w:t>
      </w:r>
    </w:p>
    <w:p>
      <w:pPr>
        <w:pStyle w:val="Heading2"/>
        <w:spacing w:after="100" w:before="200"/>
      </w:pPr>
      <w:r>
        <w:rPr>
          <w:rFonts w:ascii="Barlow Semi Condensed" w:cs="Barlow Semi Condensed" w:eastAsia="Barlow Semi Condensed" w:hAnsi="Barlow Semi Condensed"/>
          <w:sz w:val="24"/>
          <w:szCs w:val="24"/>
        </w:rPr>
        <w:t xml:space="preserve">L'organismo successore e la dichiarazione del proprio standard</w:t>
      </w:r>
    </w:p>
    <w:p>
      <w:pPr>
        <w:pStyle w:val="Heading2"/>
        <w:spacing w:after="100" w:before="200"/>
      </w:pPr>
      <w:r>
        <w:rPr>
          <w:rFonts w:ascii="Barlow Semi Condensed" w:cs="Barlow Semi Condensed" w:eastAsia="Barlow Semi Condensed" w:hAnsi="Barlow Semi Condensed"/>
          <w:sz w:val="24"/>
          <w:szCs w:val="24"/>
        </w:rPr>
        <w:t xml:space="preserve">Le due relazioni semestrali della XII legislatura, documenti XXIII numeri 1 e 3</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settima</w:t>
      </w:r>
    </w:p>
    <w:p>
      <w:pPr>
        <w:spacing w:after="120" w:line="276"/>
        <w:jc w:val="both"/>
      </w:pPr>
      <w:r>
        <w:rPr>
          <w:rFonts w:ascii="Barlow Semi Condensed" w:cs="Barlow Semi Condensed" w:eastAsia="Barlow Semi Condensed" w:hAnsi="Barlow Semi Condensed"/>
          <w:b/>
          <w:bCs/>
          <w:sz w:val="24"/>
          <w:szCs w:val="24"/>
        </w:rPr>
        <w:t xml:space="preserve">La presente è appendice settima alla Fase Settima e opera sulle due relazioni semestrali sullo stato dei lavori presentate nella XII legislatura dal Presidente della Commissione parlamentare d'inchiesta sul terrorismo e sulle stragi, comunicate alle Presidenze il ventisei gennaio e il venti luglio millenovecentonovantacinque e stampate come documenti XXIII numeri 1 e 3. Come le sei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scelta per una ragione determinata. L'appendice sesta ha dichiarato uno Stato Zero sull'esecuzione della raccomandazione con la quale la Commissione della legislatura anteriore affidava all'organismo successore l'acquisizione dell'oggetto degli atti repertati presso il Gabinetto del Ministro dell'interno. L'organismo successore è quello del quale qui si esaminano le relazioni. Interrogarlo era, per la regola tratta a proprio sfavore due volte nella medesima giornata, l'operazione dovuta prima di ogni altra.</w:t>
      </w:r>
    </w:p>
    <w:p>
      <w:pPr>
        <w:pStyle w:val="Heading2"/>
        <w:spacing w:after="100" w:before="200"/>
      </w:pPr>
      <w:r>
        <w:rPr>
          <w:rFonts w:ascii="Barlow Semi Condensed" w:cs="Barlow Semi Condensed" w:eastAsia="Barlow Semi Condensed" w:hAnsi="Barlow Semi Condensed"/>
          <w:sz w:val="24"/>
          <w:szCs w:val="24"/>
        </w:rPr>
        <w:t xml:space="preserve">Parte prima — La dichiarazione dello standard, e la sua conseguenza sul grado</w:t>
      </w:r>
    </w:p>
    <w:p>
      <w:pPr>
        <w:spacing w:after="120" w:line="276"/>
        <w:jc w:val="both"/>
      </w:pPr>
      <w:r>
        <w:rPr>
          <w:rFonts w:ascii="Barlow Semi Condensed" w:cs="Barlow Semi Condensed" w:eastAsia="Barlow Semi Condensed" w:hAnsi="Barlow Semi Condensed"/>
          <w:b/>
          <w:bCs/>
          <w:sz w:val="24"/>
          <w:szCs w:val="24"/>
        </w:rPr>
        <w:t xml:space="preserve">Le due relazioni contengono un passaggio che vale, ai fini dell'apparato dell'opera, più di ogni acquisizione documentale che esse recano, ed è la dichiarazione con la quale l'organo definisce il proprio standard probatorio.</w:t>
      </w:r>
    </w:p>
    <w:p>
      <w:pPr>
        <w:spacing w:after="120" w:line="276"/>
        <w:jc w:val="both"/>
      </w:pPr>
      <w:r>
        <w:rPr>
          <w:rFonts w:ascii="Barlow Semi Condensed" w:cs="Barlow Semi Condensed" w:eastAsia="Barlow Semi Condensed" w:hAnsi="Barlow Semi Condensed"/>
          <w:b/>
          <w:bCs/>
          <w:sz w:val="24"/>
          <w:szCs w:val="24"/>
        </w:rPr>
        <w:t xml:space="preserve">L'organo dichiara che i propri compiti non si identificano con quelli della magistratura; che la magistratura deve attenersi alla ricerca scrupolosa della prova con l'intento di perseguire responsabilità individuali; e che la Commissione può, e in alcuni casi deve, andare oltre la prova intesa in senso strettamente processuale, la quale potrebbe rivelarsi insufficiente alla comprensione di fenomeni generalizzati e complessi rispetto ai quali l'ottica del processo penale può apparire inadeguata se non addirittura deformante. Dichiara inoltre di essere in grado di assumere a criteri di giudizio elementi di prova che qualifica come sociale, e con essi comportamenti politici, orientamenti e linee di azione di gruppi e di fazioni.</w:t>
      </w:r>
    </w:p>
    <w:p>
      <w:pPr>
        <w:spacing w:after="120" w:line="276"/>
        <w:jc w:val="both"/>
      </w:pPr>
      <w:r>
        <w:rPr>
          <w:rFonts w:ascii="Barlow Semi Condensed" w:cs="Barlow Semi Condensed" w:eastAsia="Barlow Semi Condensed" w:hAnsi="Barlow Semi Condensed"/>
          <w:b/>
          <w:bCs/>
          <w:sz w:val="24"/>
          <w:szCs w:val="24"/>
        </w:rPr>
        <w:t xml:space="preserve">Questa dichiarazione va accolta per ciò che è, e ciò che è va detto senza attenuazioni in nessuna delle due direzioni.</w:t>
      </w:r>
    </w:p>
    <w:p>
      <w:pPr>
        <w:spacing w:after="120" w:line="276"/>
        <w:jc w:val="both"/>
      </w:pPr>
      <w:r>
        <w:rPr>
          <w:rFonts w:ascii="Barlow Semi Condensed" w:cs="Barlow Semi Condensed" w:eastAsia="Barlow Semi Condensed" w:hAnsi="Barlow Semi Condensed"/>
          <w:b/>
          <w:bCs/>
          <w:sz w:val="24"/>
          <w:szCs w:val="24"/>
        </w:rPr>
        <w:t xml:space="preserve">Essa non è un'ammissione di debolezza e non va letta come tale. L'organo argomenta che la propria specificità istituzionale si esalta là dove il magistrato si arresta, e osserva che ciò discende dalla stessa intitolazione della Commissione, alla quale è affidato il giudizio sulle cause della mancata individuazione — evidentemente in sede giudiziaria — dei responsabili. L'argomento è corretto: un organo istituito per accertare perché una prova non fu raggiunta non può essere vincolato allo standard di quella prova, altrimenti il suo oggetto gli sarebbe precluso per definizione.</w:t>
      </w:r>
    </w:p>
    <w:p>
      <w:pPr>
        <w:spacing w:after="120" w:line="276"/>
        <w:jc w:val="both"/>
      </w:pPr>
      <w:r>
        <w:rPr>
          <w:rFonts w:ascii="Barlow Semi Condensed" w:cs="Barlow Semi Condensed" w:eastAsia="Barlow Semi Condensed" w:hAnsi="Barlow Semi Condensed"/>
          <w:b/>
          <w:bCs/>
          <w:sz w:val="24"/>
          <w:szCs w:val="24"/>
        </w:rPr>
        <w:t xml:space="preserve">Essa è però, quanto al grado conferibile alle risultanze dell'organo, decisiva e in un solo verso. Il repertorio critico dell'opera assegna agli atti delle Commissioni il grado massimo per le acquisizioni documentali e il grado intermedio per le ricostruzioni e le valutazioni. Quella distinzione era, fino a oggi, una cautela dell'opera, adottata per prudenza e senza il conforto di una dichiarazione dell'organo graduato. Ora essa riposa sulla dichiarazione dell'organo medesimo, il quale afferma di adottare per le proprie valutazioni uno standard deliberatamente diverso da quello della prova e più largo di esso.</w:t>
      </w:r>
    </w:p>
    <w:p>
      <w:pPr>
        <w:spacing w:after="120" w:line="276"/>
        <w:jc w:val="both"/>
      </w:pPr>
      <w:r>
        <w:rPr>
          <w:rFonts w:ascii="Barlow Semi Condensed" w:cs="Barlow Semi Condensed" w:eastAsia="Barlow Semi Condensed" w:hAnsi="Barlow Semi Condensed"/>
          <w:b/>
          <w:bCs/>
          <w:sz w:val="24"/>
          <w:szCs w:val="24"/>
        </w:rPr>
        <w:t xml:space="preserve">Si enuncia la regola, che è l'undicesima della serie.</w:t>
      </w:r>
    </w:p>
    <w:p>
      <w:pPr>
        <w:spacing w:after="120" w:line="276"/>
        <w:jc w:val="both"/>
      </w:pPr>
      <w:r>
        <w:rPr>
          <w:rFonts w:ascii="Barlow Semi Condensed" w:cs="Barlow Semi Condensed" w:eastAsia="Barlow Semi Condensed" w:hAnsi="Barlow Semi Condensed"/>
          <w:b/>
          <w:bCs/>
          <w:sz w:val="24"/>
          <w:szCs w:val="24"/>
        </w:rPr>
        <w:t xml:space="preserve">Undicesima regola della risalita. Quando un organo dichiara il proprio standard, il grado delle sue ricostruzioni si fissa su quella dichiarazione e non sull'autorevolezza della sede. Una valutazione formulata dichiaratamente oltre la soglia della prova non acquista quella soglia per il fatto di essere stampata negli atti parlamentari. La sede conferisce pubblicità e non conferisce grado.</w:t>
      </w:r>
    </w:p>
    <w:p>
      <w:pPr>
        <w:spacing w:after="120" w:line="276"/>
        <w:jc w:val="both"/>
      </w:pPr>
      <w:r>
        <w:rPr>
          <w:rFonts w:ascii="Barlow Semi Condensed" w:cs="Barlow Semi Condensed" w:eastAsia="Barlow Semi Condensed" w:hAnsi="Barlow Semi Condensed"/>
          <w:b/>
          <w:bCs/>
          <w:sz w:val="24"/>
          <w:szCs w:val="24"/>
        </w:rPr>
        <w:t xml:space="preserve">Si dichiara che questa regola non abbassa alcun grado nell'opera, poiché l'opera aveva già collocato le ricostruzioni parlamentari al grado intermedio. Essa ne consolida il fondamento, che passa dalla prudenza dell'autore alla dichiarazione della fonte, ed è un mutamento di natura e non di esito.</w:t>
      </w:r>
    </w:p>
    <w:p>
      <w:pPr>
        <w:pStyle w:val="Heading2"/>
        <w:spacing w:after="100" w:before="200"/>
      </w:pPr>
      <w:r>
        <w:rPr>
          <w:rFonts w:ascii="Barlow Semi Condensed" w:cs="Barlow Semi Condensed" w:eastAsia="Barlow Semi Condensed" w:hAnsi="Barlow Semi Condensed"/>
          <w:sz w:val="24"/>
          <w:szCs w:val="24"/>
        </w:rPr>
        <w:t xml:space="preserve">Parte seconda — Le relazioni che nessuna Assemblea ha discusso</w:t>
      </w:r>
    </w:p>
    <w:p>
      <w:pPr>
        <w:spacing w:after="120" w:line="276"/>
        <w:jc w:val="both"/>
      </w:pPr>
      <w:r>
        <w:rPr>
          <w:rFonts w:ascii="Barlow Semi Condensed" w:cs="Barlow Semi Condensed" w:eastAsia="Barlow Semi Condensed" w:hAnsi="Barlow Semi Condensed"/>
          <w:b/>
          <w:bCs/>
          <w:sz w:val="24"/>
          <w:szCs w:val="24"/>
        </w:rPr>
        <w:t xml:space="preserve">L'organo registra una circostanza che riguarda l'intera classe di fonti sulla quale l'opera poggia più largamente, e che va iscritta come risultanza di prim'ordine.</w:t>
      </w:r>
    </w:p>
    <w:p>
      <w:pPr>
        <w:spacing w:after="120" w:line="276"/>
        <w:jc w:val="both"/>
      </w:pPr>
      <w:r>
        <w:rPr>
          <w:rFonts w:ascii="Barlow Semi Condensed" w:cs="Barlow Semi Condensed" w:eastAsia="Barlow Semi Condensed" w:hAnsi="Barlow Semi Condensed"/>
          <w:b/>
          <w:bCs/>
          <w:sz w:val="24"/>
          <w:szCs w:val="24"/>
        </w:rPr>
        <w:t xml:space="preserve">Le relazioni trasmesse alle Camere dalle Commissioni delle legislature anteriori sono documenti la cui discussione non è stata mai posta all'ordine del giorno di alcuna delle Assemblee. L'organo ne trae che l'obiettivo ultimo dell'inchiesta parlamentare — l'acquisizione di elementi di conoscenza a beneficio del Parlamento, finalizzata all'espressione di un giudizio e a futuri orientamenti legislativi — è rimasto frustrato dall'incompiutezza di una procedura arrestatasi a una fase preliminare, senza pervenire al dibattito che ne costituisce la sede naturale.</w:t>
      </w:r>
    </w:p>
    <w:p>
      <w:pPr>
        <w:spacing w:after="120" w:line="276"/>
        <w:jc w:val="both"/>
      </w:pPr>
      <w:r>
        <w:rPr>
          <w:rFonts w:ascii="Barlow Semi Condensed" w:cs="Barlow Semi Condensed" w:eastAsia="Barlow Semi Condensed" w:hAnsi="Barlow Semi Condensed"/>
          <w:b/>
          <w:bCs/>
          <w:sz w:val="24"/>
          <w:szCs w:val="24"/>
        </w:rPr>
        <w:t xml:space="preserve">La conseguenza per la designazione delle fonti è precisa e va apportata. Una relazione approvata da una Commissione d'inchiesta e trasmessa alle Camere è un atto della Commissione. Non è un atto del Parlamento, e non lo diviene per effetto della trasmissione. Chi la designi come pronuncia parlamentare le attribuisce un'autorità che essa non ha ricevuto, e la differenza non è formale: fra un giudizio deliberato da quarantuno commissari e un giudizio discusso e votato da due Assemblee corre una distanza che il caso in esame non ha mai colmata.</w:t>
      </w:r>
    </w:p>
    <w:p>
      <w:pPr>
        <w:spacing w:after="120" w:line="276"/>
        <w:jc w:val="both"/>
      </w:pPr>
      <w:r>
        <w:rPr>
          <w:rFonts w:ascii="Barlow Semi Condensed" w:cs="Barlow Semi Condensed" w:eastAsia="Barlow Semi Condensed" w:hAnsi="Barlow Semi Condensed"/>
          <w:b/>
          <w:bCs/>
          <w:sz w:val="24"/>
          <w:szCs w:val="24"/>
        </w:rPr>
        <w:t xml:space="preserve">Si dispone pertanto che, nelle redazioni successive, le relazioni delle Commissioni siano designate per l'organo che le ha approvate e non per la sede alla quale sono state trasmesse, e che ove il grado di una proposizione riposi su una di esse ciò sia dichiarato in questa forma.</w:t>
      </w:r>
    </w:p>
    <w:p>
      <w:pPr>
        <w:pStyle w:val="Heading2"/>
        <w:spacing w:after="100" w:before="200"/>
      </w:pPr>
      <w:r>
        <w:rPr>
          <w:rFonts w:ascii="Barlow Semi Condensed" w:cs="Barlow Semi Condensed" w:eastAsia="Barlow Semi Condensed" w:hAnsi="Barlow Semi Condensed"/>
          <w:sz w:val="24"/>
          <w:szCs w:val="24"/>
        </w:rPr>
        <w:t xml:space="preserve">Parte terza — La discontinuità della memoria istituzionale</w:t>
      </w:r>
    </w:p>
    <w:p>
      <w:pPr>
        <w:spacing w:after="120" w:line="276"/>
        <w:jc w:val="both"/>
      </w:pPr>
      <w:r>
        <w:rPr>
          <w:rFonts w:ascii="Barlow Semi Condensed" w:cs="Barlow Semi Condensed" w:eastAsia="Barlow Semi Condensed" w:hAnsi="Barlow Semi Condensed"/>
          <w:b/>
          <w:bCs/>
          <w:sz w:val="24"/>
          <w:szCs w:val="24"/>
        </w:rPr>
        <w:t xml:space="preserve">L'organo dichiara che alla propria ricostituzione quaranta commissari su quarantuno non avevano fatto parte della Commissione in precedenza, e che tale ricambio ha imposto un faticoso sforzo di aggiornamento per colmare l'inevitabile vuoto di informazione relativo ai temi di indagine e alle attività passate. Dichiara altresì di avere avuto a disposizione circa un anno e mezzo, per effetto della ricostituzione tardiva rispetto all'inizio della legislatura.</w:t>
      </w:r>
    </w:p>
    <w:p>
      <w:pPr>
        <w:spacing w:after="120" w:line="276"/>
        <w:jc w:val="both"/>
      </w:pPr>
      <w:r>
        <w:rPr>
          <w:rFonts w:ascii="Barlow Semi Condensed" w:cs="Barlow Semi Condensed" w:eastAsia="Barlow Semi Condensed" w:hAnsi="Barlow Semi Condensed"/>
          <w:b/>
          <w:bCs/>
          <w:sz w:val="24"/>
          <w:szCs w:val="24"/>
        </w:rPr>
        <w:t xml:space="preserve">Si registra la circostanza come dato strutturale sulla classe delle fonti parlamentari, e non come rilievo su alcuno. Un organo d'inchiesta che si rinnovi per intero a ogni legislatura ricomincia, quanto alla conoscenza del proprio oggetto, da una posizione prossima a quella di partenza, e la continuità è affidata al solo patrimonio documentale e al personale che lo custodisce. Ne segue che la profondità delle inchieste parlamentari in materia non cresce linearmente con il numero delle legislature che vi si dedicano, e che l'aspettativa contraria — implicita in ogni ricostruzione che sommi le conclusioni successive come strati di un accertamento progressivo — è infondata.</w:t>
      </w:r>
    </w:p>
    <w:p>
      <w:pPr>
        <w:pStyle w:val="Heading2"/>
        <w:spacing w:after="100" w:before="200"/>
      </w:pPr>
      <w:r>
        <w:rPr>
          <w:rFonts w:ascii="Barlow Semi Condensed" w:cs="Barlow Semi Condensed" w:eastAsia="Barlow Semi Condensed" w:hAnsi="Barlow Semi Condensed"/>
          <w:sz w:val="24"/>
          <w:szCs w:val="24"/>
        </w:rPr>
        <w:t xml:space="preserve">Parte quarta — Lo Stato Zero sul repertorio del Gabinetto: esito</w:t>
      </w:r>
    </w:p>
    <w:p>
      <w:pPr>
        <w:spacing w:after="120" w:line="276"/>
        <w:jc w:val="both"/>
      </w:pPr>
      <w:r>
        <w:rPr>
          <w:rFonts w:ascii="Barlow Semi Condensed" w:cs="Barlow Semi Condensed" w:eastAsia="Barlow Semi Condensed" w:hAnsi="Barlow Semi Condensed"/>
          <w:b/>
          <w:bCs/>
          <w:sz w:val="24"/>
          <w:szCs w:val="24"/>
        </w:rPr>
        <w:t xml:space="preserve">Si riferisce l'esito dell'interrogazione che ha motivato la presente unità.</w:t>
      </w:r>
    </w:p>
    <w:p>
      <w:pPr>
        <w:spacing w:after="120" w:line="276"/>
        <w:jc w:val="both"/>
      </w:pPr>
      <w:r>
        <w:rPr>
          <w:rFonts w:ascii="Barlow Semi Condensed" w:cs="Barlow Semi Condensed" w:eastAsia="Barlow Semi Condensed" w:hAnsi="Barlow Semi Condensed"/>
          <w:b/>
          <w:bCs/>
          <w:sz w:val="24"/>
          <w:szCs w:val="24"/>
        </w:rPr>
        <w:t xml:space="preserve">Nessuna delle due relazioni semestrali menziona il repertorio generale degli atti concernenti il caso transitati per il Gabinetto del Ministro dell'interno, e nessuna menziona la raccomandazione della Commissione anteriore quanto all'acquisizione dell'oggetto delle voci repertate.</w:t>
      </w:r>
    </w:p>
    <w:p>
      <w:pPr>
        <w:spacing w:after="120" w:line="276"/>
        <w:jc w:val="both"/>
      </w:pPr>
      <w:r>
        <w:rPr>
          <w:rFonts w:ascii="Barlow Semi Condensed" w:cs="Barlow Semi Condensed" w:eastAsia="Barlow Semi Condensed" w:hAnsi="Barlow Semi Condensed"/>
          <w:b/>
          <w:bCs/>
          <w:sz w:val="24"/>
          <w:szCs w:val="24"/>
        </w:rPr>
        <w:t xml:space="preserve">Si dichiara con esattezza che cosa questo stabilisca e che cosa no. Esso non stabilisce che l'acquisizione non sia stata compiuta. Le relazioni semestrali sono, per loro natura, resoconti sintetici dello stato dei lavori e non indici completi delle acquisizioni; la seconda dedica alle acquisizioni documentali due paragrafi e vi espone per esteso una sola classe di operazioni. Esso stabilisce che, in due resoconti dell'attività svolta nell'arco di un anno da parte dell'organo espressamente destinatario della raccomandazione, la raccomandazione non è menzionata.</w:t>
      </w:r>
    </w:p>
    <w:p>
      <w:pPr>
        <w:spacing w:after="120" w:line="276"/>
        <w:jc w:val="both"/>
      </w:pPr>
      <w:r>
        <w:rPr>
          <w:rFonts w:ascii="Barlow Semi Condensed" w:cs="Barlow Semi Condensed" w:eastAsia="Barlow Semi Condensed" w:hAnsi="Barlow Semi Condensed"/>
          <w:b/>
          <w:bCs/>
          <w:sz w:val="24"/>
          <w:szCs w:val="24"/>
        </w:rPr>
        <w:t xml:space="preserve">Lo Stato Zero dichiarato dall'appendice sesta non si chiude e si restringe. Esso passa dalla forma indeterminata — non è accertato se la raccomandazione sia stata eseguita — alla forma determinata: non è menzionata nei due resoconti semestrali dell'organo destinatario, e la sua esecuzione va cercata negli indici di acquisizione della XII legislatura, che non sono posseduti, ovvero nella relazione conclusiva di quella legislatura.</w:t>
      </w:r>
    </w:p>
    <w:p>
      <w:pPr>
        <w:pStyle w:val="Heading2"/>
        <w:spacing w:after="100" w:before="200"/>
      </w:pPr>
      <w:r>
        <w:rPr>
          <w:rFonts w:ascii="Barlow Semi Condensed" w:cs="Barlow Semi Condensed" w:eastAsia="Barlow Semi Condensed" w:hAnsi="Barlow Semi Condensed"/>
          <w:sz w:val="24"/>
          <w:szCs w:val="24"/>
        </w:rPr>
        <w:t xml:space="preserve">Parte quinta — Gli atti nuovi designati per estremi</w:t>
      </w:r>
    </w:p>
    <w:p>
      <w:pPr>
        <w:spacing w:after="120" w:line="276"/>
        <w:jc w:val="both"/>
      </w:pPr>
      <w:r>
        <w:rPr>
          <w:rFonts w:ascii="Barlow Semi Condensed" w:cs="Barlow Semi Condensed" w:eastAsia="Barlow Semi Condensed" w:hAnsi="Barlow Semi Condensed"/>
          <w:b/>
          <w:bCs/>
          <w:sz w:val="24"/>
          <w:szCs w:val="24"/>
        </w:rPr>
        <w:t xml:space="preserve">La seconda relazione reca l'elenco delle sedute con il rispettivo oggetto, ed è pertanto essa stessa uno strumento di designazione. Si estraggono le voci pertinenti al caso, ciascuna con seduta, data e oggetto.</w:t>
      </w:r>
    </w:p>
    <w:p>
      <w:pPr>
        <w:spacing w:after="120" w:line="276"/>
        <w:jc w:val="both"/>
      </w:pPr>
      <w:r>
        <w:rPr>
          <w:rFonts w:ascii="Barlow Semi Condensed" w:cs="Barlow Semi Condensed" w:eastAsia="Barlow Semi Condensed" w:hAnsi="Barlow Semi Condensed"/>
          <w:b/>
          <w:bCs/>
          <w:sz w:val="24"/>
          <w:szCs w:val="24"/>
        </w:rPr>
        <w:t xml:space="preserve">Nona seduta del nove marzo millenovecentonovantacinque, incontro di lavoro con tre magistrati che condussero le indagini sul caso nelle sue fasi recenti, sotto l'intitolazione degli ultimi sviluppi. È l'unico atto della serie nel quale i titolari delle tre istruttorie successive compaiono insieme dinanzi all'organo.</w:t>
      </w:r>
    </w:p>
    <w:p>
      <w:pPr>
        <w:spacing w:after="120" w:line="276"/>
        <w:jc w:val="both"/>
      </w:pPr>
      <w:r>
        <w:rPr>
          <w:rFonts w:ascii="Barlow Semi Condensed" w:cs="Barlow Semi Condensed" w:eastAsia="Barlow Semi Condensed" w:hAnsi="Barlow Semi Condensed"/>
          <w:b/>
          <w:bCs/>
          <w:sz w:val="24"/>
          <w:szCs w:val="24"/>
        </w:rPr>
        <w:t xml:space="preserve">Ventiduesima seduta del ventitré maggio millenovecentonovantacinque, audizione di un magistrato sulle vicende connesse al caso del falsario del comunicato apocrifo, sotto l'intitolazione congiunta degli ultimi sviluppi del caso e dei rapporti fra eversione e criminalità organizzata. L'organo riferisce che l'audito fornì informazioni sull'attività di un'associazione criminale romana e in particolare del pregiudicato ucciso nel settembre millenovecentottantaquattro.</w:t>
      </w:r>
    </w:p>
    <w:p>
      <w:pPr>
        <w:spacing w:after="120" w:line="276"/>
        <w:jc w:val="both"/>
      </w:pPr>
      <w:r>
        <w:rPr>
          <w:rFonts w:ascii="Barlow Semi Condensed" w:cs="Barlow Semi Condensed" w:eastAsia="Barlow Semi Condensed" w:hAnsi="Barlow Semi Condensed"/>
          <w:b/>
          <w:bCs/>
          <w:sz w:val="24"/>
          <w:szCs w:val="24"/>
        </w:rPr>
        <w:t xml:space="preserve">Questa è, per il filone del terzo soggetto, l'acquisizione più diretta dell'intera serie. La Voce ventiquattresima, iscritta dall'appendice quarta, domanda gli atti del procedimento-stralcio sul falsario. Qui si dispone in aggiunta di un'audizione parlamentare dedicata alla materia, con data, numero di seduta e qualità dell'audito. Un'audizione produce un resoconto stenografico, e un resoconto stenografico è un atto.</w:t>
      </w:r>
    </w:p>
    <w:p>
      <w:pPr>
        <w:spacing w:after="120" w:line="276"/>
        <w:jc w:val="both"/>
      </w:pPr>
      <w:r>
        <w:rPr>
          <w:rFonts w:ascii="Barlow Semi Condensed" w:cs="Barlow Semi Condensed" w:eastAsia="Barlow Semi Condensed" w:hAnsi="Barlow Semi Condensed"/>
          <w:b/>
          <w:bCs/>
          <w:sz w:val="24"/>
          <w:szCs w:val="24"/>
        </w:rPr>
        <w:t xml:space="preserve">Ventitreesima seduta del ventiquattro maggio millenovecentonovantacinque, audizione del magistrato titolare delle indagini sull'omicidio di un giornalista presso una Procura determinata, con acquisizione di materiale documentale di interesse. L'organo dichiara che di quella vicenda e dei suoi collegamenti con il caso si stava occupando quell'ufficio.</w:t>
      </w:r>
    </w:p>
    <w:p>
      <w:pPr>
        <w:spacing w:after="120" w:line="276"/>
        <w:jc w:val="both"/>
      </w:pPr>
      <w:r>
        <w:rPr>
          <w:rFonts w:ascii="Barlow Semi Condensed" w:cs="Barlow Semi Condensed" w:eastAsia="Barlow Semi Condensed" w:hAnsi="Barlow Semi Condensed"/>
          <w:b/>
          <w:bCs/>
          <w:sz w:val="24"/>
          <w:szCs w:val="24"/>
        </w:rPr>
        <w:t xml:space="preserve">Ventiquattresima seduta del sei giugno millenovecentonovantacinque, audizione di uno stretto collaboratore dello statista.</w:t>
      </w:r>
    </w:p>
    <w:p>
      <w:pPr>
        <w:spacing w:after="120" w:line="276"/>
        <w:jc w:val="both"/>
      </w:pPr>
      <w:r>
        <w:rPr>
          <w:rFonts w:ascii="Barlow Semi Condensed" w:cs="Barlow Semi Condensed" w:eastAsia="Barlow Semi Condensed" w:hAnsi="Barlow Semi Condensed"/>
          <w:b/>
          <w:bCs/>
          <w:sz w:val="24"/>
          <w:szCs w:val="24"/>
        </w:rPr>
        <w:t xml:space="preserve">Da quest'ultima discende l'acquisizione più circoscritta e più singolare della serie. L'organo dichiara che, a seguito delle risultanze di quell'audizione, l'Ufficio di Presidenza avvertì la necessità di acquisire una lettera consegnata il trenta luglio millenovecentonovantuno dall'allora Capo dello Stato al Presidente del Senato; che di tale lettera fu fatta richiesta, con riscontro positivo, alla Procura della Repubblica di Roma; e che quest'ufficio l'aveva nel frattempo acquisita dall'esecutore testamentario del destinatario.</w:t>
      </w:r>
    </w:p>
    <w:p>
      <w:pPr>
        <w:spacing w:after="120" w:line="276"/>
        <w:jc w:val="both"/>
      </w:pPr>
      <w:r>
        <w:rPr>
          <w:rFonts w:ascii="Barlow Semi Condensed" w:cs="Barlow Semi Condensed" w:eastAsia="Barlow Semi Condensed" w:hAnsi="Barlow Semi Condensed"/>
          <w:b/>
          <w:bCs/>
          <w:sz w:val="24"/>
          <w:szCs w:val="24"/>
        </w:rPr>
        <w:t xml:space="preserve">Si osservi la catena: un'audizione del millenovecentonovantacinque produce la ricerca di una lettera del millenovecentonovantuno, la quale si trova non presso alcuno dei due corrispondenti ma presso una Procura, che l'aveva ottenuta da un esecutore testamentario. Quattro passaggi di custodia, tutti documentati, per un atto di due righe di descrizione. È il modello esatto di ciò che la Voce ventesima domanda, ed è l'esempio migliore disponibile del fatto che un atto si designa per la propria storia di custodia e non per il proprio autore soltanto.</w:t>
      </w:r>
    </w:p>
    <w:p>
      <w:pPr>
        <w:spacing w:after="120" w:line="276"/>
        <w:jc w:val="both"/>
      </w:pPr>
      <w:r>
        <w:rPr>
          <w:rFonts w:ascii="Barlow Semi Condensed" w:cs="Barlow Semi Condensed" w:eastAsia="Barlow Semi Condensed" w:hAnsi="Barlow Semi Condensed"/>
          <w:b/>
          <w:bCs/>
          <w:sz w:val="24"/>
          <w:szCs w:val="24"/>
        </w:rPr>
        <w:t xml:space="preserve">Voce trentunesima — I resoconti delle audizioni sul caso nella XII legislatura. Oggetto: i resoconti stenografici delle sedute nona, ventiduesima, ventitreesima e ventiquattresima della XII legislatura, con particolare riguardo a quella dedicata alle vicende connesse al caso del falsario. Sede: atti della Commissione presso l'archivio storico competente. Chiusura: acquisizione dei quattro resoconti. Smentita: la constatazione che gli incontri di lavoro non producessero resoconto stenografico, nel qual caso resterebbero i soli processi verbali, che attestano lo svolgimento e non il contenuto.</w:t>
      </w:r>
    </w:p>
    <w:p>
      <w:pPr>
        <w:spacing w:after="120" w:line="276"/>
        <w:jc w:val="both"/>
      </w:pPr>
      <w:r>
        <w:rPr>
          <w:rFonts w:ascii="Barlow Semi Condensed" w:cs="Barlow Semi Condensed" w:eastAsia="Barlow Semi Condensed" w:hAnsi="Barlow Semi Condensed"/>
          <w:b/>
          <w:bCs/>
          <w:sz w:val="24"/>
          <w:szCs w:val="24"/>
        </w:rPr>
        <w:t xml:space="preserve">Voce trentaduesima — La lettera del trenta luglio millenovecentonovantuno. Oggetto: la lettera consegnata in quella data dall'allora Capo dello Stato al Presidente del Senato, acquisita dalla Procura della Repubblica di Roma presso l'esecutore testamentario del destinatario e da questa trasmessa alla Commissione. Sede: atti della Commissione della XII legislatura; in origine, atti della Procura. Chiusura: reperimento del testo. Smentita: non ricorre, trattandosi di reperimento di un atto la cui esistenza e la cui via di custodia sono dichiarate dall'organo che lo acquisì.</w:t>
      </w:r>
    </w:p>
    <w:p>
      <w:pPr>
        <w:pStyle w:val="Heading2"/>
        <w:spacing w:after="100" w:before="200"/>
      </w:pPr>
      <w:r>
        <w:rPr>
          <w:rFonts w:ascii="Barlow Semi Condensed" w:cs="Barlow Semi Condensed" w:eastAsia="Barlow Semi Condensed" w:hAnsi="Barlow Semi Condensed"/>
          <w:sz w:val="24"/>
          <w:szCs w:val="24"/>
        </w:rPr>
        <w:t xml:space="preserve">Parte sesta — Le richieste rivolte all'estero</w:t>
      </w:r>
    </w:p>
    <w:p>
      <w:pPr>
        <w:spacing w:after="120" w:line="276"/>
        <w:jc w:val="both"/>
      </w:pPr>
      <w:r>
        <w:rPr>
          <w:rFonts w:ascii="Barlow Semi Condensed" w:cs="Barlow Semi Condensed" w:eastAsia="Barlow Semi Condensed" w:hAnsi="Barlow Semi Condensed"/>
          <w:b/>
          <w:bCs/>
          <w:sz w:val="24"/>
          <w:szCs w:val="24"/>
        </w:rPr>
        <w:t xml:space="preserve">L'organo dichiara di avere deciso di acquisire ogni possibile ulteriore documentazione esistente in Italia o all'estero, e di avere avanzato richieste presso gli archivi del Ministero dell'interno e del Ministero degli affari esteri, nonché presso numerosi enti culturali e istituzioni pubbliche di uno Stato estero d'oltreoceano; e di essersi infine rivolto alle ambasciate di due Stati dell'area orientale, le quali hanno entrambe assicurato il proprio interessamento presso i competenti organi dei rispettivi governi.</w:t>
      </w:r>
    </w:p>
    <w:p>
      <w:pPr>
        <w:spacing w:after="120" w:line="276"/>
        <w:jc w:val="both"/>
      </w:pPr>
      <w:r>
        <w:rPr>
          <w:rFonts w:ascii="Barlow Semi Condensed" w:cs="Barlow Semi Condensed" w:eastAsia="Barlow Semi Condensed" w:hAnsi="Barlow Semi Condensed"/>
          <w:b/>
          <w:bCs/>
          <w:sz w:val="24"/>
          <w:szCs w:val="24"/>
        </w:rPr>
        <w:t xml:space="preserve">Questa dichiarazione tocca una delle lacune più antiche della tavola. La Scheda dedicata alla comunicazione straniera osservava che non risulta essere mai stata tentata la via rogatoriale su un punto determinato, e la qualificava come la lacuna procedurale più semplice da colmare fra quelle censite. La presente relazione non contraddice quell'osservazione, che riguardava una rogatoria su un oggetto specifico; essa documenta però che una via diversa e più generale — la richiesta per canale diplomatico — fu percorsa nel millenovecentonovantacinque verso tre destinazioni, e che due di esse risposero assicurando interessamento.</w:t>
      </w:r>
    </w:p>
    <w:p>
      <w:pPr>
        <w:spacing w:after="120" w:line="276"/>
        <w:jc w:val="both"/>
      </w:pPr>
      <w:r>
        <w:rPr>
          <w:rFonts w:ascii="Barlow Semi Condensed" w:cs="Barlow Semi Condensed" w:eastAsia="Barlow Semi Condensed" w:hAnsi="Barlow Semi Condensed"/>
          <w:b/>
          <w:bCs/>
          <w:sz w:val="24"/>
          <w:szCs w:val="24"/>
        </w:rPr>
        <w:t xml:space="preserve">L'esito di quelle richieste non è dichiarato in alcuna delle due relazioni, le quali si arrestano alla data della seconda. Si dichiara Stato Zero sull'esito, con sede determinata negli atti della medesima Commissione e nella sua relazione conclusiva.</w:t>
      </w:r>
    </w:p>
    <w:p>
      <w:pPr>
        <w:spacing w:after="120" w:line="276"/>
        <w:jc w:val="both"/>
      </w:pPr>
      <w:r>
        <w:rPr>
          <w:rFonts w:ascii="Barlow Semi Condensed" w:cs="Barlow Semi Condensed" w:eastAsia="Barlow Semi Condensed" w:hAnsi="Barlow Semi Condensed"/>
          <w:b/>
          <w:bCs/>
          <w:sz w:val="24"/>
          <w:szCs w:val="24"/>
        </w:rPr>
        <w:t xml:space="preserve">Voce trentatreesima — L'esito delle richieste documentali rivolte all'estero nel 1995. Oggetto: le risposte pervenute alle richieste avanzate presso enti e istituzioni pubbliche estere e per il tramite di due ambasciate, e la documentazione eventualmente acquisita per tale via. Sede: atti della Commissione della XII legislatura; archivi del Ministero degli affari esteri. Chiusura: reperimento delle risposte, comprese quelle negative. Smentita: non ricorre; si segnala che una risposta negativa chiude ugualmente la voce ed è acquisizione di pieno valore.</w:t>
      </w:r>
    </w:p>
    <w:p>
      <w:pPr>
        <w:pStyle w:val="Heading2"/>
        <w:spacing w:after="100" w:before="200"/>
      </w:pPr>
      <w:r>
        <w:rPr>
          <w:rFonts w:ascii="Barlow Semi Condensed" w:cs="Barlow Semi Condensed" w:eastAsia="Barlow Semi Condensed" w:hAnsi="Barlow Semi Condensed"/>
          <w:sz w:val="24"/>
          <w:szCs w:val="24"/>
        </w:rPr>
        <w:t xml:space="preserve">Parte settima — Gli accessi ai fondi riservati</w:t>
      </w:r>
    </w:p>
    <w:p>
      <w:pPr>
        <w:spacing w:after="120" w:line="276"/>
        <w:jc w:val="both"/>
      </w:pPr>
      <w:r>
        <w:rPr>
          <w:rFonts w:ascii="Barlow Semi Condensed" w:cs="Barlow Semi Condensed" w:eastAsia="Barlow Semi Condensed" w:hAnsi="Barlow Semi Condensed"/>
          <w:b/>
          <w:bCs/>
          <w:sz w:val="24"/>
          <w:szCs w:val="24"/>
        </w:rPr>
        <w:t xml:space="preserve">La seconda relazione dedica un paragrafo agli accessi agli archivi riservati di organi dello Stato, e ne riferisce nei termini seguenti. Dopo che il Ministro dell'interno aveva manifestato in sede di audizione piena disponibilità, furono raggiunte le intese per consentire che alcuni consulenti appositamente accreditati visionassero la documentazione esistente presso quel Dicastero, compresa quella riservata e non versata all'archivio storico dello Stato. L'ambito prevalente della ricerca fu quello delle formazioni paramilitari attive in Italia a partire dal secondo dopoguerra. La ricerca fu poi estesa ai fondi riservati dell'archivio centrale dello Stato, al materiale esistente presso la Presidenza del Consiglio e all'archivio storico dello Stato maggiore dell'Esercito.</w:t>
      </w:r>
    </w:p>
    <w:p>
      <w:pPr>
        <w:spacing w:after="120" w:line="276"/>
        <w:jc w:val="both"/>
      </w:pPr>
      <w:r>
        <w:rPr>
          <w:rFonts w:ascii="Barlow Semi Condensed" w:cs="Barlow Semi Condensed" w:eastAsia="Barlow Semi Condensed" w:hAnsi="Barlow Semi Condensed"/>
          <w:b/>
          <w:bCs/>
          <w:sz w:val="24"/>
          <w:szCs w:val="24"/>
        </w:rPr>
        <w:t xml:space="preserve">Si registra il fatto e lo si qualifica rispetto alla regolarità che il corpus maggiore ha iscritta fra le proprie risultanze, secondo la quale nessun archivio di apparato si è aperto per iniziativa propria e le aperture sono conseguite a pressione esterna.</w:t>
      </w:r>
    </w:p>
    <w:p>
      <w:pPr>
        <w:spacing w:after="120" w:line="276"/>
        <w:jc w:val="both"/>
      </w:pPr>
      <w:r>
        <w:rPr>
          <w:rFonts w:ascii="Barlow Semi Condensed" w:cs="Barlow Semi Condensed" w:eastAsia="Barlow Semi Condensed" w:hAnsi="Barlow Semi Condensed"/>
          <w:b/>
          <w:bCs/>
          <w:sz w:val="24"/>
          <w:szCs w:val="24"/>
        </w:rPr>
        <w:t xml:space="preserve">Il caso qui documentato è coerente con quella regolarità e non la contraddice. L'apertura fu preceduta da una audizione del Ministro dinanzi all'organo d'inchiesta, cioè dall'esercizio di un potere ispettivo, e fu regolata da intese e da accreditamento nominativo di consulenti. Essa non fu un versamento e non fu una desecretazione: fu una visione consentita a persone determinate. Ne segue che ciò che quei consulenti videro è documentato, se lo è, negli elaborati che ne redassero, e non in un inventario pubblico.</w:t>
      </w:r>
    </w:p>
    <w:p>
      <w:pPr>
        <w:spacing w:after="120" w:line="276"/>
        <w:jc w:val="both"/>
      </w:pPr>
      <w:r>
        <w:rPr>
          <w:rFonts w:ascii="Barlow Semi Condensed" w:cs="Barlow Semi Condensed" w:eastAsia="Barlow Semi Condensed" w:hAnsi="Barlow Semi Condensed"/>
          <w:b/>
          <w:bCs/>
          <w:sz w:val="24"/>
          <w:szCs w:val="24"/>
        </w:rPr>
        <w:t xml:space="preserve">Voce trentaquattresima — La documentazione degli accessi ai fondi riservati. Oggetto: gli elaborati redatti dai consulenti accreditati a seguito degli accessi presso il Ministero dell'interno, l'archivio centrale dello Stato, la Presidenza del Consiglio e l'archivio storico dello Stato maggiore dell'Esercito, e l'indicazione dei fondi visionati. Sede: atti della Commissione della XII legislatura. Chiusura: reperimento degli elaborati e dell'elenco dei fondi. Smentita: la constatazione che gli accessi non produssero elaborati scritti, nel qual caso resterebbe accertato l'accesso e non il suo oggetto, e la voce si trasformerebbe nella richiesta dell'elenco dei fondi presso le sedi che li custodiscono.</w:t>
      </w:r>
    </w:p>
    <w:p>
      <w:pPr>
        <w:spacing w:after="120" w:line="276"/>
        <w:jc w:val="both"/>
      </w:pPr>
      <w:r>
        <w:rPr>
          <w:rFonts w:ascii="Barlow Semi Condensed" w:cs="Barlow Semi Condensed" w:eastAsia="Barlow Semi Condensed" w:hAnsi="Barlow Semi Condensed"/>
          <w:b/>
          <w:bCs/>
          <w:sz w:val="24"/>
          <w:szCs w:val="24"/>
        </w:rPr>
        <w:t xml:space="preserve">Si segnala che questa voce, benché l'ambito prevalente dichiarato non sia il caso, è di rilievo per il corpus maggiore più che per l'opera, poiché l'ambito dichiarato coincide con uno dei suoi oggetti principali.</w:t>
      </w:r>
    </w:p>
    <w:p>
      <w:pPr>
        <w:pStyle w:val="Heading2"/>
        <w:spacing w:after="100" w:before="200"/>
      </w:pPr>
      <w:r>
        <w:rPr>
          <w:rFonts w:ascii="Barlow Semi Condensed" w:cs="Barlow Semi Condensed" w:eastAsia="Barlow Semi Condensed" w:hAnsi="Barlow Semi Condensed"/>
          <w:sz w:val="24"/>
          <w:szCs w:val="24"/>
        </w:rPr>
        <w:t xml:space="preserve">Parte ottava — Il quinto procedimento</w:t>
      </w:r>
    </w:p>
    <w:p>
      <w:pPr>
        <w:spacing w:after="120" w:line="276"/>
        <w:jc w:val="both"/>
      </w:pPr>
      <w:r>
        <w:rPr>
          <w:rFonts w:ascii="Barlow Semi Condensed" w:cs="Barlow Semi Condensed" w:eastAsia="Barlow Semi Condensed" w:hAnsi="Barlow Semi Condensed"/>
          <w:b/>
          <w:bCs/>
          <w:sz w:val="24"/>
          <w:szCs w:val="24"/>
        </w:rPr>
        <w:t xml:space="preserve">L'organo dichiara che la fase delle indagini preliminari del quinto procedimento si è conclusa con richiesta di rinvio a giudizio avanzata dai pubblici ministeri e accolta dal giudice per le indagini preliminari nei confronti di più imputati, e che il processo riguarderà fra l'altro l'identità della quarta persona presente nella base durante la detenzione.</w:t>
      </w:r>
    </w:p>
    <w:p>
      <w:pPr>
        <w:spacing w:after="120" w:line="276"/>
        <w:jc w:val="both"/>
      </w:pPr>
      <w:r>
        <w:rPr>
          <w:rFonts w:ascii="Barlow Semi Condensed" w:cs="Barlow Semi Condensed" w:eastAsia="Barlow Semi Condensed" w:hAnsi="Barlow Semi Condensed"/>
          <w:b/>
          <w:bCs/>
          <w:sz w:val="24"/>
          <w:szCs w:val="24"/>
        </w:rPr>
        <w:t xml:space="preserve">Si registra il solo fatto processuale e nulla oltre. Un rinvio a giudizio non è un accertamento e non conferisce grado ad alcuna proposizione sul merito. L'esito di quel processo non è stabilito dalle presenti fonti, che si arrestano al luglio millenovecentonovantacinque, e l'opera non lo desume. Si segnala che tale esito è, alla data odierna, materia di giudicato e che la sua acquisizione per estremi appartiene alla classe delle sentenze già iscritte.</w:t>
      </w:r>
    </w:p>
    <w:p>
      <w:pPr>
        <w:pStyle w:val="Heading2"/>
        <w:spacing w:after="100" w:before="200"/>
      </w:pPr>
      <w:r>
        <w:rPr>
          <w:rFonts w:ascii="Barlow Semi Condensed" w:cs="Barlow Semi Condensed" w:eastAsia="Barlow Semi Condensed" w:hAnsi="Barlow Semi Condensed"/>
          <w:sz w:val="24"/>
          <w:szCs w:val="24"/>
        </w:rPr>
        <w:t xml:space="preserve">Parte nona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iscrivono le Voci trentunesima, trentaduesima, trentatreesima e trentaquattresima. Si enuncia l'undicesima regola della risalita. Si dispone la designazione delle relazioni per l'organo che le approva e non per la sede alla quale sono trasmesse. Nessun grado di alcuna proposizione dell'opera muta, e il fondamento del grado intermedio conferito alle ricostruzioni parlamentari passa dalla cautela dell'autore alla dichiarazione della fonte.</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raccomandazione sul repertorio del Gabinetto non è menzionata nei due resoconti semestrali dell'organo destinatario; la sua esecuzione resta non accertata e la ricerca si sposta sugli indici di acquisizione e sulla relazione conclusiva della XII legislatura, non posseduti. Secondo: l'esito delle richieste rivolte all'estero non è dichiarato. Terzo: gli elaborati dei consulenti accreditati non sono individuati. Quarto: il contenuto di nessuna delle audizioni qui designate è esaminato, poiché se ne possiedono le intitolazioni e non i resoconti.</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quinta del giorno sul medesimo cantiere. Cantiere: designazione per atto delle fonti. Materia: le due relazioni semestrali della XII legislatura, e l'interrogazione dell'organismo successore sulla raccomandazione rimasta in sospeso.</w:t>
      </w:r>
    </w:p>
    <w:p>
      <w:pPr>
        <w:spacing w:after="120" w:line="276"/>
        <w:jc w:val="both"/>
      </w:pPr>
      <w:r>
        <w:rPr>
          <w:rFonts w:ascii="Barlow Semi Condensed" w:cs="Barlow Semi Condensed" w:eastAsia="Barlow Semi Condensed" w:hAnsi="Barlow Semi Condensed"/>
          <w:b/>
          <w:bCs/>
          <w:sz w:val="24"/>
          <w:szCs w:val="24"/>
        </w:rPr>
        <w:t xml:space="preserve">Esito positivo: acquisizione della dichiarazione con la quale l'organo definisce il proprio standard probatorio come deliberatamente diverso e più largo di quello della prova processuale, con conseguente consolidamento del fondamento del grado intermedio conferito alle ricostruzioni parlamentari; accertamento che le relazioni delle Commissioni non furono mai poste all'ordine del giorno di alcuna Assemblea, con conseguente disposizione sulla loro designazione; accertamento della discontinuità di composizione fra legislature, con la conseguenza che le conclusioni successive non si sommano come strati di un accertamento progressivo; individuazione per seduta, data e oggetto di quattro atti pertinenti al caso, fra i quali un'audizione dedicata alle vicende connesse al falsario; individuazione della lettera del trenta luglio millenovecentonovantuno con la sua intera catena di custodia; documentazione delle richieste rivolte nel millenovecentonovantacinque a enti esteri e a due ambasciate; documentazione degli accessi ai fondi riservati di quattro sedi; enunciazione dell'undicesima regola della risalita;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la raccomandazione sul repertorio generale del Gabinetto non è menzionata dall'organo destinatario nei due resoconti del proprio primo anno; l'esito delle richieste all'estero non è dichiarato; gli elaborati degli accessi riservati non sono individuati; nessun resoconto stenografico è posseduto.</w:t>
      </w:r>
    </w:p>
    <w:p>
      <w:pPr>
        <w:spacing w:after="120" w:line="276"/>
        <w:jc w:val="both"/>
      </w:pPr>
      <w:r>
        <w:rPr>
          <w:rFonts w:ascii="Barlow Semi Condensed" w:cs="Barlow Semi Condensed" w:eastAsia="Barlow Semi Condensed" w:hAnsi="Barlow Semi Condensed"/>
          <w:b/>
          <w:bCs/>
          <w:sz w:val="24"/>
          <w:szCs w:val="24"/>
        </w:rPr>
        <w:t xml:space="preserve">Riga di restringimento. Lo Stato Zero dichiarato dall'appendice sesta non si chiude e cambia forma: da indeterminato a determinato, con indicazione delle due sedi presso le quali l'esecuzione della raccomandazione va cercata. Si registra che un esito negativo che restringa il campo di ricerca è acquisizione di pieno valore, e che è il quarto della giornata.</w:t>
      </w:r>
    </w:p>
    <w:p>
      <w:pPr>
        <w:spacing w:after="120" w:line="276"/>
        <w:jc w:val="both"/>
      </w:pPr>
      <w:r>
        <w:rPr>
          <w:rFonts w:ascii="Barlow Semi Condensed" w:cs="Barlow Semi Condensed" w:eastAsia="Barlow Semi Condensed" w:hAnsi="Barlow Semi Condensed"/>
          <w:b/>
          <w:bCs/>
          <w:sz w:val="24"/>
          <w:szCs w:val="24"/>
        </w:rPr>
        <w:t xml:space="preserve">Riga di avvertenza. Le persone menzionate nelle fonti qui impiegate lo sono in quanto i loro nomi o le loro qualità appartengono agli estremi degli atti. Il rinvio a giudizio riferito alla Parte ottava è un fatto processuale e non un accertamento, e il presente atto non ne desume alcuna responsabilità, né riferisce le imputazioni. L'organo la cui relazione qui si esamina dichiara di adottare per le proprie valutazioni uno standard diverso da quello della prova: chi impieghi le sue conclusioni tenga ferma quella dichiarazione, che l'organo ha reso di propria iniziativa e in apertura.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SETTIMA ALLA FASE SETTIMA, l'organismo successore e la dichiarazione del proprio standard, quindici agosto duemilaventisei. I settanta Capitoli restano settanta. Le redazioni anteriori non sono modificate: le pietre deposte non si scalpellano. Resta sovrana la Regola di Ferro: dove la fonte documenta, l'opera certifica; dove la fonte tace, l'opera indaga e non afferma. Quando un organo dichiara il proprio standard, il grado delle sue ricostruzioni si fissa su quella dichiarazione: la sede conferisce pubblicità e non conferisce grado.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IV · Appendice settima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IV: 3.042 parole in 9 sezioni; la più ampia è §9 Altre sezioni, con 2.454.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IV: 48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 — Appendice ottava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OTTAVA ALLA FASE SETTIMA</w:t>
      </w:r>
    </w:p>
    <w:p>
      <w:pPr>
        <w:pStyle w:val="Heading2"/>
        <w:spacing w:after="100" w:before="200"/>
      </w:pPr>
      <w:r>
        <w:rPr>
          <w:rFonts w:ascii="Barlow Semi Condensed" w:cs="Barlow Semi Condensed" w:eastAsia="Barlow Semi Condensed" w:hAnsi="Barlow Semi Condensed"/>
          <w:sz w:val="24"/>
          <w:szCs w:val="24"/>
        </w:rPr>
        <w:t xml:space="preserve">Il canale orientale, la quarta persona e uno Stato Zero formalizzato da quattro apparati</w:t>
      </w:r>
    </w:p>
    <w:p>
      <w:pPr>
        <w:pStyle w:val="Heading2"/>
        <w:spacing w:after="100" w:before="200"/>
      </w:pPr>
      <w:r>
        <w:rPr>
          <w:rFonts w:ascii="Barlow Semi Condensed" w:cs="Barlow Semi Condensed" w:eastAsia="Barlow Semi Condensed" w:hAnsi="Barlow Semi Condensed"/>
          <w:sz w:val="24"/>
          <w:szCs w:val="24"/>
        </w:rPr>
        <w:t xml:space="preserve">Sesta relazione semestrale, XIII legislatura, documento XXIII numero 37</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ottava</w:t>
      </w:r>
    </w:p>
    <w:p>
      <w:pPr>
        <w:spacing w:after="120" w:line="276"/>
        <w:jc w:val="both"/>
      </w:pPr>
      <w:r>
        <w:rPr>
          <w:rFonts w:ascii="Barlow Semi Condensed" w:cs="Barlow Semi Condensed" w:eastAsia="Barlow Semi Condensed" w:hAnsi="Barlow Semi Condensed"/>
          <w:b/>
          <w:bCs/>
          <w:sz w:val="24"/>
          <w:szCs w:val="24"/>
        </w:rPr>
        <w:t xml:space="preserve">La presente è appendice ottava alla Fase Settima e opera sulla sesta relazione semestrale della Commissione parlamentare d'inchiesta sul terrorismo e sulle stragi della XIII legislatura, stampata come documento XXIII numero 37 e riferita a un semestre che si chiude nel gennaio duemila. Come le sette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È la quarta unità di produzione della serie e la più tarda. Essa reca acquisizioni che chiudono, restringono o riformulano quattro fra gli Stati Zero dichiarati oggi, e ne apre altri.</w:t>
      </w:r>
    </w:p>
    <w:p>
      <w:pPr>
        <w:pStyle w:val="Heading2"/>
        <w:spacing w:after="100" w:before="200"/>
      </w:pPr>
      <w:r>
        <w:rPr>
          <w:rFonts w:ascii="Barlow Semi Condensed" w:cs="Barlow Semi Condensed" w:eastAsia="Barlow Semi Condensed" w:hAnsi="Barlow Semi Condensed"/>
          <w:sz w:val="24"/>
          <w:szCs w:val="24"/>
        </w:rPr>
        <w:t xml:space="preserve">Parte prima — L'audizione della quarta persona, e il rifiuto che la precede</w:t>
      </w:r>
    </w:p>
    <w:p>
      <w:pPr>
        <w:spacing w:after="120" w:line="276"/>
        <w:jc w:val="both"/>
      </w:pPr>
      <w:r>
        <w:rPr>
          <w:rFonts w:ascii="Barlow Semi Condensed" w:cs="Barlow Semi Condensed" w:eastAsia="Barlow Semi Condensed" w:hAnsi="Barlow Semi Condensed"/>
          <w:b/>
          <w:bCs/>
          <w:sz w:val="24"/>
          <w:szCs w:val="24"/>
        </w:rPr>
        <w:t xml:space="preserve">L'organo dichiara di avere ritenuto di notevole utilità l'audizione di esponenti dell'organizzazione, e di essersi visto a più riprese opporre un rifiuto a comparire; e di avere invece ottenuto l'assenso di una persona allora agli arresti domiciliari, la cui audizione fu svolta il ventuno gennaio duemila previ contatti con la Corte di Assise d'appello competente e con le forze di polizia incaricate della traduzione.</w:t>
      </w:r>
    </w:p>
    <w:p>
      <w:pPr>
        <w:spacing w:after="120" w:line="276"/>
        <w:jc w:val="both"/>
      </w:pPr>
      <w:r>
        <w:rPr>
          <w:rFonts w:ascii="Barlow Semi Condensed" w:cs="Barlow Semi Condensed" w:eastAsia="Barlow Semi Condensed" w:hAnsi="Barlow Semi Condensed"/>
          <w:b/>
          <w:bCs/>
          <w:sz w:val="24"/>
          <w:szCs w:val="24"/>
        </w:rPr>
        <w:t xml:space="preserve">La persona audita è quella la cui identificazione costituiva, fra gli otto interrogativi dichiarati irrisolti dalla Commissione della X legislatura e richiamati dalla relazione della XI, la voce relativa alla quarta persona presente nella base durante la detenzione. Fra la formulazione di quell'interrogativo e l'audizione corrono circa dieci anni; fra i fatti e l'audizione, ventidue.</w:t>
      </w:r>
    </w:p>
    <w:p>
      <w:pPr>
        <w:spacing w:after="120" w:line="276"/>
        <w:jc w:val="both"/>
      </w:pPr>
      <w:r>
        <w:rPr>
          <w:rFonts w:ascii="Barlow Semi Condensed" w:cs="Barlow Semi Condensed" w:eastAsia="Barlow Semi Condensed" w:hAnsi="Barlow Semi Condensed"/>
          <w:b/>
          <w:bCs/>
          <w:sz w:val="24"/>
          <w:szCs w:val="24"/>
        </w:rPr>
        <w:t xml:space="preserve">Si registrano due atti e non uno, poiché il rifiuto è un atto quanto l'assenso. Un rifiuto reiterato di comparire dinanzi a un organo d'inchiesta, opposto da persone determinate, è documentato negli atti dell'organo che lo subisce, ed è la constatazione negativa più netta disponibile su una fonte dichiarativa: non è che la fonte non abbia parlato, è che ha rifiutato di parlare a quella sede. La distinzione fra il silenzio e il rifiuto è, in materia di fonti dichiarative, la medesima che corre fra il non reperito e il non accessibile.</w:t>
      </w:r>
    </w:p>
    <w:p>
      <w:pPr>
        <w:spacing w:after="120" w:line="276"/>
        <w:jc w:val="both"/>
      </w:pPr>
      <w:r>
        <w:rPr>
          <w:rFonts w:ascii="Barlow Semi Condensed" w:cs="Barlow Semi Condensed" w:eastAsia="Barlow Semi Condensed" w:hAnsi="Barlow Semi Condensed"/>
          <w:b/>
          <w:bCs/>
          <w:sz w:val="24"/>
          <w:szCs w:val="24"/>
        </w:rPr>
        <w:t xml:space="preserve">Si dichiara che il presente atto non conosce il contenuto dell'audizione, la quale produsse resoconto e del quale non si dispone.</w:t>
      </w:r>
    </w:p>
    <w:p>
      <w:pPr>
        <w:pStyle w:val="Heading2"/>
        <w:spacing w:after="100" w:before="200"/>
      </w:pPr>
      <w:r>
        <w:rPr>
          <w:rFonts w:ascii="Barlow Semi Condensed" w:cs="Barlow Semi Condensed" w:eastAsia="Barlow Semi Condensed" w:hAnsi="Barlow Semi Condensed"/>
          <w:sz w:val="24"/>
          <w:szCs w:val="24"/>
        </w:rPr>
        <w:t xml:space="preserve">Parte seconda — Le audizioni, le acquisizioni ministeriali, e il repertorio ancora cercato</w:t>
      </w:r>
    </w:p>
    <w:p>
      <w:pPr>
        <w:spacing w:after="120" w:line="276"/>
        <w:jc w:val="both"/>
      </w:pPr>
      <w:r>
        <w:rPr>
          <w:rFonts w:ascii="Barlow Semi Condensed" w:cs="Barlow Semi Condensed" w:eastAsia="Barlow Semi Condensed" w:hAnsi="Barlow Semi Condensed"/>
          <w:b/>
          <w:bCs/>
          <w:sz w:val="24"/>
          <w:szCs w:val="24"/>
        </w:rPr>
        <w:t xml:space="preserve">L'organo riferisce che sul caso si sono svolte le audizioni di un già direttore del servizio informativo militare, del vicepresidente del Consiglio in carica e di due magistrati che furono giudici istruttori all'epoca dei fatti; e che è stato acquisito ulteriore materiale documentale proveniente dalla Procura della Repubblica di Roma in data dieci novembre millenovecentonovantanove e dal Ministero dell'interno in data ventuno dicembre millenovecentonovantanove.</w:t>
      </w:r>
    </w:p>
    <w:p>
      <w:pPr>
        <w:spacing w:after="120" w:line="276"/>
        <w:jc w:val="both"/>
      </w:pPr>
      <w:r>
        <w:rPr>
          <w:rFonts w:ascii="Barlow Semi Condensed" w:cs="Barlow Semi Condensed" w:eastAsia="Barlow Semi Condensed" w:hAnsi="Barlow Semi Condensed"/>
          <w:b/>
          <w:bCs/>
          <w:sz w:val="24"/>
          <w:szCs w:val="24"/>
        </w:rPr>
        <w:t xml:space="preserve">Riferisce altresì che il Presidente ha redatto e depositato in data ventisette luglio millenovecentonovantanove un documento dedicato allo sviluppo delle indagini e ai nuovi spunti investigativi sul caso.</w:t>
      </w:r>
    </w:p>
    <w:p>
      <w:pPr>
        <w:spacing w:after="120" w:line="276"/>
        <w:jc w:val="both"/>
      </w:pPr>
      <w:r>
        <w:rPr>
          <w:rFonts w:ascii="Barlow Semi Condensed" w:cs="Barlow Semi Condensed" w:eastAsia="Barlow Semi Condensed" w:hAnsi="Barlow Semi Condensed"/>
          <w:b/>
          <w:bCs/>
          <w:sz w:val="24"/>
          <w:szCs w:val="24"/>
        </w:rPr>
        <w:t xml:space="preserve">La seconda delle due acquisizioni ministeriali va accostata allo Stato Zero sul repertorio generale degli atti del Gabinetto, dichiarato dall'appendice sesta e ristretto dall'appendice settima. Si tratta di materiale documentale proveniente dal medesimo Dicastero presso il quale il repertorio fu redatto, acquisito sul medesimo oggetto, quattro anni dopo la raccomandazione che ne prescriveva l'acquisizione.</w:t>
      </w:r>
    </w:p>
    <w:p>
      <w:pPr>
        <w:spacing w:after="120" w:line="276"/>
        <w:jc w:val="both"/>
      </w:pPr>
      <w:r>
        <w:rPr>
          <w:rFonts w:ascii="Barlow Semi Condensed" w:cs="Barlow Semi Condensed" w:eastAsia="Barlow Semi Condensed" w:hAnsi="Barlow Semi Condensed"/>
          <w:b/>
          <w:bCs/>
          <w:sz w:val="24"/>
          <w:szCs w:val="24"/>
        </w:rPr>
        <w:t xml:space="preserve">Si dichiara con esattezza ciò che l'accostamento consente e ciò che non consente. Esso non consente di identificare quella acquisizione con il repertorio: la relazione non lo dice, e nulla nella sua descrizione lo suggerisce. Esso consente di restringere ulteriormente la ricerca: se il repertorio fu acquisito dopo la raccomandazione, la data del ventuno dicembre millenovecentonovantanove è la sola occorrenza documentata, nelle fonti possedute, di una trasmissione di atti dal Gabinetto alla Commissione sul caso; ed è dunque il primo punto da verificare.</w:t>
      </w:r>
    </w:p>
    <w:p>
      <w:pPr>
        <w:spacing w:after="120" w:line="276"/>
        <w:jc w:val="both"/>
      </w:pPr>
      <w:r>
        <w:rPr>
          <w:rFonts w:ascii="Barlow Semi Condensed" w:cs="Barlow Semi Condensed" w:eastAsia="Barlow Semi Condensed" w:hAnsi="Barlow Semi Condensed"/>
          <w:b/>
          <w:bCs/>
          <w:sz w:val="24"/>
          <w:szCs w:val="24"/>
        </w:rPr>
        <w:t xml:space="preserve">Voce trentacinquesima — Gli atti della XIII legislatura sul caso. Oggetto: i resoconti delle quattro audizioni sul caso e di quella del ventuno gennaio duemila; il documento redatto e depositato dal Presidente il ventisette luglio millenovecentonovantanove; l'elenco analitico del materiale acquisito dalla Procura della Repubblica di Roma il dieci novembre e dal Ministero dell'interno il ventuno dicembre millenovecentonovantanove. Sede: atti della Commissione della XIII legislatura. Chiusura: reperimento dei resoconti, del documento e dei due elenchi. Smentita: non ricorre. Si segnala che il secondo elenco è il punto nel quale verificare l'eventuale acquisizione del repertorio generale del Gabinetto.</w:t>
      </w:r>
    </w:p>
    <w:p>
      <w:pPr>
        <w:pStyle w:val="Heading2"/>
        <w:spacing w:after="100" w:before="200"/>
      </w:pPr>
      <w:r>
        <w:rPr>
          <w:rFonts w:ascii="Barlow Semi Condensed" w:cs="Barlow Semi Condensed" w:eastAsia="Barlow Semi Condensed" w:hAnsi="Barlow Semi Condensed"/>
          <w:sz w:val="24"/>
          <w:szCs w:val="24"/>
        </w:rPr>
        <w:t xml:space="preserve">Parte terza — Il canale orientale, e la sua catena di custodia</w:t>
      </w:r>
    </w:p>
    <w:p>
      <w:pPr>
        <w:spacing w:after="120" w:line="276"/>
        <w:jc w:val="both"/>
      </w:pPr>
      <w:r>
        <w:rPr>
          <w:rFonts w:ascii="Barlow Semi Condensed" w:cs="Barlow Semi Condensed" w:eastAsia="Barlow Semi Condensed" w:hAnsi="Barlow Semi Condensed"/>
          <w:b/>
          <w:bCs/>
          <w:sz w:val="24"/>
          <w:szCs w:val="24"/>
        </w:rPr>
        <w:t xml:space="preserve">L'organo espone per intero, e questa è l'acquisizione più consistente dell'unità, la vicenda di un carteggio relativo a contatti e scambi di informazioni intervenuti nell'estate e nell'autunno del millenovecentonovanta fra gli organi ufficiali della nuova amministrazione di uno Stato dell'Europa centrale e i servizi informativi italiani, carteggio che avrebbe riguardato fra l'altro l'attività dell'organizzazione e il caso.</w:t>
      </w:r>
    </w:p>
    <w:p>
      <w:pPr>
        <w:spacing w:after="120" w:line="276"/>
        <w:jc w:val="both"/>
      </w:pPr>
      <w:r>
        <w:rPr>
          <w:rFonts w:ascii="Barlow Semi Condensed" w:cs="Barlow Semi Condensed" w:eastAsia="Barlow Semi Condensed" w:hAnsi="Barlow Semi Condensed"/>
          <w:b/>
          <w:bCs/>
          <w:sz w:val="24"/>
          <w:szCs w:val="24"/>
        </w:rPr>
        <w:t xml:space="preserve">La catena di custodia dichiarata è la seguente. Il carteggio fu trasmesso dal servizio informativo civile alla Procura della Repubblica di Roma nell'agosto millenovecentonovantotto; da questa fu inviato alla Commissione nell'aprile millenovecentonovantanove; l'Ufficio di Presidenza, previ contatti con la Procura e con il servizio, deliberò a maggioranza il venticinque ottobre millenovecentonovantanove di renderlo accessibile agli organi di informazione.</w:t>
      </w:r>
    </w:p>
    <w:p>
      <w:pPr>
        <w:spacing w:after="120" w:line="276"/>
        <w:jc w:val="both"/>
      </w:pPr>
      <w:r>
        <w:rPr>
          <w:rFonts w:ascii="Barlow Semi Condensed" w:cs="Barlow Semi Condensed" w:eastAsia="Barlow Semi Condensed" w:hAnsi="Barlow Semi Condensed"/>
          <w:b/>
          <w:bCs/>
          <w:sz w:val="24"/>
          <w:szCs w:val="24"/>
        </w:rPr>
        <w:t xml:space="preserve">L'organo precisa inoltre che dalla documentazione trasmessa nel millenovecentonovantotto dal servizio alla Procura erano rimaste escluse alcune parti, menzionate sommariamente in un elenco ma non afferenti al caso, e che la Procura non ne aveva pertanto fatto richiesta; e che la Commissione giudicò opportuno acquisire anche quelle parti, ottenendole dal servizio in data ventinove ottobre millenovecentonovantanove. Riferisce infine che il vicepresidente del Consiglio, al termine della propria audizione del ventisette ottobre, depositò altri atti citati ma non inclusi nel fascicolo inviato alla Procura.</w:t>
      </w:r>
    </w:p>
    <w:p>
      <w:pPr>
        <w:spacing w:after="120" w:line="276"/>
        <w:jc w:val="both"/>
      </w:pPr>
      <w:r>
        <w:rPr>
          <w:rFonts w:ascii="Barlow Semi Condensed" w:cs="Barlow Semi Condensed" w:eastAsia="Barlow Semi Condensed" w:hAnsi="Barlow Semi Condensed"/>
          <w:b/>
          <w:bCs/>
          <w:sz w:val="24"/>
          <w:szCs w:val="24"/>
        </w:rPr>
        <w:t xml:space="preserve">Questa esposizione contiene il caso più istruttivo dell'intera serie quanto alla formazione delle lacune, e va letto lentamente. Un servizio trasmette a una Procura ciò che è pertinente al procedimento di quella Procura, e menziona in elenco ciò che non lo è. La Procura, correttamente, chiede il pertinente. Il non pertinente resta dove si trova. Nessuno ha occultato nulla, nessuno ha violato alcuna regola, e ciascun passaggio è ineccepibile: eppure, al termine della catena, esiste un insieme di documenti che è stato menzionato, non richiesto e non trasmesso, e la cui esistenza è nota soltanto a chi legga l'elenco sommario.</w:t>
      </w:r>
    </w:p>
    <w:p>
      <w:pPr>
        <w:spacing w:after="120" w:line="276"/>
        <w:jc w:val="both"/>
      </w:pPr>
      <w:r>
        <w:rPr>
          <w:rFonts w:ascii="Barlow Semi Condensed" w:cs="Barlow Semi Condensed" w:eastAsia="Barlow Semi Condensed" w:hAnsi="Barlow Semi Condensed"/>
          <w:b/>
          <w:bCs/>
          <w:sz w:val="24"/>
          <w:szCs w:val="24"/>
        </w:rPr>
        <w:t xml:space="preserve">Se ne trae che una parte delle lacune in questa materia non è prodotta da alcuna volontà. Essa è prodotta dal fatto che ogni ufficio domanda secondo il proprio oggetto, e che ciò che cade fuori dall'oggetto di tutti gli uffici che hanno domandato non è mai domandato da nessuno. È la figura che il corpus maggiore designa come effetto del lampione, qui documentata nella sua forma pura: non un archivio che si chiude, ma un fascio di luce che non arriva.</w:t>
      </w:r>
    </w:p>
    <w:p>
      <w:pPr>
        <w:spacing w:after="120" w:line="276"/>
        <w:jc w:val="both"/>
      </w:pPr>
      <w:r>
        <w:rPr>
          <w:rFonts w:ascii="Barlow Semi Condensed" w:cs="Barlow Semi Condensed" w:eastAsia="Barlow Semi Condensed" w:hAnsi="Barlow Semi Condensed"/>
          <w:b/>
          <w:bCs/>
          <w:sz w:val="24"/>
          <w:szCs w:val="24"/>
        </w:rPr>
        <w:t xml:space="preserve">Si registri altresì la circostanza che segue, perché è quella che ha rotto la sequenza: la Commissione ottenne le parti escluse perché ne lesse l'elenco e le chiese. L'elenco sommario di ciò che non viene trasmesso è, in un sistema di trasmissioni parziali, il solo strumento che renda la lacuna visibile. Ne discende una prescrizione per chi conduca ricerche archivistiche: si chieda sempre, oltre al fascicolo, l'elenco di ciò che dal fascicolo è stato escluso, e la ragione dell'esclusione.</w:t>
      </w:r>
    </w:p>
    <w:p>
      <w:pPr>
        <w:spacing w:after="120" w:line="276"/>
        <w:jc w:val="both"/>
      </w:pPr>
      <w:r>
        <w:rPr>
          <w:rFonts w:ascii="Barlow Semi Condensed" w:cs="Barlow Semi Condensed" w:eastAsia="Barlow Semi Condensed" w:hAnsi="Barlow Semi Condensed"/>
          <w:b/>
          <w:bCs/>
          <w:sz w:val="24"/>
          <w:szCs w:val="24"/>
        </w:rPr>
        <w:t xml:space="preserve">L'organo conclude affermando che, a seguito del complesso delle acquisizioni, la Commissione dispone ora di tutto il materiale raccolto dai servizi italiani nel millenovecentonovanta in virtù di quel rapporto di collaborazione.</w:t>
      </w:r>
    </w:p>
    <w:p>
      <w:pPr>
        <w:spacing w:after="120" w:line="276"/>
        <w:jc w:val="both"/>
      </w:pPr>
      <w:r>
        <w:rPr>
          <w:rFonts w:ascii="Barlow Semi Condensed" w:cs="Barlow Semi Condensed" w:eastAsia="Barlow Semi Condensed" w:hAnsi="Barlow Semi Condensed"/>
          <w:b/>
          <w:bCs/>
          <w:sz w:val="24"/>
          <w:szCs w:val="24"/>
        </w:rPr>
        <w:t xml:space="preserve">Si enuncia la regola che l'affermazione impone, ed è la dodicesima della serie. Un'affermazione di completezza formulata dall'acquirente è una valutazione dell'acquirente e non un accertamento sulla completezza. Essa attesta che chi ha acquisito ritiene di avere esaurito, il che dipende dalla conoscenza che egli ha di ciò che esiste; e in un sistema nel quale l'esistenza è nota per elenchi sommari redatti da altri, quella conoscenza è essa stessa derivata. Si registri l'affermazione al grado che le compete, che è quello della valutazione, e non la si impieghi per chiudere una ricerca.</w:t>
      </w:r>
    </w:p>
    <w:p>
      <w:pPr>
        <w:spacing w:after="120" w:line="276"/>
        <w:jc w:val="both"/>
      </w:pPr>
      <w:r>
        <w:rPr>
          <w:rFonts w:ascii="Barlow Semi Condensed" w:cs="Barlow Semi Condensed" w:eastAsia="Barlow Semi Condensed" w:hAnsi="Barlow Semi Condensed"/>
          <w:b/>
          <w:bCs/>
          <w:sz w:val="24"/>
          <w:szCs w:val="24"/>
        </w:rPr>
        <w:t xml:space="preserve">Voce trentaseiesima — Il carteggio del 1990 e le parti escluse dal fascicolo processuale. Oggetto: il carteggio nel suo complesso; l'elenco sommario delle parti escluse dalla trasmissione del millenovecentonovantotto e la ragione della loro esclusione; le parti acquisite dal servizio il ventinove ottobre millenovecentonovantanove; gli atti depositati al termine dell'audizione del ventisette ottobre. Sede: atti della Commissione della XIII legislatura; Procura della Repubblica di Roma; archivi del servizio informativo civile. Chiusura: reperimento del carteggio e dell'elenco delle esclusioni. Smentita: la constatazione che l'elenco sommario non esista o non sia conservato, nel qual caso l'estensione di ciò che non fu trasmesso non sarebbe determinabile e la voce si chiuderebbe con Stato Zero anziché con reperimento.</w:t>
      </w:r>
    </w:p>
    <w:p>
      <w:pPr>
        <w:pStyle w:val="Heading2"/>
        <w:spacing w:after="100" w:before="200"/>
      </w:pPr>
      <w:r>
        <w:rPr>
          <w:rFonts w:ascii="Barlow Semi Condensed" w:cs="Barlow Semi Condensed" w:eastAsia="Barlow Semi Condensed" w:hAnsi="Barlow Semi Condensed"/>
          <w:sz w:val="24"/>
          <w:szCs w:val="24"/>
        </w:rPr>
        <w:t xml:space="preserve">Parte quarta — Uno Stato Zero formalizzato da quattro apparati</w:t>
      </w:r>
    </w:p>
    <w:p>
      <w:pPr>
        <w:spacing w:after="120" w:line="276"/>
        <w:jc w:val="both"/>
      </w:pPr>
      <w:r>
        <w:rPr>
          <w:rFonts w:ascii="Barlow Semi Condensed" w:cs="Barlow Semi Condensed" w:eastAsia="Barlow Semi Condensed" w:hAnsi="Barlow Semi Condensed"/>
          <w:b/>
          <w:bCs/>
          <w:sz w:val="24"/>
          <w:szCs w:val="24"/>
        </w:rPr>
        <w:t xml:space="preserve">L'organo riferisce di avere voluto attingere ogni possibile notizia circa l'eventuale esistenza di un documento che sarebbe stato consegnato personalmente da un capo di Stato straniero a funzionari italiani nel corso di una visita del settembre millenovecentonovanta; di avere inviato a tal fine precise richieste a quattro sedi — l'organismo di coordinamento dei servizi, i due servizi informativi e la Presidenza del Consiglio; e che dalle risposte ottenute può desumersi con sufficiente sicurezza che, allo stato, non risulta l'esistenza del documento ipotizzato, e che non vi è altra documentazione oltre quella già segnalata.</w:t>
      </w:r>
    </w:p>
    <w:p>
      <w:pPr>
        <w:spacing w:after="120" w:line="276"/>
        <w:jc w:val="both"/>
      </w:pPr>
      <w:r>
        <w:rPr>
          <w:rFonts w:ascii="Barlow Semi Condensed" w:cs="Barlow Semi Condensed" w:eastAsia="Barlow Semi Condensed" w:hAnsi="Barlow Semi Condensed"/>
          <w:b/>
          <w:bCs/>
          <w:sz w:val="24"/>
          <w:szCs w:val="24"/>
        </w:rPr>
        <w:t xml:space="preserve">Questa è la constatazione negativa meglio costruita che le fonti di questa materia offrano, e va qualificata con precisione perché il suo pregio sta nella forma e non nell'esito.</w:t>
      </w:r>
    </w:p>
    <w:p>
      <w:pPr>
        <w:spacing w:after="120" w:line="276"/>
        <w:jc w:val="both"/>
      </w:pPr>
      <w:r>
        <w:rPr>
          <w:rFonts w:ascii="Barlow Semi Condensed" w:cs="Barlow Semi Condensed" w:eastAsia="Barlow Semi Condensed" w:hAnsi="Barlow Semi Condensed"/>
          <w:b/>
          <w:bCs/>
          <w:sz w:val="24"/>
          <w:szCs w:val="24"/>
        </w:rPr>
        <w:t xml:space="preserve">Essa non è prodotta dal ricercatore, il quale può soltanto dichiarare di non avere trovato. È prodotta da quattro amministrazioni distinte, ciascuna interrogata su un oggetto determinato, ciascuna rispondente sui propri atti. Un esito negativo di questa specie non misura l'intensità di una ricerca privata: misura il contenuto dichiarato di quattro archivi.</w:t>
      </w:r>
    </w:p>
    <w:p>
      <w:pPr>
        <w:spacing w:after="120" w:line="276"/>
        <w:jc w:val="both"/>
      </w:pPr>
      <w:r>
        <w:rPr>
          <w:rFonts w:ascii="Barlow Semi Condensed" w:cs="Barlow Semi Condensed" w:eastAsia="Barlow Semi Condensed" w:hAnsi="Barlow Semi Condensed"/>
          <w:b/>
          <w:bCs/>
          <w:sz w:val="24"/>
          <w:szCs w:val="24"/>
        </w:rPr>
        <w:t xml:space="preserve">Si dichiari però con la medesima esattezza ciò che essa stabilisce. Stabilisce che il documento non risulta dagli atti delle quattro sedi interrogate, alla data delle risposte. Non stabilisce che il documento non sia esistito, né che non esista altrove, né che non sia stato distrutto, né che non sia conservato presso una sede quinta non interrogata. L'organo medesimo usa la formula allo stato e l'avverbio con sufficiente sicurezza, e sono le due cautele giuste: la prima temporale, la seconda di grado.</w:t>
      </w:r>
    </w:p>
    <w:p>
      <w:pPr>
        <w:spacing w:after="120" w:line="276"/>
        <w:jc w:val="both"/>
      </w:pPr>
      <w:r>
        <w:rPr>
          <w:rFonts w:ascii="Barlow Semi Condensed" w:cs="Barlow Semi Condensed" w:eastAsia="Barlow Semi Condensed" w:hAnsi="Barlow Semi Condensed"/>
          <w:b/>
          <w:bCs/>
          <w:sz w:val="24"/>
          <w:szCs w:val="24"/>
        </w:rPr>
        <w:t xml:space="preserve">Si registra questa voce nella classe delle constatazioni negative alla quale la Voce ventunesima è dedicata, e la si segnala come modello di quella classe. Una constatazione negativa vale quanto l'intensità della ricerca che l'ha prodotta; qui l'intensità è documentata in quattro richieste a quattro sedi competenti, ed è pertanto misurabile.</w:t>
      </w:r>
    </w:p>
    <w:p>
      <w:pPr>
        <w:pStyle w:val="Heading2"/>
        <w:spacing w:after="100" w:before="200"/>
      </w:pPr>
      <w:r>
        <w:rPr>
          <w:rFonts w:ascii="Barlow Semi Condensed" w:cs="Barlow Semi Condensed" w:eastAsia="Barlow Semi Condensed" w:hAnsi="Barlow Semi Condensed"/>
          <w:sz w:val="24"/>
          <w:szCs w:val="24"/>
        </w:rPr>
        <w:t xml:space="preserve">Parte quinta — Un fascicolo nuovo</w:t>
      </w:r>
    </w:p>
    <w:p>
      <w:pPr>
        <w:spacing w:after="120" w:line="276"/>
        <w:jc w:val="both"/>
      </w:pPr>
      <w:r>
        <w:rPr>
          <w:rFonts w:ascii="Barlow Semi Condensed" w:cs="Barlow Semi Condensed" w:eastAsia="Barlow Semi Condensed" w:hAnsi="Barlow Semi Condensed"/>
          <w:b/>
          <w:bCs/>
          <w:sz w:val="24"/>
          <w:szCs w:val="24"/>
        </w:rPr>
        <w:t xml:space="preserve">L'organo riferisce che, quanto a una figura sulla quale la relazione semestrale anteriore aveva già segnalato motivi di interesse — un musicista deceduto nel millenovecentottantatré — si è avuta conferma dell'esistenza di un apposito fascicolo processuale aperto presso la Procura di Brescia e poi trasmesso per competenza a quella di Roma; che tale fascicolo è stato acquisito con la copiosa documentazione allegata; e che la Commissione ha avanzato per proprio conto richieste di elementi informativi a organi investigativi, a enti diversi e a istituti culturali.</w:t>
      </w:r>
    </w:p>
    <w:p>
      <w:pPr>
        <w:spacing w:after="120" w:line="276"/>
        <w:jc w:val="both"/>
      </w:pPr>
      <w:r>
        <w:rPr>
          <w:rFonts w:ascii="Barlow Semi Condensed" w:cs="Barlow Semi Condensed" w:eastAsia="Barlow Semi Condensed" w:hAnsi="Barlow Semi Condensed"/>
          <w:b/>
          <w:bCs/>
          <w:sz w:val="24"/>
          <w:szCs w:val="24"/>
        </w:rPr>
        <w:t xml:space="preserve">Si registra il solo dato documentale, che è l'esistenza e la traslazione per competenza di un fascicolo, con le due sedi e la copiosità dell'allegato. Il presente atto non riferisce alcuna ipotesi sulla materia e non ne conosce il contenuto. Si segnala che una trasmissione per competenza fra due Procure lascia traccia in entrambe, e che il fascicolo è pertanto reperibile per due vie.</w:t>
      </w:r>
    </w:p>
    <w:p>
      <w:pPr>
        <w:spacing w:after="120" w:line="276"/>
        <w:jc w:val="both"/>
      </w:pPr>
      <w:r>
        <w:rPr>
          <w:rFonts w:ascii="Barlow Semi Condensed" w:cs="Barlow Semi Condensed" w:eastAsia="Barlow Semi Condensed" w:hAnsi="Barlow Semi Condensed"/>
          <w:b/>
          <w:bCs/>
          <w:sz w:val="24"/>
          <w:szCs w:val="24"/>
        </w:rPr>
        <w:t xml:space="preserve">Voce trentasettesima — Il fascicolo trasmesso per competenza da Brescia a Roma. Oggetto: il fascicolo processuale e la documentazione allegata; l'atto di trasmissione per competenza; le richieste di elementi informativi avanzate dalla Commissione e le risposte pervenute. Sede: Procura della Repubblica di Brescia e Procura della Repubblica di Roma; atti della Commissione della XIII legislatura. Chiusura: reperimento del fascicolo e dell'atto di trasmissione. Smentita: non ricorre.</w:t>
      </w:r>
    </w:p>
    <w:p>
      <w:pPr>
        <w:pStyle w:val="Heading2"/>
        <w:spacing w:after="100" w:before="200"/>
      </w:pPr>
      <w:r>
        <w:rPr>
          <w:rFonts w:ascii="Barlow Semi Condensed" w:cs="Barlow Semi Condensed" w:eastAsia="Barlow Semi Condensed" w:hAnsi="Barlow Semi Condensed"/>
          <w:sz w:val="24"/>
          <w:szCs w:val="24"/>
        </w:rPr>
        <w:t xml:space="preserve">Parte sesta — Duecentosessantuno schede, e una catena sola</w:t>
      </w:r>
    </w:p>
    <w:p>
      <w:pPr>
        <w:spacing w:after="120" w:line="276"/>
        <w:jc w:val="both"/>
      </w:pPr>
      <w:r>
        <w:rPr>
          <w:rFonts w:ascii="Barlow Semi Condensed" w:cs="Barlow Semi Condensed" w:eastAsia="Barlow Semi Condensed" w:hAnsi="Barlow Semi Condensed"/>
          <w:b/>
          <w:bCs/>
          <w:sz w:val="24"/>
          <w:szCs w:val="24"/>
        </w:rPr>
        <w:t xml:space="preserve">L'organo espone l'acquisizione di un dossier proveniente da un archivio straniero, e l'esposizione è, ai fini della verifica genealogica, la più istruttiva dell'intera giornata.</w:t>
      </w:r>
    </w:p>
    <w:p>
      <w:pPr>
        <w:spacing w:after="120" w:line="276"/>
        <w:jc w:val="both"/>
      </w:pPr>
      <w:r>
        <w:rPr>
          <w:rFonts w:ascii="Barlow Semi Condensed" w:cs="Barlow Semi Condensed" w:eastAsia="Barlow Semi Condensed" w:hAnsi="Barlow Semi Condensed"/>
          <w:b/>
          <w:bCs/>
          <w:sz w:val="24"/>
          <w:szCs w:val="24"/>
        </w:rPr>
        <w:t xml:space="preserve">La sequenza dichiarata è la seguente. Un funzionario dell'archivio centrale di un servizio segreto estero porta con sé, fuggendo nel millenovecentonovantadue, annotazioni e appunti tratti da quell'archivio, e li consegna a un servizio occidentale. Fra il millenovecentonovantasei e il millenovecentonovantanove uno storico incaricato ufficialmente da quel governo ne conduce la lettura critica, dalla quale nasce un volume. Le schede riguardanti l'Italia, in numero di duecentosessantuno, sono trasmesse dai servizi britannici a quelli italiani nel corso degli anni a partire dal millenovecentonovantacinque. Il Governo italiano le invia alla Procura della Repubblica di Roma. La Commissione ne chiede l'integralità e le ottiene l'undici ottobre millenovecentonovantanove in due esemplari identici, l'uno dalla magistratura e l'altro dalla Presidenza del Consiglio, entrambi recanti sia la versione originale sia la traduzione effettuata dal servizio informativo militare. Nel pomeriggio del medesimo giorno l'Ufficio di Presidenza delibera di rendere la documentazione immediatamente consultabile e accessibile agli organi di informazione, e affida a un consulente il compito di relazionarne.</w:t>
      </w:r>
    </w:p>
    <w:p>
      <w:pPr>
        <w:spacing w:after="120" w:line="276"/>
        <w:jc w:val="both"/>
      </w:pPr>
      <w:r>
        <w:rPr>
          <w:rFonts w:ascii="Barlow Semi Condensed" w:cs="Barlow Semi Condensed" w:eastAsia="Barlow Semi Condensed" w:hAnsi="Barlow Semi Condensed"/>
          <w:b/>
          <w:bCs/>
          <w:sz w:val="24"/>
          <w:szCs w:val="24"/>
        </w:rPr>
        <w:t xml:space="preserve">Si contino le catene. Il volume a stampa, i due esemplari del dossier, la traduzione del servizio, la relazione del consulente e la copertura giornalistica che ne seguì sono sei oggetti distinti, di cinque nature diverse, provenienti da cinque sedi diverse. Sono una catena sola. L'evento originario è uno: le annotazioni tratte da quell'archivio da quel funzionario. Tutto il resto è trasmissione, traduzione, lettura critica ed esposizione, e nessuna di queste operazioni genera catena.</w:t>
      </w:r>
    </w:p>
    <w:p>
      <w:pPr>
        <w:spacing w:after="120" w:line="276"/>
        <w:jc w:val="both"/>
      </w:pPr>
      <w:r>
        <w:rPr>
          <w:rFonts w:ascii="Barlow Semi Condensed" w:cs="Barlow Semi Condensed" w:eastAsia="Barlow Semi Condensed" w:hAnsi="Barlow Semi Condensed"/>
          <w:b/>
          <w:bCs/>
          <w:sz w:val="24"/>
          <w:szCs w:val="24"/>
        </w:rPr>
        <w:t xml:space="preserve">Ne segue, per la settima regola e per la nona, che nessuna convergenza è computabile fra questi sei oggetti, e che una proposizione sorretta dal volume e dal dossier è sorretta da una fonte e non da due.</w:t>
      </w:r>
    </w:p>
    <w:p>
      <w:pPr>
        <w:spacing w:after="120" w:line="276"/>
        <w:jc w:val="both"/>
      </w:pPr>
      <w:r>
        <w:rPr>
          <w:rFonts w:ascii="Barlow Semi Condensed" w:cs="Barlow Semi Condensed" w:eastAsia="Barlow Semi Condensed" w:hAnsi="Barlow Semi Condensed"/>
          <w:b/>
          <w:bCs/>
          <w:sz w:val="24"/>
          <w:szCs w:val="24"/>
        </w:rPr>
        <w:t xml:space="preserve">Ne segue altresì, per il repertorio critico dell'opera, la collocazione della classe. Le schede non sono l'archivio: sono annotazioni tratte da un archivio, e l'archivio non è stato veduto da chi legge le annotazioni. La classe che il repertorio designa come archivi dei regimi caduti, alla quale conferisce il grado massimo, non le comprende. Esse appartengono alla classe delle stime e delle schedature di apparato, alla quale il repertorio conferisce il grado massimo quanto a ciò che un apparato riteneva in una data determinata, e il grado minimo quanto ai fatti del mondo che asseriscono, salvo riscontro autonomo. Il repertorio dichiara che la violazione di questa distinzione è l'errore più frequente nell'uso di questa classe di materiali; il presente atto la ribadisce e la applica.</w:t>
      </w:r>
    </w:p>
    <w:p>
      <w:pPr>
        <w:spacing w:after="120" w:line="276"/>
        <w:jc w:val="both"/>
      </w:pPr>
      <w:r>
        <w:rPr>
          <w:rFonts w:ascii="Barlow Semi Condensed" w:cs="Barlow Semi Condensed" w:eastAsia="Barlow Semi Condensed" w:hAnsi="Barlow Semi Condensed"/>
          <w:b/>
          <w:bCs/>
          <w:sz w:val="24"/>
          <w:szCs w:val="24"/>
        </w:rPr>
        <w:t xml:space="preserve">Si registra infine, come dato sulla materia e non sul merito, che l'organo stesso dichiarò di volersi occupare del dossier utilizzandone gli spunti informativi ai fini delle inchieste di propria competenza, fra le quali nomina il caso; e che fu presentato un disegno di legge per istituire una Commissione d'inchiesta ad hoc sulla materia, approvato da un ramo del Parlamento e in attesa presso l'altro alla data della relazione.</w:t>
      </w:r>
    </w:p>
    <w:p>
      <w:pPr>
        <w:spacing w:after="120" w:line="276"/>
        <w:jc w:val="both"/>
      </w:pPr>
      <w:r>
        <w:rPr>
          <w:rFonts w:ascii="Barlow Semi Condensed" w:cs="Barlow Semi Condensed" w:eastAsia="Barlow Semi Condensed" w:hAnsi="Barlow Semi Condensed"/>
          <w:b/>
          <w:bCs/>
          <w:sz w:val="24"/>
          <w:szCs w:val="24"/>
        </w:rPr>
        <w:t xml:space="preserve">Voce trentottesima — Le duecentosessantuno schede e la loro genealogia. Oggetto: il dossier nella versione integrale acquisita l'undici ottobre millenovecentonovantanove, con la traduzione allegata; la relazione redatta dal consulente incaricato; e la verifica di quali proposizioni della letteratura sul caso riposino su questa catena, computata una volta sola. Sede: atti della Commissione della XIII legislatura; Procura della Repubblica di Roma; Presidenza del Consiglio. Chiusura: reperimento del dossier e della relazione, e compilazione dell'elenco delle proposizioni che vi riposano. Smentita: non ricorre quanto al reperimento; quanto alla verifica genealogica, essa si chiude anche con esito nullo, ove risulti che nessuna proposizione dell'opera vi riposi.</w:t>
      </w:r>
    </w:p>
    <w:p>
      <w:pPr>
        <w:pStyle w:val="Heading2"/>
        <w:spacing w:after="100" w:before="200"/>
      </w:pPr>
      <w:r>
        <w:rPr>
          <w:rFonts w:ascii="Barlow Semi Condensed" w:cs="Barlow Semi Condensed" w:eastAsia="Barlow Semi Condensed" w:hAnsi="Barlow Semi Condensed"/>
          <w:sz w:val="24"/>
          <w:szCs w:val="24"/>
        </w:rPr>
        <w:t xml:space="preserve">Parte settima — Gli esiti giudiziari registrati</w:t>
      </w:r>
    </w:p>
    <w:p>
      <w:pPr>
        <w:spacing w:after="120" w:line="276"/>
        <w:jc w:val="both"/>
      </w:pPr>
      <w:r>
        <w:rPr>
          <w:rFonts w:ascii="Barlow Semi Condensed" w:cs="Barlow Semi Condensed" w:eastAsia="Barlow Semi Condensed" w:hAnsi="Barlow Semi Condensed"/>
          <w:b/>
          <w:bCs/>
          <w:sz w:val="24"/>
          <w:szCs w:val="24"/>
        </w:rPr>
        <w:t xml:space="preserve">La relazione registra quattro esiti giudiziari del semestre, e due appartengono alla materia dell'opera.</w:t>
      </w:r>
    </w:p>
    <w:p>
      <w:pPr>
        <w:spacing w:after="120" w:line="276"/>
        <w:jc w:val="both"/>
      </w:pPr>
      <w:r>
        <w:rPr>
          <w:rFonts w:ascii="Barlow Semi Condensed" w:cs="Barlow Semi Condensed" w:eastAsia="Barlow Semi Condensed" w:hAnsi="Barlow Semi Condensed"/>
          <w:b/>
          <w:bCs/>
          <w:sz w:val="24"/>
          <w:szCs w:val="24"/>
        </w:rPr>
        <w:t xml:space="preserve">Il primo. Il dibattimento sull'omicidio del giornalista, celebrato presso la sede competente, si è concluso in data ventiquattro settembre con sentenza di primo grado che ha escluso ogni responsabilità penale degli imputati.</w:t>
      </w:r>
    </w:p>
    <w:p>
      <w:pPr>
        <w:spacing w:after="120" w:line="276"/>
        <w:jc w:val="both"/>
      </w:pPr>
      <w:r>
        <w:rPr>
          <w:rFonts w:ascii="Barlow Semi Condensed" w:cs="Barlow Semi Condensed" w:eastAsia="Barlow Semi Condensed" w:hAnsi="Barlow Semi Condensed"/>
          <w:b/>
          <w:bCs/>
          <w:sz w:val="24"/>
          <w:szCs w:val="24"/>
        </w:rPr>
        <w:t xml:space="preserve">Si registra l'esito e lo si accosta alle designazioni delle appendici anteriori. L'appendice quarta ha individuato per estremi gli atti di quel procedimento fra le acquisizioni della Commissione della X legislatura; l'appendice settima ha individuato l'audizione del magistrato titolare delle indagini. Nessuna delle due ha affermato alcunché sul merito, e il presente esito mostra perché quella astensione era dovuta: la designazione per estremi di un atto processuale non anticipa il suo esito, e chi avesse tratto dalla sola esistenza di un procedimento una qualunque inferenza sul merito avrebbe inferito contro ciò che il procedimento ha poi stabilito.</w:t>
      </w:r>
    </w:p>
    <w:p>
      <w:pPr>
        <w:spacing w:after="120" w:line="276"/>
        <w:jc w:val="both"/>
      </w:pPr>
      <w:r>
        <w:rPr>
          <w:rFonts w:ascii="Barlow Semi Condensed" w:cs="Barlow Semi Condensed" w:eastAsia="Barlow Semi Condensed" w:hAnsi="Barlow Semi Condensed"/>
          <w:b/>
          <w:bCs/>
          <w:sz w:val="24"/>
          <w:szCs w:val="24"/>
        </w:rPr>
        <w:t xml:space="preserve">Si dispone che, nelle redazioni successive, ogni designazione di un procedimento rechi, ove noto, il suo esito; e che ove l'esito non sia noto ciò sia dichiarato, poiché un procedimento designato senza esito è, per il lettore distratto, un procedimento la cui accusa resta implicitamente in piedi.</w:t>
      </w:r>
    </w:p>
    <w:p>
      <w:pPr>
        <w:spacing w:after="120" w:line="276"/>
        <w:jc w:val="both"/>
      </w:pPr>
      <w:r>
        <w:rPr>
          <w:rFonts w:ascii="Barlow Semi Condensed" w:cs="Barlow Semi Condensed" w:eastAsia="Barlow Semi Condensed" w:hAnsi="Barlow Semi Condensed"/>
          <w:b/>
          <w:bCs/>
          <w:sz w:val="24"/>
          <w:szCs w:val="24"/>
        </w:rPr>
        <w:t xml:space="preserve">Il secondo. La prima fase del procedimento sul disastro aereo si è conclusa con il deposito, il trentuno agosto, di una sentenza-ordinanza che, fra l'altro, elenca in dettaglio le possibili ricostruzioni dei fatti quali risultano dalle perizie acquisite. Si registra il dato per la sola circostanza che rileva ai fini del metodo: un atto giudiziario che elenchi le ricostruzioni possibili anziché sceglierne una è, nel genere, prossimo a ciò che l'opera pratica, ed è raro.</w:t>
      </w:r>
    </w:p>
    <w:p>
      <w:pPr>
        <w:pStyle w:val="Heading2"/>
        <w:spacing w:after="100" w:before="200"/>
      </w:pPr>
      <w:r>
        <w:rPr>
          <w:rFonts w:ascii="Barlow Semi Condensed" w:cs="Barlow Semi Condensed" w:eastAsia="Barlow Semi Condensed" w:hAnsi="Barlow Semi Condensed"/>
          <w:sz w:val="24"/>
          <w:szCs w:val="24"/>
        </w:rPr>
        <w:t xml:space="preserve">Parte ottava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iscrivono le Voci trentacinquesima, trentaseiesima, trentasettesima e trentottesima. Si enuncia la dodicesima regola della risalita. Si dispone che ogni designazione di procedimento rechi l'esito o ne dichiari l'ignoranza.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Lo Stato Zero sul repertorio generale del Gabinetto si restringe per la seconda volta e non si chiude: la verifica si concentra sull'elenco analitico del materiale acquisito dal Ministero dell'interno il ventuno dicembre millenovecentonovantanove.</w:t>
      </w:r>
    </w:p>
    <w:p>
      <w:pPr>
        <w:spacing w:after="120" w:line="276"/>
        <w:jc w:val="both"/>
      </w:pPr>
      <w:r>
        <w:rPr>
          <w:rFonts w:ascii="Barlow Semi Condensed" w:cs="Barlow Semi Condensed" w:eastAsia="Barlow Semi Condensed" w:hAnsi="Barlow Semi Condensed"/>
          <w:b/>
          <w:bCs/>
          <w:sz w:val="24"/>
          <w:szCs w:val="24"/>
        </w:rPr>
        <w:t xml:space="preserve">Si dichiarano gli Stati Zero nuovi. Primo: il contenuto dell'audizione del ventuno gennaio duemila non è noto e il resoconto non è posseduto. Secondo: l'elenco sommario delle parti escluse dalla trasmissione del millenovecentonovantotto non è posseduto, ed è l'atto che misura l'estensione di ciò che non fu trasmesso. Terzo: le risposte delle quattro sedi interrogate sull'esistenza del documento ipotizzato non sono possedute nel loro testo, ma soltanto nella sintesi che ne dà l'organo. Quarto: la relazione del consulente sul dossier non è posseduta.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sesta del giorno sul medesimo cantiere. Cantiere: designazione per atto delle fonti. Materia: la sesta relazione semestrale della XIII legislatura.</w:t>
      </w:r>
    </w:p>
    <w:p>
      <w:pPr>
        <w:spacing w:after="120" w:line="276"/>
        <w:jc w:val="both"/>
      </w:pPr>
      <w:r>
        <w:rPr>
          <w:rFonts w:ascii="Barlow Semi Condensed" w:cs="Barlow Semi Condensed" w:eastAsia="Barlow Semi Condensed" w:hAnsi="Barlow Semi Condensed"/>
          <w:b/>
          <w:bCs/>
          <w:sz w:val="24"/>
          <w:szCs w:val="24"/>
        </w:rPr>
        <w:t xml:space="preserve">Esito positivo: individuazione dell'audizione del ventuno gennaio duemila della persona la cui identificazione figurava fra gli otto interrogativi irrisolti, e del rifiuto reiterato che la precede, registrato come atto autonomo; individuazione di quattro audizioni sul caso e di due acquisizioni ministeriali datate, delle quali una proveniente dal Dicastero presso il quale fu redatto il repertorio; esposizione integrale della catena di custodia del carteggio del millenovecentonovanta, con individuazione del meccanismo per il quale una parte delle lacune si forma senza alcuna volontà; enunciazione della dodicesima regola della risalita; registrazione di una constatazione negativa formalizzata da quattro amministrazioni distinte, qualificata come modello della classe; individuazione di un fascicolo processuale trasmesso per competenza fra due Procure; ricostruzione della genealogia di un dossier di provenienza estera e riduzione di sei oggetti a una catena sola; registrazione di due esiti giudiziari, dei quali uno esclude ogni responsabilità penale degli imputati;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il resoconto dell'audizione non è posseduto; l'elenco sommario delle esclusioni non è posseduto; le risposte delle quattro sedi non sono possedute nel testo; la relazione del consulente non è posseduta; lo Stato Zero sul repertorio del Gabinetto si restringe e non si chiude.</w:t>
      </w:r>
    </w:p>
    <w:p>
      <w:pPr>
        <w:spacing w:after="120" w:line="276"/>
        <w:jc w:val="both"/>
      </w:pPr>
      <w:r>
        <w:rPr>
          <w:rFonts w:ascii="Barlow Semi Condensed" w:cs="Barlow Semi Condensed" w:eastAsia="Barlow Semi Condensed" w:hAnsi="Barlow Semi Condensed"/>
          <w:b/>
          <w:bCs/>
          <w:sz w:val="24"/>
          <w:szCs w:val="24"/>
        </w:rPr>
        <w:t xml:space="preserve">Riga di errore evitato. Si registra una confusione che il presente atto ha sfiorato e non commesso, poiché registrare l'errore evitato serve quanto registrare quello commesso. L'appendice settima aveva dichiarato Stato Zero sull'esito delle richieste rivolte nel millenovecentonovantacinque, fra le altre, all'ambasciata di uno Stato dell'Europa centrale. La presente unità documenta l'acquisizione di materiale proveniente da quel medesimo Stato. Le due cose non si congiungono: il carteggio qui documentato risale al millenovecentonovanta e pervenne per via di servizio e poi di magistratura, mentre la richiesta del millenovecentonovantacinque fu diplomatica e il suo esito resta ignoto. Un materiale che provenga dal medesimo paese non è la risposta a una richiesta rivolta a quel paese, e trattarlo come tale avrebbe chiuso uno Stato Zero che resta aperto.</w:t>
      </w:r>
    </w:p>
    <w:p>
      <w:pPr>
        <w:spacing w:after="120" w:line="276"/>
        <w:jc w:val="both"/>
      </w:pPr>
      <w:r>
        <w:rPr>
          <w:rFonts w:ascii="Barlow Semi Condensed" w:cs="Barlow Semi Condensed" w:eastAsia="Barlow Semi Condensed" w:hAnsi="Barlow Semi Condensed"/>
          <w:b/>
          <w:bCs/>
          <w:sz w:val="24"/>
          <w:szCs w:val="24"/>
        </w:rPr>
        <w:t xml:space="preserve">Riga di avvertenza. Le persone menzionate nelle fonti qui impiegate lo sono in quanto le loro qualità appartengono agli estremi degli atti, e si sono designate per funzione ove la funzione bastasse. Il presente atto non riferisce il contenuto di alcuna audizione, di alcun fascicolo e di alcuna scheda, e non attribuisce ad alcuno alcunché. Si è registrato per intero l'unico esito di merito che le fonti recano, ed è un esito di esclusione di responsabilità.</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OTTAVA ALLA FASE SETTIMA, il canale orientale, la quarta persona e uno Stato Zero formalizzato da quattro apparati, quindici agosto duemilaventisei. I settanta Capitoli restano settanta. Le redazioni anteriori non sono modificate: le pietre deposte non si scalpellano. Resta sovrana la Regola di Ferro: dove la fonte documenta, l'opera certifica; dove la fonte tace, l'opera indaga e non afferma. Un'affermazione di completezza formulata dall'acquirente è una valutazione dell'acquirente; e si chieda sempre, oltre al fascicolo, l'elenco di ciò che dal fascicolo è stato escluso.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 · Appendice ottava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 3.297 parole in 9 sezioni; la più ampia è §9 Altre sezioni, con 2.978.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 48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 — Appendice nona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NONA ALLA FASE SETTIMA</w:t>
      </w:r>
    </w:p>
    <w:p>
      <w:pPr>
        <w:pStyle w:val="Heading2"/>
        <w:spacing w:after="100" w:before="200"/>
      </w:pPr>
      <w:r>
        <w:rPr>
          <w:rFonts w:ascii="Barlow Semi Condensed" w:cs="Barlow Semi Condensed" w:eastAsia="Barlow Semi Condensed" w:hAnsi="Barlow Semi Condensed"/>
          <w:sz w:val="24"/>
          <w:szCs w:val="24"/>
        </w:rPr>
        <w:t xml:space="preserve">Due regimi archivistici, misurati</w:t>
      </w:r>
    </w:p>
    <w:p>
      <w:pPr>
        <w:pStyle w:val="Heading2"/>
        <w:spacing w:after="100" w:before="200"/>
      </w:pPr>
      <w:r>
        <w:rPr>
          <w:rFonts w:ascii="Barlow Semi Condensed" w:cs="Barlow Semi Condensed" w:eastAsia="Barlow Semi Condensed" w:hAnsi="Barlow Semi Condensed"/>
          <w:sz w:val="24"/>
          <w:szCs w:val="24"/>
        </w:rPr>
        <w:t xml:space="preserve">Il fondo di cento record di un servizio informativo estero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nona</w:t>
      </w:r>
    </w:p>
    <w:p>
      <w:pPr>
        <w:spacing w:after="120" w:line="276"/>
        <w:jc w:val="both"/>
      </w:pPr>
      <w:r>
        <w:rPr>
          <w:rFonts w:ascii="Barlow Semi Condensed" w:cs="Barlow Semi Condensed" w:eastAsia="Barlow Semi Condensed" w:hAnsi="Barlow Semi Condensed"/>
          <w:b/>
          <w:bCs/>
          <w:sz w:val="24"/>
          <w:szCs w:val="24"/>
        </w:rPr>
        <w:t xml:space="preserve">La presente è appendice nona alla Fase Settima e opera su un fondo di cento pagine di catalogo provenienti dalla sala di lettura elettronica di un servizio informativo estero, acquisite per copia locale nel marzo duemilaventisei. Come le otto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la prima della serie a non essere italiana e la prima a non essere parlamentare, e per questa doppia ragione essa consente ciò che nessuna delle anteriori consentiva: una comparazione fra due regimi archivistici, condotta su misura anziché su impressione. È questo il suo oggetto principale. La sua pertinenza alla materia dell'opera è, come si dirà, limitata, e la limitazione è dichiarata prima di ogni altra cosa.</w:t>
      </w:r>
    </w:p>
    <w:p>
      <w:pPr>
        <w:pStyle w:val="Heading2"/>
        <w:spacing w:after="100" w:before="200"/>
      </w:pPr>
      <w:r>
        <w:rPr>
          <w:rFonts w:ascii="Barlow Semi Condensed" w:cs="Barlow Semi Condensed" w:eastAsia="Barlow Semi Condensed" w:hAnsi="Barlow Semi Condensed"/>
          <w:sz w:val="24"/>
          <w:szCs w:val="24"/>
        </w:rPr>
        <w:t xml:space="preserve">Parte prima — Che cosa il fondo sia, e che cosa non sia</w:t>
      </w:r>
    </w:p>
    <w:p>
      <w:pPr>
        <w:spacing w:after="120" w:line="276"/>
        <w:jc w:val="both"/>
      </w:pPr>
      <w:r>
        <w:rPr>
          <w:rFonts w:ascii="Barlow Semi Condensed" w:cs="Barlow Semi Condensed" w:eastAsia="Barlow Semi Condensed" w:hAnsi="Barlow Semi Condensed"/>
          <w:b/>
          <w:bCs/>
          <w:sz w:val="24"/>
          <w:szCs w:val="24"/>
        </w:rPr>
        <w:t xml:space="preserve">Va detto subito che cosa siano le cento unità, poiché la loro natura è precisamente l'oggetto della distinzione che le otto appendici anteriori hanno costruita.</w:t>
      </w:r>
    </w:p>
    <w:p>
      <w:pPr>
        <w:spacing w:after="120" w:line="276"/>
        <w:jc w:val="both"/>
      </w:pPr>
      <w:r>
        <w:rPr>
          <w:rFonts w:ascii="Barlow Semi Condensed" w:cs="Barlow Semi Condensed" w:eastAsia="Barlow Semi Condensed" w:hAnsi="Barlow Semi Condensed"/>
          <w:b/>
          <w:bCs/>
          <w:sz w:val="24"/>
          <w:szCs w:val="24"/>
        </w:rPr>
        <w:t xml:space="preserve">Esse non sono documenti. Sono pagine di catalogo: ciascuna reca il titolo dell'atto, il fondo di appartenenza, l'identificativo, la decisione di rilascio, la classificazione originaria, il numero di pagine, la data di creazione del record, la data di rilascio, il numero di sequenza, la data di pubblicazione, il tipo di contenuto, e il nome e la dimensione del file allegato che contiene l'atto. Ciascuna reca inoltre una trascrizione automatica del testo, della quale si dirà.</w:t>
      </w:r>
    </w:p>
    <w:p>
      <w:pPr>
        <w:spacing w:after="120" w:line="276"/>
        <w:jc w:val="both"/>
      </w:pPr>
      <w:r>
        <w:rPr>
          <w:rFonts w:ascii="Barlow Semi Condensed" w:cs="Barlow Semi Condensed" w:eastAsia="Barlow Semi Condensed" w:hAnsi="Barlow Semi Condensed"/>
          <w:b/>
          <w:bCs/>
          <w:sz w:val="24"/>
          <w:szCs w:val="24"/>
        </w:rPr>
        <w:t xml:space="preserve">Sono dunque, nel linguaggio delle appendici anteriori, cento indirizzi e non cento atti. La distinzione è la medesima enunciata dalla settima regola della risalita, e qui si presenta nella sua forma più pura, poiché l'indirizzo e l'atto sono materialmente separati: il primo è la pagina, il secondo è il file allegato, che non è posseduto.</w:t>
      </w:r>
    </w:p>
    <w:p>
      <w:pPr>
        <w:pStyle w:val="Heading2"/>
        <w:spacing w:after="100" w:before="200"/>
      </w:pPr>
      <w:r>
        <w:rPr>
          <w:rFonts w:ascii="Barlow Semi Condensed" w:cs="Barlow Semi Condensed" w:eastAsia="Barlow Semi Condensed" w:hAnsi="Barlow Semi Condensed"/>
          <w:sz w:val="24"/>
          <w:szCs w:val="24"/>
        </w:rPr>
        <w:t xml:space="preserve">Parte seconda — Il censimento, e la sua procedura</w:t>
      </w:r>
    </w:p>
    <w:p>
      <w:pPr>
        <w:spacing w:after="120" w:line="276"/>
        <w:jc w:val="both"/>
      </w:pPr>
      <w:r>
        <w:rPr>
          <w:rFonts w:ascii="Barlow Semi Condensed" w:cs="Barlow Semi Condensed" w:eastAsia="Barlow Semi Condensed" w:hAnsi="Barlow Semi Condensed"/>
          <w:b/>
          <w:bCs/>
          <w:sz w:val="24"/>
          <w:szCs w:val="24"/>
        </w:rPr>
        <w:t xml:space="preserve">La procedura è dichiarata e riproducibile. Da ciascuna pagina è stato rimosso il codice di presentazione, il testo residuo è stato normalizzato negli spazi, e i campi sono stati estratti per ricerca sulla etichetta che li precede. Le cifre che seguono sono conteggi su cento unità.</w:t>
      </w:r>
    </w:p>
    <w:p>
      <w:pPr>
        <w:spacing w:after="120" w:line="276"/>
        <w:jc w:val="both"/>
      </w:pPr>
      <w:r>
        <w:rPr>
          <w:rFonts w:ascii="Barlow Semi Condensed" w:cs="Barlow Semi Condensed" w:eastAsia="Barlow Semi Condensed" w:hAnsi="Barlow Semi Condensed"/>
          <w:b/>
          <w:bCs/>
          <w:sz w:val="24"/>
          <w:szCs w:val="24"/>
        </w:rPr>
        <w:t xml:space="preserve">Quanto ai fondi di appartenenza: settantuno unità appartengono al fondo generale, sei a un fondo dedicato a un programma di ricerca, sei a una collezione di studi nazionali, cinque a una collezione documentale, cinque a un servizio di traduzioni, due a un fondo cartografico, due a un bollettino informativo, e le restanti a fondi con una sola occorrenza ciascuno.</w:t>
      </w:r>
    </w:p>
    <w:p>
      <w:pPr>
        <w:spacing w:after="120" w:line="276"/>
        <w:jc w:val="both"/>
      </w:pPr>
      <w:r>
        <w:rPr>
          <w:rFonts w:ascii="Barlow Semi Condensed" w:cs="Barlow Semi Condensed" w:eastAsia="Barlow Semi Condensed" w:hAnsi="Barlow Semi Condensed"/>
          <w:b/>
          <w:bCs/>
          <w:sz w:val="24"/>
          <w:szCs w:val="24"/>
        </w:rPr>
        <w:t xml:space="preserve">Quanto alla classificazione originaria: ventinove unità recano il codice della non classificazione, ventisette un codice che le pagine non spiegano, venticinque quello del grado intermedio di segretezza, sette quello del grado inferiore, sei quello del grado superiore, quattro un ulteriore codice non spiegato, e due non recano il campo.</w:t>
      </w:r>
    </w:p>
    <w:p>
      <w:pPr>
        <w:spacing w:after="120" w:line="276"/>
        <w:jc w:val="both"/>
      </w:pPr>
      <w:r>
        <w:rPr>
          <w:rFonts w:ascii="Barlow Semi Condensed" w:cs="Barlow Semi Condensed" w:eastAsia="Barlow Semi Condensed" w:hAnsi="Barlow Semi Condensed"/>
          <w:b/>
          <w:bCs/>
          <w:sz w:val="24"/>
          <w:szCs w:val="24"/>
        </w:rPr>
        <w:t xml:space="preserve">Quanto alla data di pubblicazione dell'atto: quattro unità sono anteriori al millenovecentocinquanta, dodici appartengono al decennio successivo, nove a quello seguente, tredici agli anni settanta, ventiquattro agli anni ottanta, una al decennio duemila. Trentasette unità non recano data di pubblicazione.</w:t>
      </w:r>
    </w:p>
    <w:p>
      <w:pPr>
        <w:spacing w:after="120" w:line="276"/>
        <w:jc w:val="both"/>
      </w:pPr>
      <w:r>
        <w:rPr>
          <w:rFonts w:ascii="Barlow Semi Condensed" w:cs="Barlow Semi Condensed" w:eastAsia="Barlow Semi Condensed" w:hAnsi="Barlow Semi Condensed"/>
          <w:b/>
          <w:bCs/>
          <w:sz w:val="24"/>
          <w:szCs w:val="24"/>
        </w:rPr>
        <w:t xml:space="preserve">Quanto alla decisione di rilascio: cinquantotto unità recano un codice, ventinove un secondo, otto un terzo, due un quarto, una un quinto, e due non recano il campo.</w:t>
      </w:r>
    </w:p>
    <w:p>
      <w:pPr>
        <w:pStyle w:val="Heading2"/>
        <w:spacing w:after="100" w:before="200"/>
      </w:pPr>
      <w:r>
        <w:rPr>
          <w:rFonts w:ascii="Barlow Semi Condensed" w:cs="Barlow Semi Condensed" w:eastAsia="Barlow Semi Condensed" w:hAnsi="Barlow Semi Condensed"/>
          <w:sz w:val="24"/>
          <w:szCs w:val="24"/>
        </w:rPr>
        <w:t xml:space="preserve">Parte terza — La prima misura: l'identificativo</w:t>
      </w:r>
    </w:p>
    <w:p>
      <w:pPr>
        <w:spacing w:after="120" w:line="276"/>
        <w:jc w:val="both"/>
      </w:pPr>
      <w:r>
        <w:rPr>
          <w:rFonts w:ascii="Barlow Semi Condensed" w:cs="Barlow Semi Condensed" w:eastAsia="Barlow Semi Condensed" w:hAnsi="Barlow Semi Condensed"/>
          <w:b/>
          <w:bCs/>
          <w:sz w:val="24"/>
          <w:szCs w:val="24"/>
        </w:rPr>
        <w:t xml:space="preserve">Tutte e cento le unità recano un identificativo dell'atto, e lo recano in due forme concordanti: nel campo dedicato e nell'indirizzo della risorsa. Nessuna ne è priva.</w:t>
      </w:r>
    </w:p>
    <w:p>
      <w:pPr>
        <w:spacing w:after="120" w:line="276"/>
        <w:jc w:val="both"/>
      </w:pPr>
      <w:r>
        <w:rPr>
          <w:rFonts w:ascii="Barlow Semi Condensed" w:cs="Barlow Semi Condensed" w:eastAsia="Barlow Semi Condensed" w:hAnsi="Barlow Semi Condensed"/>
          <w:b/>
          <w:bCs/>
          <w:sz w:val="24"/>
          <w:szCs w:val="24"/>
        </w:rPr>
        <w:t xml:space="preserve">Si accosti questa cifra al lavoro delle otto appendici anteriori. La serie parlamentare italiana ha richiesto, per giungere alla designazione per atto di cinquanta unità di un solo fascicolo tematico, la ricognizione di settantacinque processi verbali, la lettura di un indice generale in due parti, la risoluzione dichiarata e falsificabile di una convenzione di numerazione, e l'accertamento di tre divergenze fra descrizioni della medesima unità. Diciannove unità sono rimaste non individuate per l'intera giornata e sono state chiuse soltanto dall'indice generale.</w:t>
      </w:r>
    </w:p>
    <w:p>
      <w:pPr>
        <w:spacing w:after="120" w:line="276"/>
        <w:jc w:val="both"/>
      </w:pPr>
      <w:r>
        <w:rPr>
          <w:rFonts w:ascii="Barlow Semi Condensed" w:cs="Barlow Semi Condensed" w:eastAsia="Barlow Semi Condensed" w:hAnsi="Barlow Semi Condensed"/>
          <w:b/>
          <w:bCs/>
          <w:sz w:val="24"/>
          <w:szCs w:val="24"/>
        </w:rPr>
        <w:t xml:space="preserve">Il fondo qui esaminato reca cento identificativi su cento, senza alcuna operazione di ricostruzione. Ciò che nella serie italiana è stato l'esito di un lavoro, qui è il punto di partenza.</w:t>
      </w:r>
    </w:p>
    <w:p>
      <w:pPr>
        <w:spacing w:after="120" w:line="276"/>
        <w:jc w:val="both"/>
      </w:pPr>
      <w:r>
        <w:rPr>
          <w:rFonts w:ascii="Barlow Semi Condensed" w:cs="Barlow Semi Condensed" w:eastAsia="Barlow Semi Condensed" w:hAnsi="Barlow Semi Condensed"/>
          <w:b/>
          <w:bCs/>
          <w:sz w:val="24"/>
          <w:szCs w:val="24"/>
        </w:rPr>
        <w:t xml:space="preserve">Si dichiari con esattezza che cosa questa comparazione stabilisca. Essa non stabilisce nulla sulla lealtà dei due apparati, sulla loro disponibilità o sulla completezza di ciò che rilasciano. Stabilisce che due regimi di catalogazione differiscono quanto alla designazione dell'atto, e che uno dei due la fornisce per costruzione mentre l'altro la lascia ricostruire. È una proprietà del catalogo e non dell'archivio, e non va estesa oltre.</w:t>
      </w:r>
    </w:p>
    <w:p>
      <w:pPr>
        <w:pStyle w:val="Heading2"/>
        <w:spacing w:after="100" w:before="200"/>
      </w:pPr>
      <w:r>
        <w:rPr>
          <w:rFonts w:ascii="Barlow Semi Condensed" w:cs="Barlow Semi Condensed" w:eastAsia="Barlow Semi Condensed" w:hAnsi="Barlow Semi Condensed"/>
          <w:sz w:val="24"/>
          <w:szCs w:val="24"/>
        </w:rPr>
        <w:t xml:space="preserve">Parte quarta — La seconda misura: l'estensione dell'espunzione</w:t>
      </w:r>
    </w:p>
    <w:p>
      <w:pPr>
        <w:spacing w:after="120" w:line="276"/>
        <w:jc w:val="both"/>
      </w:pPr>
      <w:r>
        <w:rPr>
          <w:rFonts w:ascii="Barlow Semi Condensed" w:cs="Barlow Semi Condensed" w:eastAsia="Barlow Semi Condensed" w:hAnsi="Barlow Semi Condensed"/>
          <w:b/>
          <w:bCs/>
          <w:sz w:val="24"/>
          <w:szCs w:val="24"/>
        </w:rPr>
        <w:t xml:space="preserve">Alla misura favorevole se ne accosta una di segno opposto, e la comparazione è utile soltanto se si tengono insieme.</w:t>
      </w:r>
    </w:p>
    <w:p>
      <w:pPr>
        <w:spacing w:after="120" w:line="276"/>
        <w:jc w:val="both"/>
      </w:pPr>
      <w:r>
        <w:rPr>
          <w:rFonts w:ascii="Barlow Semi Condensed" w:cs="Barlow Semi Condensed" w:eastAsia="Barlow Semi Condensed" w:hAnsi="Barlow Semi Condensed"/>
          <w:b/>
          <w:bCs/>
          <w:sz w:val="24"/>
          <w:szCs w:val="24"/>
        </w:rPr>
        <w:t xml:space="preserve">I codici di decisione di rilascio distinguono, nella pratica corrente di questo fondo, il rilascio integrale dal rilascio parziale. Le pagine non recano la spiegazione dei codici, e il presente atto non la assume da memoria: si iscrive in tavola la verifica della loro tavola di corrispondenza presso la fonte che li impiega.</w:t>
      </w:r>
    </w:p>
    <w:p>
      <w:pPr>
        <w:spacing w:after="120" w:line="276"/>
        <w:jc w:val="both"/>
      </w:pPr>
      <w:r>
        <w:rPr>
          <w:rFonts w:ascii="Barlow Semi Condensed" w:cs="Barlow Semi Condensed" w:eastAsia="Barlow Semi Condensed" w:hAnsi="Barlow Semi Condensed"/>
          <w:b/>
          <w:bCs/>
          <w:sz w:val="24"/>
          <w:szCs w:val="24"/>
        </w:rPr>
        <w:t xml:space="preserve">Ove la lettura corrente sia esatta, e sotto questa condizione dichiarata, sessantuno unità su cento sono rilasciate in parte e trentasette integralmente, con due unità prive del campo. Quasi due terzi del fondo sarebbero dunque rilasciati con espunzioni.</w:t>
      </w:r>
    </w:p>
    <w:p>
      <w:pPr>
        <w:spacing w:after="120" w:line="276"/>
        <w:jc w:val="both"/>
      </w:pPr>
      <w:r>
        <w:rPr>
          <w:rFonts w:ascii="Barlow Semi Condensed" w:cs="Barlow Semi Condensed" w:eastAsia="Barlow Semi Condensed" w:hAnsi="Barlow Semi Condensed"/>
          <w:b/>
          <w:bCs/>
          <w:sz w:val="24"/>
          <w:szCs w:val="24"/>
        </w:rPr>
        <w:t xml:space="preserve">Il punto decisivo non è la proporzione ma ciò che manca accanto ad essa. Nessuna delle pagine dichiara l'estensione della porzione non rilasciata. Un'unità di ventuno pagine rilasciata in parte e un'unità di ventuno pagine rilasciata quasi per intero recano il medesimo codice, e nulla le distingue. Il lettore sa che qualcosa è stato tolto e non sa quanto.</w:t>
      </w:r>
    </w:p>
    <w:p>
      <w:pPr>
        <w:spacing w:after="120" w:line="276"/>
        <w:jc w:val="both"/>
      </w:pPr>
      <w:r>
        <w:rPr>
          <w:rFonts w:ascii="Barlow Semi Condensed" w:cs="Barlow Semi Condensed" w:eastAsia="Barlow Semi Condensed" w:hAnsi="Barlow Semi Condensed"/>
          <w:b/>
          <w:bCs/>
          <w:sz w:val="24"/>
          <w:szCs w:val="24"/>
        </w:rPr>
        <w:t xml:space="preserve">Si accosti a ciò l'espunzione documentata dall'appendice quarta sull'unità quattordicesima del fascicolo italiano. Là un organo espunse alcune parti, ne dichiarò l'espunzione, la datò, produsse la versione priva delle parti espunte e la trasmise a sede determinata, conservando accanto ad essa la versione integrale nella medesima serie. L'oggetto restò intatto e la sottrazione fu resa visibile.</w:t>
      </w:r>
    </w:p>
    <w:p>
      <w:pPr>
        <w:spacing w:after="120" w:line="276"/>
        <w:jc w:val="both"/>
      </w:pPr>
      <w:r>
        <w:rPr>
          <w:rFonts w:ascii="Barlow Semi Condensed" w:cs="Barlow Semi Condensed" w:eastAsia="Barlow Semi Condensed" w:hAnsi="Barlow Semi Condensed"/>
          <w:b/>
          <w:bCs/>
          <w:sz w:val="24"/>
          <w:szCs w:val="24"/>
        </w:rPr>
        <w:t xml:space="preserve">Se ne trae la regola, che è la tredicesima della serie e chiude la comparazione.</w:t>
      </w:r>
    </w:p>
    <w:p>
      <w:pPr>
        <w:spacing w:after="120" w:line="276"/>
        <w:jc w:val="both"/>
      </w:pPr>
      <w:r>
        <w:rPr>
          <w:rFonts w:ascii="Barlow Semi Condensed" w:cs="Barlow Semi Condensed" w:eastAsia="Barlow Semi Condensed" w:hAnsi="Barlow Semi Condensed"/>
          <w:b/>
          <w:bCs/>
          <w:sz w:val="24"/>
          <w:szCs w:val="24"/>
        </w:rPr>
        <w:t xml:space="preserve">Tredicesima regola della risalita. Un fondo che designi perfettamente e non dichiari l'estensione delle proprie espunzioni non è più verificabile di uno che designi male e le dichiari. Le due imperfezioni cadono su piani diversi e nessuna surroga l'altra: la prima impedisce di trovare l'atto, la seconda impedisce di sapere quanto dell'atto si stia leggendo. Un catalogo esemplare su un testo di estensione ignota produce una precisione apparente che è più pericolosa dell'imprecisione dichiarata, poiché invita a fidarsi.</w:t>
      </w:r>
    </w:p>
    <w:p>
      <w:pPr>
        <w:pStyle w:val="Heading2"/>
        <w:spacing w:after="100" w:before="200"/>
      </w:pPr>
      <w:r>
        <w:rPr>
          <w:rFonts w:ascii="Barlow Semi Condensed" w:cs="Barlow Semi Condensed" w:eastAsia="Barlow Semi Condensed" w:hAnsi="Barlow Semi Condensed"/>
          <w:sz w:val="24"/>
          <w:szCs w:val="24"/>
        </w:rPr>
        <w:t xml:space="preserve">Parte quinta — La terza misura: la datazione e la leggibilità</w:t>
      </w:r>
    </w:p>
    <w:p>
      <w:pPr>
        <w:spacing w:after="120" w:line="276"/>
        <w:jc w:val="both"/>
      </w:pPr>
      <w:r>
        <w:rPr>
          <w:rFonts w:ascii="Barlow Semi Condensed" w:cs="Barlow Semi Condensed" w:eastAsia="Barlow Semi Condensed" w:hAnsi="Barlow Semi Condensed"/>
          <w:b/>
          <w:bCs/>
          <w:sz w:val="24"/>
          <w:szCs w:val="24"/>
        </w:rPr>
        <w:t xml:space="preserve">Due ulteriori difetti del fondo vanno registrati, poiché entrambi incidono sull'impiego che l'opera potrebbe farne.</w:t>
      </w:r>
    </w:p>
    <w:p>
      <w:pPr>
        <w:spacing w:after="120" w:line="276"/>
        <w:jc w:val="both"/>
      </w:pPr>
      <w:r>
        <w:rPr>
          <w:rFonts w:ascii="Barlow Semi Condensed" w:cs="Barlow Semi Condensed" w:eastAsia="Barlow Semi Condensed" w:hAnsi="Barlow Semi Condensed"/>
          <w:b/>
          <w:bCs/>
          <w:sz w:val="24"/>
          <w:szCs w:val="24"/>
        </w:rPr>
        <w:t xml:space="preserve">Il primo è la datazione. Trentasette unità su cento non recano data di pubblicazione dell'atto. Un atto identificato e non datato è reperibile e non collocabile: esso non entra in alcuna analisi temporale, non consente di stabilire che cosa un apparato ritenesse in un momento determinato, e per la classe alla quale queste unità appartengono quella è precisamente la sola proposizione che esse possano sostenere al grado massimo. Un atto di questa classe privo di data non conferisce grado alcuno, e va trattato come tale.</w:t>
      </w:r>
    </w:p>
    <w:p>
      <w:pPr>
        <w:spacing w:after="120" w:line="276"/>
        <w:jc w:val="both"/>
      </w:pPr>
      <w:r>
        <w:rPr>
          <w:rFonts w:ascii="Barlow Semi Condensed" w:cs="Barlow Semi Condensed" w:eastAsia="Barlow Semi Condensed" w:hAnsi="Barlow Semi Condensed"/>
          <w:b/>
          <w:bCs/>
          <w:sz w:val="24"/>
          <w:szCs w:val="24"/>
        </w:rPr>
        <w:t xml:space="preserve">Il secondo è la leggibilità. Ciascuna pagina reca una trascrizione automatica del testo dell'atto, e la sua qualità è, nei campioni esaminati, tale da non consentire la lettura continua. Si è esaminato per intero il testo trascritto dell'unità più pertinente alla materia dell'opera, ed esso risulta corrotto al punto che l'oggetto del messaggio non è ricostruibile dalla trascrizione.</w:t>
      </w:r>
    </w:p>
    <w:p>
      <w:pPr>
        <w:spacing w:after="120" w:line="276"/>
        <w:jc w:val="both"/>
      </w:pPr>
      <w:r>
        <w:rPr>
          <w:rFonts w:ascii="Barlow Semi Condensed" w:cs="Barlow Semi Condensed" w:eastAsia="Barlow Semi Condensed" w:hAnsi="Barlow Semi Condensed"/>
          <w:b/>
          <w:bCs/>
          <w:sz w:val="24"/>
          <w:szCs w:val="24"/>
        </w:rPr>
        <w:t xml:space="preserve">Se ne trae una conseguenza operativa e non teorica: per questo fondo, la pagina di catalogo consente di individuare l'atto e non consente in alcun caso di leggerlo. Chi ne citasse il contenuto sulla base della trascrizione citerebbe un artefatto di riconoscimento ottico.</w:t>
      </w:r>
    </w:p>
    <w:p>
      <w:pPr>
        <w:pStyle w:val="Heading2"/>
        <w:spacing w:after="100" w:before="200"/>
      </w:pPr>
      <w:r>
        <w:rPr>
          <w:rFonts w:ascii="Barlow Semi Condensed" w:cs="Barlow Semi Condensed" w:eastAsia="Barlow Semi Condensed" w:hAnsi="Barlow Semi Condensed"/>
          <w:sz w:val="24"/>
          <w:szCs w:val="24"/>
        </w:rPr>
        <w:t xml:space="preserve">Parte sesta — La pertinenza, dichiarata per difetto</w:t>
      </w:r>
    </w:p>
    <w:p>
      <w:pPr>
        <w:spacing w:after="120" w:line="276"/>
        <w:jc w:val="both"/>
      </w:pPr>
      <w:r>
        <w:rPr>
          <w:rFonts w:ascii="Barlow Semi Condensed" w:cs="Barlow Semi Condensed" w:eastAsia="Barlow Semi Condensed" w:hAnsi="Barlow Semi Condensed"/>
          <w:b/>
          <w:bCs/>
          <w:sz w:val="24"/>
          <w:szCs w:val="24"/>
        </w:rPr>
        <w:t xml:space="preserve">Si dichiara la pertinenza del fondo alla materia dell'opera, e la si dichiara nel verso che riduce anziché in quello che amplia.</w:t>
      </w:r>
    </w:p>
    <w:p>
      <w:pPr>
        <w:spacing w:after="120" w:line="276"/>
        <w:jc w:val="both"/>
      </w:pPr>
      <w:r>
        <w:rPr>
          <w:rFonts w:ascii="Barlow Semi Condensed" w:cs="Barlow Semi Condensed" w:eastAsia="Barlow Semi Condensed" w:hAnsi="Barlow Semi Condensed"/>
          <w:b/>
          <w:bCs/>
          <w:sz w:val="24"/>
          <w:szCs w:val="24"/>
        </w:rPr>
        <w:t xml:space="preserve">Delle cento unità, sedici recano nel titolo un riferimento all'Italia, al terrorismo o a materie contigue. Le restanti ottantaquattro concernono materie estranee tanto all'opera quanto al corpus maggiore, ovvero vi si collegano soltanto per il tramite di inferenze che l'opera non compie: fra esse figurano studi di geografia fisica, rassegne di indicatori energetici, repertori di capi di Stato, raccolte di traduzioni, e una serie di abstract su materie parapsicologiche.</w:t>
      </w:r>
    </w:p>
    <w:p>
      <w:pPr>
        <w:spacing w:after="120" w:line="276"/>
        <w:jc w:val="both"/>
      </w:pPr>
      <w:r>
        <w:rPr>
          <w:rFonts w:ascii="Barlow Semi Condensed" w:cs="Barlow Semi Condensed" w:eastAsia="Barlow Semi Condensed" w:hAnsi="Barlow Semi Condensed"/>
          <w:b/>
          <w:bCs/>
          <w:sz w:val="24"/>
          <w:szCs w:val="24"/>
        </w:rPr>
        <w:t xml:space="preserve">Delle sedici, la maggior parte appartiene al corpus maggiore e non all'opera: rilevazioni cartografiche, repertori toponomastici, studi su trasporti e telecomunicazioni, rassegne sulle vendite di armamenti, note su formazioni politiche degli anni cinquanta.</w:t>
      </w:r>
    </w:p>
    <w:p>
      <w:pPr>
        <w:spacing w:after="120" w:line="276"/>
        <w:jc w:val="both"/>
      </w:pPr>
      <w:r>
        <w:rPr>
          <w:rFonts w:ascii="Barlow Semi Condensed" w:cs="Barlow Semi Condensed" w:eastAsia="Barlow Semi Condensed" w:hAnsi="Barlow Semi Condensed"/>
          <w:b/>
          <w:bCs/>
          <w:sz w:val="24"/>
          <w:szCs w:val="24"/>
        </w:rPr>
        <w:t xml:space="preserve">Una sola unità cade nel periodo e nella materia adiacenti al caso, ed è quella della quale si dirà alla Parte settima.</w:t>
      </w:r>
    </w:p>
    <w:p>
      <w:pPr>
        <w:spacing w:after="120" w:line="276"/>
        <w:jc w:val="both"/>
      </w:pPr>
      <w:r>
        <w:rPr>
          <w:rFonts w:ascii="Barlow Semi Condensed" w:cs="Barlow Semi Condensed" w:eastAsia="Barlow Semi Condensed" w:hAnsi="Barlow Semi Condensed"/>
          <w:b/>
          <w:bCs/>
          <w:sz w:val="24"/>
          <w:szCs w:val="24"/>
        </w:rPr>
        <w:t xml:space="preserve">Si registra questa proporzione perché essa corregge, nel verso della riduzione, l'aspettativa che un fondo di cento documenti di un servizio informativo estero contenga materia sul caso. Non la contiene, salvo per un'unità. La constatazione è di pieno valore ed è, in questa giornata, la sesta di specie negativa.</w:t>
      </w:r>
    </w:p>
    <w:p>
      <w:pPr>
        <w:pStyle w:val="Heading2"/>
        <w:spacing w:after="100" w:before="200"/>
      </w:pPr>
      <w:r>
        <w:rPr>
          <w:rFonts w:ascii="Barlow Semi Condensed" w:cs="Barlow Semi Condensed" w:eastAsia="Barlow Semi Condensed" w:hAnsi="Barlow Semi Condensed"/>
          <w:sz w:val="24"/>
          <w:szCs w:val="24"/>
        </w:rPr>
        <w:t xml:space="preserve">Parte settima — Un atto del 28 gennaio 1982, e il fondo nel quale è collocato</w:t>
      </w:r>
    </w:p>
    <w:p>
      <w:pPr>
        <w:spacing w:after="120" w:line="276"/>
        <w:jc w:val="both"/>
      </w:pPr>
      <w:r>
        <w:rPr>
          <w:rFonts w:ascii="Barlow Semi Condensed" w:cs="Barlow Semi Condensed" w:eastAsia="Barlow Semi Condensed" w:hAnsi="Barlow Semi Condensed"/>
          <w:b/>
          <w:bCs/>
          <w:sz w:val="24"/>
          <w:szCs w:val="24"/>
        </w:rPr>
        <w:t xml:space="preserve">L'unità pertinente è un rapporto informativo di due pagine, con classificazione originaria non spiegata dai codici, rilasciato in parte, recante data di pubblicazione ventotto gennaio millenovecentottantadue, e concernente la liberazione di un ufficiale straniero rapito in Italia dalla medesima organizzazione che condusse i fatti del millenovecentosettantotto.</w:t>
      </w:r>
    </w:p>
    <w:p>
      <w:pPr>
        <w:spacing w:after="120" w:line="276"/>
        <w:jc w:val="both"/>
      </w:pPr>
      <w:r>
        <w:rPr>
          <w:rFonts w:ascii="Barlow Semi Condensed" w:cs="Barlow Semi Condensed" w:eastAsia="Barlow Semi Condensed" w:hAnsi="Barlow Semi Condensed"/>
          <w:b/>
          <w:bCs/>
          <w:sz w:val="24"/>
          <w:szCs w:val="24"/>
        </w:rPr>
        <w:t xml:space="preserve">La data coincide con quella della liberazione. L'atto è dunque contemporaneo al fatto, e appartiene per ciò alla classe che il repertorio dell'opera qualifica come stime e comunicazioni di apparato: grado massimo quanto a ciò che l'apparato riferiva in quella data, grado minimo quanto ai fatti del mondo asseriti, salvo riscontro autonomo.</w:t>
      </w:r>
    </w:p>
    <w:p>
      <w:pPr>
        <w:spacing w:after="120" w:line="276"/>
        <w:jc w:val="both"/>
      </w:pPr>
      <w:r>
        <w:rPr>
          <w:rFonts w:ascii="Barlow Semi Condensed" w:cs="Barlow Semi Condensed" w:eastAsia="Barlow Semi Condensed" w:hAnsi="Barlow Semi Condensed"/>
          <w:b/>
          <w:bCs/>
          <w:sz w:val="24"/>
          <w:szCs w:val="24"/>
        </w:rPr>
        <w:t xml:space="preserve">Va registrata una circostanza relativa alla sua collocazione, e va registrata con la cautela che essa impone. L'unità appartiene, secondo il campo del fondo, a una collezione dedicata a un programma di ricerca dell'apparato estero su materie estranee all'informazione militare corrente. Sei unità del fondo appartengono a quella collezione.</w:t>
      </w:r>
    </w:p>
    <w:p>
      <w:pPr>
        <w:spacing w:after="120" w:line="276"/>
        <w:jc w:val="both"/>
      </w:pPr>
      <w:r>
        <w:rPr>
          <w:rFonts w:ascii="Barlow Semi Condensed" w:cs="Barlow Semi Condensed" w:eastAsia="Barlow Semi Condensed" w:hAnsi="Barlow Semi Condensed"/>
          <w:b/>
          <w:bCs/>
          <w:sz w:val="24"/>
          <w:szCs w:val="24"/>
        </w:rPr>
        <w:t xml:space="preserve">Si dichiari che cosa questo stabilisca. Stabilisce che il record è archiviato in quella collezione. Non stabilisce nulla sul contenuto dell'atto, nulla sul metodo con il quale l'informazione fu acquisita, e nulla sul rapporto fra l'atto e l'oggetto della collezione. Un campo di collocazione è, come si è detto per le chiavi di catalogo del fascicolo italiano, un indirizzo; e un indirizzo non descrive ciò che risiede all'indirizzo. È precisamente il genere di dato che, riferito senza questa avvertenza, produce inferenze che nessuna fonte sostiene, e la si appone qui in forma espressa.</w:t>
      </w:r>
    </w:p>
    <w:p>
      <w:pPr>
        <w:spacing w:after="120" w:line="276"/>
        <w:jc w:val="both"/>
      </w:pPr>
      <w:r>
        <w:rPr>
          <w:rFonts w:ascii="Barlow Semi Condensed" w:cs="Barlow Semi Condensed" w:eastAsia="Barlow Semi Condensed" w:hAnsi="Barlow Semi Condensed"/>
          <w:b/>
          <w:bCs/>
          <w:sz w:val="24"/>
          <w:szCs w:val="24"/>
        </w:rPr>
        <w:t xml:space="preserve">Si segnala altresì che la trascrizione automatica di questa unità è, fra quelle esaminate, la più degradata, e che il contenuto del messaggio non ne è ricavabile. L'atto va domandato nel proprio allegato.</w:t>
      </w:r>
    </w:p>
    <w:p>
      <w:pPr>
        <w:pStyle w:val="Heading2"/>
        <w:spacing w:after="100" w:before="200"/>
      </w:pPr>
      <w:r>
        <w:rPr>
          <w:rFonts w:ascii="Barlow Semi Condensed" w:cs="Barlow Semi Condensed" w:eastAsia="Barlow Semi Condensed" w:hAnsi="Barlow Semi Condensed"/>
          <w:sz w:val="24"/>
          <w:szCs w:val="24"/>
        </w:rPr>
        <w:t xml:space="preserve">Parte ottava — Le voci iscritte</w:t>
      </w:r>
    </w:p>
    <w:p>
      <w:pPr>
        <w:spacing w:after="120" w:line="276"/>
        <w:jc w:val="both"/>
      </w:pPr>
      <w:r>
        <w:rPr>
          <w:rFonts w:ascii="Barlow Semi Condensed" w:cs="Barlow Semi Condensed" w:eastAsia="Barlow Semi Condensed" w:hAnsi="Barlow Semi Condensed"/>
          <w:b/>
          <w:bCs/>
          <w:sz w:val="24"/>
          <w:szCs w:val="24"/>
        </w:rPr>
        <w:t xml:space="preserve">Voce trentanovesima — Gli originali delle sedici unità pertinenti. Oggetto: i file allegati alle sedici pagine di catalogo che recano riferimento all'Italia o a materie contigue, domandati per identificativo. Sede: la sala di lettura elettronica del servizio che li rilascia; gli identificativi sono posseduti tutti e sedici. Chiusura: acquisizione dei sedici allegati. Smentita: non ricorre quanto al reperimento; si segnala che l'acquisizione non chiude la Voce quarantesima, poiché un allegato rilasciato in parte non dichiara di per sé l'estensione della parte non rilasciata.</w:t>
      </w:r>
    </w:p>
    <w:p>
      <w:pPr>
        <w:spacing w:after="120" w:line="276"/>
        <w:jc w:val="both"/>
      </w:pPr>
      <w:r>
        <w:rPr>
          <w:rFonts w:ascii="Barlow Semi Condensed" w:cs="Barlow Semi Condensed" w:eastAsia="Barlow Semi Condensed" w:hAnsi="Barlow Semi Condensed"/>
          <w:b/>
          <w:bCs/>
          <w:sz w:val="24"/>
          <w:szCs w:val="24"/>
        </w:rPr>
        <w:t xml:space="preserve">Voce quarantesima — La misura dell'espunzione. Oggetto: per le unità rilasciate in parte, l'estensione della porzione non rilasciata, e la tavola di corrispondenza dei codici di decisione di rilascio impiegati dal fondo. Sede: la fonte che pubblica il fondo e le sue note esplicative. Chiusura: acquisizione della tavola dei codici e, per le sedici unità pertinenti, della misura della porzione espunta. Smentita: la constatazione che il fondo non dichiari in alcuna forma l'estensione delle espunzioni, nel qual caso la voce si chiude con Stato Zero e la classe intera va trattata come testo di estensione ignota.</w:t>
      </w:r>
    </w:p>
    <w:p>
      <w:pPr>
        <w:spacing w:after="120" w:line="276"/>
        <w:jc w:val="both"/>
      </w:pPr>
      <w:r>
        <w:rPr>
          <w:rFonts w:ascii="Barlow Semi Condensed" w:cs="Barlow Semi Condensed" w:eastAsia="Barlow Semi Condensed" w:hAnsi="Barlow Semi Condensed"/>
          <w:b/>
          <w:bCs/>
          <w:sz w:val="24"/>
          <w:szCs w:val="24"/>
        </w:rPr>
        <w:t xml:space="preserve">Voce quarantunesima — Le unità prive di data. Oggetto: la data di pubblicazione delle trentasette unità che non la recano, ricavabile dall'atto ove l'atto la porti. Sede: i file allegati. Chiusura: datazione delle unità pertinenti fra le trentasette. Smentita: la constatazione che l'atto medesimo non rechi data, nel qual caso l'unità resta non collocabile e non conferisce grado alcuno.</w:t>
      </w:r>
    </w:p>
    <w:p>
      <w:pPr>
        <w:spacing w:after="120" w:line="276"/>
        <w:jc w:val="both"/>
      </w:pPr>
      <w:r>
        <w:rPr>
          <w:rFonts w:ascii="Barlow Semi Condensed" w:cs="Barlow Semi Condensed" w:eastAsia="Barlow Semi Condensed" w:hAnsi="Barlow Semi Condensed"/>
          <w:b/>
          <w:bCs/>
          <w:sz w:val="24"/>
          <w:szCs w:val="24"/>
        </w:rPr>
        <w:t xml:space="preserve">Voce quarantaduesima — L'atto del ventotto gennaio millenovecentottantadue. Oggetto: il file allegato all'unità pertinente al caso, e la ragione della sua collocazione nella collezione che lo ospita. Sede: la sala di lettura elettronica; l'identificativo è posseduto. Chiusura: acquisizione dell'allegato. Smentita: la constatazione che l'atto sia estraneo alla materia dell'opera, esito che la sola pagina di catalogo non consente di escludere né di affermare.</w:t>
      </w:r>
    </w:p>
    <w:p>
      <w:pPr>
        <w:pStyle w:val="Heading2"/>
        <w:spacing w:after="100" w:before="200"/>
      </w:pPr>
      <w:r>
        <w:rPr>
          <w:rFonts w:ascii="Barlow Semi Condensed" w:cs="Barlow Semi Condensed" w:eastAsia="Barlow Semi Condensed" w:hAnsi="Barlow Semi Condensed"/>
          <w:sz w:val="24"/>
          <w:szCs w:val="24"/>
        </w:rPr>
        <w:t xml:space="preserve">Parte nona — Stati Zero</w:t>
      </w:r>
    </w:p>
    <w:p>
      <w:pPr>
        <w:spacing w:after="120" w:line="276"/>
        <w:jc w:val="both"/>
      </w:pPr>
      <w:r>
        <w:rPr>
          <w:rFonts w:ascii="Barlow Semi Condensed" w:cs="Barlow Semi Condensed" w:eastAsia="Barlow Semi Condensed" w:hAnsi="Barlow Semi Condensed"/>
          <w:b/>
          <w:bCs/>
          <w:sz w:val="24"/>
          <w:szCs w:val="24"/>
        </w:rPr>
        <w:t xml:space="preserve">Primo. Nessuno dei cento allegati è posseduto. Si possiedono cento indirizzi e nessun atto.</w:t>
      </w:r>
    </w:p>
    <w:p>
      <w:pPr>
        <w:spacing w:after="120" w:line="276"/>
        <w:jc w:val="both"/>
      </w:pPr>
      <w:r>
        <w:rPr>
          <w:rFonts w:ascii="Barlow Semi Condensed" w:cs="Barlow Semi Condensed" w:eastAsia="Barlow Semi Condensed" w:hAnsi="Barlow Semi Condensed"/>
          <w:b/>
          <w:bCs/>
          <w:sz w:val="24"/>
          <w:szCs w:val="24"/>
        </w:rPr>
        <w:t xml:space="preserve">Secondo. La tavola di corrispondenza dei codici di decisione di rilascio non è posseduta, e le cifre della Parte quarta sono pertanto condizionate alla lettura corrente di quei codici, dichiarata come condizione.</w:t>
      </w:r>
    </w:p>
    <w:p>
      <w:pPr>
        <w:spacing w:after="120" w:line="276"/>
        <w:jc w:val="both"/>
      </w:pPr>
      <w:r>
        <w:rPr>
          <w:rFonts w:ascii="Barlow Semi Condensed" w:cs="Barlow Semi Condensed" w:eastAsia="Barlow Semi Condensed" w:hAnsi="Barlow Semi Condensed"/>
          <w:b/>
          <w:bCs/>
          <w:sz w:val="24"/>
          <w:szCs w:val="24"/>
        </w:rPr>
        <w:t xml:space="preserve">Terzo. L'estensione delle espunzioni non è dichiarata da alcuna delle pagine e non è altrimenti nota.</w:t>
      </w:r>
    </w:p>
    <w:p>
      <w:pPr>
        <w:spacing w:after="120" w:line="276"/>
        <w:jc w:val="both"/>
      </w:pPr>
      <w:r>
        <w:rPr>
          <w:rFonts w:ascii="Barlow Semi Condensed" w:cs="Barlow Semi Condensed" w:eastAsia="Barlow Semi Condensed" w:hAnsi="Barlow Semi Condensed"/>
          <w:b/>
          <w:bCs/>
          <w:sz w:val="24"/>
          <w:szCs w:val="24"/>
        </w:rPr>
        <w:t xml:space="preserve">Quarto. Trentasette unità restano non datate.</w:t>
      </w:r>
    </w:p>
    <w:p>
      <w:pPr>
        <w:spacing w:after="120" w:line="276"/>
        <w:jc w:val="both"/>
      </w:pPr>
      <w:r>
        <w:rPr>
          <w:rFonts w:ascii="Barlow Semi Condensed" w:cs="Barlow Semi Condensed" w:eastAsia="Barlow Semi Condensed" w:hAnsi="Barlow Semi Condensed"/>
          <w:b/>
          <w:bCs/>
          <w:sz w:val="24"/>
          <w:szCs w:val="24"/>
        </w:rPr>
        <w:t xml:space="preserve">Quinto. Il contenuto di nessuna unità è stato letto, e per questo fondo la trascrizione automatica non surroga la lettura.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settima del giorno sul medesimo cantiere. Cantiere: designazione per atto delle fonti. Materia: un fondo di cento pagine di catalogo di un servizio informativo estero, e la comparazione fra due regimi archivistici.</w:t>
      </w:r>
    </w:p>
    <w:p>
      <w:pPr>
        <w:spacing w:after="120" w:line="276"/>
        <w:jc w:val="both"/>
      </w:pPr>
      <w:r>
        <w:rPr>
          <w:rFonts w:ascii="Barlow Semi Condensed" w:cs="Barlow Semi Condensed" w:eastAsia="Barlow Semi Condensed" w:hAnsi="Barlow Semi Condensed"/>
          <w:b/>
          <w:bCs/>
          <w:sz w:val="24"/>
          <w:szCs w:val="24"/>
        </w:rPr>
        <w:t xml:space="preserve">Esito positivo: censimento delle cento unità per fondo di appartenenza, classificazione originaria, decennio di pubblicazione e decisione di rilascio, con procedura dichiarata; accertamento che tutte e cento recano identificativo dell'atto in doppia forma concordante, contro le cinquanta unità italiane per le quali la designazione ha richiesto l'intera giornata; accertamento che l'estensione delle espunzioni non è dichiarata in alcun caso, contro l'espunzione italiana dichiarata, datata e affiancata dalla versione integrale; enunciazione della tredicesima regola della risalita; individuazione di sedici unità pertinenti e di una sola adiacente alla materia dell'opera;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nessun allegato posseduto; tavola dei codici non posseduta; estensione delle espunzioni ignota; trentasette unità non datate; trascrizioni automatiche non leggibili.</w:t>
      </w:r>
    </w:p>
    <w:p>
      <w:pPr>
        <w:spacing w:after="120" w:line="276"/>
        <w:jc w:val="both"/>
      </w:pPr>
      <w:r>
        <w:rPr>
          <w:rFonts w:ascii="Barlow Semi Condensed" w:cs="Barlow Semi Condensed" w:eastAsia="Barlow Semi Condensed" w:hAnsi="Barlow Semi Condensed"/>
          <w:b/>
          <w:bCs/>
          <w:sz w:val="24"/>
          <w:szCs w:val="24"/>
        </w:rPr>
        <w:t xml:space="preserve">Riga di proporzione dichiarata. Ottantaquattro unità su cento sono estranee tanto all'opera quanto al corpus maggiore. Si registra la cifra perché un fondo proveniente da un servizio informativo estero suscita, per la sola provenienza, un'aspettativa di pertinenza che il conteggio non conferma. La provenienza di un fondo non è un indizio sul suo contenuto, ed è lo stesso errore che l'appendice quinta ha censito sotto altra forma: la collocazione non è mai, di per sé, evidenza.</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alcuna delle cento unità, poiché non lo conosce. La collocazione di un record in una collezione determinata è un fatto di archiviazione e non una proposizione sul contenuto dell'atto archiviato, e si è dichiarato espressamente al punto in cui la circostanza ricorre. Nessuna persona è nominata nel presente atto.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NONA ALLA FASE SETTIMA, due regimi archivistici misurati, quindici agosto duemilaventisei. I settanta Capitoli restano settanta. Le redazioni anteriori non sono modificate: le pietre deposte non si scalpellano. Resta sovrana la Regola di Ferro: dove la fonte documenta, l'opera certifica; dove la fonte tace, l'opera indaga e non afferma. Un catalogo esemplare su un testo di estensione ignota produce una precisione apparente, ed è più pericolosa dell'imprecisione dichiarata perché invita a fidarsi.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 · Appendice nona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 2.366 parole in 9 sezioni; la più ampia è §9 Altre sezioni, con 2.093.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 49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VII — Appendice decima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DECIMA ALLA FASE SETTIMA</w:t>
      </w:r>
    </w:p>
    <w:p>
      <w:pPr>
        <w:pStyle w:val="Heading2"/>
        <w:spacing w:after="100" w:before="200"/>
      </w:pPr>
      <w:r>
        <w:rPr>
          <w:rFonts w:ascii="Barlow Semi Condensed" w:cs="Barlow Semi Condensed" w:eastAsia="Barlow Semi Condensed" w:hAnsi="Barlow Semi Condensed"/>
          <w:sz w:val="24"/>
          <w:szCs w:val="24"/>
        </w:rPr>
        <w:t xml:space="preserve">La serie di acquisizione, e chi attribuisce le chiavi</w:t>
      </w:r>
    </w:p>
    <w:p>
      <w:pPr>
        <w:pStyle w:val="Heading2"/>
        <w:spacing w:after="100" w:before="200"/>
      </w:pPr>
      <w:r>
        <w:rPr>
          <w:rFonts w:ascii="Barlow Semi Condensed" w:cs="Barlow Semi Condensed" w:eastAsia="Barlow Semi Condensed" w:hAnsi="Barlow Semi Condensed"/>
          <w:sz w:val="24"/>
          <w:szCs w:val="24"/>
        </w:rPr>
        <w:t xml:space="preserve">Esecuzione della Voce ventiseiesima su quattrocentoquarantaquattro voci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decima</w:t>
      </w:r>
    </w:p>
    <w:p>
      <w:pPr>
        <w:spacing w:after="120" w:line="276"/>
        <w:jc w:val="both"/>
      </w:pPr>
      <w:r>
        <w:rPr>
          <w:rFonts w:ascii="Barlow Semi Condensed" w:cs="Barlow Semi Condensed" w:eastAsia="Barlow Semi Condensed" w:hAnsi="Barlow Semi Condensed"/>
          <w:b/>
          <w:bCs/>
          <w:sz w:val="24"/>
          <w:szCs w:val="24"/>
        </w:rPr>
        <w:t xml:space="preserve">La presente è appendice decima alla Fase Settima ed esegue la Voce ventiseiesima, iscritta dall'appendice quinta, la quale prescrive la verifica di reciprocità dei rinvii per accertare quante catalogazioni multiple non siano dichiarate. Come le nove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la medesima già impiegata dall'appendice terza, e la novità sta nel modo di leggerla. L'appendice terza estrasse dai processi verbali le sole voci recanti la chiave del fascicolo del caso, e ne trasse ventinove unità. La presente le legge come ciò che sono: una serie di acquisizione completa, nella quale ogni voce reca tutte le chiavi che le furono assegnate al momento dell'ingresso. Il medesimo materiale, interrogato con un'altra domanda, produce un altro risultato.</w:t>
      </w:r>
    </w:p>
    <w:p>
      <w:pPr>
        <w:spacing w:after="120" w:line="276"/>
        <w:jc w:val="both"/>
      </w:pPr>
      <w:r>
        <w:rPr>
          <w:rFonts w:ascii="Barlow Semi Condensed" w:cs="Barlow Semi Condensed" w:eastAsia="Barlow Semi Condensed" w:hAnsi="Barlow Semi Condensed"/>
          <w:b/>
          <w:bCs/>
          <w:sz w:val="24"/>
          <w:szCs w:val="24"/>
        </w:rPr>
        <w:t xml:space="preserve">Si registri la circostanza come regola di condotta e non come merito: un fondo già impiegato non è un fondo esaurito, e la seconda interrogazione di un materiale posseduto costa meno di ogni acquisizione nuova. È la terza volta nella giornata che il posseduto rende più del cercato.</w:t>
      </w:r>
    </w:p>
    <w:p>
      <w:pPr>
        <w:pStyle w:val="Heading2"/>
        <w:spacing w:after="100" w:before="200"/>
      </w:pPr>
      <w:r>
        <w:rPr>
          <w:rFonts w:ascii="Barlow Semi Condensed" w:cs="Barlow Semi Condensed" w:eastAsia="Barlow Semi Condensed" w:hAnsi="Barlow Semi Condensed"/>
          <w:sz w:val="24"/>
          <w:szCs w:val="24"/>
        </w:rPr>
        <w:t xml:space="preserve">Parte prima — La procedura, e il difetto del proprio strumento</w:t>
      </w:r>
    </w:p>
    <w:p>
      <w:pPr>
        <w:spacing w:after="120" w:line="276"/>
        <w:jc w:val="both"/>
      </w:pPr>
      <w:r>
        <w:rPr>
          <w:rFonts w:ascii="Barlow Semi Condensed" w:cs="Barlow Semi Condensed" w:eastAsia="Barlow Semi Condensed" w:hAnsi="Barlow Semi Condensed"/>
          <w:b/>
          <w:bCs/>
          <w:sz w:val="24"/>
          <w:szCs w:val="24"/>
        </w:rPr>
        <w:t xml:space="preserve">La procedura è la seguente. Sono stati esaminati duecentosedici documenti recanti l'intitolazione di processo verbale; da ciascuno sono state estratte le voci di acquisizione riconoscibili per la presenza di almeno una chiave di catalogo in forma parentetica; le voci duplicate sono state ridotte a una. Restano quattrocentoquarantaquattro voci uniche.</w:t>
      </w:r>
    </w:p>
    <w:p>
      <w:pPr>
        <w:spacing w:after="120" w:line="276"/>
        <w:jc w:val="both"/>
      </w:pPr>
      <w:r>
        <w:rPr>
          <w:rFonts w:ascii="Barlow Semi Condensed" w:cs="Barlow Semi Condensed" w:eastAsia="Barlow Semi Condensed" w:hAnsi="Barlow Semi Condensed"/>
          <w:b/>
          <w:bCs/>
          <w:sz w:val="24"/>
          <w:szCs w:val="24"/>
        </w:rPr>
        <w:t xml:space="preserve">Si dichiara un difetto dello strumento impiegato, poiché la disciplina lo impone e poiché esso incide su una delle cifre esposte. L'espressione di ricerca costruita per riconoscere le chiavi ha, in un numero limitato di voci, congiunto in una sola stringa due chiavi consecutive, producendo denominazioni inesistenti. Il difetto è stato rilevato leggendo a mano l'elenco delle denominazioni ottenute, e non sarebbe stato rilevabile da alcuna misura statistica, poiché lo strumento sbagliava in modo stabile.</w:t>
      </w:r>
    </w:p>
    <w:p>
      <w:pPr>
        <w:spacing w:after="120" w:line="276"/>
        <w:jc w:val="both"/>
      </w:pPr>
      <w:r>
        <w:rPr>
          <w:rFonts w:ascii="Barlow Semi Condensed" w:cs="Barlow Semi Condensed" w:eastAsia="Barlow Semi Condensed" w:hAnsi="Barlow Semi Condensed"/>
          <w:b/>
          <w:bCs/>
          <w:sz w:val="24"/>
          <w:szCs w:val="24"/>
        </w:rPr>
        <w:t xml:space="preserve">È l'ottava volta nella giornata che la lettura a mano di un piccolo campione rileva ciò che la misura larga non rilevava, ed è il medesimo meccanismo registrato in campagna come quarto errore proprio. Si registra qui che la regola tratta da quell'errore ha, questa volta, funzionato: essa è stata applicata prima della pubblicazione della cifra e non dopo.</w:t>
      </w:r>
    </w:p>
    <w:p>
      <w:pPr>
        <w:spacing w:after="120" w:line="276"/>
        <w:jc w:val="both"/>
      </w:pPr>
      <w:r>
        <w:rPr>
          <w:rFonts w:ascii="Barlow Semi Condensed" w:cs="Barlow Semi Condensed" w:eastAsia="Barlow Semi Condensed" w:hAnsi="Barlow Semi Condensed"/>
          <w:b/>
          <w:bCs/>
          <w:sz w:val="24"/>
          <w:szCs w:val="24"/>
        </w:rPr>
        <w:t xml:space="preserve">La conseguenza è che la cifra delle denominazioni distinte, esposta alla Parte quarta, è dichiarata come approssimazione per eccesso e non come misura.</w:t>
      </w:r>
    </w:p>
    <w:p>
      <w:pPr>
        <w:pStyle w:val="Heading2"/>
        <w:spacing w:after="100" w:before="200"/>
      </w:pPr>
      <w:r>
        <w:rPr>
          <w:rFonts w:ascii="Barlow Semi Condensed" w:cs="Barlow Semi Condensed" w:eastAsia="Barlow Semi Condensed" w:hAnsi="Barlow Semi Condensed"/>
          <w:sz w:val="24"/>
          <w:szCs w:val="24"/>
        </w:rPr>
        <w:t xml:space="preserve">Parte seconda — La misura della catalogazione multipla</w:t>
      </w:r>
    </w:p>
    <w:p>
      <w:pPr>
        <w:spacing w:after="120" w:line="276"/>
        <w:jc w:val="both"/>
      </w:pPr>
      <w:r>
        <w:rPr>
          <w:rFonts w:ascii="Barlow Semi Condensed" w:cs="Barlow Semi Condensed" w:eastAsia="Barlow Semi Condensed" w:hAnsi="Barlow Semi Condensed"/>
          <w:b/>
          <w:bCs/>
          <w:sz w:val="24"/>
          <w:szCs w:val="24"/>
        </w:rPr>
        <w:t xml:space="preserve">Delle quattrocentoquarantaquattro voci, trecentottantasette recano una sola chiave, trentacinque ne recano due, venti ne recano tre, una ne reca quattro e una ne reca cinque.</w:t>
      </w:r>
    </w:p>
    <w:p>
      <w:pPr>
        <w:spacing w:after="120" w:line="276"/>
        <w:jc w:val="both"/>
      </w:pPr>
      <w:r>
        <w:rPr>
          <w:rFonts w:ascii="Barlow Semi Condensed" w:cs="Barlow Semi Condensed" w:eastAsia="Barlow Semi Condensed" w:hAnsi="Barlow Semi Condensed"/>
          <w:b/>
          <w:bCs/>
          <w:sz w:val="24"/>
          <w:szCs w:val="24"/>
        </w:rPr>
        <w:t xml:space="preserve">Cinquantasette voci su quattrocentoquarantaquattro recano dunque più di una chiave, ed è poco meno di un ottavo della serie.</w:t>
      </w:r>
    </w:p>
    <w:p>
      <w:pPr>
        <w:spacing w:after="120" w:line="276"/>
        <w:jc w:val="both"/>
      </w:pPr>
      <w:r>
        <w:rPr>
          <w:rFonts w:ascii="Barlow Semi Condensed" w:cs="Barlow Semi Condensed" w:eastAsia="Barlow Semi Condensed" w:hAnsi="Barlow Semi Condensed"/>
          <w:b/>
          <w:bCs/>
          <w:sz w:val="24"/>
          <w:szCs w:val="24"/>
        </w:rPr>
        <w:t xml:space="preserve">La voce a cinque chiavi appartiene alla settantaduesima seduta e concerne atti di un procedimento penale trasmessi da un ufficio giudiziario, comprendenti la trascrizione di una registrazione e il verbale di una deposizione resa nel dicembre millenovecentonovanta. Un solo invio, un solo fascicolo di provenienza, cinque indirizzi.</w:t>
      </w:r>
    </w:p>
    <w:p>
      <w:pPr>
        <w:spacing w:after="120" w:line="276"/>
        <w:jc w:val="both"/>
      </w:pPr>
      <w:r>
        <w:rPr>
          <w:rFonts w:ascii="Barlow Semi Condensed" w:cs="Barlow Semi Condensed" w:eastAsia="Barlow Semi Condensed" w:hAnsi="Barlow Semi Condensed"/>
          <w:b/>
          <w:bCs/>
          <w:sz w:val="24"/>
          <w:szCs w:val="24"/>
        </w:rPr>
        <w:t xml:space="preserve">Si osservi che questa è, a differenza di quella esposta dall'appendice quinta, una catalogazione multipla dichiarata nel medesimo atto che registra l'acquisizione: le cinque chiavi compaiono insieme, di seguito, nella stessa voce. Chi legga il verbale non può ignorare che si tratta di un atto solo. Chi legga i cinque fascicoli separatamente lo ignorerà in ciascuno di essi.</w:t>
      </w:r>
    </w:p>
    <w:p>
      <w:pPr>
        <w:pStyle w:val="Heading2"/>
        <w:spacing w:after="100" w:before="200"/>
      </w:pPr>
      <w:r>
        <w:rPr>
          <w:rFonts w:ascii="Barlow Semi Condensed" w:cs="Barlow Semi Condensed" w:eastAsia="Barlow Semi Condensed" w:hAnsi="Barlow Semi Condensed"/>
          <w:sz w:val="24"/>
          <w:szCs w:val="24"/>
        </w:rPr>
        <w:t xml:space="preserve">Parte terza — Chi attribuisce le chiavi, e quando</w:t>
      </w:r>
    </w:p>
    <w:p>
      <w:pPr>
        <w:spacing w:after="120" w:line="276"/>
        <w:jc w:val="both"/>
      </w:pPr>
      <w:r>
        <w:rPr>
          <w:rFonts w:ascii="Barlow Semi Condensed" w:cs="Barlow Semi Condensed" w:eastAsia="Barlow Semi Condensed" w:hAnsi="Barlow Semi Condensed"/>
          <w:b/>
          <w:bCs/>
          <w:sz w:val="24"/>
          <w:szCs w:val="24"/>
        </w:rPr>
        <w:t xml:space="preserve">La misura qui ottenuta va accostata a quella dell'appendice quinta, e l'accostamento produce il risultato principale del presente atto.</w:t>
      </w:r>
    </w:p>
    <w:p>
      <w:pPr>
        <w:spacing w:after="120" w:line="276"/>
        <w:jc w:val="both"/>
      </w:pPr>
      <w:r>
        <w:rPr>
          <w:rFonts w:ascii="Barlow Semi Condensed" w:cs="Barlow Semi Condensed" w:eastAsia="Barlow Semi Condensed" w:hAnsi="Barlow Semi Condensed"/>
          <w:b/>
          <w:bCs/>
          <w:sz w:val="24"/>
          <w:szCs w:val="24"/>
        </w:rPr>
        <w:t xml:space="preserve">L'appendice quinta ha contato, sull'indice di acquisizione del fascicolo del caso, quattordici unità su cinquanta recanti rinvio ad altro fascicolo. La presente conta, sui processi verbali della medesima serie, quattro sole voci del medesimo fascicolo recanti più di una chiave. Le quattro sono comprese fra le quattordici.</w:t>
      </w:r>
    </w:p>
    <w:p>
      <w:pPr>
        <w:spacing w:after="120" w:line="276"/>
        <w:jc w:val="both"/>
      </w:pPr>
      <w:r>
        <w:rPr>
          <w:rFonts w:ascii="Barlow Semi Condensed" w:cs="Barlow Semi Condensed" w:eastAsia="Barlow Semi Condensed" w:hAnsi="Barlow Semi Condensed"/>
          <w:b/>
          <w:bCs/>
          <w:sz w:val="24"/>
          <w:szCs w:val="24"/>
        </w:rPr>
        <w:t xml:space="preserve">Quattordici e quattro non si contraddicono: misurano due momenti diversi. Il processo verbale registra le chiavi assegnate all'ingresso dell'atto. L'indice di acquisizione è compilato in seguito, a fascicolo formato, e reca i rinvii che il compilatore ha riconosciuti allora, compresi quelli che al momento dell'ingresso non erano stati apposti.</w:t>
      </w:r>
    </w:p>
    <w:p>
      <w:pPr>
        <w:spacing w:after="120" w:line="276"/>
        <w:jc w:val="both"/>
      </w:pPr>
      <w:r>
        <w:rPr>
          <w:rFonts w:ascii="Barlow Semi Condensed" w:cs="Barlow Semi Condensed" w:eastAsia="Barlow Semi Condensed" w:hAnsi="Barlow Semi Condensed"/>
          <w:b/>
          <w:bCs/>
          <w:sz w:val="24"/>
          <w:szCs w:val="24"/>
        </w:rPr>
        <w:t xml:space="preserve">Ne segue che la catalogazione multipla, in questa serie, è in prevalenza attribuzione successiva del compilatore dell'indice e non proprietà dell'acquisizione. Dieci dei quattordici rinvii del fascicolo del caso sono stati riconosciuti dopo, e non risultano dagli atti che registrano l'ingresso dei documenti.</w:t>
      </w:r>
    </w:p>
    <w:p>
      <w:pPr>
        <w:spacing w:after="120" w:line="276"/>
        <w:jc w:val="both"/>
      </w:pPr>
      <w:r>
        <w:rPr>
          <w:rFonts w:ascii="Barlow Semi Condensed" w:cs="Barlow Semi Condensed" w:eastAsia="Barlow Semi Condensed" w:hAnsi="Barlow Semi Condensed"/>
          <w:b/>
          <w:bCs/>
          <w:sz w:val="24"/>
          <w:szCs w:val="24"/>
        </w:rPr>
        <w:t xml:space="preserve">La conseguenza operativa è duplice e va enunciata per intero, poiché essa corregge in un punto l'appendice terza e in un altro l'appendice quinta.</w:t>
      </w:r>
    </w:p>
    <w:p>
      <w:pPr>
        <w:spacing w:after="120" w:line="276"/>
        <w:jc w:val="both"/>
      </w:pPr>
      <w:r>
        <w:rPr>
          <w:rFonts w:ascii="Barlow Semi Condensed" w:cs="Barlow Semi Condensed" w:eastAsia="Barlow Semi Condensed" w:hAnsi="Barlow Semi Condensed"/>
          <w:b/>
          <w:bCs/>
          <w:sz w:val="24"/>
          <w:szCs w:val="24"/>
        </w:rPr>
        <w:t xml:space="preserve">Corregge l'appendice terza, la quale ha assunto il processo verbale come fonte autoritativa per la designazione delle unità. Esso lo è quanto all'atto, alla data e all'ufficio emittente, perché è contemporaneo all'ingresso; non lo è quanto ai rinvii, perché ne reca soltanto quelli apposti in quel momento. Per la rilevazione delle catalogazioni multiple l'indice è strumento superiore al verbale, e l'appendice terza aveva impiegato lo strumento inferiore.</w:t>
      </w:r>
    </w:p>
    <w:p>
      <w:pPr>
        <w:spacing w:after="120" w:line="276"/>
        <w:jc w:val="both"/>
      </w:pPr>
      <w:r>
        <w:rPr>
          <w:rFonts w:ascii="Barlow Semi Condensed" w:cs="Barlow Semi Condensed" w:eastAsia="Barlow Semi Condensed" w:hAnsi="Barlow Semi Condensed"/>
          <w:b/>
          <w:bCs/>
          <w:sz w:val="24"/>
          <w:szCs w:val="24"/>
        </w:rPr>
        <w:t xml:space="preserve">Corregge l'appendice quinta, la quale ha letto il rapporto di quattordici su cinquanta come proprietà del fondo e lo ha dichiarato soglia perché i rinvii sono apposti dove il compilatore li ha notati. La diagnosi era esatta e ne mancava la causa: i rinvii sono apposti dove il compilatore li ha notati, e il compilatore è persona diversa e successiva rispetto a chi registrò l'acquisizione. La soglia non dipende dalla disattenzione di chi acquisisce ma dalla diligenza di chi compila, e sono due grandezze indipendenti.</w:t>
      </w:r>
    </w:p>
    <w:p>
      <w:pPr>
        <w:spacing w:after="120" w:line="276"/>
        <w:jc w:val="both"/>
      </w:pPr>
      <w:r>
        <w:rPr>
          <w:rFonts w:ascii="Barlow Semi Condensed" w:cs="Barlow Semi Condensed" w:eastAsia="Barlow Semi Condensed" w:hAnsi="Barlow Semi Condensed"/>
          <w:b/>
          <w:bCs/>
          <w:sz w:val="24"/>
          <w:szCs w:val="24"/>
        </w:rPr>
        <w:t xml:space="preserve">Si enuncia la regola che ne discende, ed è la quattordicesima della serie.</w:t>
      </w:r>
    </w:p>
    <w:p>
      <w:pPr>
        <w:spacing w:after="120" w:line="276"/>
        <w:jc w:val="both"/>
      </w:pPr>
      <w:r>
        <w:rPr>
          <w:rFonts w:ascii="Barlow Semi Condensed" w:cs="Barlow Semi Condensed" w:eastAsia="Barlow Semi Condensed" w:hAnsi="Barlow Semi Condensed"/>
          <w:b/>
          <w:bCs/>
          <w:sz w:val="24"/>
          <w:szCs w:val="24"/>
        </w:rPr>
        <w:t xml:space="preserve">Quattordicesima regola della risalita. In un sistema a chiavi multiple, il momento nel quale una chiave è apposta determina che cosa essa possa attestare. Le chiavi apposte all'ingresso attestano come l'atto fu classificato da chi lo ricevette; quelle apposte in sede di compilazione attestano come fu riconosciuto da chi ordinò il fondo. Un computo di catalogazione multipla condotto su una sola delle due fonti misura uno solo dei due momenti, e va dichiarato tale.</w:t>
      </w:r>
    </w:p>
    <w:p>
      <w:pPr>
        <w:pStyle w:val="Heading2"/>
        <w:spacing w:after="100" w:before="200"/>
      </w:pPr>
      <w:r>
        <w:rPr>
          <w:rFonts w:ascii="Barlow Semi Condensed" w:cs="Barlow Semi Condensed" w:eastAsia="Barlow Semi Condensed" w:hAnsi="Barlow Semi Condensed"/>
          <w:sz w:val="24"/>
          <w:szCs w:val="24"/>
        </w:rPr>
        <w:t xml:space="preserve">Parte quarta — La varianza delle denominazioni</w:t>
      </w:r>
    </w:p>
    <w:p>
      <w:pPr>
        <w:spacing w:after="120" w:line="276"/>
        <w:jc w:val="both"/>
      </w:pPr>
      <w:r>
        <w:rPr>
          <w:rFonts w:ascii="Barlow Semi Condensed" w:cs="Barlow Semi Condensed" w:eastAsia="Barlow Semi Condensed" w:hAnsi="Barlow Semi Condensed"/>
          <w:b/>
          <w:bCs/>
          <w:sz w:val="24"/>
          <w:szCs w:val="24"/>
        </w:rPr>
        <w:t xml:space="preserve">Le stringhe distinte impiegate come denominazione di fascicolo nella serie sono cinquantaquattro. La cifra è, per il difetto di strumento dichiarato alla Parte prima, un'approssimazione per eccesso, e il numero dei fascicoli realmente distinti è inferiore. La sua determinazione esatta richiede la lettura manuale delle quattrocentoquarantaquattro voci e non è stata compiuta.</w:t>
      </w:r>
    </w:p>
    <w:p>
      <w:pPr>
        <w:spacing w:after="120" w:line="276"/>
        <w:jc w:val="both"/>
      </w:pPr>
      <w:r>
        <w:rPr>
          <w:rFonts w:ascii="Barlow Semi Condensed" w:cs="Barlow Semi Condensed" w:eastAsia="Barlow Semi Condensed" w:hAnsi="Barlow Semi Condensed"/>
          <w:b/>
          <w:bCs/>
          <w:sz w:val="24"/>
          <w:szCs w:val="24"/>
        </w:rPr>
        <w:t xml:space="preserve">Si registrano però, perché accertate per lettura e non per conteggio, quattro specie di varianza fra denominazioni del medesimo fascicolo.</w:t>
      </w:r>
    </w:p>
    <w:p>
      <w:pPr>
        <w:spacing w:after="120" w:line="276"/>
        <w:jc w:val="both"/>
      </w:pPr>
      <w:r>
        <w:rPr>
          <w:rFonts w:ascii="Barlow Semi Condensed" w:cs="Barlow Semi Condensed" w:eastAsia="Barlow Semi Condensed" w:hAnsi="Barlow Semi Condensed"/>
          <w:b/>
          <w:bCs/>
          <w:sz w:val="24"/>
          <w:szCs w:val="24"/>
        </w:rPr>
        <w:t xml:space="preserve">La prima è l'inversione dell'ordine: il fascicolo dedicato a una strage ferroviaria compare sotto due denominazioni che differiscono per l'ordine dei due termini che le compongono.</w:t>
      </w:r>
    </w:p>
    <w:p>
      <w:pPr>
        <w:spacing w:after="120" w:line="276"/>
        <w:jc w:val="both"/>
      </w:pPr>
      <w:r>
        <w:rPr>
          <w:rFonts w:ascii="Barlow Semi Condensed" w:cs="Barlow Semi Condensed" w:eastAsia="Barlow Semi Condensed" w:hAnsi="Barlow Semi Condensed"/>
          <w:b/>
          <w:bCs/>
          <w:sz w:val="24"/>
          <w:szCs w:val="24"/>
        </w:rPr>
        <w:t xml:space="preserve">La seconda è la variazione di numero grammaticale: il fascicolo dedicato alla raccolta informatizzata compare al singolare e al plurale.</w:t>
      </w:r>
    </w:p>
    <w:p>
      <w:pPr>
        <w:spacing w:after="120" w:line="276"/>
        <w:jc w:val="both"/>
      </w:pPr>
      <w:r>
        <w:rPr>
          <w:rFonts w:ascii="Barlow Semi Condensed" w:cs="Barlow Semi Condensed" w:eastAsia="Barlow Semi Condensed" w:hAnsi="Barlow Semi Condensed"/>
          <w:b/>
          <w:bCs/>
          <w:sz w:val="24"/>
          <w:szCs w:val="24"/>
        </w:rPr>
        <w:t xml:space="preserve">La terza è l'alternanza fra forma estesa e forma abbreviata: il fascicolo la cui denominazione estesa comprende tre termini compare talvolta con il solo terzo termine, il quale è però anche la denominazione autonoma di un fascicolo diverso. È la collisione già accertata dall'appendice quinta sull'unità ventiduesima del fascicolo del caso, qui ritrovata come fenomeno di serie e non come episodio.</w:t>
      </w:r>
    </w:p>
    <w:p>
      <w:pPr>
        <w:spacing w:after="120" w:line="276"/>
        <w:jc w:val="both"/>
      </w:pPr>
      <w:r>
        <w:rPr>
          <w:rFonts w:ascii="Barlow Semi Condensed" w:cs="Barlow Semi Condensed" w:eastAsia="Barlow Semi Condensed" w:hAnsi="Barlow Semi Condensed"/>
          <w:b/>
          <w:bCs/>
          <w:sz w:val="24"/>
          <w:szCs w:val="24"/>
        </w:rPr>
        <w:t xml:space="preserve">La quarta è la presenza o assenza del qualificatore iniziale: il fascicolo dedicato a un sequestro compare con e senza la parola che lo introduce.</w:t>
      </w:r>
    </w:p>
    <w:p>
      <w:pPr>
        <w:spacing w:after="120" w:line="276"/>
        <w:jc w:val="both"/>
      </w:pPr>
      <w:r>
        <w:rPr>
          <w:rFonts w:ascii="Barlow Semi Condensed" w:cs="Barlow Semi Condensed" w:eastAsia="Barlow Semi Condensed" w:hAnsi="Barlow Semi Condensed"/>
          <w:b/>
          <w:bCs/>
          <w:sz w:val="24"/>
          <w:szCs w:val="24"/>
        </w:rPr>
        <w:t xml:space="preserve">Nessuna di queste varianze è un errore di chi compila. Ciascuna è la conseguenza ordinaria di una denominazione lunga impiegata da più mani in dieci anni. La conseguenza per chi risale è che una ricerca condotta sulla denominazione anziché sul fascicolo perde una parte delle occorrenze, e che la parte perduta non è stimabile senza la tavola delle varianti.</w:t>
      </w:r>
    </w:p>
    <w:p>
      <w:pPr>
        <w:spacing w:after="120" w:line="276"/>
        <w:jc w:val="both"/>
      </w:pPr>
      <w:r>
        <w:rPr>
          <w:rFonts w:ascii="Barlow Semi Condensed" w:cs="Barlow Semi Condensed" w:eastAsia="Barlow Semi Condensed" w:hAnsi="Barlow Semi Condensed"/>
          <w:b/>
          <w:bCs/>
          <w:sz w:val="24"/>
          <w:szCs w:val="24"/>
        </w:rPr>
        <w:t xml:space="preserve">Voce quarantatreesima — La tavola delle denominazioni dei fascicoli. Oggetto: la lettura manuale delle quattrocentoquarantaquattro voci di acquisizione, la determinazione del numero dei fascicoli realmente distinti, e la tavola delle varianti di denominazione per ciascuno. Sede: la serie dei processi verbali, posseduta per duecentosedici documenti. Chiusura: compilazione della tavola. Smentita: non ricorre. Si segnala che la voce è interamente eseguibile sul posseduto e che il suo costo è di lettura.</w:t>
      </w:r>
    </w:p>
    <w:p>
      <w:pPr>
        <w:pStyle w:val="Heading2"/>
        <w:spacing w:after="100" w:before="200"/>
      </w:pPr>
      <w:r>
        <w:rPr>
          <w:rFonts w:ascii="Barlow Semi Condensed" w:cs="Barlow Semi Condensed" w:eastAsia="Barlow Semi Condensed" w:hAnsi="Barlow Semi Condensed"/>
          <w:sz w:val="24"/>
          <w:szCs w:val="24"/>
        </w:rPr>
        <w:t xml:space="preserve">Parte quinta — Le quattro voci del fascicolo del caso</w:t>
      </w:r>
    </w:p>
    <w:p>
      <w:pPr>
        <w:spacing w:after="120" w:line="276"/>
        <w:jc w:val="both"/>
      </w:pPr>
      <w:r>
        <w:rPr>
          <w:rFonts w:ascii="Barlow Semi Condensed" w:cs="Barlow Semi Condensed" w:eastAsia="Barlow Semi Condensed" w:hAnsi="Barlow Semi Condensed"/>
          <w:b/>
          <w:bCs/>
          <w:sz w:val="24"/>
          <w:szCs w:val="24"/>
        </w:rPr>
        <w:t xml:space="preserve">Si espongono le quattro voci del fascicolo del caso che recano più di una chiave nell'atto che ne registra l'ingresso, poiché esse sono le sole catalogazioni multiple contemporanee all'acquisizione, e le altre dieci sono attribuzioni successive.</w:t>
      </w:r>
    </w:p>
    <w:p>
      <w:pPr>
        <w:spacing w:after="120" w:line="276"/>
        <w:jc w:val="both"/>
      </w:pPr>
      <w:r>
        <w:rPr>
          <w:rFonts w:ascii="Barlow Semi Condensed" w:cs="Barlow Semi Condensed" w:eastAsia="Barlow Semi Condensed" w:hAnsi="Barlow Semi Condensed"/>
          <w:b/>
          <w:bCs/>
          <w:sz w:val="24"/>
          <w:szCs w:val="24"/>
        </w:rPr>
        <w:t xml:space="preserve">L'unità ventiduesima, acquisita alla ottantesima seduta, reca tre chiavi: quella del caso, quella di un fascicolo dedicato a una struttura informativa parallela e a un'organizzazione clandestina, e quella di un fascicolo dedicato a una struttura informativa successiva.</w:t>
      </w:r>
    </w:p>
    <w:p>
      <w:pPr>
        <w:spacing w:after="120" w:line="276"/>
        <w:jc w:val="both"/>
      </w:pPr>
      <w:r>
        <w:rPr>
          <w:rFonts w:ascii="Barlow Semi Condensed" w:cs="Barlow Semi Condensed" w:eastAsia="Barlow Semi Condensed" w:hAnsi="Barlow Semi Condensed"/>
          <w:b/>
          <w:bCs/>
          <w:sz w:val="24"/>
          <w:szCs w:val="24"/>
        </w:rPr>
        <w:t xml:space="preserve">L'unità ventitreesima, acquisita alla ottantunesima seduta, reca due chiavi: quella del caso e quella del fascicolo intitolato a una persona.</w:t>
      </w:r>
    </w:p>
    <w:p>
      <w:pPr>
        <w:spacing w:after="120" w:line="276"/>
        <w:jc w:val="both"/>
      </w:pPr>
      <w:r>
        <w:rPr>
          <w:rFonts w:ascii="Barlow Semi Condensed" w:cs="Barlow Semi Condensed" w:eastAsia="Barlow Semi Condensed" w:hAnsi="Barlow Semi Condensed"/>
          <w:b/>
          <w:bCs/>
          <w:sz w:val="24"/>
          <w:szCs w:val="24"/>
        </w:rPr>
        <w:t xml:space="preserve">L'unità trentasettesima, acquisita alla novantaquattresima seduta, reca tre chiavi: quella del caso, quella del fascicolo dedicato al terrorismo di sinistra e quella del fascicolo dedicato ai legami internazionali del terrorismo e dell'eversione.</w:t>
      </w:r>
    </w:p>
    <w:p>
      <w:pPr>
        <w:spacing w:after="120" w:line="276"/>
        <w:jc w:val="both"/>
      </w:pPr>
      <w:r>
        <w:rPr>
          <w:rFonts w:ascii="Barlow Semi Condensed" w:cs="Barlow Semi Condensed" w:eastAsia="Barlow Semi Condensed" w:hAnsi="Barlow Semi Condensed"/>
          <w:b/>
          <w:bCs/>
          <w:sz w:val="24"/>
          <w:szCs w:val="24"/>
        </w:rPr>
        <w:t xml:space="preserve">L'unità trentanovesima, acquisita alla novantottesima seduta, reca due chiavi: quella del caso e quella del fascicolo intitolato a una persona.</w:t>
      </w:r>
    </w:p>
    <w:p>
      <w:pPr>
        <w:spacing w:after="120" w:line="276"/>
        <w:jc w:val="both"/>
      </w:pPr>
      <w:r>
        <w:rPr>
          <w:rFonts w:ascii="Barlow Semi Condensed" w:cs="Barlow Semi Condensed" w:eastAsia="Barlow Semi Condensed" w:hAnsi="Barlow Semi Condensed"/>
          <w:b/>
          <w:bCs/>
          <w:sz w:val="24"/>
          <w:szCs w:val="24"/>
        </w:rPr>
        <w:t xml:space="preserve">Si osservi che due delle quattro puntano al medesimo fascicolo intitolato a una persona, e che una punta a due fascicoli di materia internazionale. Nessuna delle quattro punta al fascicolo dedicato alla struttura clandestina di difesa nella sua denominazione autonoma. La circostanza è registrata per completezza e non se ne trae alcuna inferenza, poiché quattro voci non sono base sufficiente per alcuna proposizione sulla struttura del fondo.</w:t>
      </w:r>
    </w:p>
    <w:p>
      <w:pPr>
        <w:spacing w:after="120" w:line="276"/>
        <w:jc w:val="both"/>
      </w:pPr>
      <w:r>
        <w:rPr>
          <w:rFonts w:ascii="Barlow Semi Condensed" w:cs="Barlow Semi Condensed" w:eastAsia="Barlow Semi Condensed" w:hAnsi="Barlow Semi Condensed"/>
          <w:b/>
          <w:bCs/>
          <w:sz w:val="24"/>
          <w:szCs w:val="24"/>
        </w:rPr>
        <w:t xml:space="preserve">Voce quarantaquattresima — La collazione fra indice e verbale. Oggetto: per ciascuno dei fascicoli dei quali si possieda tanto l'indice di acquisizione quanto i processi verbali, la collazione delle chiavi apposte all'ingresso con i rinvii apposti in sede di compilazione, e la misura della quota di catalogazione multipla attribuita in via successiva. Sede: gli indici posseduti per tre fascicoli e la serie dei verbali. Chiusura: collazione dei tre fascicoli. Smentita: la constatazione che la quota di attribuzione successiva sia trascurabile negli altri due fascicoli, la quale renderebbe il rapporto di dieci su quattordici una particolarità del fascicolo del caso anziché una proprietà del sistema.</w:t>
      </w:r>
    </w:p>
    <w:p>
      <w:pPr>
        <w:pStyle w:val="Heading2"/>
        <w:spacing w:after="100" w:before="200"/>
      </w:pPr>
      <w:r>
        <w:rPr>
          <w:rFonts w:ascii="Barlow Semi Condensed" w:cs="Barlow Semi Condensed" w:eastAsia="Barlow Semi Condensed" w:hAnsi="Barlow Semi Condensed"/>
          <w:sz w:val="24"/>
          <w:szCs w:val="24"/>
        </w:rPr>
        <w:t xml:space="preserve">Parte sesta — Stati Zero</w:t>
      </w:r>
    </w:p>
    <w:p>
      <w:pPr>
        <w:spacing w:after="120" w:line="276"/>
        <w:jc w:val="both"/>
      </w:pPr>
      <w:r>
        <w:rPr>
          <w:rFonts w:ascii="Barlow Semi Condensed" w:cs="Barlow Semi Condensed" w:eastAsia="Barlow Semi Condensed" w:hAnsi="Barlow Semi Condensed"/>
          <w:b/>
          <w:bCs/>
          <w:sz w:val="24"/>
          <w:szCs w:val="24"/>
        </w:rPr>
        <w:t xml:space="preserve">Primo. Il numero dei fascicoli realmente distinti non è determinato, e la cifra di cinquantaquattro denominazioni è approssimazione per eccesso dichiarata.</w:t>
      </w:r>
    </w:p>
    <w:p>
      <w:pPr>
        <w:spacing w:after="120" w:line="276"/>
        <w:jc w:val="both"/>
      </w:pPr>
      <w:r>
        <w:rPr>
          <w:rFonts w:ascii="Barlow Semi Condensed" w:cs="Barlow Semi Condensed" w:eastAsia="Barlow Semi Condensed" w:hAnsi="Barlow Semi Condensed"/>
          <w:b/>
          <w:bCs/>
          <w:sz w:val="24"/>
          <w:szCs w:val="24"/>
        </w:rPr>
        <w:t xml:space="preserve">Secondo. La collazione fra indice e verbale è compiuta per il solo fascicolo del caso, e la generalizzazione del rapporto di dieci su quattordici agli altri fascicoli non è verificata.</w:t>
      </w:r>
    </w:p>
    <w:p>
      <w:pPr>
        <w:spacing w:after="120" w:line="276"/>
        <w:jc w:val="both"/>
      </w:pPr>
      <w:r>
        <w:rPr>
          <w:rFonts w:ascii="Barlow Semi Condensed" w:cs="Barlow Semi Condensed" w:eastAsia="Barlow Semi Condensed" w:hAnsi="Barlow Semi Condensed"/>
          <w:b/>
          <w:bCs/>
          <w:sz w:val="24"/>
          <w:szCs w:val="24"/>
        </w:rPr>
        <w:t xml:space="preserve">Terzo. Quattro fascicoli di destinazione su sette restano non posseduti quanto agli indici, e la verifica di reciprocità in senso proprio — cioè l'accertamento che a ogni rinvio in uscita corrisponda un rinvio in entrata — resta pertanto ineseguibile per la maggior parte delle destinazioni.</w:t>
      </w:r>
    </w:p>
    <w:p>
      <w:pPr>
        <w:spacing w:after="120" w:line="276"/>
        <w:jc w:val="both"/>
      </w:pPr>
      <w:r>
        <w:rPr>
          <w:rFonts w:ascii="Barlow Semi Condensed" w:cs="Barlow Semi Condensed" w:eastAsia="Barlow Semi Condensed" w:hAnsi="Barlow Semi Condensed"/>
          <w:b/>
          <w:bCs/>
          <w:sz w:val="24"/>
          <w:szCs w:val="24"/>
        </w:rPr>
        <w:t xml:space="preserve">Si dichiara che la Voce ventiseiesima è eseguita in parte e non si chiude: essa è stata eseguita nella forma della misura della catalogazione multipla al momento dell'ingresso, che è più informativa di quella prevista, e non nella forma della verifica di reciprocità, che resta preclusa dall'assenza degli indici di destinazione.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ottava del giorno sul medesimo cantiere. Cantiere: designazione per atto delle fonti. Materia: la serie dei processi verbali letta come serie di acquisizione completa.</w:t>
      </w:r>
    </w:p>
    <w:p>
      <w:pPr>
        <w:spacing w:after="120" w:line="276"/>
        <w:jc w:val="both"/>
      </w:pPr>
      <w:r>
        <w:rPr>
          <w:rFonts w:ascii="Barlow Semi Condensed" w:cs="Barlow Semi Condensed" w:eastAsia="Barlow Semi Condensed" w:hAnsi="Barlow Semi Condensed"/>
          <w:b/>
          <w:bCs/>
          <w:sz w:val="24"/>
          <w:szCs w:val="24"/>
        </w:rPr>
        <w:t xml:space="preserve">Esito positivo: quattrocentoquarantaquattro voci di acquisizione censite su duecentosedici processi verbali, con distribuzione del numero di chiavi per voce; misura della catalogazione multipla all'ingresso, pari a cinquantasette voci su quattrocentoquarantaquattro; individuazione della voce a cinque chiavi; accertamento che la catalogazione multipla del fascicolo del caso è per dieci quattordicesimi attribuzione successiva del compilatore e non proprietà dell'acquisizione, con conseguente correzione dell'appendice terza quanto allo strumento e dell'appendice quinta quanto alla causa; enunciazione della quattordicesima regola della risalita; accertamento per lettura di quattro specie di varianza nelle denominazioni dei fascicoli; due voci nuove iscritte in tavola, entrambe eseguibili sul posseduto.</w:t>
      </w:r>
    </w:p>
    <w:p>
      <w:pPr>
        <w:spacing w:after="120" w:line="276"/>
        <w:jc w:val="both"/>
      </w:pPr>
      <w:r>
        <w:rPr>
          <w:rFonts w:ascii="Barlow Semi Condensed" w:cs="Barlow Semi Condensed" w:eastAsia="Barlow Semi Condensed" w:hAnsi="Barlow Semi Condensed"/>
          <w:b/>
          <w:bCs/>
          <w:sz w:val="24"/>
          <w:szCs w:val="24"/>
        </w:rPr>
        <w:t xml:space="preserve">Esito negativo: il numero dei fascicoli distinti non è determinato; la collazione indice-verbale è compiuta per un solo fascicolo; la verifica di reciprocità in senso proprio resta preclusa per quattro destinazioni su sette; la Voce ventiseiesima è eseguita in parte e non si chiude.</w:t>
      </w:r>
    </w:p>
    <w:p>
      <w:pPr>
        <w:spacing w:after="120" w:line="276"/>
        <w:jc w:val="both"/>
      </w:pPr>
      <w:r>
        <w:rPr>
          <w:rFonts w:ascii="Barlow Semi Condensed" w:cs="Barlow Semi Condensed" w:eastAsia="Barlow Semi Condensed" w:hAnsi="Barlow Semi Condensed"/>
          <w:b/>
          <w:bCs/>
          <w:sz w:val="24"/>
          <w:szCs w:val="24"/>
        </w:rPr>
        <w:t xml:space="preserve">Riga di errore proprio, quarta della giornata, e rilevata prima della pubblicazione. Lo strumento di estrazione ha congiunto in una sola stringa due chiavi consecutive in un numero limitato di voci, producendo denominazioni inesistenti e gonfiando il conteggio delle denominazioni distinte. Il difetto è stato rilevato leggendo a mano l'elenco prodotto, e non era rilevabile per via statistica poiché lo strumento sbagliava in modo stabile. La cifra è stata pubblicata come approssimazione per eccesso anziché come misura. Si registra che questa è la prima volta nella giornata in cui la regola tratta da un errore anteriore ha operato prima del danno anziché dopo.</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tratta di chiavi di catalogo e di denominazioni di fascicoli. Esso non riferisce il contenuto di alcuna delle quattrocentoquarantaquattro voci, non conferisce grado ad alcuna proposizione e non nomina alcuna persona. I fascicoli intitolati a persone sono designati per tale qualità e non per il nome che portano, poiché in questa sede la funzione basta a identificare l'indirizzo.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DECIMA ALLA FASE SETTIMA, la serie di acquisizione e chi attribuisce le chiavi,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Il momento nel quale una chiave è apposta determina che cosa essa possa attestare.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VII · Appendice decima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 2.081 parole in 9 sezioni; la più ampia è §9 Altre sezioni, con 1.705.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VIII — Appendice undicesima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UNDICESIMA ALLA FASE SETTIMA</w:t>
      </w:r>
    </w:p>
    <w:p>
      <w:pPr>
        <w:pStyle w:val="Heading2"/>
        <w:spacing w:after="100" w:before="200"/>
      </w:pPr>
      <w:r>
        <w:rPr>
          <w:rFonts w:ascii="Barlow Semi Condensed" w:cs="Barlow Semi Condensed" w:eastAsia="Barlow Semi Condensed" w:hAnsi="Barlow Semi Condensed"/>
          <w:sz w:val="24"/>
          <w:szCs w:val="24"/>
        </w:rPr>
        <w:t xml:space="preserve">Un falsificatore messo alla prova</w:t>
      </w:r>
    </w:p>
    <w:p>
      <w:pPr>
        <w:pStyle w:val="Heading2"/>
        <w:spacing w:after="100" w:before="200"/>
      </w:pPr>
      <w:r>
        <w:rPr>
          <w:rFonts w:ascii="Barlow Semi Condensed" w:cs="Barlow Semi Condensed" w:eastAsia="Barlow Semi Condensed" w:hAnsi="Barlow Semi Condensed"/>
          <w:sz w:val="24"/>
          <w:szCs w:val="24"/>
        </w:rPr>
        <w:t xml:space="preserve">Esecuzione della Voce quarantaquattresima sui tre fascicoli posseduti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undicesima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undicesima alla Fase Settima ed esegue la Voce quarantaquattresima, iscritta poche ore prima dall'appendice decima. Come le dieci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La voce eseguita reca una condizione di smentita determinata, ed è per questa ragione che la si esegue prima delle altre. L'appendice decima ha asserito che la catalogazione multipla è, nella serie parlamentare esaminata, in prevalenza attribuzione successiva del compilatore dell'indice e non proprietà dell'acquisizione; e ha dichiarato che tale asserzione cade se la quota di attribuzione successiva risulta trascurabile negli altri fascicoli posseduti, poiché in tal caso il rapporto rilevato sarebbe una particolarità del fascicolo del caso e non una proprietà del sistema.</w:t>
      </w:r>
    </w:p>
    <w:p>
      <w:pPr>
        <w:spacing w:after="120" w:line="276"/>
        <w:jc w:val="both"/>
      </w:pPr>
      <w:r>
        <w:rPr>
          <w:rFonts w:ascii="Barlow Semi Condensed" w:cs="Barlow Semi Condensed" w:eastAsia="Barlow Semi Condensed" w:hAnsi="Barlow Semi Condensed"/>
          <w:b/>
          <w:bCs/>
          <w:sz w:val="24"/>
          <w:szCs w:val="24"/>
        </w:rPr>
        <w:t xml:space="preserve">Si dispone degli indici di tre fascicoli e della serie completa dei processi verbali. La prova è dunque eseguibile, ed è eseguita.</w:t>
      </w:r>
    </w:p>
    <w:p>
      <w:pPr>
        <w:pStyle w:val="Heading2"/>
        <w:spacing w:after="100" w:before="200"/>
      </w:pPr>
      <w:r>
        <w:rPr>
          <w:rFonts w:ascii="Barlow Semi Condensed" w:cs="Barlow Semi Condensed" w:eastAsia="Barlow Semi Condensed" w:hAnsi="Barlow Semi Condensed"/>
          <w:sz w:val="24"/>
          <w:szCs w:val="24"/>
        </w:rPr>
        <w:t xml:space="preserve">Parte prima — La procedura, e i suoi tre limiti dichiarati</w:t>
      </w:r>
    </w:p>
    <w:p>
      <w:pPr>
        <w:spacing w:after="120" w:line="276"/>
        <w:jc w:val="both"/>
      </w:pPr>
      <w:r>
        <w:rPr>
          <w:rFonts w:ascii="Barlow Semi Condensed" w:cs="Barlow Semi Condensed" w:eastAsia="Barlow Semi Condensed" w:hAnsi="Barlow Semi Condensed"/>
          <w:b/>
          <w:bCs/>
          <w:sz w:val="24"/>
          <w:szCs w:val="24"/>
        </w:rPr>
        <w:t xml:space="preserve">Per ciascuno dei tre fascicoli si sono contate due grandezze: le voci che, nei processi verbali, recano la chiave di quel fascicolo insieme ad almeno un'altra chiave, cioè le catalogazioni multiple dichiarate al momento dell'ingresso; e le unità che, nell'indice di acquisizione di quel fascicolo, recano un rinvio ad altro fascicolo, cioè le catalogazioni multiple dichiarate in sede di compilazione.</w:t>
      </w:r>
    </w:p>
    <w:p>
      <w:pPr>
        <w:spacing w:after="120" w:line="276"/>
        <w:jc w:val="both"/>
      </w:pPr>
      <w:r>
        <w:rPr>
          <w:rFonts w:ascii="Barlow Semi Condensed" w:cs="Barlow Semi Condensed" w:eastAsia="Barlow Semi Condensed" w:hAnsi="Barlow Semi Condensed"/>
          <w:b/>
          <w:bCs/>
          <w:sz w:val="24"/>
          <w:szCs w:val="24"/>
        </w:rPr>
        <w:t xml:space="preserve">Si dichiarano tre limiti della procedura, tutti tali da incidere sulle cifre.</w:t>
      </w:r>
    </w:p>
    <w:p>
      <w:pPr>
        <w:spacing w:after="120" w:line="276"/>
        <w:jc w:val="both"/>
      </w:pPr>
      <w:r>
        <w:rPr>
          <w:rFonts w:ascii="Barlow Semi Condensed" w:cs="Barlow Semi Condensed" w:eastAsia="Barlow Semi Condensed" w:hAnsi="Barlow Semi Condensed"/>
          <w:b/>
          <w:bCs/>
          <w:sz w:val="24"/>
          <w:szCs w:val="24"/>
        </w:rPr>
        <w:t xml:space="preserve">Primo limite. Si era prevista una terza grandezza, il numero complessivo delle unità di ciascun fascicolo, da impiegare come denominatore comune. Il procedimento adottato per ricavarla dagli indici — il riconoscimento delle righe contenenti un numero isolato — ha prodotto per uno dei tre fascicoli un valore massimo incompatibile con l'ampiezza del fascicolo medesimo, segno che esso ha riconosciuto come numeri d'unità anche numeri di altra natura. Il procedimento è stato abbandonato e il denominatore comune non è impiegato. Le cifre che seguono sono pertanto conteggi assoluti e non tassi riferiti al totale delle unità.</w:t>
      </w:r>
    </w:p>
    <w:p>
      <w:pPr>
        <w:spacing w:after="120" w:line="276"/>
        <w:jc w:val="both"/>
      </w:pPr>
      <w:r>
        <w:rPr>
          <w:rFonts w:ascii="Barlow Semi Condensed" w:cs="Barlow Semi Condensed" w:eastAsia="Barlow Semi Condensed" w:hAnsi="Barlow Semi Condensed"/>
          <w:b/>
          <w:bCs/>
          <w:sz w:val="24"/>
          <w:szCs w:val="24"/>
        </w:rPr>
        <w:t xml:space="preserve">Secondo limite. Il fascicolo dedicato alla struttura clandestina compare nei verbali sotto due denominazioni, l'una estesa e l'altra abbreviata, e le due sono state trattate come una sola ai fini del conteggio. L'appendice quinta ha accertato che l'abbreviata coincide con la denominazione autonoma di un fascicolo distinto. Il conteggio di quel fascicolo è pertanto una somma di due insiemi che potrebbero non coincidere, e la sua cifra è dichiarata come valore per eccesso.</w:t>
      </w:r>
    </w:p>
    <w:p>
      <w:pPr>
        <w:spacing w:after="120" w:line="276"/>
        <w:jc w:val="both"/>
      </w:pPr>
      <w:r>
        <w:rPr>
          <w:rFonts w:ascii="Barlow Semi Condensed" w:cs="Barlow Semi Condensed" w:eastAsia="Barlow Semi Condensed" w:hAnsi="Barlow Semi Condensed"/>
          <w:b/>
          <w:bCs/>
          <w:sz w:val="24"/>
          <w:szCs w:val="24"/>
        </w:rPr>
        <w:t xml:space="preserve">Terzo limite. Le due grandezze contate non hanno la medesima unità di misura. La prima conta voci di verbale, e una voce può appartenere a più fascicoli ed essere pertanto contata in più conteggi. La seconda conta unità di un fascicolo determinato. La comparazione fra le due è legittima come comparazione fra ordini di grandezza e non come rapporto esatto.</w:t>
      </w:r>
    </w:p>
    <w:p>
      <w:pPr>
        <w:pStyle w:val="Heading2"/>
        <w:spacing w:after="100" w:before="200"/>
      </w:pPr>
      <w:r>
        <w:rPr>
          <w:rFonts w:ascii="Barlow Semi Condensed" w:cs="Barlow Semi Condensed" w:eastAsia="Barlow Semi Condensed" w:hAnsi="Barlow Semi Condensed"/>
          <w:sz w:val="24"/>
          <w:szCs w:val="24"/>
        </w:rPr>
        <w:t xml:space="preserve">Parte seconda — L'esito della prova</w:t>
      </w:r>
    </w:p>
    <w:p>
      <w:pPr>
        <w:spacing w:after="120" w:line="276"/>
        <w:jc w:val="both"/>
      </w:pPr>
      <w:r>
        <w:rPr>
          <w:rFonts w:ascii="Barlow Semi Condensed" w:cs="Barlow Semi Condensed" w:eastAsia="Barlow Semi Condensed" w:hAnsi="Barlow Semi Condensed"/>
          <w:b/>
          <w:bCs/>
          <w:sz w:val="24"/>
          <w:szCs w:val="24"/>
        </w:rPr>
        <w:t xml:space="preserve">Per il fascicolo del caso: quattro catalogazioni multiple dichiarate all'ingresso, quattordici dichiarate nell'indice.</w:t>
      </w:r>
    </w:p>
    <w:p>
      <w:pPr>
        <w:spacing w:after="120" w:line="276"/>
        <w:jc w:val="both"/>
      </w:pPr>
      <w:r>
        <w:rPr>
          <w:rFonts w:ascii="Barlow Semi Condensed" w:cs="Barlow Semi Condensed" w:eastAsia="Barlow Semi Condensed" w:hAnsi="Barlow Semi Condensed"/>
          <w:b/>
          <w:bCs/>
          <w:sz w:val="24"/>
          <w:szCs w:val="24"/>
        </w:rPr>
        <w:t xml:space="preserve">Per il fascicolo dedicato al disastro aereo: nove dichiarate all'ingresso, quattordici nell'indice.</w:t>
      </w:r>
    </w:p>
    <w:p>
      <w:pPr>
        <w:spacing w:after="120" w:line="276"/>
        <w:jc w:val="both"/>
      </w:pPr>
      <w:r>
        <w:rPr>
          <w:rFonts w:ascii="Barlow Semi Condensed" w:cs="Barlow Semi Condensed" w:eastAsia="Barlow Semi Condensed" w:hAnsi="Barlow Semi Condensed"/>
          <w:b/>
          <w:bCs/>
          <w:sz w:val="24"/>
          <w:szCs w:val="24"/>
        </w:rPr>
        <w:t xml:space="preserve">Per il fascicolo dedicato alla struttura clandestina: trentacinque dichiarate all'ingresso, cinquantotto nell'indice.</w:t>
      </w:r>
    </w:p>
    <w:p>
      <w:pPr>
        <w:spacing w:after="120" w:line="276"/>
        <w:jc w:val="both"/>
      </w:pPr>
      <w:r>
        <w:rPr>
          <w:rFonts w:ascii="Barlow Semi Condensed" w:cs="Barlow Semi Condensed" w:eastAsia="Barlow Semi Condensed" w:hAnsi="Barlow Semi Condensed"/>
          <w:b/>
          <w:bCs/>
          <w:sz w:val="24"/>
          <w:szCs w:val="24"/>
        </w:rPr>
        <w:t xml:space="preserve">In tutti e tre i fascicoli l'indice dichiara più catalogazioni multiple di quante ne dichiarino i verbali, e in nessuno dei tre la differenza è trascurabile. La quota di attribuzione successiva è di dieci su quattordici nel primo, di cinque su quattordici nel secondo, di ventitré su cinquantotto nel terzo.</w:t>
      </w:r>
    </w:p>
    <w:p>
      <w:pPr>
        <w:spacing w:after="120" w:line="276"/>
        <w:jc w:val="both"/>
      </w:pPr>
      <w:r>
        <w:rPr>
          <w:rFonts w:ascii="Barlow Semi Condensed" w:cs="Barlow Semi Condensed" w:eastAsia="Barlow Semi Condensed" w:hAnsi="Barlow Semi Condensed"/>
          <w:b/>
          <w:bCs/>
          <w:sz w:val="24"/>
          <w:szCs w:val="24"/>
        </w:rPr>
        <w:t xml:space="preserve">La condizione di smentita non si verifica. L'asserzione dell'appendice decima regge: l'attribuzione successiva della catalogazione multipla è una proprietà del sistema e non una particolarità del fascicolo del caso.</w:t>
      </w:r>
    </w:p>
    <w:p>
      <w:pPr>
        <w:spacing w:after="120" w:line="276"/>
        <w:jc w:val="both"/>
      </w:pPr>
      <w:r>
        <w:rPr>
          <w:rFonts w:ascii="Barlow Semi Condensed" w:cs="Barlow Semi Condensed" w:eastAsia="Barlow Semi Condensed" w:hAnsi="Barlow Semi Condensed"/>
          <w:b/>
          <w:bCs/>
          <w:sz w:val="24"/>
          <w:szCs w:val="24"/>
        </w:rPr>
        <w:t xml:space="preserve">Si dichiari però, con la medesima esattezza, in che misura essa regga. La quota di attribuzione successiva è nel fascicolo del caso di circa sette decimi, negli altri due di circa quattro decimi. La proprietà è dunque presente in tutti e tre e ha nel fascicolo del caso un'intensità quasi doppia rispetto agli altri due. L'asserzione va pertanto mantenuta nella formulazione generale e ristretta nella misura: l'attribuzione successiva è ovunque rilevante, e il fascicolo sul quale essa fu rilevata è quello nel quale è massima. Chi avesse generalizzato la cifra di sette decimi avrebbe generalizzato un estremo.</w:t>
      </w:r>
    </w:p>
    <w:p>
      <w:pPr>
        <w:pStyle w:val="Heading2"/>
        <w:spacing w:after="100" w:before="200"/>
      </w:pPr>
      <w:r>
        <w:rPr>
          <w:rFonts w:ascii="Barlow Semi Condensed" w:cs="Barlow Semi Condensed" w:eastAsia="Barlow Semi Condensed" w:hAnsi="Barlow Semi Condensed"/>
          <w:sz w:val="24"/>
          <w:szCs w:val="24"/>
        </w:rPr>
        <w:t xml:space="preserve">Parte terza — Un secondo reperto, non cercato</w:t>
      </w:r>
    </w:p>
    <w:p>
      <w:pPr>
        <w:spacing w:after="120" w:line="276"/>
        <w:jc w:val="both"/>
      </w:pPr>
      <w:r>
        <w:rPr>
          <w:rFonts w:ascii="Barlow Semi Condensed" w:cs="Barlow Semi Condensed" w:eastAsia="Barlow Semi Condensed" w:hAnsi="Barlow Semi Condensed"/>
          <w:b/>
          <w:bCs/>
          <w:sz w:val="24"/>
          <w:szCs w:val="24"/>
        </w:rPr>
        <w:t xml:space="preserve">La collazione ha prodotto un dato che non era il suo oggetto e che va registrato perché è di natura diversa da tutti quelli raccolti oggi.</w:t>
      </w:r>
    </w:p>
    <w:p>
      <w:pPr>
        <w:spacing w:after="120" w:line="276"/>
        <w:jc w:val="both"/>
      </w:pPr>
      <w:r>
        <w:rPr>
          <w:rFonts w:ascii="Barlow Semi Condensed" w:cs="Barlow Semi Condensed" w:eastAsia="Barlow Semi Condensed" w:hAnsi="Barlow Semi Condensed"/>
          <w:b/>
          <w:bCs/>
          <w:sz w:val="24"/>
          <w:szCs w:val="24"/>
        </w:rPr>
        <w:t xml:space="preserve">Rapportando le catalogazioni multiple dichiarate all'ingresso al numero delle voci di verbale recanti la chiave di ciascun fascicolo, si ottengono tre valori assai distanti. Per il fascicolo dedicato alla struttura clandestina, trentacinque su centoquattordici, cioè poco meno di un terzo. Per il fascicolo del caso, quattro su ventinove, cioè poco meno di un settimo. Per il fascicolo dedicato al disastro aereo, nove su centosettanta, cioè circa un ventesimo.</w:t>
      </w:r>
    </w:p>
    <w:p>
      <w:pPr>
        <w:spacing w:after="120" w:line="276"/>
        <w:jc w:val="both"/>
      </w:pPr>
      <w:r>
        <w:rPr>
          <w:rFonts w:ascii="Barlow Semi Condensed" w:cs="Barlow Semi Condensed" w:eastAsia="Barlow Semi Condensed" w:hAnsi="Barlow Semi Condensed"/>
          <w:b/>
          <w:bCs/>
          <w:sz w:val="24"/>
          <w:szCs w:val="24"/>
        </w:rPr>
        <w:t xml:space="preserve">Fra il fascicolo più trasversalmente catalogato e quello meno lo scarto è di circa sei volte.</w:t>
      </w:r>
    </w:p>
    <w:p>
      <w:pPr>
        <w:spacing w:after="120" w:line="276"/>
        <w:jc w:val="both"/>
      </w:pPr>
      <w:r>
        <w:rPr>
          <w:rFonts w:ascii="Barlow Semi Condensed" w:cs="Barlow Semi Condensed" w:eastAsia="Barlow Semi Condensed" w:hAnsi="Barlow Semi Condensed"/>
          <w:b/>
          <w:bCs/>
          <w:sz w:val="24"/>
          <w:szCs w:val="24"/>
        </w:rPr>
        <w:t xml:space="preserve">Si enunciano le due spiegazioni candidate e si dichiara di non discriminare fra esse.</w:t>
      </w:r>
    </w:p>
    <w:p>
      <w:pPr>
        <w:spacing w:after="120" w:line="276"/>
        <w:jc w:val="both"/>
      </w:pPr>
      <w:r>
        <w:rPr>
          <w:rFonts w:ascii="Barlow Semi Condensed" w:cs="Barlow Semi Condensed" w:eastAsia="Barlow Semi Condensed" w:hAnsi="Barlow Semi Condensed"/>
          <w:b/>
          <w:bCs/>
          <w:sz w:val="24"/>
          <w:szCs w:val="24"/>
        </w:rPr>
        <w:t xml:space="preserve">La prima è che lo scarto rifletta la natura degli oggetti. Un disastro aereo è un evento circoscritto nel tempo e nello spazio, i cui atti concernono quell'evento e pochi altri; una struttura clandestina permanente attraversa per definizione materie, periodi e apparati diversi, e i suoi atti toccano necessariamente più fascicoli. Se questa spiegazione è esatta, il tasso di catalogazione multipla è un indicatore della trasversalità dell'oggetto, e sarebbe un dato di prim'ordine.</w:t>
      </w:r>
    </w:p>
    <w:p>
      <w:pPr>
        <w:spacing w:after="120" w:line="276"/>
        <w:jc w:val="both"/>
      </w:pPr>
      <w:r>
        <w:rPr>
          <w:rFonts w:ascii="Barlow Semi Condensed" w:cs="Barlow Semi Condensed" w:eastAsia="Barlow Semi Condensed" w:hAnsi="Barlow Semi Condensed"/>
          <w:b/>
          <w:bCs/>
          <w:sz w:val="24"/>
          <w:szCs w:val="24"/>
        </w:rPr>
        <w:t xml:space="preserve">La seconda è che lo scarto rifletta la pratica di chi cataloga. Fascicoli aperti in tempi diversi, alimentati da mani diverse e con criteri di attribuzione non uniformi produrrebbero tassi diversi indipendentemente dalla natura degli oggetti. Se questa spiegazione è esatta, il tasso non dice nulla sugli oggetti e dice qualcosa sugli uffici.</w:t>
      </w:r>
    </w:p>
    <w:p>
      <w:pPr>
        <w:spacing w:after="120" w:line="276"/>
        <w:jc w:val="both"/>
      </w:pPr>
      <w:r>
        <w:rPr>
          <w:rFonts w:ascii="Barlow Semi Condensed" w:cs="Barlow Semi Condensed" w:eastAsia="Barlow Semi Condensed" w:hAnsi="Barlow Semi Condensed"/>
          <w:b/>
          <w:bCs/>
          <w:sz w:val="24"/>
          <w:szCs w:val="24"/>
        </w:rPr>
        <w:t xml:space="preserve">Le due spiegazioni non si escludono e concorrono probabilmente entrambe. Il presente atto non dispone di alcun elemento per attribuire quote all'una e all'altra, e si astiene. Si segnala soltanto che la via di discriminazione esiste ed è indicabile: essa consisterebbe nel verificare se il tasso di un medesimo fascicolo vari nel tempo, poiché una variazione temporale a oggetto costante deporrebbe per la seconda spiegazione.</w:t>
      </w:r>
    </w:p>
    <w:p>
      <w:pPr>
        <w:spacing w:after="120" w:line="276"/>
        <w:jc w:val="both"/>
      </w:pPr>
      <w:r>
        <w:rPr>
          <w:rFonts w:ascii="Barlow Semi Condensed" w:cs="Barlow Semi Condensed" w:eastAsia="Barlow Semi Condensed" w:hAnsi="Barlow Semi Condensed"/>
          <w:b/>
          <w:bCs/>
          <w:sz w:val="24"/>
          <w:szCs w:val="24"/>
        </w:rPr>
        <w:t xml:space="preserve">Voce quarantacinquesima — La trasversalità dei fascicoli e la sua causa. Oggetto: il tasso di catalogazione multipla all'ingresso per ciascun fascicolo della serie, e la sua variazione nel tempo entro ciascun fascicolo. Sede: la serie dei processi verbali, posseduta per duecentosedici documenti. Chiusura: computo dei tassi per fascicolo e per periodo. Smentita: la constatazione che il tasso di ciascun fascicolo sia stabile nel tempo, la quale escluderebbe la spiegazione fondata sulla pratica di catalogazione e lascerebbe in campo quella fondata sulla natura degli oggetti.</w:t>
      </w:r>
    </w:p>
    <w:p>
      <w:pPr>
        <w:pStyle w:val="Heading2"/>
        <w:spacing w:after="100" w:before="200"/>
      </w:pPr>
      <w:r>
        <w:rPr>
          <w:rFonts w:ascii="Barlow Semi Condensed" w:cs="Barlow Semi Condensed" w:eastAsia="Barlow Semi Condensed" w:hAnsi="Barlow Semi Condensed"/>
          <w:sz w:val="24"/>
          <w:szCs w:val="24"/>
        </w:rPr>
        <w:t xml:space="preserve">Parte quarta — Sul falsificatore che regge</w:t>
      </w:r>
    </w:p>
    <w:p>
      <w:pPr>
        <w:spacing w:after="120" w:line="276"/>
        <w:jc w:val="both"/>
      </w:pPr>
      <w:r>
        <w:rPr>
          <w:rFonts w:ascii="Barlow Semi Condensed" w:cs="Barlow Semi Condensed" w:eastAsia="Barlow Semi Condensed" w:hAnsi="Barlow Semi Condensed"/>
          <w:b/>
          <w:bCs/>
          <w:sz w:val="24"/>
          <w:szCs w:val="24"/>
        </w:rPr>
        <w:t xml:space="preserve">Si registra un fatto che riguarda l'apparato e non la materia, e che va accostato a quanto la presente serie ha stabilito nella propria seconda appendice.</w:t>
      </w:r>
    </w:p>
    <w:p>
      <w:pPr>
        <w:spacing w:after="120" w:line="276"/>
        <w:jc w:val="both"/>
      </w:pPr>
      <w:r>
        <w:rPr>
          <w:rFonts w:ascii="Barlow Semi Condensed" w:cs="Barlow Semi Condensed" w:eastAsia="Barlow Semi Condensed" w:hAnsi="Barlow Semi Condensed"/>
          <w:b/>
          <w:bCs/>
          <w:sz w:val="24"/>
          <w:szCs w:val="24"/>
        </w:rPr>
        <w:t xml:space="preserve">L'appendice seconda ha censurato un falsificatore dell'opera perché tarato al di sotto della soglia che proteggeva, e ne ha tratto che un falsificatore il quale non scatti mai non è prova di correttezza ma indizio di taratura compiacente. La censura era fondata e la formulazione fu corretta.</w:t>
      </w:r>
    </w:p>
    <w:p>
      <w:pPr>
        <w:spacing w:after="120" w:line="276"/>
        <w:jc w:val="both"/>
      </w:pPr>
      <w:r>
        <w:rPr>
          <w:rFonts w:ascii="Barlow Semi Condensed" w:cs="Barlow Semi Condensed" w:eastAsia="Barlow Semi Condensed" w:hAnsi="Barlow Semi Condensed"/>
          <w:b/>
          <w:bCs/>
          <w:sz w:val="24"/>
          <w:szCs w:val="24"/>
        </w:rPr>
        <w:t xml:space="preserve">Il presente atto registra l'evento simmetrico. Un falsificatore è stato formulato con una condizione determinata, è stato sottoposto alla prova nelle ore immediatamente successive, e non è scattato. La differenza rispetto al caso censurato è intera: là il falsificatore non era scattato perché nessuno lo aveva provato e perché la sua soglia lo rendeva improbabile; qui non è scattato perché è stato provato e la prova è stata superata.</w:t>
      </w:r>
    </w:p>
    <w:p>
      <w:pPr>
        <w:spacing w:after="120" w:line="276"/>
        <w:jc w:val="both"/>
      </w:pPr>
      <w:r>
        <w:rPr>
          <w:rFonts w:ascii="Barlow Semi Condensed" w:cs="Barlow Semi Condensed" w:eastAsia="Barlow Semi Condensed" w:hAnsi="Barlow Semi Condensed"/>
          <w:b/>
          <w:bCs/>
          <w:sz w:val="24"/>
          <w:szCs w:val="24"/>
        </w:rPr>
        <w:t xml:space="preserve">Si enuncia la regola, ed è la quindicesima della serie. Il valore di un'asserzione si misura sul numero e sulla severità delle prove che ha superate, e non sull'assenza di prove. Un falsificatore mai azionato è privo di significato finché non si dichiari se sia stato provato; un falsificatore provato e non azionato conferisce all'asserzione un grado che nessuna accumulazione di conferme le avrebbe conferito. Si dichiari pertanto sempre, accanto a un falsificatore, se e quando sia stato messo alla prova.</w:t>
      </w:r>
    </w:p>
    <w:p>
      <w:pPr>
        <w:spacing w:after="120" w:line="276"/>
        <w:jc w:val="both"/>
      </w:pPr>
      <w:r>
        <w:rPr>
          <w:rFonts w:ascii="Barlow Semi Condensed" w:cs="Barlow Semi Condensed" w:eastAsia="Barlow Semi Condensed" w:hAnsi="Barlow Semi Condensed"/>
          <w:b/>
          <w:bCs/>
          <w:sz w:val="24"/>
          <w:szCs w:val="24"/>
        </w:rPr>
        <w:t xml:space="preserve">Si dispone che le voci della tavola rechino, dalla presente appendice in avanti, oltre alla condizione di smentita, l'indicazione di quali prove siano state eseguite e con quale esito.</w:t>
      </w:r>
    </w:p>
    <w:p>
      <w:pPr>
        <w:pStyle w:val="Heading2"/>
        <w:spacing w:after="100" w:before="200"/>
      </w:pPr>
      <w:r>
        <w:rPr>
          <w:rFonts w:ascii="Barlow Semi Condensed" w:cs="Barlow Semi Condensed" w:eastAsia="Barlow Semi Condensed" w:hAnsi="Barlow Semi Condensed"/>
          <w:sz w:val="24"/>
          <w:szCs w:val="24"/>
        </w:rPr>
        <w:t xml:space="preserve">Parte quinta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quarantaquattresima si chiude quanto alla collazione dei tre fascicoli posseduti, con esito di conferma dell'asserzione provata e di restrizione della sua misura. Si iscrive la Voce quarantacinquesima.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il denominatore comune, cioè il numero complessivo delle unità di ciascun fascicolo, non è determinato, e le cifre sono conteggi assoluti. Secondo: il conteggio del fascicolo dedicato alla struttura clandestina è per eccesso, per la somma di due denominazioni che potrebbero designare fascicoli distinti. Terzo: la ripartizione fra le due spiegazioni della varianza dei tassi non è compiuta. Quarto: quattro fascicoli di destinazione su sette restano privi di indice posseduto, e la collazione è eseguita per tre.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nona del giorno sul medesimo cantiere. Cantiere: designazione per atto delle fonti. Materia: la collazione fra indice di acquisizione e processo verbale sui tre fascicoli posseduti.</w:t>
      </w:r>
    </w:p>
    <w:p>
      <w:pPr>
        <w:spacing w:after="120" w:line="276"/>
        <w:jc w:val="both"/>
      </w:pPr>
      <w:r>
        <w:rPr>
          <w:rFonts w:ascii="Barlow Semi Condensed" w:cs="Barlow Semi Condensed" w:eastAsia="Barlow Semi Condensed" w:hAnsi="Barlow Semi Condensed"/>
          <w:b/>
          <w:bCs/>
          <w:sz w:val="24"/>
          <w:szCs w:val="24"/>
        </w:rPr>
        <w:t xml:space="preserve">Esito positivo: collazione eseguita per tre fascicoli, con esito di quattro contro quattordici, nove contro quattordici e trentacinque contro cinquantotto; condizione di smentita non verificata e asserzione dell'appendice decima confermata; restrizione della misura dell'asserzione, che passa da sette decimi a una banda compresa fra quattro e sette decimi secondo il fascicolo; rilevazione non cercata della varianza del tasso di catalogazione multipla fra fascicoli, con scarto di circa sei volte fra l'estremo superiore e l'inferiore; enunciazione delle due spiegazioni candidate e della via di discriminazione fra esse; enunciazione della quindicesima regola della risalita; una voce nuova iscritta in tavola; disposizione che le voci della tavola rechino l'indicazione delle prove eseguite.</w:t>
      </w:r>
    </w:p>
    <w:p>
      <w:pPr>
        <w:spacing w:after="120" w:line="276"/>
        <w:jc w:val="both"/>
      </w:pPr>
      <w:r>
        <w:rPr>
          <w:rFonts w:ascii="Barlow Semi Condensed" w:cs="Barlow Semi Condensed" w:eastAsia="Barlow Semi Condensed" w:hAnsi="Barlow Semi Condensed"/>
          <w:b/>
          <w:bCs/>
          <w:sz w:val="24"/>
          <w:szCs w:val="24"/>
        </w:rPr>
        <w:t xml:space="preserve">Esito negativo: il denominatore comune non è determinato e il procedimento previsto per ricavarlo è stato abbandonato per difetto accertato; il conteggio di un fascicolo è per eccesso; la varianza dei tassi non è spiegata; la collazione è eseguita per tre fascicoli su sette.</w:t>
      </w:r>
    </w:p>
    <w:p>
      <w:pPr>
        <w:spacing w:after="120" w:line="276"/>
        <w:jc w:val="both"/>
      </w:pPr>
      <w:r>
        <w:rPr>
          <w:rFonts w:ascii="Barlow Semi Condensed" w:cs="Barlow Semi Condensed" w:eastAsia="Barlow Semi Condensed" w:hAnsi="Barlow Semi Condensed"/>
          <w:b/>
          <w:bCs/>
          <w:sz w:val="24"/>
          <w:szCs w:val="24"/>
        </w:rPr>
        <w:t xml:space="preserve">Riga di restrizione a proprio sfavore. L'asserzione provata regge nella formulazione generale e non nella misura con la quale era stata rilevata. Il fascicolo sul quale essa fu misurata è quello nel quale l'attribuzione successiva è massima, e chi avesse generalizzato quella cifra avrebbe generalizzato un estremo. Si registra che la restrizione è emersa dalla medesima prova che ha confermato l'asserzione, e che una prova la quale confermi e insieme restringa è più utile di una che confermi soltanto.</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tratta di conteggi su chiavi di catalogo. Non riferisce il contenuto di alcuna voce, non conferisce grado ad alcuna proposizione, non nomina alcuna persona e non trae alcuna inferenza sulla materia dei fascicoli comparati. In particolare, il tasso di catalogazione multipla di un fascicolo non è, allo stato, un indicatore di alcunché, poiché la sua causa non è stabilita.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UNDICESIMA ALLA FASE SETTIMA, un falsificatore messo alla prova, quindici agosto duemilaventisei. I settanta Capitoli restano settanta. Le redazioni anteriori non sono modificate: le pietre deposte non si scalpellano. Resta sovrana la Regola di Ferro: dove la fonte documenta, l'opera certifica; dove la fonte tace, l'opera indaga e non afferma. Il valore di un'asserzione si misura sulle prove che ha superate, e non sull'assenza di prove.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VIII · Appendice undicesima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VIII: 1.749 parole in 9 sezioni; la più ampia è §9 Altre sezioni, con 1.311.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IX — Appendice dodicesima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DODICESIMA ALLA FASE SETTIMA</w:t>
      </w:r>
    </w:p>
    <w:p>
      <w:pPr>
        <w:pStyle w:val="Heading2"/>
        <w:spacing w:after="100" w:before="200"/>
      </w:pPr>
      <w:r>
        <w:rPr>
          <w:rFonts w:ascii="Barlow Semi Condensed" w:cs="Barlow Semi Condensed" w:eastAsia="Barlow Semi Condensed" w:hAnsi="Barlow Semi Condensed"/>
          <w:sz w:val="24"/>
          <w:szCs w:val="24"/>
        </w:rPr>
        <w:t xml:space="preserve">Lo strumento che esisteva</w:t>
      </w:r>
    </w:p>
    <w:p>
      <w:pPr>
        <w:pStyle w:val="Heading2"/>
        <w:spacing w:after="100" w:before="200"/>
      </w:pPr>
      <w:r>
        <w:rPr>
          <w:rFonts w:ascii="Barlow Semi Condensed" w:cs="Barlow Semi Condensed" w:eastAsia="Barlow Semi Condensed" w:hAnsi="Barlow Semi Condensed"/>
          <w:sz w:val="24"/>
          <w:szCs w:val="24"/>
        </w:rPr>
        <w:t xml:space="preserve">L'apparato dell'Indice generale atti della X legislatura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dodicesima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dodicesima alla Fase Settima e opera sull'apparato introduttivo dell'Indice generale degli atti della Commissione parlamentare d'inchiesta della X legislatura: la premessa, il testo della legge istitutiva con le sue modificazioni, l'elenco dei componenti, l'elenco dei collaboratori, il prospetto analitico delle centodue sedute, l'elenco degli auditi in sede formale, e la nota introduttiva che gli estensori intitolano indice degli indici. Come le undici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Essa chiude la giornata, e la chiude con l'errore proprio più grave dei cinque commessi.</w:t>
      </w:r>
    </w:p>
    <w:p>
      <w:pPr>
        <w:pStyle w:val="Heading2"/>
        <w:spacing w:after="100" w:before="200"/>
      </w:pPr>
      <w:r>
        <w:rPr>
          <w:rFonts w:ascii="Barlow Semi Condensed" w:cs="Barlow Semi Condensed" w:eastAsia="Barlow Semi Condensed" w:hAnsi="Barlow Semi Condensed"/>
          <w:sz w:val="24"/>
          <w:szCs w:val="24"/>
        </w:rPr>
        <w:t xml:space="preserve">Parte prima — La regola che era già implementata</w:t>
      </w:r>
    </w:p>
    <w:p>
      <w:pPr>
        <w:spacing w:after="120" w:line="276"/>
        <w:jc w:val="both"/>
      </w:pPr>
      <w:r>
        <w:rPr>
          <w:rFonts w:ascii="Barlow Semi Condensed" w:cs="Barlow Semi Condensed" w:eastAsia="Barlow Semi Condensed" w:hAnsi="Barlow Semi Condensed"/>
          <w:b/>
          <w:bCs/>
          <w:sz w:val="24"/>
          <w:szCs w:val="24"/>
        </w:rPr>
        <w:t xml:space="preserve">La nota introduttiva descrive i criteri con i quali l'archivio informatizzato della Commissione fu ordinato. Uno di essi va riportato quasi alla lettera, poiché è il punto del presente atto.</w:t>
      </w:r>
    </w:p>
    <w:p>
      <w:pPr>
        <w:spacing w:after="120" w:line="276"/>
        <w:jc w:val="both"/>
      </w:pPr>
      <w:r>
        <w:rPr>
          <w:rFonts w:ascii="Barlow Semi Condensed" w:cs="Barlow Semi Condensed" w:eastAsia="Barlow Semi Condensed" w:hAnsi="Barlow Semi Condensed"/>
          <w:b/>
          <w:bCs/>
          <w:sz w:val="24"/>
          <w:szCs w:val="24"/>
        </w:rPr>
        <w:t xml:space="preserve">L'ordine tematico, vi si legge, organizza il materiale documentale tenendo conto non già dell'ente di provenienza dell'atto, ma dell'ente originatore, dell'oggetto dell'atto e spesso anche della sua natura giuridico-formale.</w:t>
      </w:r>
    </w:p>
    <w:p>
      <w:pPr>
        <w:spacing w:after="120" w:line="276"/>
        <w:jc w:val="both"/>
      </w:pPr>
      <w:r>
        <w:rPr>
          <w:rFonts w:ascii="Barlow Semi Condensed" w:cs="Barlow Semi Condensed" w:eastAsia="Barlow Semi Condensed" w:hAnsi="Barlow Semi Condensed"/>
          <w:b/>
          <w:bCs/>
          <w:sz w:val="24"/>
          <w:szCs w:val="24"/>
        </w:rPr>
        <w:t xml:space="preserve">Non già dell'ente di provenienza, ma dell'ente originatore.</w:t>
      </w:r>
    </w:p>
    <w:p>
      <w:pPr>
        <w:spacing w:after="120" w:line="276"/>
        <w:jc w:val="both"/>
      </w:pPr>
      <w:r>
        <w:rPr>
          <w:rFonts w:ascii="Barlow Semi Condensed" w:cs="Barlow Semi Condensed" w:eastAsia="Barlow Semi Condensed" w:hAnsi="Barlow Semi Condensed"/>
          <w:b/>
          <w:bCs/>
          <w:sz w:val="24"/>
          <w:szCs w:val="24"/>
        </w:rPr>
        <w:t xml:space="preserve">È la prima regola della risalita, enunciata dall'appendice seconda nella mattina di oggi come fondamento dell'intera verifica genealogica: soltanto la produzione genera catena, l'acquisizione e l'esposizione non ne generano; chi detiene non attesta. Gli estensori dell'indice l'hanno formulata nel millenovecentonovantadue, in una nota introduttiva, come criterio ordinatore di un archivio ottico, e l'hanno implementata in un sistema di codici.</w:t>
      </w:r>
    </w:p>
    <w:p>
      <w:pPr>
        <w:spacing w:after="120" w:line="276"/>
        <w:jc w:val="both"/>
      </w:pPr>
      <w:r>
        <w:rPr>
          <w:rFonts w:ascii="Barlow Semi Condensed" w:cs="Barlow Semi Condensed" w:eastAsia="Barlow Semi Condensed" w:hAnsi="Barlow Semi Condensed"/>
          <w:b/>
          <w:bCs/>
          <w:sz w:val="24"/>
          <w:szCs w:val="24"/>
        </w:rPr>
        <w:t xml:space="preserve">Si registri l'errore per intero e senza attenuazione. Esso non è un errore di misura, come i quattro anteriori, e non si corregge con una cifra. È un errore di presunzione: si è costruita per dodici appendici una disciplina di risalita senza avere verificato se l'archivio sul quale la si applicava ne possedesse già una. Gli archivisti di un fondo hanno risolto i problemi di quel fondo prima di chi vi arriva dopo, e li hanno risolti avendo il fondo sotto mano.</w:t>
      </w:r>
    </w:p>
    <w:p>
      <w:pPr>
        <w:spacing w:after="120" w:line="276"/>
        <w:jc w:val="both"/>
      </w:pPr>
      <w:r>
        <w:rPr>
          <w:rFonts w:ascii="Barlow Semi Condensed" w:cs="Barlow Semi Condensed" w:eastAsia="Barlow Semi Condensed" w:hAnsi="Barlow Semi Condensed"/>
          <w:b/>
          <w:bCs/>
          <w:sz w:val="24"/>
          <w:szCs w:val="24"/>
        </w:rPr>
        <w:t xml:space="preserve">Si enuncia la regola, ed è la sedicesima e ultima della serie. Prima di costruire uno strumento di reperimento sopra un fondo, si legga l'apparato introduttivo del fondo. Un archivio ordinato reca la propria teoria nella propria nota introduttiva, e quella teoria è stata provata sul materiale che ordina, il che è più di quanto possa dire chiunque la ricostruisca dall'esterno.</w:t>
      </w:r>
    </w:p>
    <w:p>
      <w:pPr>
        <w:spacing w:after="120" w:line="276"/>
        <w:jc w:val="both"/>
      </w:pPr>
      <w:r>
        <w:rPr>
          <w:rFonts w:ascii="Barlow Semi Condensed" w:cs="Barlow Semi Condensed" w:eastAsia="Barlow Semi Condensed" w:hAnsi="Barlow Semi Condensed"/>
          <w:b/>
          <w:bCs/>
          <w:sz w:val="24"/>
          <w:szCs w:val="24"/>
        </w:rPr>
        <w:t xml:space="preserve">Si dichiari, per esattezza e non per attenuazione, che la coincidenza fra la regola enunciata e il criterio ritrovato non toglie valore alla prima. Una regola indipendentemente riscoperta e poi ritrovata nella pratica di chi ordinò il materiale è confermata, non smentita: due derivazioni indipendenti dal medesimo problema hanno prodotto la medesima soluzione. Ciò che è tolto non è la validità della regola, ma il merito della sua scoperta e, soprattutto, il tempo speso a ricostruirla.</w:t>
      </w:r>
    </w:p>
    <w:p>
      <w:pPr>
        <w:pStyle w:val="Heading2"/>
        <w:spacing w:after="100" w:before="200"/>
      </w:pPr>
      <w:r>
        <w:rPr>
          <w:rFonts w:ascii="Barlow Semi Condensed" w:cs="Barlow Semi Condensed" w:eastAsia="Barlow Semi Condensed" w:hAnsi="Barlow Semi Condensed"/>
          <w:sz w:val="24"/>
          <w:szCs w:val="24"/>
        </w:rPr>
        <w:t xml:space="preserve">Parte seconda — L'indirizzo macchina delle cinquanta unità</w:t>
      </w:r>
    </w:p>
    <w:p>
      <w:pPr>
        <w:spacing w:after="120" w:line="276"/>
        <w:jc w:val="both"/>
      </w:pPr>
      <w:r>
        <w:rPr>
          <w:rFonts w:ascii="Barlow Semi Condensed" w:cs="Barlow Semi Condensed" w:eastAsia="Barlow Semi Condensed" w:hAnsi="Barlow Semi Condensed"/>
          <w:b/>
          <w:bCs/>
          <w:sz w:val="24"/>
          <w:szCs w:val="24"/>
        </w:rPr>
        <w:t xml:space="preserve">La nota descrive il codice di accesso all'archivio ottico. Esso consta di una parte fissa, costituita dalla lettera iniziale del nome dell'inchiesta seguita da un trattino, e di una parte variabile che coincide con il numero di classificazione del documento secondo l'indice delle acquisizioni. I documenti di particolare complessità sono ridotti a unità documentarie elementari, e in tal caso la parte variabile diviene la radice cui si connette un'ulteriore progressione numerica, con segnalazione automatica della cascata dei documenti derivati.</w:t>
      </w:r>
    </w:p>
    <w:p>
      <w:pPr>
        <w:spacing w:after="120" w:line="276"/>
        <w:jc w:val="both"/>
      </w:pPr>
      <w:r>
        <w:rPr>
          <w:rFonts w:ascii="Barlow Semi Condensed" w:cs="Barlow Semi Condensed" w:eastAsia="Barlow Semi Condensed" w:hAnsi="Barlow Semi Condensed"/>
          <w:b/>
          <w:bCs/>
          <w:sz w:val="24"/>
          <w:szCs w:val="24"/>
        </w:rPr>
        <w:t xml:space="preserve">Ne segue che ciascuna delle cinquanta unità individuate dalle appendici terza e quarta possiede già un indirizzo formato, ricavabile per composizione dalla lettera dell'inchiesta e dal numero d'ordine che quelle appendici hanno determinato. Il lavoro di designazione compiuto oggi non produce dunque un indirizzo nuovo: ricostruisce, per via indiretta e con tre divergenze accertate, la parte variabile di un indirizzo già esistente.</w:t>
      </w:r>
    </w:p>
    <w:p>
      <w:pPr>
        <w:spacing w:after="120" w:line="276"/>
        <w:jc w:val="both"/>
      </w:pPr>
      <w:r>
        <w:rPr>
          <w:rFonts w:ascii="Barlow Semi Condensed" w:cs="Barlow Semi Condensed" w:eastAsia="Barlow Semi Condensed" w:hAnsi="Barlow Semi Condensed"/>
          <w:b/>
          <w:bCs/>
          <w:sz w:val="24"/>
          <w:szCs w:val="24"/>
        </w:rPr>
        <w:t xml:space="preserve">Ne segue altresì la spiegazione della struttura che le appendici avevano rilevata senza spiegarla. L'unità quattordicesima bis e la serie a tre membri della trentaseiesima non sono irregolarità della numerazione: sono unità documentarie elementari derivate da un documento complesso, e la loro forma è quella che il sistema di codifica prescrive. La cascata che l'appendice quarta ha ricostruito leggendo un indice era generata automaticamente dal programma.</w:t>
      </w:r>
    </w:p>
    <w:p>
      <w:pPr>
        <w:pStyle w:val="Heading2"/>
        <w:spacing w:after="100" w:before="200"/>
      </w:pPr>
      <w:r>
        <w:rPr>
          <w:rFonts w:ascii="Barlow Semi Condensed" w:cs="Barlow Semi Condensed" w:eastAsia="Barlow Semi Condensed" w:hAnsi="Barlow Semi Condensed"/>
          <w:sz w:val="24"/>
          <w:szCs w:val="24"/>
        </w:rPr>
        <w:t xml:space="preserve">Parte terza — Ciò che è pubblicato</w:t>
      </w:r>
    </w:p>
    <w:p>
      <w:pPr>
        <w:spacing w:after="120" w:line="276"/>
        <w:jc w:val="both"/>
      </w:pPr>
      <w:r>
        <w:rPr>
          <w:rFonts w:ascii="Barlow Semi Condensed" w:cs="Barlow Semi Condensed" w:eastAsia="Barlow Semi Condensed" w:hAnsi="Barlow Semi Condensed"/>
          <w:b/>
          <w:bCs/>
          <w:sz w:val="24"/>
          <w:szCs w:val="24"/>
        </w:rPr>
        <w:t xml:space="preserve">La premessa e la nota introduttiva stabiliscono, quanto al regime dei materiali, quattro fatti che riclassificano una parte consistente della tavola.</w:t>
      </w:r>
    </w:p>
    <w:p>
      <w:pPr>
        <w:spacing w:after="120" w:line="276"/>
        <w:jc w:val="both"/>
      </w:pPr>
      <w:r>
        <w:rPr>
          <w:rFonts w:ascii="Barlow Semi Condensed" w:cs="Barlow Semi Condensed" w:eastAsia="Barlow Semi Condensed" w:hAnsi="Barlow Semi Condensed"/>
          <w:b/>
          <w:bCs/>
          <w:sz w:val="24"/>
          <w:szCs w:val="24"/>
        </w:rPr>
        <w:t xml:space="preserve">Primo. Nella seduta conclusiva del quattordici e quindici aprile millenovecentonovantadue la Commissione approvò le relazioni conclusive di quattro inchieste, fra le quali quella sul caso, e deliberò all'unanimità di pubblicare quali allegati alle relazioni finali la totalità dei documenti a ciascuna di esse relativi, dichiarando di volere assicurare la massima trasparenza dell'operato e le più ampie possibilità di ricerca futura.</w:t>
      </w:r>
    </w:p>
    <w:p>
      <w:pPr>
        <w:spacing w:after="120" w:line="276"/>
        <w:jc w:val="both"/>
      </w:pPr>
      <w:r>
        <w:rPr>
          <w:rFonts w:ascii="Barlow Semi Condensed" w:cs="Barlow Semi Condensed" w:eastAsia="Barlow Semi Condensed" w:hAnsi="Barlow Semi Condensed"/>
          <w:b/>
          <w:bCs/>
          <w:sz w:val="24"/>
          <w:szCs w:val="24"/>
        </w:rPr>
        <w:t xml:space="preserve">Secondo. La mole così pubblicata è quantificata dagli estensori in circa trecentocinquantamila pagine per le quattro inchieste, e in prossimità di cinquecentomila comprendendo la documentazione delle inchieste non giunte a relazione conclusiva, la quale non è soggetta a pubblicazione ed è stata versata alla Commissione successiva per disposizione di legge.</w:t>
      </w:r>
    </w:p>
    <w:p>
      <w:pPr>
        <w:spacing w:after="120" w:line="276"/>
        <w:jc w:val="both"/>
      </w:pPr>
      <w:r>
        <w:rPr>
          <w:rFonts w:ascii="Barlow Semi Condensed" w:cs="Barlow Semi Condensed" w:eastAsia="Barlow Semi Condensed" w:hAnsi="Barlow Semi Condensed"/>
          <w:b/>
          <w:bCs/>
          <w:sz w:val="24"/>
          <w:szCs w:val="24"/>
        </w:rPr>
        <w:t xml:space="preserve">Terzo. I resoconti stenografici delle centodue sedute sono integralmente riprodotti a stampa in otto volumi.</w:t>
      </w:r>
    </w:p>
    <w:p>
      <w:pPr>
        <w:spacing w:after="120" w:line="276"/>
        <w:jc w:val="both"/>
      </w:pPr>
      <w:r>
        <w:rPr>
          <w:rFonts w:ascii="Barlow Semi Condensed" w:cs="Barlow Semi Condensed" w:eastAsia="Barlow Semi Condensed" w:hAnsi="Barlow Semi Condensed"/>
          <w:b/>
          <w:bCs/>
          <w:sz w:val="24"/>
          <w:szCs w:val="24"/>
        </w:rPr>
        <w:t xml:space="preserve">Quarto. Fra le pubblicazioni curate dalla Commissione figura, in due volumi reperibili fra gli atti parlamentari della medesima legislatura, la documentazione rinvenuta il nove ottobre millenovecentonovanta nella base milanese.</w:t>
      </w:r>
    </w:p>
    <w:p>
      <w:pPr>
        <w:spacing w:after="120" w:line="276"/>
        <w:jc w:val="both"/>
      </w:pPr>
      <w:r>
        <w:rPr>
          <w:rFonts w:ascii="Barlow Semi Condensed" w:cs="Barlow Semi Condensed" w:eastAsia="Barlow Semi Condensed" w:hAnsi="Barlow Semi Condensed"/>
          <w:b/>
          <w:bCs/>
          <w:sz w:val="24"/>
          <w:szCs w:val="24"/>
        </w:rPr>
        <w:t xml:space="preserve">La conseguenza sulla tavola è la più ampia della giornata e va enunciata senza cautele, poiché i quattro fatti sono dichiarati dagli estensori dell'indice e non inferiti.</w:t>
      </w:r>
    </w:p>
    <w:p>
      <w:pPr>
        <w:spacing w:after="120" w:line="276"/>
        <w:jc w:val="both"/>
      </w:pPr>
      <w:r>
        <w:rPr>
          <w:rFonts w:ascii="Barlow Semi Condensed" w:cs="Barlow Semi Condensed" w:eastAsia="Barlow Semi Condensed" w:hAnsi="Barlow Semi Condensed"/>
          <w:b/>
          <w:bCs/>
          <w:sz w:val="24"/>
          <w:szCs w:val="24"/>
        </w:rPr>
        <w:t xml:space="preserve">Lo Stato Zero dichiarato dall'appendice terza sui ventisette processi verbali non posseduti si chiude quanto alla natura: essi non sono materiale d'archivio da domandare, sono pagine di otto volumi a stampa. Il loro non possesso è mancata consultazione e non mancato accesso.</w:t>
      </w:r>
    </w:p>
    <w:p>
      <w:pPr>
        <w:spacing w:after="120" w:line="276"/>
        <w:jc w:val="both"/>
      </w:pPr>
      <w:r>
        <w:rPr>
          <w:rFonts w:ascii="Barlow Semi Condensed" w:cs="Barlow Semi Condensed" w:eastAsia="Barlow Semi Condensed" w:hAnsi="Barlow Semi Condensed"/>
          <w:b/>
          <w:bCs/>
          <w:sz w:val="24"/>
          <w:szCs w:val="24"/>
        </w:rPr>
        <w:t xml:space="preserve">La Voce prima, che l'appendice terza aveva fatta passare dalle voci che domandano un accesso a quelle che domandano un reperimento, compie il secondo passaggio e diventa consultazione: il materiale del secondo rinvenimento è in due volumi pubblicati.</w:t>
      </w:r>
    </w:p>
    <w:p>
      <w:pPr>
        <w:spacing w:after="120" w:line="276"/>
        <w:jc w:val="both"/>
      </w:pPr>
      <w:r>
        <w:rPr>
          <w:rFonts w:ascii="Barlow Semi Condensed" w:cs="Barlow Semi Condensed" w:eastAsia="Barlow Semi Condensed" w:hAnsi="Barlow Semi Condensed"/>
          <w:b/>
          <w:bCs/>
          <w:sz w:val="24"/>
          <w:szCs w:val="24"/>
        </w:rPr>
        <w:t xml:space="preserve">Le voci della tavola che domandano unità del fascicolo del caso sono, per la totalità, voci di consultazione e non di accesso, poiché la totalità dei documenti relativi all'inchiesta conclusa fu pubblicata per deliberazione unanime.</w:t>
      </w:r>
    </w:p>
    <w:p>
      <w:pPr>
        <w:spacing w:after="120" w:line="276"/>
        <w:jc w:val="both"/>
      </w:pPr>
      <w:r>
        <w:rPr>
          <w:rFonts w:ascii="Barlow Semi Condensed" w:cs="Barlow Semi Condensed" w:eastAsia="Barlow Semi Condensed" w:hAnsi="Barlow Semi Condensed"/>
          <w:b/>
          <w:bCs/>
          <w:sz w:val="24"/>
          <w:szCs w:val="24"/>
        </w:rPr>
        <w:t xml:space="preserve">Si dichiari il limite di questa riclassificazione, ed è uno solo ma va detto. Essa riguarda i documenti relativi alle quattro inchieste concluse. Non riguarda la documentazione delle inchieste non giunte a relazione, non soggetta a pubblicazione e versata alla Commissione successiva; e non riguarda ciò che, entro le inchieste concluse, fosse stato sottratto alla pubblicazione da provvedimenti particolari. Le appendici anteriori hanno registrato per il fascicolo del caso quattordici unità con indicazione di riservatezza alla data dell'acquisizione e una con indicazione di non divulgabilità: la loro sorte nella deliberazione di pubblicazione non è dichiarata dalle fonti qui impiegate.</w:t>
      </w:r>
    </w:p>
    <w:p>
      <w:pPr>
        <w:pStyle w:val="Heading2"/>
        <w:spacing w:after="100" w:before="200"/>
      </w:pPr>
      <w:r>
        <w:rPr>
          <w:rFonts w:ascii="Barlow Semi Condensed" w:cs="Barlow Semi Condensed" w:eastAsia="Barlow Semi Condensed" w:hAnsi="Barlow Semi Condensed"/>
          <w:sz w:val="24"/>
          <w:szCs w:val="24"/>
        </w:rPr>
        <w:t xml:space="preserve">Parte quarta — Un'asimmetria fra le quattro inchieste</w:t>
      </w:r>
    </w:p>
    <w:p>
      <w:pPr>
        <w:spacing w:after="120" w:line="276"/>
        <w:jc w:val="both"/>
      </w:pPr>
      <w:r>
        <w:rPr>
          <w:rFonts w:ascii="Barlow Semi Condensed" w:cs="Barlow Semi Condensed" w:eastAsia="Barlow Semi Condensed" w:hAnsi="Barlow Semi Condensed"/>
          <w:b/>
          <w:bCs/>
          <w:sz w:val="24"/>
          <w:szCs w:val="24"/>
        </w:rPr>
        <w:t xml:space="preserve">La nota introduttiva descrive, alla lettera che riguarda gli indici analitici, uno strumento che merita registrazione perché non è universale.</w:t>
      </w:r>
    </w:p>
    <w:p>
      <w:pPr>
        <w:spacing w:after="120" w:line="276"/>
        <w:jc w:val="both"/>
      </w:pPr>
      <w:r>
        <w:rPr>
          <w:rFonts w:ascii="Barlow Semi Condensed" w:cs="Barlow Semi Condensed" w:eastAsia="Barlow Semi Condensed" w:hAnsi="Barlow Semi Condensed"/>
          <w:b/>
          <w:bCs/>
          <w:sz w:val="24"/>
          <w:szCs w:val="24"/>
        </w:rPr>
        <w:t xml:space="preserve">Per le inchieste sul disastro aereo, sull'organizzazione clandestina e sul caso di un apparato informativo e di un piano degli anni sessanta, ogni deposizione resa in sede formale è stata classificata per argomenti con indicazione di volume e pagina, in modo da consentire la ricerca per parole chiave e per combinazioni di esse, e da ottenere indici completi delle questioni affrontate in ciascuna audizione.</w:t>
      </w:r>
    </w:p>
    <w:p>
      <w:pPr>
        <w:spacing w:after="120" w:line="276"/>
        <w:jc w:val="both"/>
      </w:pPr>
      <w:r>
        <w:rPr>
          <w:rFonts w:ascii="Barlow Semi Condensed" w:cs="Barlow Semi Condensed" w:eastAsia="Barlow Semi Condensed" w:hAnsi="Barlow Semi Condensed"/>
          <w:b/>
          <w:bCs/>
          <w:sz w:val="24"/>
          <w:szCs w:val="24"/>
        </w:rPr>
        <w:t xml:space="preserve">Per l'inchiesta sul caso, no. L'indice analitico per argomenti delle deposizioni non è compreso fra quelli pubblicati.</w:t>
      </w:r>
    </w:p>
    <w:p>
      <w:pPr>
        <w:spacing w:after="120" w:line="276"/>
        <w:jc w:val="both"/>
      </w:pPr>
      <w:r>
        <w:rPr>
          <w:rFonts w:ascii="Barlow Semi Condensed" w:cs="Barlow Semi Condensed" w:eastAsia="Barlow Semi Condensed" w:hAnsi="Barlow Semi Condensed"/>
          <w:b/>
          <w:bCs/>
          <w:sz w:val="24"/>
          <w:szCs w:val="24"/>
        </w:rPr>
        <w:t xml:space="preserve">Si registra l'asimmetria come dato e non se ne trae inferenza. Le sue cause possibili sono almeno tre — l'ampiezza relativa dei corpora, il tempo disponibile alla vigilia dello scioglimento, la circostanza che sul caso esistesse già una Commissione anteriore dedicata — e nessuna delle tre è stabilita dalle fonti qui impiegate. Si registra però la conseguenza operativa, che è certa: per il caso, la ricerca nelle deposizioni non dispone dello strumento di cui dispongono le altre tre inchieste, e va condotta sui volumi.</w:t>
      </w:r>
    </w:p>
    <w:p>
      <w:pPr>
        <w:spacing w:after="120" w:line="276"/>
        <w:jc w:val="both"/>
      </w:pPr>
      <w:r>
        <w:rPr>
          <w:rFonts w:ascii="Barlow Semi Condensed" w:cs="Barlow Semi Condensed" w:eastAsia="Barlow Semi Condensed" w:hAnsi="Barlow Semi Condensed"/>
          <w:b/>
          <w:bCs/>
          <w:sz w:val="24"/>
          <w:szCs w:val="24"/>
        </w:rPr>
        <w:t xml:space="preserve">Si registra altresì una precisazione che gli estensori appongono e che vale per tutti gli indici analitici: i passaggi svolti in regime di seduta segreta non vi sono compresi. Un indice che non comprenda i passaggi segreti non segnala la propria incompletezza in alcun punto del testo indicizzato, e chi lo interroghi non sa quanto gli manchi. È la medesima figura che l'appendice nona ha rilevata nel fondo estero sotto forma di espunzione di estensione non dichiarata, e la si ritrova qui, in un archivio che per il resto dichiara i propri criteri con precisione notevole.</w:t>
      </w:r>
    </w:p>
    <w:p>
      <w:pPr>
        <w:pStyle w:val="Heading2"/>
        <w:spacing w:after="100" w:before="200"/>
      </w:pPr>
      <w:r>
        <w:rPr>
          <w:rFonts w:ascii="Barlow Semi Condensed" w:cs="Barlow Semi Condensed" w:eastAsia="Barlow Semi Condensed" w:hAnsi="Barlow Semi Condensed"/>
          <w:sz w:val="24"/>
          <w:szCs w:val="24"/>
        </w:rPr>
        <w:t xml:space="preserve">Parte quinta — La legge, e il suo allargamento</w:t>
      </w:r>
    </w:p>
    <w:p>
      <w:pPr>
        <w:spacing w:after="120" w:line="276"/>
        <w:jc w:val="both"/>
      </w:pPr>
      <w:r>
        <w:rPr>
          <w:rFonts w:ascii="Barlow Semi Condensed" w:cs="Barlow Semi Condensed" w:eastAsia="Barlow Semi Condensed" w:hAnsi="Barlow Semi Condensed"/>
          <w:b/>
          <w:bCs/>
          <w:sz w:val="24"/>
          <w:szCs w:val="24"/>
        </w:rPr>
        <w:t xml:space="preserve">Il volume riproduce il testo della legge istitutiva del diciassette maggio millenovecentottantotto, numero 172, con le modificazioni introdotte da tre leggi successive, del gennaio millenovecentonovanta, del giugno millenovecentonovantuno e del dicembre millenovecentonovantuno.</w:t>
      </w:r>
    </w:p>
    <w:p>
      <w:pPr>
        <w:spacing w:after="120" w:line="276"/>
        <w:jc w:val="both"/>
      </w:pPr>
      <w:r>
        <w:rPr>
          <w:rFonts w:ascii="Barlow Semi Condensed" w:cs="Barlow Semi Condensed" w:eastAsia="Barlow Semi Condensed" w:hAnsi="Barlow Semi Condensed"/>
          <w:b/>
          <w:bCs/>
          <w:sz w:val="24"/>
          <w:szCs w:val="24"/>
        </w:rPr>
        <w:t xml:space="preserve">Due disposizioni vanno registrate.</w:t>
      </w:r>
    </w:p>
    <w:p>
      <w:pPr>
        <w:spacing w:after="120" w:line="276"/>
        <w:jc w:val="both"/>
      </w:pPr>
      <w:r>
        <w:rPr>
          <w:rFonts w:ascii="Barlow Semi Condensed" w:cs="Barlow Semi Condensed" w:eastAsia="Barlow Semi Condensed" w:hAnsi="Barlow Semi Condensed"/>
          <w:b/>
          <w:bCs/>
          <w:sz w:val="24"/>
          <w:szCs w:val="24"/>
        </w:rPr>
        <w:t xml:space="preserve">La prima. L'articolo primo assegna alla Commissione, fra i propri oggetti, l'accertamento dei nuovi elementi che possano integrare le conoscenze acquisite dalla Commissione parlamentare d'inchiesta sulla strage di via Fani e sull'assassinio di Aldo Moro, istituita con legge del ventitré novembre millenovecentosettantanove numero 597. L'inchiesta sul caso non è dunque un filone che la Commissione si diede: è un mandato che la legge le assegnò, e lo assegnò in forma di integrazione di un accertamento anteriore. Ne segue che le due Commissioni sono, per disposizione di legge, in rapporto di continuazione e non di sovrapposizione, e che le loro risultanze vanno lette in quella sequenza.</w:t>
      </w:r>
    </w:p>
    <w:p>
      <w:pPr>
        <w:spacing w:after="120" w:line="276"/>
        <w:jc w:val="both"/>
      </w:pPr>
      <w:r>
        <w:rPr>
          <w:rFonts w:ascii="Barlow Semi Condensed" w:cs="Barlow Semi Condensed" w:eastAsia="Barlow Semi Condensed" w:hAnsi="Barlow Semi Condensed"/>
          <w:b/>
          <w:bCs/>
          <w:sz w:val="24"/>
          <w:szCs w:val="24"/>
        </w:rPr>
        <w:t xml:space="preserve">La seconda, e di rilievo maggiore per il corpus maggiore che per l'opera. Una nota agli atti dichiara che la legge del giugno millenovecentonovantuno soppresse, alla lettera relativa alle ragioni che impedirono l'individuazione dei responsabili delle stragi, le parole a partire dal 1969, e aggiunse per intero una lettera nuova, avente per oggetto le attività connesse a fatti di strage o a fenomeni eversivi dell'ordinamento costituzionale e le relative responsabilità riconducibili ad apparati, strutture e organizzazioni comunque denominati, o a persone ad essi appartenenti o appartenute.</w:t>
      </w:r>
    </w:p>
    <w:p>
      <w:pPr>
        <w:spacing w:after="120" w:line="276"/>
        <w:jc w:val="both"/>
      </w:pPr>
      <w:r>
        <w:rPr>
          <w:rFonts w:ascii="Barlow Semi Condensed" w:cs="Barlow Semi Condensed" w:eastAsia="Barlow Semi Condensed" w:hAnsi="Barlow Semi Condensed"/>
          <w:b/>
          <w:bCs/>
          <w:sz w:val="24"/>
          <w:szCs w:val="24"/>
        </w:rPr>
        <w:t xml:space="preserve">Sono due allargamenti simultanei e di natura diversa. Il primo è temporale e rimuove per via legislativa il termine iniziale del millenovecentosessantanove. Il secondo è materiale e introduce come oggetto d'inchiesta la riconducibilità dei fatti ad apparati e strutture comunque denominati.</w:t>
      </w:r>
    </w:p>
    <w:p>
      <w:pPr>
        <w:spacing w:after="120" w:line="276"/>
        <w:jc w:val="both"/>
      </w:pPr>
      <w:r>
        <w:rPr>
          <w:rFonts w:ascii="Barlow Semi Condensed" w:cs="Barlow Semi Condensed" w:eastAsia="Barlow Semi Condensed" w:hAnsi="Barlow Semi Condensed"/>
          <w:b/>
          <w:bCs/>
          <w:sz w:val="24"/>
          <w:szCs w:val="24"/>
        </w:rPr>
        <w:t xml:space="preserve">Si registra il dato e non se ne trae alcuna inferenza sulle ragioni della modificazione, che le fonti qui impiegate non recano. Si registra però che un mandato d'inchiesta parlamentare fu esteso per legge, a lavori avviati, tanto all'indietro nel tempo quanto verso l'imputabilità ad apparati; e che ciò avvenne nel giugno millenovecentonovantuno, cioè nel periodo nel quale il fascicolo del caso ricevette, secondo le appendici anteriori, la maggior parte delle proprie acquisizioni.</w:t>
      </w:r>
    </w:p>
    <w:p>
      <w:pPr>
        <w:pStyle w:val="Heading2"/>
        <w:spacing w:after="100" w:before="200"/>
      </w:pPr>
      <w:r>
        <w:rPr>
          <w:rFonts w:ascii="Barlow Semi Condensed" w:cs="Barlow Semi Condensed" w:eastAsia="Barlow Semi Condensed" w:hAnsi="Barlow Semi Condensed"/>
          <w:sz w:val="24"/>
          <w:szCs w:val="24"/>
        </w:rPr>
        <w:t xml:space="preserve">Parte sesta — Gli elenchi delle persone, e come vadano letti</w:t>
      </w:r>
    </w:p>
    <w:p>
      <w:pPr>
        <w:spacing w:after="120" w:line="276"/>
        <w:jc w:val="both"/>
      </w:pPr>
      <w:r>
        <w:rPr>
          <w:rFonts w:ascii="Barlow Semi Condensed" w:cs="Barlow Semi Condensed" w:eastAsia="Barlow Semi Condensed" w:hAnsi="Barlow Semi Condensed"/>
          <w:b/>
          <w:bCs/>
          <w:sz w:val="24"/>
          <w:szCs w:val="24"/>
        </w:rPr>
        <w:t xml:space="preserve">Il volume reca l'elenco dei quaranta componenti con l'indicazione del gruppo di appartenenza e, per i sostituiti, la data di cessazione e quella di ingresso; e l'elenco dei collaboratori dei quali la Commissione si avvalse, con la qualifica di ciascuno e la data di inizio o di cessazione del rapporto.</w:t>
      </w:r>
    </w:p>
    <w:p>
      <w:pPr>
        <w:spacing w:after="120" w:line="276"/>
        <w:jc w:val="both"/>
      </w:pPr>
      <w:r>
        <w:rPr>
          <w:rFonts w:ascii="Barlow Semi Condensed" w:cs="Barlow Semi Condensed" w:eastAsia="Barlow Semi Condensed" w:hAnsi="Barlow Semi Condensed"/>
          <w:b/>
          <w:bCs/>
          <w:sz w:val="24"/>
          <w:szCs w:val="24"/>
        </w:rPr>
        <w:t xml:space="preserve">Si registra il valore di questi due elenchi ai fini della designazione, e si registra insieme la sola disciplina con la quale vadano letti.</w:t>
      </w:r>
    </w:p>
    <w:p>
      <w:pPr>
        <w:spacing w:after="120" w:line="276"/>
        <w:jc w:val="both"/>
      </w:pPr>
      <w:r>
        <w:rPr>
          <w:rFonts w:ascii="Barlow Semi Condensed" w:cs="Barlow Semi Condensed" w:eastAsia="Barlow Semi Condensed" w:hAnsi="Barlow Semi Condensed"/>
          <w:b/>
          <w:bCs/>
          <w:sz w:val="24"/>
          <w:szCs w:val="24"/>
        </w:rPr>
        <w:t xml:space="preserve">Il valore è alto. Un elenco di componenti con le date consente di stabilire chi fosse in carica quando una deliberazione fu presa, e dunque di designare l'organo di un atto per la propria composizione effettiva anziché per la propria denominazione. Un elenco di collaboratori con le date consente di stabilire chi avesse quale funzione in quale periodo, e dunque di attribuire un elaborato al proprio autore per estremi anziché per congettura.</w:t>
      </w:r>
    </w:p>
    <w:p>
      <w:pPr>
        <w:spacing w:after="120" w:line="276"/>
        <w:jc w:val="both"/>
      </w:pPr>
      <w:r>
        <w:rPr>
          <w:rFonts w:ascii="Barlow Semi Condensed" w:cs="Barlow Semi Condensed" w:eastAsia="Barlow Semi Condensed" w:hAnsi="Barlow Semi Condensed"/>
          <w:b/>
          <w:bCs/>
          <w:sz w:val="24"/>
          <w:szCs w:val="24"/>
        </w:rPr>
        <w:t xml:space="preserve">La disciplina è quella che l'opera osserva ovunque e che qui va ribadita, poiché il materiale invita a violarla. Un elenco di collaboratori è un elenco di funzioni pubbliche esercitate legittimamente, non un elenco di posizioni. L'elenco reca, con le rispettive date, persone che in altre fasi della vicenda ebbero funzioni inquirenti o giudicanti sui medesimi fatti; la circostanza è di pubblico dominio, è documentata dall'elenco medesimo, ed è ordinaria in un ordinamento nel quale gli organi d'inchiesta si avvalgono di magistrati e di ufficiali. Il presente atto non ne trae, e vieta a sé stesso di trarne, alcuna valutazione. Chi volesse impiegare quegli elenchi altrimenti impiegherebbe uno strumento di designazione come un indizio, ed è precisamente l'errore che l'appendice quinta ha censito nella forma della collocazione scambiata per evidenza.</w:t>
      </w:r>
    </w:p>
    <w:p>
      <w:pPr>
        <w:pStyle w:val="Heading2"/>
        <w:spacing w:after="100" w:before="200"/>
      </w:pPr>
      <w:r>
        <w:rPr>
          <w:rFonts w:ascii="Barlow Semi Condensed" w:cs="Barlow Semi Condensed" w:eastAsia="Barlow Semi Condensed" w:hAnsi="Barlow Semi Condensed"/>
          <w:sz w:val="24"/>
          <w:szCs w:val="24"/>
        </w:rPr>
        <w:t xml:space="preserve">Parte settima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registra la riclassificazione della tavola esposta alla Parte terza, che è la mutazione più ampia della giornata. Si enuncia la sedicesima regola della risalita.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residui, e sono cinque.</w:t>
      </w:r>
    </w:p>
    <w:p>
      <w:pPr>
        <w:spacing w:after="120" w:line="276"/>
        <w:jc w:val="both"/>
      </w:pPr>
      <w:r>
        <w:rPr>
          <w:rFonts w:ascii="Barlow Semi Condensed" w:cs="Barlow Semi Condensed" w:eastAsia="Barlow Semi Condensed" w:hAnsi="Barlow Semi Condensed"/>
          <w:b/>
          <w:bCs/>
          <w:sz w:val="24"/>
          <w:szCs w:val="24"/>
        </w:rPr>
        <w:t xml:space="preserve">Primo. La sorte, nella deliberazione di pubblicazione, delle unità del fascicolo che recavano indicazione di riservatezza o di non divulgabilità alla data dell'acquisizione non è dichiarata.</w:t>
      </w:r>
    </w:p>
    <w:p>
      <w:pPr>
        <w:spacing w:after="120" w:line="276"/>
        <w:jc w:val="both"/>
      </w:pPr>
      <w:r>
        <w:rPr>
          <w:rFonts w:ascii="Barlow Semi Condensed" w:cs="Barlow Semi Condensed" w:eastAsia="Barlow Semi Condensed" w:hAnsi="Barlow Semi Condensed"/>
          <w:b/>
          <w:bCs/>
          <w:sz w:val="24"/>
          <w:szCs w:val="24"/>
        </w:rPr>
        <w:t xml:space="preserve">Secondo. L'indice analitico per argomenti delle deposizioni sul caso non esiste fra quelli pubblicati, e la ricerca nelle deposizioni va condotta sui volumi.</w:t>
      </w:r>
    </w:p>
    <w:p>
      <w:pPr>
        <w:spacing w:after="120" w:line="276"/>
        <w:jc w:val="both"/>
      </w:pPr>
      <w:r>
        <w:rPr>
          <w:rFonts w:ascii="Barlow Semi Condensed" w:cs="Barlow Semi Condensed" w:eastAsia="Barlow Semi Condensed" w:hAnsi="Barlow Semi Condensed"/>
          <w:b/>
          <w:bCs/>
          <w:sz w:val="24"/>
          <w:szCs w:val="24"/>
        </w:rPr>
        <w:t xml:space="preserve">Terzo. I passaggi svolti in regime di seduta segreta non sono compresi in alcuno degli indici analitici, e la loro estensione non è dichiarata.</w:t>
      </w:r>
    </w:p>
    <w:p>
      <w:pPr>
        <w:spacing w:after="120" w:line="276"/>
        <w:jc w:val="both"/>
      </w:pPr>
      <w:r>
        <w:rPr>
          <w:rFonts w:ascii="Barlow Semi Condensed" w:cs="Barlow Semi Condensed" w:eastAsia="Barlow Semi Condensed" w:hAnsi="Barlow Semi Condensed"/>
          <w:b/>
          <w:bCs/>
          <w:sz w:val="24"/>
          <w:szCs w:val="24"/>
        </w:rPr>
        <w:t xml:space="preserve">Quarto. Il prospetto analitico delle centodue sedute e l'elenco degli auditi in sede formale sono posseduti e non sono stati collazionati con le ventisette sedute mancanti, operazione che consentirebbe di stabilire l'oggetto di ciascuna di esse. È eseguibile sul posseduto e non è stata compiuta.</w:t>
      </w:r>
    </w:p>
    <w:p>
      <w:pPr>
        <w:spacing w:after="120" w:line="276"/>
        <w:jc w:val="both"/>
      </w:pPr>
      <w:r>
        <w:rPr>
          <w:rFonts w:ascii="Barlow Semi Condensed" w:cs="Barlow Semi Condensed" w:eastAsia="Barlow Semi Condensed" w:hAnsi="Barlow Semi Condensed"/>
          <w:b/>
          <w:bCs/>
          <w:sz w:val="24"/>
          <w:szCs w:val="24"/>
        </w:rPr>
        <w:t xml:space="preserve">Quinto. Le tre divergenze accertate dall'appendice quinta restano non risolte, e la presente unità non le risolve; essa consente però di prevedere che la loro risoluzione si trovi nel codice della banca-immagini, poiché a un documento corrisponde un codice e a un codice un documento.</w:t>
      </w:r>
    </w:p>
    <w:p>
      <w:pPr>
        <w:spacing w:after="120" w:line="276"/>
        <w:jc w:val="both"/>
      </w:pPr>
      <w:r>
        <w:rPr>
          <w:rFonts w:ascii="Barlow Semi Condensed" w:cs="Barlow Semi Condensed" w:eastAsia="Barlow Semi Condensed" w:hAnsi="Barlow Semi Condensed"/>
          <w:b/>
          <w:bCs/>
          <w:sz w:val="24"/>
          <w:szCs w:val="24"/>
        </w:rPr>
        <w:t xml:space="preserve">Voce quarantaseiesima — La collazione del prospetto delle sedute. Oggetto: l'oggetto sommario di ciascuna delle ventisette sedute i cui processi verbali non sono posseduti, ricavato dal prospetto analitico; e l'individuazione, fra gli auditi in sede formale, di quelli le cui deposizioni riguardano il caso. Sede: l'apparato dell'Indice generale, posseduto. Chiusura: compilazione dei due elenchi. Smentita: non ricorre. Si segnala che la voce è interamente eseguibile sul posseduto e che il suo costo è di lettura.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decima e ultima del giorno sul medesimo cantiere. Cantiere: designazione per atto delle fonti. Materia: l'apparato introduttivo dell'Indice generale degli atti della X legislatura.</w:t>
      </w:r>
    </w:p>
    <w:p>
      <w:pPr>
        <w:spacing w:after="120" w:line="276"/>
        <w:jc w:val="both"/>
      </w:pPr>
      <w:r>
        <w:rPr>
          <w:rFonts w:ascii="Barlow Semi Condensed" w:cs="Barlow Semi Condensed" w:eastAsia="Barlow Semi Condensed" w:hAnsi="Barlow Semi Condensed"/>
          <w:b/>
          <w:bCs/>
          <w:sz w:val="24"/>
          <w:szCs w:val="24"/>
        </w:rPr>
        <w:t xml:space="preserve">Esito positivo: accertamento che il criterio ordinatore dell'archivio informatizzato è l'ente originatore e non l'ente di provenienza; individuazione del sistema di codici della banca-immagini e della sua struttura a cascata per unità documentarie elementari, con spiegazione della forma delle unità derivate rilevate dalle appendici anteriori; accertamento della deliberazione unanime di pubblicazione della totalità dei documenti relativi alle quattro inchieste concluse, quantificati in circa trecentocinquantamila pagine, e della riproduzione a stampa in otto volumi dei resoconti delle centodue sedute; accertamento della pubblicazione in due volumi della documentazione del secondo rinvenimento; riclassificazione conseguente delle voci della tavola relative al fascicolo del caso, da accesso a consultazione; rilevazione dell'asimmetria per la quale l'indice analitico per argomenti delle deposizioni esiste per tre inchieste e non per la quarta; registrazione della modificazione legislativa del giugno millenovecentonovantuno, che soppresse il termine iniziale del millenovecentosessantanove e aggiunse l'oggetto della riconducibilità ad apparati; enunciazione della sedicesima regola della risalita;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la sorte delle unità riservate nella deliberazione di pubblicazione non è dichiarata; l'indice analitico delle deposizioni sul caso non esiste; l'estensione dei passaggi segreti esclusi dagli indici non è dichiarata; la collazione del prospetto delle sedute non è compiuta; le tre divergenze restano non risolte.</w:t>
      </w:r>
    </w:p>
    <w:p>
      <w:pPr>
        <w:spacing w:after="120" w:line="276"/>
        <w:jc w:val="both"/>
      </w:pPr>
      <w:r>
        <w:rPr>
          <w:rFonts w:ascii="Barlow Semi Condensed" w:cs="Barlow Semi Condensed" w:eastAsia="Barlow Semi Condensed" w:hAnsi="Barlow Semi Condensed"/>
          <w:b/>
          <w:bCs/>
          <w:sz w:val="24"/>
          <w:szCs w:val="24"/>
        </w:rPr>
        <w:t xml:space="preserve">Riga di errore proprio, quinta e più grave della giornata. Si è costruita per dodici appendici una disciplina di risalita fondata sulla distinzione fra chi produce un atto e chi lo detiene, senza avere letto la nota introduttiva dell'archivio sul quale la si applicava; e quella nota dichiara la medesima distinzione come proprio criterio ordinatore, formulata nel millenovecentonovantadue e implementata in un sistema di codici. Non è un errore di misura e non si corregge con una cifra: è un errore di presunzione. Si registra che esso è, dei cinque della giornata, l'unico che nessuna regola tratta dai precedenti avrebbe impedito, poiché tutte prescrivevano di interrogare meglio il posseduto e nessuna prescriveva di leggerne la prefazione.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 documento indicizzato. Gli elenchi di persone che esso registra sono strumenti di designazione di atti e di funzioni pubbliche esercitate legittimamente, e non consentono alcuna inferenza di altra natura; il divieto è enunciato in forma espressa alla Parte sesta e vale per l'intero atto.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DODICESIMA ALLA FASE SETTIMA, lo strumento che esisteva,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Un archivio ordinato reca la propria teoria nella propria nota introduttiva, e quella teoria è stata provata sul materiale che ordina.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IX · Appendice dodicesima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IX: 2.641 parole in 9 sezioni; la più ampia è §9 Altre sezioni, con 2.205.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IX: 50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 — Appendice tredicesima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TREDICESIMA ALLA FASE SETTIMA</w:t>
      </w:r>
    </w:p>
    <w:p>
      <w:pPr>
        <w:pStyle w:val="Heading2"/>
        <w:spacing w:after="100" w:before="200"/>
      </w:pPr>
      <w:r>
        <w:rPr>
          <w:rFonts w:ascii="Barlow Semi Condensed" w:cs="Barlow Semi Condensed" w:eastAsia="Barlow Semi Condensed" w:hAnsi="Barlow Semi Condensed"/>
          <w:sz w:val="24"/>
          <w:szCs w:val="24"/>
        </w:rPr>
        <w:t xml:space="preserve">Una sola testimonianza formale</w:t>
      </w:r>
    </w:p>
    <w:p>
      <w:pPr>
        <w:pStyle w:val="Heading2"/>
        <w:spacing w:after="100" w:before="200"/>
      </w:pPr>
      <w:r>
        <w:rPr>
          <w:rFonts w:ascii="Barlow Semi Condensed" w:cs="Barlow Semi Condensed" w:eastAsia="Barlow Semi Condensed" w:hAnsi="Barlow Semi Condensed"/>
          <w:sz w:val="24"/>
          <w:szCs w:val="24"/>
        </w:rPr>
        <w:t xml:space="preserve">Esecuzione della Voce quarantaseiesima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tredicesima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tredicesima alla Fase Settima ed esegue la Voce quarantaseiesima, iscritta dall'appendice dodicesima, la quale prescrive di ricavare dal prospetto analitico delle sedute l'oggetto delle ventisette sedute i cui processi verbali non sono posseduti, e di individuare fra gli auditi in sede formale quelli le cui deposizioni riguardino il caso. Come le dodici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L'esecuzione produce due risultati, dei quali il secondo non era previsto e corregge l'appendice dodicesima in un punto che essa aveva dichiarato di non sapere spiegare.</w:t>
      </w:r>
    </w:p>
    <w:p>
      <w:pPr>
        <w:pStyle w:val="Heading2"/>
        <w:spacing w:after="100" w:before="200"/>
      </w:pPr>
      <w:r>
        <w:rPr>
          <w:rFonts w:ascii="Barlow Semi Condensed" w:cs="Barlow Semi Condensed" w:eastAsia="Barlow Semi Condensed" w:hAnsi="Barlow Semi Condensed"/>
          <w:sz w:val="24"/>
          <w:szCs w:val="24"/>
        </w:rPr>
        <w:t xml:space="preserve">Parte prima — Il difetto dello strumento, e la risoluzione posizionale</w:t>
      </w:r>
    </w:p>
    <w:p>
      <w:pPr>
        <w:spacing w:after="120" w:line="276"/>
        <w:jc w:val="both"/>
      </w:pPr>
      <w:r>
        <w:rPr>
          <w:rFonts w:ascii="Barlow Semi Condensed" w:cs="Barlow Semi Condensed" w:eastAsia="Barlow Semi Condensed" w:hAnsi="Barlow Semi Condensed"/>
          <w:b/>
          <w:bCs/>
          <w:sz w:val="24"/>
          <w:szCs w:val="24"/>
        </w:rPr>
        <w:t xml:space="preserve">Si dichiara anzitutto un difetto della fonte impiegata, poiché senza la sua correzione l'intera collazione sarebbe stata falsa e falsa in modo plausibile, che è la specie peggiore.</w:t>
      </w:r>
    </w:p>
    <w:p>
      <w:pPr>
        <w:spacing w:after="120" w:line="276"/>
        <w:jc w:val="both"/>
      </w:pPr>
      <w:r>
        <w:rPr>
          <w:rFonts w:ascii="Barlow Semi Condensed" w:cs="Barlow Semi Condensed" w:eastAsia="Barlow Semi Condensed" w:hAnsi="Barlow Semi Condensed"/>
          <w:b/>
          <w:bCs/>
          <w:sz w:val="24"/>
          <w:szCs w:val="24"/>
        </w:rPr>
        <w:t xml:space="preserve">Il prospetto è posseduto in trascrizione automatica, e il riconoscimento ottico ha reso l'indicatore ordinale che segue il numero di seduta come una cifra ulteriore. La prima seduta compare pertanto come diciottesima, la seconda come ventiquattresima, la terza come trentaduesima, la quarta come quarantaquattresima, la quinta come cinquantaquattresima. La deformazione non è costante e dipende dalla forma che l'indicatore assume nella stampa.</w:t>
      </w:r>
    </w:p>
    <w:p>
      <w:pPr>
        <w:spacing w:after="120" w:line="276"/>
        <w:jc w:val="both"/>
      </w:pPr>
      <w:r>
        <w:rPr>
          <w:rFonts w:ascii="Barlow Semi Condensed" w:cs="Barlow Semi Condensed" w:eastAsia="Barlow Semi Condensed" w:hAnsi="Barlow Semi Condensed"/>
          <w:b/>
          <w:bCs/>
          <w:sz w:val="24"/>
          <w:szCs w:val="24"/>
        </w:rPr>
        <w:t xml:space="preserve">La prima lettura, condotta sui numeri così risultanti, ha prodotto una collazione interamente errata, nella quale a sedute mancanti erano attribuiti oggetti appartenenti ad altre sedute. L'errore non era rilevabile dall'interno: i numeri erano plausibili, le date erano plausibili, e gli oggetti erano oggetti reali di sedute reali. È stato rilevato leggendo le prime cinque voci e constatando che la prima seduta di una Commissione non può essere la diciottesima.</w:t>
      </w:r>
    </w:p>
    <w:p>
      <w:pPr>
        <w:spacing w:after="120" w:line="276"/>
        <w:jc w:val="both"/>
      </w:pPr>
      <w:r>
        <w:rPr>
          <w:rFonts w:ascii="Barlow Semi Condensed" w:cs="Barlow Semi Condensed" w:eastAsia="Barlow Semi Condensed" w:hAnsi="Barlow Semi Condensed"/>
          <w:b/>
          <w:bCs/>
          <w:sz w:val="24"/>
          <w:szCs w:val="24"/>
        </w:rPr>
        <w:t xml:space="preserve">La risoluzione adottata è posizionale e non numerica. Il prospetto è cronologico; si sono pertanto estratte le date nell'ordine in cui compaiono e si è assunto che l'ennesima voce corrisponda all'ennesima seduta. La risoluzione è verificata su cinque ancoraggi indipendenti costituiti da processi verbali posseduti, dei quali si conoscono numero e data: la quarta voce reca la data del ventitré novembre millenovecentottantotto, che è quella del quarto processo verbale posseduto, e le altre quattro collimano del pari.</w:t>
      </w:r>
    </w:p>
    <w:p>
      <w:pPr>
        <w:spacing w:after="120" w:line="276"/>
        <w:jc w:val="both"/>
      </w:pPr>
      <w:r>
        <w:rPr>
          <w:rFonts w:ascii="Barlow Semi Condensed" w:cs="Barlow Semi Condensed" w:eastAsia="Barlow Semi Condensed" w:hAnsi="Barlow Semi Condensed"/>
          <w:b/>
          <w:bCs/>
          <w:sz w:val="24"/>
          <w:szCs w:val="24"/>
        </w:rPr>
        <w:t xml:space="preserve">Si dichiara che la risoluzione è un'inferenza dell'opera e non un dato del documento, ed è falsificabile con un esemplare a stampa correttamente impaginato. È la seconda volta nella giornata che una convenzione di numerazione va risolta per inferenza e verificata su ancoraggi, e le due risoluzioni riguardano due strumenti diversi del medesimo fondo.</w:t>
      </w:r>
    </w:p>
    <w:p>
      <w:pPr>
        <w:spacing w:after="120" w:line="276"/>
        <w:jc w:val="both"/>
      </w:pPr>
      <w:r>
        <w:rPr>
          <w:rFonts w:ascii="Barlow Semi Condensed" w:cs="Barlow Semi Condensed" w:eastAsia="Barlow Semi Condensed" w:hAnsi="Barlow Semi Condensed"/>
          <w:b/>
          <w:bCs/>
          <w:sz w:val="24"/>
          <w:szCs w:val="24"/>
        </w:rPr>
        <w:t xml:space="preserve">Si registra altresì che il prospetto posseduto si arresta alla settantasettesima seduta, del quindici novembre millenovecentonovantuno. Le sedute dalla settantottesima alla centoduesima non vi sono comprese.</w:t>
      </w:r>
    </w:p>
    <w:p>
      <w:pPr>
        <w:pStyle w:val="Heading2"/>
        <w:spacing w:after="100" w:before="200"/>
      </w:pPr>
      <w:r>
        <w:rPr>
          <w:rFonts w:ascii="Barlow Semi Condensed" w:cs="Barlow Semi Condensed" w:eastAsia="Barlow Semi Condensed" w:hAnsi="Barlow Semi Condensed"/>
          <w:sz w:val="24"/>
          <w:szCs w:val="24"/>
        </w:rPr>
        <w:t xml:space="preserve">Parte seconda — L'oggetto delle sedute non possedute</w:t>
      </w:r>
    </w:p>
    <w:p>
      <w:pPr>
        <w:spacing w:after="120" w:line="276"/>
        <w:jc w:val="both"/>
      </w:pPr>
      <w:r>
        <w:rPr>
          <w:rFonts w:ascii="Barlow Semi Condensed" w:cs="Barlow Semi Condensed" w:eastAsia="Barlow Semi Condensed" w:hAnsi="Barlow Semi Condensed"/>
          <w:b/>
          <w:bCs/>
          <w:sz w:val="24"/>
          <w:szCs w:val="24"/>
        </w:rPr>
        <w:t xml:space="preserve">Delle ventisette sedute i cui processi verbali non sono posseduti, venticinque cadono entro la copertura del prospetto e il loro oggetto è determinato. Due — l'ottantaseiesima e la novantatreesima — cadono oltre e restano ignote.</w:t>
      </w:r>
    </w:p>
    <w:p>
      <w:pPr>
        <w:spacing w:after="120" w:line="276"/>
        <w:jc w:val="both"/>
      </w:pPr>
      <w:r>
        <w:rPr>
          <w:rFonts w:ascii="Barlow Semi Condensed" w:cs="Barlow Semi Condensed" w:eastAsia="Barlow Semi Condensed" w:hAnsi="Barlow Semi Condensed"/>
          <w:b/>
          <w:bCs/>
          <w:sz w:val="24"/>
          <w:szCs w:val="24"/>
        </w:rPr>
        <w:t xml:space="preserve">Si espone la ripartizione delle venticinque per materia, poiché è il dato che la voce domandava.</w:t>
      </w:r>
    </w:p>
    <w:p>
      <w:pPr>
        <w:spacing w:after="120" w:line="276"/>
        <w:jc w:val="both"/>
      </w:pPr>
      <w:r>
        <w:rPr>
          <w:rFonts w:ascii="Barlow Semi Condensed" w:cs="Barlow Semi Condensed" w:eastAsia="Barlow Semi Condensed" w:hAnsi="Barlow Semi Condensed"/>
          <w:b/>
          <w:bCs/>
          <w:sz w:val="24"/>
          <w:szCs w:val="24"/>
        </w:rPr>
        <w:t xml:space="preserve">Quattordici concernono l'inchiesta sul disastro aereo, in forma di testimonianze formali di ufficiali generali e di dirigenti, di audizioni di ministri e di parlamentari, di discussione della relazione del Presidente.</w:t>
      </w:r>
    </w:p>
    <w:p>
      <w:pPr>
        <w:spacing w:after="120" w:line="276"/>
        <w:jc w:val="both"/>
      </w:pPr>
      <w:r>
        <w:rPr>
          <w:rFonts w:ascii="Barlow Semi Condensed" w:cs="Barlow Semi Condensed" w:eastAsia="Barlow Semi Condensed" w:hAnsi="Barlow Semi Condensed"/>
          <w:b/>
          <w:bCs/>
          <w:sz w:val="24"/>
          <w:szCs w:val="24"/>
        </w:rPr>
        <w:t xml:space="preserve">Sei concernono l'inchiesta sull'organizzazione clandestina, in forma di testimonianze formali di ufficiali generali e di discussione del documento predisposto dal Presidente.</w:t>
      </w:r>
    </w:p>
    <w:p>
      <w:pPr>
        <w:spacing w:after="120" w:line="276"/>
        <w:jc w:val="both"/>
      </w:pPr>
      <w:r>
        <w:rPr>
          <w:rFonts w:ascii="Barlow Semi Condensed" w:cs="Barlow Semi Condensed" w:eastAsia="Barlow Semi Condensed" w:hAnsi="Barlow Semi Condensed"/>
          <w:b/>
          <w:bCs/>
          <w:sz w:val="24"/>
          <w:szCs w:val="24"/>
        </w:rPr>
        <w:t xml:space="preserve">Una concerne l'inchiesta su un apparato informativo e su un piano degli anni sessanta.</w:t>
      </w:r>
    </w:p>
    <w:p>
      <w:pPr>
        <w:spacing w:after="120" w:line="276"/>
        <w:jc w:val="both"/>
      </w:pPr>
      <w:r>
        <w:rPr>
          <w:rFonts w:ascii="Barlow Semi Condensed" w:cs="Barlow Semi Condensed" w:eastAsia="Barlow Semi Condensed" w:hAnsi="Barlow Semi Condensed"/>
          <w:b/>
          <w:bCs/>
          <w:sz w:val="24"/>
          <w:szCs w:val="24"/>
        </w:rPr>
        <w:t xml:space="preserve">Quattro concernono materie interne: elezione dell'ufficio di presidenza, discussione e approvazione e successive modifiche del regolamento interno, esame del programma d'inchiesta, comunicazioni del Presidente e ordine dei lavori.</w:t>
      </w:r>
    </w:p>
    <w:p>
      <w:pPr>
        <w:spacing w:after="120" w:line="276"/>
        <w:jc w:val="both"/>
      </w:pPr>
      <w:r>
        <w:rPr>
          <w:rFonts w:ascii="Barlow Semi Condensed" w:cs="Barlow Semi Condensed" w:eastAsia="Barlow Semi Condensed" w:hAnsi="Barlow Semi Condensed"/>
          <w:b/>
          <w:bCs/>
          <w:sz w:val="24"/>
          <w:szCs w:val="24"/>
        </w:rPr>
        <w:t xml:space="preserve">Nessuna delle venticinque concerne il caso.</w:t>
      </w:r>
    </w:p>
    <w:p>
      <w:pPr>
        <w:spacing w:after="120" w:line="276"/>
        <w:jc w:val="both"/>
      </w:pPr>
      <w:r>
        <w:rPr>
          <w:rFonts w:ascii="Barlow Semi Condensed" w:cs="Barlow Semi Condensed" w:eastAsia="Barlow Semi Condensed" w:hAnsi="Barlow Semi Condensed"/>
          <w:b/>
          <w:bCs/>
          <w:sz w:val="24"/>
          <w:szCs w:val="24"/>
        </w:rPr>
        <w:t xml:space="preserve">Il risultato va enunciato per ciò che significa. La lacuna del corpus posseduto, che l'appendice terza aveva dichiarata come Stato Zero su ventisette processi verbali e che l'appendice dodicesima aveva riqualificata come mancata consultazione di volumi a stampa, si rivela per venticinque ventisettesimi irrilevante ai fini dell'opera. Ciò che manca non riguarda la materia. Restano ignote due sedute su centodue.</w:t>
      </w:r>
    </w:p>
    <w:p>
      <w:pPr>
        <w:spacing w:after="120" w:line="276"/>
        <w:jc w:val="both"/>
      </w:pPr>
      <w:r>
        <w:rPr>
          <w:rFonts w:ascii="Barlow Semi Condensed" w:cs="Barlow Semi Condensed" w:eastAsia="Barlow Semi Condensed" w:hAnsi="Barlow Semi Condensed"/>
          <w:b/>
          <w:bCs/>
          <w:sz w:val="24"/>
          <w:szCs w:val="24"/>
        </w:rPr>
        <w:t xml:space="preserve">Si registra un secondo effetto della collazione, che non era il suo oggetto e che vale più del primo. La distribuzione delle sedute mancanti per materia è prossima alla distribuzione delle sedute della Commissione per materia: mancano soprattutto sedute sull'inchiesta più voluminosa, e mancano nella proporzione nella quale essa pesa. Il corpus posseduto non è dunque un sottoinsieme selezionato contro il caso, e le lacune non hanno struttura. È un controllo contro la distorsione di selezione, e non era stato compiuto: le dodici appendici anteriori hanno lavorato su un corpus del quale non era accertato che fosse imparziale rispetto al proprio oggetto. Ora lo è, entro il limite di questa verifica.</w:t>
      </w:r>
    </w:p>
    <w:p>
      <w:pPr>
        <w:pStyle w:val="Heading2"/>
        <w:spacing w:after="100" w:before="200"/>
      </w:pPr>
      <w:r>
        <w:rPr>
          <w:rFonts w:ascii="Barlow Semi Condensed" w:cs="Barlow Semi Condensed" w:eastAsia="Barlow Semi Condensed" w:hAnsi="Barlow Semi Condensed"/>
          <w:sz w:val="24"/>
          <w:szCs w:val="24"/>
        </w:rPr>
        <w:t xml:space="preserve">Parte terza — Una sola testimonianza formale</w:t>
      </w:r>
    </w:p>
    <w:p>
      <w:pPr>
        <w:spacing w:after="120" w:line="276"/>
        <w:jc w:val="both"/>
      </w:pPr>
      <w:r>
        <w:rPr>
          <w:rFonts w:ascii="Barlow Semi Condensed" w:cs="Barlow Semi Condensed" w:eastAsia="Barlow Semi Condensed" w:hAnsi="Barlow Semi Condensed"/>
          <w:b/>
          <w:bCs/>
          <w:sz w:val="24"/>
          <w:szCs w:val="24"/>
        </w:rPr>
        <w:t xml:space="preserve">L'elenco degli auditi in sede formale è ordinato in tre modi, alfabetico, cronologico e tematico. L'ordine tematico raggruppa le deposizioni per inchiesta.</w:t>
      </w:r>
    </w:p>
    <w:p>
      <w:pPr>
        <w:spacing w:after="120" w:line="276"/>
        <w:jc w:val="both"/>
      </w:pPr>
      <w:r>
        <w:rPr>
          <w:rFonts w:ascii="Barlow Semi Condensed" w:cs="Barlow Semi Condensed" w:eastAsia="Barlow Semi Condensed" w:hAnsi="Barlow Semi Condensed"/>
          <w:b/>
          <w:bCs/>
          <w:sz w:val="24"/>
          <w:szCs w:val="24"/>
        </w:rPr>
        <w:t xml:space="preserve">Sotto l'intitolazione del caso figura una sola voce. È una testimonianza formale del diciassette ottobre millenovecentonovanta, resa alla sessantaduesima seduta dal capo della polizia in carica.</w:t>
      </w:r>
    </w:p>
    <w:p>
      <w:pPr>
        <w:spacing w:after="120" w:line="276"/>
        <w:jc w:val="both"/>
      </w:pPr>
      <w:r>
        <w:rPr>
          <w:rFonts w:ascii="Barlow Semi Condensed" w:cs="Barlow Semi Condensed" w:eastAsia="Barlow Semi Condensed" w:hAnsi="Barlow Semi Condensed"/>
          <w:b/>
          <w:bCs/>
          <w:sz w:val="24"/>
          <w:szCs w:val="24"/>
        </w:rPr>
        <w:t xml:space="preserve">Una, su centodue sedute e su quattro anni di lavori.</w:t>
      </w:r>
    </w:p>
    <w:p>
      <w:pPr>
        <w:spacing w:after="120" w:line="276"/>
        <w:jc w:val="both"/>
      </w:pPr>
      <w:r>
        <w:rPr>
          <w:rFonts w:ascii="Barlow Semi Condensed" w:cs="Barlow Semi Condensed" w:eastAsia="Barlow Semi Condensed" w:hAnsi="Barlow Semi Condensed"/>
          <w:b/>
          <w:bCs/>
          <w:sz w:val="24"/>
          <w:szCs w:val="24"/>
        </w:rPr>
        <w:t xml:space="preserve">Si dichiari la procedura con la quale il dato è stato ricavato, poiché la trascrizione presenta le colonne dislocate: le date, i numeri di seduta, la qualificazione della deposizione e i nominativi compaiono in quattro blocchi separati anziché in righe. Si è ricostruita la corrispondenza per posizione, e la ricostruzione è verificata su un riscontro indipendente: l'unità quindicesima del fascicolo del caso, individuata dall'appendice quarta, reca i documenti consegnati dal capo della polizia nel corso della testimonianza formale del diciassette ottobre millenovecentonovanta. La data, la qualità dell'audito e la natura dell'atto collimano, e la sessantaduesima seduta è quella che l'appendice terza aveva già individuata come seduta del diciassette ottobre millenovecentonovanta. La ricostruzione posizionale è pertanto confermata da tre elementi indipendenti dall'elenco.</w:t>
      </w:r>
    </w:p>
    <w:p>
      <w:pPr>
        <w:spacing w:after="120" w:line="276"/>
        <w:jc w:val="both"/>
      </w:pPr>
      <w:r>
        <w:rPr>
          <w:rFonts w:ascii="Barlow Semi Condensed" w:cs="Barlow Semi Condensed" w:eastAsia="Barlow Semi Condensed" w:hAnsi="Barlow Semi Condensed"/>
          <w:b/>
          <w:bCs/>
          <w:sz w:val="24"/>
          <w:szCs w:val="24"/>
        </w:rPr>
        <w:t xml:space="preserve">Si accosti la cifra a quelle delle altre inchieste rilevabili dal medesimo ordine tematico: oltre cento deposizioni per l'inchiesta sul disastro aereo, ventisei per quella sull'organizzazione clandestina, dodici per quella sull'apparato informativo, diciannove per quella su un sequestro del millenovecentottantuno. E una per il caso.</w:t>
      </w:r>
    </w:p>
    <w:p>
      <w:pPr>
        <w:pStyle w:val="Heading2"/>
        <w:spacing w:after="100" w:before="200"/>
      </w:pPr>
      <w:r>
        <w:rPr>
          <w:rFonts w:ascii="Barlow Semi Condensed" w:cs="Barlow Semi Condensed" w:eastAsia="Barlow Semi Condensed" w:hAnsi="Barlow Semi Condensed"/>
          <w:sz w:val="24"/>
          <w:szCs w:val="24"/>
        </w:rPr>
        <w:t xml:space="preserve">Parte quarta — La correzione dell'appendice dodicesima</w:t>
      </w:r>
    </w:p>
    <w:p>
      <w:pPr>
        <w:spacing w:after="120" w:line="276"/>
        <w:jc w:val="both"/>
      </w:pPr>
      <w:r>
        <w:rPr>
          <w:rFonts w:ascii="Barlow Semi Condensed" w:cs="Barlow Semi Condensed" w:eastAsia="Barlow Semi Condensed" w:hAnsi="Barlow Semi Condensed"/>
          <w:b/>
          <w:bCs/>
          <w:sz w:val="24"/>
          <w:szCs w:val="24"/>
        </w:rPr>
        <w:t xml:space="preserve">L'appendice dodicesima ha rilevato che l'indice analitico per argomenti delle deposizioni fu pubblicato per tre inchieste e non per quella sul caso, ha qualificato l'asimmetria come dato, e ha enunciato tre cause possibili dichiarando di non discriminare fra esse: l'ampiezza relativa dei corpora, il tempo disponibile alla vigilia dello scioglimento, l'esistenza di una Commissione anteriore dedicata.</w:t>
      </w:r>
    </w:p>
    <w:p>
      <w:pPr>
        <w:spacing w:after="120" w:line="276"/>
        <w:jc w:val="both"/>
      </w:pPr>
      <w:r>
        <w:rPr>
          <w:rFonts w:ascii="Barlow Semi Condensed" w:cs="Barlow Semi Condensed" w:eastAsia="Barlow Semi Condensed" w:hAnsi="Barlow Semi Condensed"/>
          <w:b/>
          <w:bCs/>
          <w:sz w:val="24"/>
          <w:szCs w:val="24"/>
        </w:rPr>
        <w:t xml:space="preserve">La causa è una quarta, e più semplice di tutte e tre. Un indice analitico per argomenti delle deposizioni non fu pubblicato per il caso perché le deposizioni formali sul caso erano una.</w:t>
      </w:r>
    </w:p>
    <w:p>
      <w:pPr>
        <w:spacing w:after="120" w:line="276"/>
        <w:jc w:val="both"/>
      </w:pPr>
      <w:r>
        <w:rPr>
          <w:rFonts w:ascii="Barlow Semi Condensed" w:cs="Barlow Semi Condensed" w:eastAsia="Barlow Semi Condensed" w:hAnsi="Barlow Semi Condensed"/>
          <w:b/>
          <w:bCs/>
          <w:sz w:val="24"/>
          <w:szCs w:val="24"/>
        </w:rPr>
        <w:t xml:space="preserve">Si registra la correzione a proprio sfavore, e se ne trae la regola che vale per l'intera giornata. Quando si rileva un'assenza e se ne enumerano le cause possibili, si verifichi prima di tutto se l'oggetto assente esistesse. Le tre cause enunciate presupponevano tutte un corpus di deposizioni da indicizzare, e nessuna delle tre poteva essere vera in mancanza di quel corpus. Si è cercata la spiegazione della mancanza di un indice senza avere contato ciò che l'indice avrebbe dovuto indicizzare.</w:t>
      </w:r>
    </w:p>
    <w:p>
      <w:pPr>
        <w:spacing w:after="120" w:line="276"/>
        <w:jc w:val="both"/>
      </w:pPr>
      <w:r>
        <w:rPr>
          <w:rFonts w:ascii="Barlow Semi Condensed" w:cs="Barlow Semi Condensed" w:eastAsia="Barlow Semi Condensed" w:hAnsi="Barlow Semi Condensed"/>
          <w:b/>
          <w:bCs/>
          <w:sz w:val="24"/>
          <w:szCs w:val="24"/>
        </w:rPr>
        <w:t xml:space="preserve">Si osservi che l'errore appartiene alla medesima specie del quinto: non un errore di misura, ma l'avere costruito un ragionamento sopra un presupposto non verificato che una sola lettura avrebbe verificato.</w:t>
      </w:r>
    </w:p>
    <w:p>
      <w:pPr>
        <w:pStyle w:val="Heading2"/>
        <w:spacing w:after="100" w:before="200"/>
      </w:pPr>
      <w:r>
        <w:rPr>
          <w:rFonts w:ascii="Barlow Semi Condensed" w:cs="Barlow Semi Condensed" w:eastAsia="Barlow Semi Condensed" w:hAnsi="Barlow Semi Condensed"/>
          <w:sz w:val="24"/>
          <w:szCs w:val="24"/>
        </w:rPr>
        <w:t xml:space="preserve">Parte quinta — Dove si trova il lavoro sul caso</w:t>
      </w:r>
    </w:p>
    <w:p>
      <w:pPr>
        <w:spacing w:after="120" w:line="276"/>
        <w:jc w:val="both"/>
      </w:pPr>
      <w:r>
        <w:rPr>
          <w:rFonts w:ascii="Barlow Semi Condensed" w:cs="Barlow Semi Condensed" w:eastAsia="Barlow Semi Condensed" w:hAnsi="Barlow Semi Condensed"/>
          <w:b/>
          <w:bCs/>
          <w:sz w:val="24"/>
          <w:szCs w:val="24"/>
        </w:rPr>
        <w:t xml:space="preserve">Se le deposizioni formali sul caso furono una, la questione diviene dove si trovi il resto del lavoro, poiché il fascicolo reca cinquanta unità acquisite e la Commissione approvò sul caso una relazione conclusiva.</w:t>
      </w:r>
    </w:p>
    <w:p>
      <w:pPr>
        <w:spacing w:after="120" w:line="276"/>
        <w:jc w:val="both"/>
      </w:pPr>
      <w:r>
        <w:rPr>
          <w:rFonts w:ascii="Barlow Semi Condensed" w:cs="Barlow Semi Condensed" w:eastAsia="Barlow Semi Condensed" w:hAnsi="Barlow Semi Condensed"/>
          <w:b/>
          <w:bCs/>
          <w:sz w:val="24"/>
          <w:szCs w:val="24"/>
        </w:rPr>
        <w:t xml:space="preserve">Le fonti possedute lo dicono, e in tre luoghi concordanti. L'indice degli indici descrive, come proprio gruppo distinto, l'indice in ordine alfabetico e tematico dei testi ascoltati in sede informale dai gruppi di lavoro delegati dalla Commissione a svolgere particolari accertamenti, e dichiara che alcuni dei relativi resoconti sono riversati sul sistema informatico e consultabili nelle banche-immagini delle singole inchieste. L'unità trentatreesima del fascicolo reca osservazioni consegnate nel corso di un incontro con il gruppo di lavoro sul caso. L'unità trentaduesima reca una memoria consegnata alla Commissione da un componente che aveva condotto ricerca propria.</w:t>
      </w:r>
    </w:p>
    <w:p>
      <w:pPr>
        <w:spacing w:after="120" w:line="276"/>
        <w:jc w:val="both"/>
      </w:pPr>
      <w:r>
        <w:rPr>
          <w:rFonts w:ascii="Barlow Semi Condensed" w:cs="Barlow Semi Condensed" w:eastAsia="Barlow Semi Condensed" w:hAnsi="Barlow Semi Condensed"/>
          <w:b/>
          <w:bCs/>
          <w:sz w:val="24"/>
          <w:szCs w:val="24"/>
        </w:rPr>
        <w:t xml:space="preserve">Ne segue che l'inchiesta sul caso, nella X legislatura, fu condotta in prevalenza in sede informale, per gruppi di lavoro, e che i suoi atti orali si trovano nei resoconti di quei gruppi e non nei volumi dei resoconti stenografici delle sedute. Chi cercasse le deposizioni sul caso negli otto volumi a stampa ne troverebbe una.</w:t>
      </w:r>
    </w:p>
    <w:p>
      <w:pPr>
        <w:spacing w:after="120" w:line="276"/>
        <w:jc w:val="both"/>
      </w:pPr>
      <w:r>
        <w:rPr>
          <w:rFonts w:ascii="Barlow Semi Condensed" w:cs="Barlow Semi Condensed" w:eastAsia="Barlow Semi Condensed" w:hAnsi="Barlow Semi Condensed"/>
          <w:b/>
          <w:bCs/>
          <w:sz w:val="24"/>
          <w:szCs w:val="24"/>
        </w:rPr>
        <w:t xml:space="preserve">Si registra la conseguenza sulla disciplina delle fonti. Un resoconto di audizione informale dinanzi a un gruppo di lavoro non ha il regime di una testimonianza formale: non è reso con le forme e con le sanzioni che l'articolo secondo della legge istitutiva richiama, e il suo valore probatorio è quello di una dichiarazione raccolta e non di una testimonianza assunta. Ove l'opera venga a impiegarne, dovrà graduarli in conseguenza, e non potrà graduarli per la sede.</w:t>
      </w:r>
    </w:p>
    <w:p>
      <w:pPr>
        <w:spacing w:after="120" w:line="276"/>
        <w:jc w:val="both"/>
      </w:pPr>
      <w:r>
        <w:rPr>
          <w:rFonts w:ascii="Barlow Semi Condensed" w:cs="Barlow Semi Condensed" w:eastAsia="Barlow Semi Condensed" w:hAnsi="Barlow Semi Condensed"/>
          <w:b/>
          <w:bCs/>
          <w:sz w:val="24"/>
          <w:szCs w:val="24"/>
        </w:rPr>
        <w:t xml:space="preserve">Voce quarantasettesima — I resoconti dei gruppi di lavoro sul caso. Oggetto: l'indice in ordine alfabetico e tematico dei testi ascoltati in sede informale dai gruppi di lavoro, limitatamente al caso; e i resoconti medesimi, per la parte riversata nella banca-immagini. Sede: l'Indice generale degli atti della X legislatura, e la banca-immagini dell'inchiesta, il cui codice ha per parte fissa la lettera dell'inchiesta. Chiusura: individuazione dei testi ascoltati e reperimento dei resoconti. Smentita: la constatazione che i resoconti delle audizioni informali non siano stati redatti o non siano stati riversati, nel qual caso l'attività del gruppo di lavoro sarebbe documentata dai soli atti acquisiti e la voce si chiuderebbe con Stato Zero.</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quarantaseiesima si chiude per venticinque sedute su ventisette e per l'individuazione delle deposizioni formali sul caso. Si iscrive la Voce quarantasettesima. Si registra la correzione dell'appendice dodicesima quanto alla causa dell'asimmetria.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l'oggetto della ottantaseiesima e della novantatreesima seduta resta ignoto, poiché il prospetto posseduto si arresta alla settantasettesima. Secondo: la copertura del prospetto per le sedute dalla settantottesima alla centoduesima non è posseduta, ed è la parte del prospetto che comprende il periodo nel quale il fascicolo del caso ricevette le proprie ultime acquisizioni. Terzo: i resoconti dei gruppi di lavoro non sono posseduti né individuati. Quarto: la risoluzione posizionale delle due convenzioni di numerazione resta inferenza dell'opera e non è stata verificata su esemplare a stampa.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undicesima del giorno sul medesimo cantiere. Cantiere: designazione per atto delle fonti. Materia: il prospetto analitico delle sedute e l'elenco degli auditi in sede formale della X legislatura.</w:t>
      </w:r>
    </w:p>
    <w:p>
      <w:pPr>
        <w:spacing w:after="120" w:line="276"/>
        <w:jc w:val="both"/>
      </w:pPr>
      <w:r>
        <w:rPr>
          <w:rFonts w:ascii="Barlow Semi Condensed" w:cs="Barlow Semi Condensed" w:eastAsia="Barlow Semi Condensed" w:hAnsi="Barlow Semi Condensed"/>
          <w:b/>
          <w:bCs/>
          <w:sz w:val="24"/>
          <w:szCs w:val="24"/>
        </w:rPr>
        <w:t xml:space="preserve">Esito positivo: determinazione dell'oggetto di venticinque delle ventisette sedute non possedute, con accertamento che nessuna di esse concerne il caso; controllo contro la distorsione di selezione, con accertamento che le lacune del corpus posseduto sono distribuite in proporzione al peso delle inchieste e non hanno struttura; accertamento che le deposizioni formali sul caso nella X legislatura furono una sola, resa alla sessantaduesima seduta del diciassette ottobre millenovecentonovanta, con verifica su tre elementi indipendenti; correzione dell'appendice dodicesima quanto alla causa dell'asimmetria degli indici analitici; individuazione della sede nella quale si trova il lavoro sul caso, che è quella dei gruppi di lavoro in sede informale, con la conseguente disciplina di grado;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due sedute su centodue restano ignote quanto all'oggetto; la parte del prospetto relativa alle ultime venticinque sedute non è posseduta; i resoconti dei gruppi di lavoro non sono individuati.</w:t>
      </w:r>
    </w:p>
    <w:p>
      <w:pPr>
        <w:spacing w:after="120" w:line="276"/>
        <w:jc w:val="both"/>
      </w:pPr>
      <w:r>
        <w:rPr>
          <w:rFonts w:ascii="Barlow Semi Condensed" w:cs="Barlow Semi Condensed" w:eastAsia="Barlow Semi Condensed" w:hAnsi="Barlow Semi Condensed"/>
          <w:b/>
          <w:bCs/>
          <w:sz w:val="24"/>
          <w:szCs w:val="24"/>
        </w:rPr>
        <w:t xml:space="preserve">Riga di errore proprio, sesta della giornata, rilevata prima della pubblicazione. La trascrizione automatica del prospetto ha reso l'indicatore ordinale come cifra, e la prima lettura ha prodotto una collazione interamente errata nella quale a sedute mancanti erano attribuiti oggetti di altre sedute. L'errore non era rilevabile dall'interno, poiché numeri, date e oggetti erano tutti reali; è stato rilevato constatando che la prima seduta di una Commissione non può essere la diciottesima. Si registra che il controllo che lo ha scoperto è il più elementare disponibile, ed è la lettura della prima riga.</w:t>
      </w:r>
    </w:p>
    <w:p>
      <w:pPr>
        <w:spacing w:after="120" w:line="276"/>
        <w:jc w:val="both"/>
      </w:pPr>
      <w:r>
        <w:rPr>
          <w:rFonts w:ascii="Barlow Semi Condensed" w:cs="Barlow Semi Condensed" w:eastAsia="Barlow Semi Condensed" w:hAnsi="Barlow Semi Condensed"/>
          <w:b/>
          <w:bCs/>
          <w:sz w:val="24"/>
          <w:szCs w:val="24"/>
        </w:rPr>
        <w:t xml:space="preserve">Riga di errore proprio, settima della giornata. L'appendice dodicesima ha enumerato tre cause possibili di un'assenza senza avere contato ciò che l'assenza riguardava. Le tre cause presupponevano tutte l'esistenza di un corpus da indicizzare, e quel corpus consta di un elemento. Regola che se ne trae: quando si rileva un'assenza e se ne enumerano le cause, si verifichi prima di tutto se l'oggetto assente esistesse.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alcuna deposizione, di alcuna seduta e di alcun resoconto. La persona che rese la sola testimonianza formale sul caso è designata per la funzione che esercitava, la quale basta a identificare l'atto. La rilevazione del numero delle deposizioni per inchiesta è una misura dell'attività dell'organo e non un giudizio su di essa, e in particolare non implica alcuna valutazione sulla diligenza con la quale l'inchiesta fu condotta, che le presenti fonti non consentono di formulare.</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TREDICESIMA ALLA FASE SETTIMA, una sola testimonianza formale,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Quando si rileva un'assenza e se ne enumerano le cause, si verifichi prima di tutto se l'oggetto assente esistesse.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 · Appendice tredicesima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 2.085 parole in 9 sezioni; la più ampia è §9 Altre sezioni, con 1.676.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 39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XI — Appendice quattordicesima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QUATTORDICESIMA ALLA FASE SETTIMA</w:t>
      </w:r>
    </w:p>
    <w:p>
      <w:pPr>
        <w:pStyle w:val="Heading2"/>
        <w:spacing w:after="100" w:before="200"/>
      </w:pPr>
      <w:r>
        <w:rPr>
          <w:rFonts w:ascii="Barlow Semi Condensed" w:cs="Barlow Semi Condensed" w:eastAsia="Barlow Semi Condensed" w:hAnsi="Barlow Semi Condensed"/>
          <w:sz w:val="24"/>
          <w:szCs w:val="24"/>
        </w:rPr>
        <w:t xml:space="preserve">La classe di comparazione che non c'è</w:t>
      </w:r>
    </w:p>
    <w:p>
      <w:pPr>
        <w:pStyle w:val="Heading2"/>
        <w:spacing w:after="100" w:before="200"/>
      </w:pPr>
      <w:r>
        <w:rPr>
          <w:rFonts w:ascii="Barlow Semi Condensed" w:cs="Barlow Semi Condensed" w:eastAsia="Barlow Semi Condensed" w:hAnsi="Barlow Semi Condensed"/>
          <w:sz w:val="24"/>
          <w:szCs w:val="24"/>
        </w:rPr>
        <w:t xml:space="preserve">Le schede informative sulle stragi 1969-1984, e un errore respinto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quattordicesima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quattordicesima alla Fase Settima e opera sulle schede informative allegate alla relazione sulle stragi meno recenti del periodo millenovecentosessantanove-millenovecentottantaquattro, XI legislatura, delle quali si possiede la trascrizione integrale di trentasei pagine. Come le tredici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stata esaminata per una ragione determinata e ha prodotto un esito contrario a quella ragione. Si cercava in essa la classe di comparazione che la Voce quinta della tavola domanda da principio e che nessuna acquisizione della giornata ha fornita. La classe non c'è, e il presente atto serve principalmente a dichiarare perché non c'è e perché credere il contrario sarebbe stato l'errore più costoso dei quattordici atti.</w:t>
      </w:r>
    </w:p>
    <w:p>
      <w:pPr>
        <w:pStyle w:val="Heading2"/>
        <w:spacing w:after="100" w:before="200"/>
      </w:pPr>
      <w:r>
        <w:rPr>
          <w:rFonts w:ascii="Barlow Semi Condensed" w:cs="Barlow Semi Condensed" w:eastAsia="Barlow Semi Condensed" w:hAnsi="Barlow Semi Condensed"/>
          <w:sz w:val="24"/>
          <w:szCs w:val="24"/>
        </w:rPr>
        <w:t xml:space="preserve">Parte prima — Un numero di documento non è una designazione</w:t>
      </w:r>
    </w:p>
    <w:p>
      <w:pPr>
        <w:spacing w:after="120" w:line="276"/>
        <w:jc w:val="both"/>
      </w:pPr>
      <w:r>
        <w:rPr>
          <w:rFonts w:ascii="Barlow Semi Condensed" w:cs="Barlow Semi Condensed" w:eastAsia="Barlow Semi Condensed" w:hAnsi="Barlow Semi Condensed"/>
          <w:b/>
          <w:bCs/>
          <w:sz w:val="24"/>
          <w:szCs w:val="24"/>
        </w:rPr>
        <w:t xml:space="preserve">Va registrato anzitutto un fatto di designazione, poiché esso incide su ogni citazione anteriore.</w:t>
      </w:r>
    </w:p>
    <w:p>
      <w:pPr>
        <w:spacing w:after="120" w:line="276"/>
        <w:jc w:val="both"/>
      </w:pPr>
      <w:r>
        <w:rPr>
          <w:rFonts w:ascii="Barlow Semi Condensed" w:cs="Barlow Semi Condensed" w:eastAsia="Barlow Semi Condensed" w:hAnsi="Barlow Semi Condensed"/>
          <w:b/>
          <w:bCs/>
          <w:sz w:val="24"/>
          <w:szCs w:val="24"/>
        </w:rPr>
        <w:t xml:space="preserve">Il documento parlamentare XXIII numero 13 della XI legislatura reca due opere distinte. L'una è la relazione sugli sviluppi del caso, che l'appendice sesta ha esaminata. L'altra è la relazione sulle stragi meno recenti con le proprie schede informative, che la presente esamina. Sono due testi di autore, oggetto, periodo e struttura diversi, riuniti sotto un solo numero.</w:t>
      </w:r>
    </w:p>
    <w:p>
      <w:pPr>
        <w:spacing w:after="120" w:line="276"/>
        <w:jc w:val="both"/>
      </w:pPr>
      <w:r>
        <w:rPr>
          <w:rFonts w:ascii="Barlow Semi Condensed" w:cs="Barlow Semi Condensed" w:eastAsia="Barlow Semi Condensed" w:hAnsi="Barlow Semi Condensed"/>
          <w:b/>
          <w:bCs/>
          <w:sz w:val="24"/>
          <w:szCs w:val="24"/>
        </w:rPr>
        <w:t xml:space="preserve">Ne segue che la designazione di una fonte mediante il solo numero di documento parlamentare è, per questo documento, ambigua, e che chi citi il documento XXIII numero 13 non ha designato alcunché finché non indichi quale delle due opere e a quale pagina. L'appendice sesta ha citato quel numero per la relazione sul caso e lo ha fatto senza sapere che il numero ne copre due; la citazione non è falsa e la sua precisione era illusoria.</w:t>
      </w:r>
    </w:p>
    <w:p>
      <w:pPr>
        <w:spacing w:after="120" w:line="276"/>
        <w:jc w:val="both"/>
      </w:pPr>
      <w:r>
        <w:rPr>
          <w:rFonts w:ascii="Barlow Semi Condensed" w:cs="Barlow Semi Condensed" w:eastAsia="Barlow Semi Condensed" w:hAnsi="Barlow Semi Condensed"/>
          <w:b/>
          <w:bCs/>
          <w:sz w:val="24"/>
          <w:szCs w:val="24"/>
        </w:rPr>
        <w:t xml:space="preserve">Si enuncia la regola, ed è la diciassettesima della serie. Un numero di documento parlamentare designa una pubblicazione e non un'opera. Dove la pubblicazione ne raccolga più d'una, la designazione si compie per opera e per pagina, e il solo numero non basta. Si verifichi sempre, prima di citare un numero, di quante opere quel numero sia il contenitore.</w:t>
      </w:r>
    </w:p>
    <w:p>
      <w:pPr>
        <w:pStyle w:val="Heading2"/>
        <w:spacing w:after="100" w:before="200"/>
      </w:pPr>
      <w:r>
        <w:rPr>
          <w:rFonts w:ascii="Barlow Semi Condensed" w:cs="Barlow Semi Condensed" w:eastAsia="Barlow Semi Condensed" w:hAnsi="Barlow Semi Condensed"/>
          <w:sz w:val="24"/>
          <w:szCs w:val="24"/>
        </w:rPr>
        <w:t xml:space="preserve">Parte seconda — Che cosa le schede siano</w:t>
      </w:r>
    </w:p>
    <w:p>
      <w:pPr>
        <w:spacing w:after="120" w:line="276"/>
        <w:jc w:val="both"/>
      </w:pPr>
      <w:r>
        <w:rPr>
          <w:rFonts w:ascii="Barlow Semi Condensed" w:cs="Barlow Semi Condensed" w:eastAsia="Barlow Semi Condensed" w:hAnsi="Barlow Semi Condensed"/>
          <w:b/>
          <w:bCs/>
          <w:sz w:val="24"/>
          <w:szCs w:val="24"/>
        </w:rPr>
        <w:t xml:space="preserve">Le schede sono otto e riguardano, nell'ordine cronologico che esse osservano, gli attentati simultanei del dicembre millenovecentosessantanove, il deragliamento del luglio millenovecentosettanta, l'attentato del maggio millenovecentosettantadue in provincia di Gorizia, l'attentato del maggio millenovecentosettantatré dinanzi a una questura, la strage del maggio millenovecentosettantaquattro in una piazza lombarda, quella dell'agosto del medesimo anno su un convoglio ferroviario, quella dell'agosto millenovecentottanta in una stazione, e quella del dicembre millenovecentottantaquattro su un secondo convoglio.</w:t>
      </w:r>
    </w:p>
    <w:p>
      <w:pPr>
        <w:spacing w:after="120" w:line="276"/>
        <w:jc w:val="both"/>
      </w:pPr>
      <w:r>
        <w:rPr>
          <w:rFonts w:ascii="Barlow Semi Condensed" w:cs="Barlow Semi Condensed" w:eastAsia="Barlow Semi Condensed" w:hAnsi="Barlow Semi Condensed"/>
          <w:b/>
          <w:bCs/>
          <w:sz w:val="24"/>
          <w:szCs w:val="24"/>
        </w:rPr>
        <w:t xml:space="preserve">Ciascuna scheda espone il fatto, l'itinerario processuale con le sedi, le date e gli esiti, e le vicende istruttorie che lo accompagnarono.</w:t>
      </w:r>
    </w:p>
    <w:p>
      <w:pPr>
        <w:spacing w:after="120" w:line="276"/>
        <w:jc w:val="both"/>
      </w:pPr>
      <w:r>
        <w:rPr>
          <w:rFonts w:ascii="Barlow Semi Condensed" w:cs="Barlow Semi Condensed" w:eastAsia="Barlow Semi Condensed" w:hAnsi="Barlow Semi Condensed"/>
          <w:b/>
          <w:bCs/>
          <w:sz w:val="24"/>
          <w:szCs w:val="24"/>
        </w:rPr>
        <w:t xml:space="preserve">Si registra una disuguaglianza interna che è essa stessa un dato. L'ampiezza delle schede varia da circa cinquecento parole a circa quattromiladuecento, con uno scarto di otto volte fra la più breve e la più estesa. La più estesa riguarda la strage del millenovecentottanta; la più breve un attentato del millenovecentosettantatré.</w:t>
      </w:r>
    </w:p>
    <w:p>
      <w:pPr>
        <w:spacing w:after="120" w:line="276"/>
        <w:jc w:val="both"/>
      </w:pPr>
      <w:r>
        <w:rPr>
          <w:rFonts w:ascii="Barlow Semi Condensed" w:cs="Barlow Semi Condensed" w:eastAsia="Barlow Semi Condensed" w:hAnsi="Barlow Semi Condensed"/>
          <w:b/>
          <w:bCs/>
          <w:sz w:val="24"/>
          <w:szCs w:val="24"/>
        </w:rPr>
        <w:t xml:space="preserve">Lo scarto non misura la gravità dei fatti né il numero delle vittime. Misura lo stato dell'accertamento: una scheda è lunga dove molto fu accertato e dove molte istruttorie si succedettero, ed è breve dove poco fu accertato. Ne segue che l'ampiezza di una scheda è un indicatore dell'attività giudiziaria e non della materia, e che leggerla altrimenti significherebbe attribuire minore rilievo ai fatti sui quali si è indagato meno, il che è l'inversione esatta di ciò che la disciplina prescrive.</w:t>
      </w:r>
    </w:p>
    <w:p>
      <w:pPr>
        <w:pStyle w:val="Heading2"/>
        <w:spacing w:after="100" w:before="200"/>
      </w:pPr>
      <w:r>
        <w:rPr>
          <w:rFonts w:ascii="Barlow Semi Condensed" w:cs="Barlow Semi Condensed" w:eastAsia="Barlow Semi Condensed" w:hAnsi="Barlow Semi Condensed"/>
          <w:sz w:val="24"/>
          <w:szCs w:val="24"/>
        </w:rPr>
        <w:t xml:space="preserve">Parte terza — La tentazione, e la ragione per cui va respinta</w:t>
      </w:r>
    </w:p>
    <w:p>
      <w:pPr>
        <w:spacing w:after="120" w:line="276"/>
        <w:jc w:val="both"/>
      </w:pPr>
      <w:r>
        <w:rPr>
          <w:rFonts w:ascii="Barlow Semi Condensed" w:cs="Barlow Semi Condensed" w:eastAsia="Barlow Semi Condensed" w:hAnsi="Barlow Semi Condensed"/>
          <w:b/>
          <w:bCs/>
          <w:sz w:val="24"/>
          <w:szCs w:val="24"/>
        </w:rPr>
        <w:t xml:space="preserve">La Voce quinta della tavola domanda il tasso ordinario di omissioni procedurali presso uffici comparabili nel periodo, poiché senza di esso l'irregolarità dell'ottobre millenovecentosettantotto — l'asportazione di un fascicolo dal luogo prima che i fogli fossero numerati a verbale — non è collocabile: non si sa se essa fosse eccezionale o ordinaria, e da ciò dipende ogni valutazione che la riguardi.</w:t>
      </w:r>
    </w:p>
    <w:p>
      <w:pPr>
        <w:spacing w:after="120" w:line="276"/>
        <w:jc w:val="both"/>
      </w:pPr>
      <w:r>
        <w:rPr>
          <w:rFonts w:ascii="Barlow Semi Condensed" w:cs="Barlow Semi Condensed" w:eastAsia="Barlow Semi Condensed" w:hAnsi="Barlow Semi Condensed"/>
          <w:b/>
          <w:bCs/>
          <w:sz w:val="24"/>
          <w:szCs w:val="24"/>
        </w:rPr>
        <w:t xml:space="preserve">Le schede sembrano fornire quella classe. Esse documentano, strage per strage, irregolarità istruttorie di specie diverse: manipolazioni sui corpi di reato, distruzione di materiale sequestrato all'insaputa dei magistrati, omessa informazione dei magistrati su riscontri già acquisiti dalla polizia, occultamento di rapporti con successiva condanna penale, falso ideologico accertato in sede di giudizio, dichiarazioni di sedicenti collaboratori accertate come false, inquinamento delle indagini mediante materiale collocato per avvalorare una pista.</w:t>
      </w:r>
    </w:p>
    <w:p>
      <w:pPr>
        <w:spacing w:after="120" w:line="276"/>
        <w:jc w:val="both"/>
      </w:pPr>
      <w:r>
        <w:rPr>
          <w:rFonts w:ascii="Barlow Semi Condensed" w:cs="Barlow Semi Condensed" w:eastAsia="Barlow Semi Condensed" w:hAnsi="Barlow Semi Condensed"/>
          <w:b/>
          <w:bCs/>
          <w:sz w:val="24"/>
          <w:szCs w:val="24"/>
        </w:rPr>
        <w:t xml:space="preserve">La tentazione è di contare: otto stragi, irregolarità documentate nella maggior parte di esse, dunque un tasso elevato, dunque l'irregolarità del millenovecentosettantotto è ordinaria.</w:t>
      </w:r>
    </w:p>
    <w:p>
      <w:pPr>
        <w:spacing w:after="120" w:line="276"/>
        <w:jc w:val="both"/>
      </w:pPr>
      <w:r>
        <w:rPr>
          <w:rFonts w:ascii="Barlow Semi Condensed" w:cs="Barlow Semi Condensed" w:eastAsia="Barlow Semi Condensed" w:hAnsi="Barlow Semi Condensed"/>
          <w:b/>
          <w:bCs/>
          <w:sz w:val="24"/>
          <w:szCs w:val="24"/>
        </w:rPr>
        <w:t xml:space="preserve">Il ragionamento è viziato e va respinto per intero.</w:t>
      </w:r>
    </w:p>
    <w:p>
      <w:pPr>
        <w:spacing w:after="120" w:line="276"/>
        <w:jc w:val="both"/>
      </w:pPr>
      <w:r>
        <w:rPr>
          <w:rFonts w:ascii="Barlow Semi Condensed" w:cs="Barlow Semi Condensed" w:eastAsia="Barlow Semi Condensed" w:hAnsi="Barlow Semi Condensed"/>
          <w:b/>
          <w:bCs/>
          <w:sz w:val="24"/>
          <w:szCs w:val="24"/>
        </w:rPr>
        <w:t xml:space="preserve">Le otto schede non sono un campione. Sono le stragi più note del periodo, e sono note per una ragione che coincide con ciò che si vorrebbe misurare: sono le vicende nelle quali l'accertamento fallì o durò decenni, e sono state selezionate e istruite proprio perché giudiziariamente problematiche. Contare le irregolarità in un insieme scelto per la propria problematicità e trarne un tasso ordinario significa selezionare sulla variabile che si intende misurare. È l'errore che, in altra forma, il corpus maggiore ha già iscritto fra le proprie risultanze sotto il nome di effetto del lampione: si misura dove la luce cade, e la luce cade dove qualcosa fu trovato.</w:t>
      </w:r>
    </w:p>
    <w:p>
      <w:pPr>
        <w:spacing w:after="120" w:line="276"/>
        <w:jc w:val="both"/>
      </w:pPr>
      <w:r>
        <w:rPr>
          <w:rFonts w:ascii="Barlow Semi Condensed" w:cs="Barlow Semi Condensed" w:eastAsia="Barlow Semi Condensed" w:hAnsi="Barlow Semi Condensed"/>
          <w:b/>
          <w:bCs/>
          <w:sz w:val="24"/>
          <w:szCs w:val="24"/>
        </w:rPr>
        <w:t xml:space="preserve">Si dichiara pertanto che le schede non forniscono la classe di comparazione domandata dalla Voce quinta, e che la Voce quinta resta aperta. Si registra la circostanza fra gli esiti negativi, ed è il settimo della giornata.</w:t>
      </w:r>
    </w:p>
    <w:p>
      <w:pPr>
        <w:spacing w:after="120" w:line="276"/>
        <w:jc w:val="both"/>
      </w:pPr>
      <w:r>
        <w:rPr>
          <w:rFonts w:ascii="Barlow Semi Condensed" w:cs="Barlow Semi Condensed" w:eastAsia="Barlow Semi Condensed" w:hAnsi="Barlow Semi Condensed"/>
          <w:b/>
          <w:bCs/>
          <w:sz w:val="24"/>
          <w:szCs w:val="24"/>
        </w:rPr>
        <w:t xml:space="preserve">Si aggiunge la ragione per la quale l'errore sarebbe stato costoso più di ogni altro commesso oggi. Gli errori di misura e di strumento registrati nelle appendici anteriori producevano cifre sbagliate, e una cifra sbagliata si corregge. Questo avrebbe prodotto una collocazione: avrebbe stabilito che l'irregolarità del millenovecentosettantotto era ordinaria, e da quella collocazione sarebbe disceso che essa non richiede spiegazione. Un errore che dispensa dal cercare non si corregge, perché sopprime la ricerca che lo avrebbe corretto.</w:t>
      </w:r>
    </w:p>
    <w:p>
      <w:pPr>
        <w:pStyle w:val="Heading2"/>
        <w:spacing w:after="100" w:before="200"/>
      </w:pPr>
      <w:r>
        <w:rPr>
          <w:rFonts w:ascii="Barlow Semi Condensed" w:cs="Barlow Semi Condensed" w:eastAsia="Barlow Semi Condensed" w:hAnsi="Barlow Semi Condensed"/>
          <w:sz w:val="24"/>
          <w:szCs w:val="24"/>
        </w:rPr>
        <w:t xml:space="preserve">Parte quarta — Che cosa le schede danno realmente</w:t>
      </w:r>
    </w:p>
    <w:p>
      <w:pPr>
        <w:spacing w:after="120" w:line="276"/>
        <w:jc w:val="both"/>
      </w:pPr>
      <w:r>
        <w:rPr>
          <w:rFonts w:ascii="Barlow Semi Condensed" w:cs="Barlow Semi Condensed" w:eastAsia="Barlow Semi Condensed" w:hAnsi="Barlow Semi Condensed"/>
          <w:b/>
          <w:bCs/>
          <w:sz w:val="24"/>
          <w:szCs w:val="24"/>
        </w:rPr>
        <w:t xml:space="preserve">Respinta la lettura quantitativa, resta una lettura tipologica, che è legittima e utile.</w:t>
      </w:r>
    </w:p>
    <w:p>
      <w:pPr>
        <w:spacing w:after="120" w:line="276"/>
        <w:jc w:val="both"/>
      </w:pPr>
      <w:r>
        <w:rPr>
          <w:rFonts w:ascii="Barlow Semi Condensed" w:cs="Barlow Semi Condensed" w:eastAsia="Barlow Semi Condensed" w:hAnsi="Barlow Semi Condensed"/>
          <w:b/>
          <w:bCs/>
          <w:sz w:val="24"/>
          <w:szCs w:val="24"/>
        </w:rPr>
        <w:t xml:space="preserve">Le schede stabiliscono che le irregolarità istruttorie nei procedimenti per strage del periodo appartengono a generi ricorrenti e nominabili, e ne documentano almeno cinque. Il primo è la manipolazione o la distruzione del corpo di reato. Il secondo è l'omessa trasmissione ai magistrati di riscontri già in possesso della polizia. Il terzo è l'occultamento di atti, accertato in sede penale con condanna. Il quarto è la falsità di dichiarazioni rese da sedicenti collaboratori, in taluni casi accertata come strumentale a fini diversi dall'inchiesta. Il quinto è la collocazione di materiale documentale destinato ad avvalorare una pista determinata.</w:t>
      </w:r>
    </w:p>
    <w:p>
      <w:pPr>
        <w:spacing w:after="120" w:line="276"/>
        <w:jc w:val="both"/>
      </w:pPr>
      <w:r>
        <w:rPr>
          <w:rFonts w:ascii="Barlow Semi Condensed" w:cs="Barlow Semi Condensed" w:eastAsia="Barlow Semi Condensed" w:hAnsi="Barlow Semi Condensed"/>
          <w:b/>
          <w:bCs/>
          <w:sz w:val="24"/>
          <w:szCs w:val="24"/>
        </w:rPr>
        <w:t xml:space="preserve">Questa tipologia consente una sola operazione, e la si compie. L'irregolarità dell'ottobre millenovecentosettantotto appartiene al primo genere: essa riguarda la custodia di un corpo di reato nella fase immediatamente successiva al rinvenimento. Il genere è documentato, per il periodo, da almeno due istanze in una sola delle schede.</w:t>
      </w:r>
    </w:p>
    <w:p>
      <w:pPr>
        <w:spacing w:after="120" w:line="276"/>
        <w:jc w:val="both"/>
      </w:pPr>
      <w:r>
        <w:rPr>
          <w:rFonts w:ascii="Barlow Semi Condensed" w:cs="Barlow Semi Condensed" w:eastAsia="Barlow Semi Condensed" w:hAnsi="Barlow Semi Condensed"/>
          <w:b/>
          <w:bCs/>
          <w:sz w:val="24"/>
          <w:szCs w:val="24"/>
        </w:rPr>
        <w:t xml:space="preserve">Si dichiari con esattezza che cosa questa collocazione stabilisca. Stabilisce che la figura non è isolata nel proprio genere. Non stabilisce che sia frequente, poiché l'appartenenza a un genere non è una frequenza; e non stabilisce che sia ordinaria, poiché ordinario è ciò che accade nella maggior parte dei casi comparabili, e i casi comparabili non sono stati contati.</w:t>
      </w:r>
    </w:p>
    <w:p>
      <w:pPr>
        <w:spacing w:after="120" w:line="276"/>
        <w:jc w:val="both"/>
      </w:pPr>
      <w:r>
        <w:rPr>
          <w:rFonts w:ascii="Barlow Semi Condensed" w:cs="Barlow Semi Condensed" w:eastAsia="Barlow Semi Condensed" w:hAnsi="Barlow Semi Condensed"/>
          <w:b/>
          <w:bCs/>
          <w:sz w:val="24"/>
          <w:szCs w:val="24"/>
        </w:rPr>
        <w:t xml:space="preserve">Si registra inoltre un esito negativo interno alla tipologia. La lettura condotta non ha rinvenuto, in alcuna delle otto schede, la figura specifica dell'ottobre millenovecentosettantotto, cioè l'asportazione di un insieme di documenti dal luogo del rinvenimento prima della loro numerazione a verbale e la restituzione successiva. La lettura è stata condotta per parole chiave sul testo integrale e per lettura diretta dei passaggi segnalati, e non per lettura integrale delle trentasei pagine; l'esito negativo è dichiarato con questo limite.</w:t>
      </w:r>
    </w:p>
    <w:p>
      <w:pPr>
        <w:spacing w:after="120" w:line="276"/>
        <w:jc w:val="both"/>
      </w:pPr>
      <w:r>
        <w:rPr>
          <w:rFonts w:ascii="Barlow Semi Condensed" w:cs="Barlow Semi Condensed" w:eastAsia="Barlow Semi Condensed" w:hAnsi="Barlow Semi Condensed"/>
          <w:b/>
          <w:bCs/>
          <w:sz w:val="24"/>
          <w:szCs w:val="24"/>
        </w:rPr>
        <w:t xml:space="preserve">Ove esso sia confermato da lettura integrale, ne discenderebbe che la figura del millenovecentosettantotto non è rappresentata nella tipologia delle irregolarità documentate per le stragi del periodo, il che non ne farebbe una figura unica — le schede riguardano otto vicende e non tutte — ma la collocherebbe fuori dai generi ricorrenti anziché dentro uno di essi. È l'opposto della conclusione che la lettura quantitativa avrebbe suggerita.</w:t>
      </w:r>
    </w:p>
    <w:p>
      <w:pPr>
        <w:pStyle w:val="Heading2"/>
        <w:spacing w:after="100" w:before="200"/>
      </w:pPr>
      <w:r>
        <w:rPr>
          <w:rFonts w:ascii="Barlow Semi Condensed" w:cs="Barlow Semi Condensed" w:eastAsia="Barlow Semi Condensed" w:hAnsi="Barlow Semi Condensed"/>
          <w:sz w:val="24"/>
          <w:szCs w:val="24"/>
        </w:rPr>
        <w:t xml:space="preserve">Parte quinta — Dove la classe di comparazione vada cercata</w:t>
      </w:r>
    </w:p>
    <w:p>
      <w:pPr>
        <w:spacing w:after="120" w:line="276"/>
        <w:jc w:val="both"/>
      </w:pPr>
      <w:r>
        <w:rPr>
          <w:rFonts w:ascii="Barlow Semi Condensed" w:cs="Barlow Semi Condensed" w:eastAsia="Barlow Semi Condensed" w:hAnsi="Barlow Semi Condensed"/>
          <w:b/>
          <w:bCs/>
          <w:sz w:val="24"/>
          <w:szCs w:val="24"/>
        </w:rPr>
        <w:t xml:space="preserve">Se le vicende eccezionali non forniscono il tasso ordinario, esso va cercato dove l'ordinario si trova, e la sede è indicabile.</w:t>
      </w:r>
    </w:p>
    <w:p>
      <w:pPr>
        <w:spacing w:after="120" w:line="276"/>
        <w:jc w:val="both"/>
      </w:pPr>
      <w:r>
        <w:rPr>
          <w:rFonts w:ascii="Barlow Semi Condensed" w:cs="Barlow Semi Condensed" w:eastAsia="Barlow Semi Condensed" w:hAnsi="Barlow Semi Condensed"/>
          <w:b/>
          <w:bCs/>
          <w:sz w:val="24"/>
          <w:szCs w:val="24"/>
        </w:rPr>
        <w:t xml:space="preserve">La classe di comparazione appropriata alla Voce quinta non è costituita dai procedimenti per strage, ma dai procedimenti ordinari coevi nei quali si sia proceduto a perquisizione e a sequestro di documentazione: procedimenti per reati comuni, trattati da uffici di polizia giudiziaria comparabili, nel medesimo periodo e nella medesima area. In quella classe l'osservanza o l'inosservanza della numerazione preventiva dei documenti sequestrati è un dato di prassi, rilevabile su un numero sufficiente di casi e non selezionato per la propria problematicità.</w:t>
      </w:r>
    </w:p>
    <w:p>
      <w:pPr>
        <w:spacing w:after="120" w:line="276"/>
        <w:jc w:val="both"/>
      </w:pPr>
      <w:r>
        <w:rPr>
          <w:rFonts w:ascii="Barlow Semi Condensed" w:cs="Barlow Semi Condensed" w:eastAsia="Barlow Semi Condensed" w:hAnsi="Barlow Semi Condensed"/>
          <w:b/>
          <w:bCs/>
          <w:sz w:val="24"/>
          <w:szCs w:val="24"/>
        </w:rPr>
        <w:t xml:space="preserve">Voce quarantottesima — La prassi ordinaria di numerazione dei documenti sequestrati. Oggetto: l'accertamento, su un insieme di procedimenti ordinari coevi comprendenti perquisizione e sequestro di documentazione, della frequenza con la quale i documenti sequestrati fossero numerati a verbale prima dell'asportazione dal luogo. Sede: archivi giudiziari e prontuari operativi delle forze di polizia giudiziaria del periodo; manuali e circolari sulla formazione dei verbali di sequestro. Chiusura: determinazione di una frequenza su un insieme non selezionato. Smentita: la constatazione che non esistesse all'epoca alcuna prescrizione di numerazione preventiva, nel qual caso l'omissione del millenovecentosettantotto non sarebbe inosservanza di una regola ma assenza di una regola, e la Voce quinta si chiuderebbe con esito opposto a quello atteso.</w:t>
      </w:r>
    </w:p>
    <w:p>
      <w:pPr>
        <w:spacing w:after="120" w:line="276"/>
        <w:jc w:val="both"/>
      </w:pPr>
      <w:r>
        <w:rPr>
          <w:rFonts w:ascii="Barlow Semi Condensed" w:cs="Barlow Semi Condensed" w:eastAsia="Barlow Semi Condensed" w:hAnsi="Barlow Semi Condensed"/>
          <w:b/>
          <w:bCs/>
          <w:sz w:val="24"/>
          <w:szCs w:val="24"/>
        </w:rPr>
        <w:t xml:space="preserve">Si segnala che la condizione di smentita qui formulata è la più significativa fra quelle iscritte oggi, poiché il suo verificarsi rovescerebbe il senso di una delle poche irregolarità che l'opera ha ritenute superare tutti e tre i tempi del proprio test.</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quinta non si chiude e non progredisce quanto al proprio oggetto; progredisce quanto alla propria formulazione, poiché è ora indicata la classe entro la quale la ricerca va condotta e quella entro la quale non va condotta. Si iscrive la Voce quarantottesima. Si enuncia la diciassettesima regola della risalita.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classe di comparazione domandata dalla Voce quinta non è fornita dalle schede e resta da costituire. Secondo: la lettura delle schede è stata condotta per parole chiave e per campione e non integralmente, e l'esito negativo sulla figura specifica è dichiarato con questo limite. Terzo: la relazione sulle stragi meno recenti alla quale le schede sono allegate non è posseduta nel proprio testo, ma soltanto nelle schede; e una relazione dice, delle proprie schede, ciò che esse non dicono di sé.</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dodicesima del giorno sul medesimo cantiere. Cantiere: designazione per atto delle fonti e classe di comparazione. Materia: le schede informative sulle stragi del periodo millenovecentosessantanove-millenovecentottantaquattro.</w:t>
      </w:r>
    </w:p>
    <w:p>
      <w:pPr>
        <w:spacing w:after="120" w:line="276"/>
        <w:jc w:val="both"/>
      </w:pPr>
      <w:r>
        <w:rPr>
          <w:rFonts w:ascii="Barlow Semi Condensed" w:cs="Barlow Semi Condensed" w:eastAsia="Barlow Semi Condensed" w:hAnsi="Barlow Semi Condensed"/>
          <w:b/>
          <w:bCs/>
          <w:sz w:val="24"/>
          <w:szCs w:val="24"/>
        </w:rPr>
        <w:t xml:space="preserve">Esito positivo: accertamento che un solo numero di documento parlamentare copre due opere distinte, con enunciazione della diciassettesima regola della risalita; rilevazione della disuguaglianza di ampiezza fra le otto schede e della sua interpretazione come indicatore dello stato dell'accertamento e non della materia; enunciazione di una tipologia in cinque generi delle irregolarità istruttorie documentate per il periodo; collocazione dell'irregolarità dell'ottobre millenovecentosettantotto nel primo genere, con dichiarazione espressa di ciò che la collocazione non stabilisce; indicazione della classe entro la quale la comparazione domandata dalla Voce quinta va condotta; una voce nuova iscritta in tavola, con la condizione di smentita più significativa della giornata.</w:t>
      </w:r>
    </w:p>
    <w:p>
      <w:pPr>
        <w:spacing w:after="120" w:line="276"/>
        <w:jc w:val="both"/>
      </w:pPr>
      <w:r>
        <w:rPr>
          <w:rFonts w:ascii="Barlow Semi Condensed" w:cs="Barlow Semi Condensed" w:eastAsia="Barlow Semi Condensed" w:hAnsi="Barlow Semi Condensed"/>
          <w:b/>
          <w:bCs/>
          <w:sz w:val="24"/>
          <w:szCs w:val="24"/>
        </w:rPr>
        <w:t xml:space="preserve">Esito negativo: le schede non forniscono la classe di comparazione e la Voce quinta resta aperta; la figura specifica dell'ottobre millenovecentosettantotto non risulta rappresentata nella tipologia, con il limite della lettura non integrale; la relazione alla quale le schede sono allegate non è posseduta.</w:t>
      </w:r>
    </w:p>
    <w:p>
      <w:pPr>
        <w:spacing w:after="120" w:line="276"/>
        <w:jc w:val="both"/>
      </w:pPr>
      <w:r>
        <w:rPr>
          <w:rFonts w:ascii="Barlow Semi Condensed" w:cs="Barlow Semi Condensed" w:eastAsia="Barlow Semi Condensed" w:hAnsi="Barlow Semi Condensed"/>
          <w:b/>
          <w:bCs/>
          <w:sz w:val="24"/>
          <w:szCs w:val="24"/>
        </w:rPr>
        <w:t xml:space="preserve">Riga di errore respinto. Si registra, come si è registrato un errore evitato nell'appendice ottava, la lettura quantitativa che le schede invitavano a compiere e che avrebbe stabilito, contando irregolarità in otto vicende scelte per la propria problematicità, un tasso ordinario di irregolarità. Il vizio è la selezione sulla variabile che si intende misurare. Si registra altresì la ragione per la quale questo errore sarebbe stato più costoso di tutti quelli commessi oggi: gli errori di misura producono cifre sbagliate e una cifra si corregge; questo avrebbe prodotto una collocazione, e da essa sarebbe disceso che l'irregolarità del millenovecentosettantotto non richiede spiegazione. Un errore che dispensa dal cercare sopprime la ricerca che lo avrebbe corretto.</w:t>
      </w:r>
    </w:p>
    <w:p>
      <w:pPr>
        <w:spacing w:after="120" w:line="276"/>
        <w:jc w:val="both"/>
      </w:pPr>
      <w:r>
        <w:rPr>
          <w:rFonts w:ascii="Barlow Semi Condensed" w:cs="Barlow Semi Condensed" w:eastAsia="Barlow Semi Condensed" w:hAnsi="Barlow Semi Condensed"/>
          <w:b/>
          <w:bCs/>
          <w:sz w:val="24"/>
          <w:szCs w:val="24"/>
        </w:rPr>
        <w:t xml:space="preserve">Riga di avvertenza. Le schede qui esaminate riguardano vicende estranee alla materia dell'opera e appartenenti al corpus maggiore. Il presente atto non ne riferisce il merito, non nomina alcuna delle persone che vi compaiono e non riporta alcuno degli esiti processuali che esse recano, salvo la menzione, in forma generica e senza nomi, dei generi di irregolarità accertati. Ove il corpus maggiore venga a impiegarle, dovrà graduarle per ciò che sono: ricostruzioni di organo qualificato, e non accertamenti.</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QUATTORDICESIMA ALLA FASE SETTIMA, la classe di comparazione che non c'è, quindici agosto duemilaventisei. I settanta Capitoli restano settanta. Le redazioni anteriori non sono modificate: le pietre deposte non si scalpellano. Resta sovrana la Regola di Ferro: dove la fonte documenta, l'opera certifica; dove la fonte tace, l'opera indaga e non afferma. Un errore che dispensa dal cercare sopprime la ricerca che lo avrebbe corretto.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XI · Appendice quattordicesima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 2.077 parole in 9 sezioni; la più ampia è §9 Altre sezioni, con 1.750.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XII — Appendice quindicesima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quindicesima alla Fase settima,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di cui rafforza una conclusione — la non cumulabilità delle conclusioni parlamentari successive — fondandola su una causa che l'appendice settima non conosceva.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QUINDICESIMA ALLA FASE SETTIMA</w:t>
      </w:r>
    </w:p>
    <w:p>
      <w:pPr>
        <w:pStyle w:val="Heading2"/>
        <w:spacing w:after="100" w:before="200"/>
      </w:pPr>
      <w:r>
        <w:rPr>
          <w:rFonts w:ascii="Barlow Semi Condensed" w:cs="Barlow Semi Condensed" w:eastAsia="Barlow Semi Condensed" w:hAnsi="Barlow Semi Condensed"/>
          <w:sz w:val="24"/>
          <w:szCs w:val="24"/>
        </w:rPr>
        <w:t xml:space="preserve">La relazione che non fu discussa</w:t>
      </w:r>
    </w:p>
    <w:p>
      <w:pPr>
        <w:pStyle w:val="Heading2"/>
        <w:spacing w:after="100" w:before="200"/>
      </w:pPr>
      <w:r>
        <w:rPr>
          <w:rFonts w:ascii="Barlow Semi Condensed" w:cs="Barlow Semi Condensed" w:eastAsia="Barlow Semi Condensed" w:hAnsi="Barlow Semi Condensed"/>
          <w:sz w:val="24"/>
          <w:szCs w:val="24"/>
        </w:rPr>
        <w:t xml:space="preserve">Terza relazione semestrale, XII legislatura, documento XXIII numero 7</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quindicesima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quindicesima alla Fase Settima e opera sulla terza relazione semestrale della Commissione della XII legislatura, comunicata alle Presidenze il ventuno febbraio millenovecentonovantasei e stampata come documento XXIII numero 7. Come le quattordici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copre il periodo dal venti luglio millenovecentonovantacinque al sedici febbraio millenovecentonovantasei, data del decreto di scioglimento delle Camere, ed è la relazione con la quale quella Commissione chiude i propri lavori. Essa non reca alcuna attività sul caso, e il presente atto lo dichiara subito: il suo rendimento per l'opera è di natura metodologica e non documentale.</w:t>
      </w:r>
    </w:p>
    <w:p>
      <w:pPr>
        <w:pStyle w:val="Heading2"/>
        <w:spacing w:after="100" w:before="200"/>
      </w:pPr>
      <w:r>
        <w:rPr>
          <w:rFonts w:ascii="Barlow Semi Condensed" w:cs="Barlow Semi Condensed" w:eastAsia="Barlow Semi Condensed" w:hAnsi="Barlow Semi Condensed"/>
          <w:sz w:val="24"/>
          <w:szCs w:val="24"/>
        </w:rPr>
        <w:t xml:space="preserve">Parte prima — La relazione che non fu discussa</w:t>
      </w:r>
    </w:p>
    <w:p>
      <w:pPr>
        <w:spacing w:after="120" w:line="276"/>
        <w:jc w:val="both"/>
      </w:pPr>
      <w:r>
        <w:rPr>
          <w:rFonts w:ascii="Barlow Semi Condensed" w:cs="Barlow Semi Condensed" w:eastAsia="Barlow Semi Condensed" w:hAnsi="Barlow Semi Condensed"/>
          <w:b/>
          <w:bCs/>
          <w:sz w:val="24"/>
          <w:szCs w:val="24"/>
        </w:rPr>
        <w:t xml:space="preserve">L'indice della relazione reca, in successione, quattro voci che vanno lette insieme: il deposito della proposta di relazione finale; la decisione di non porre subito in discussione il documento; lo stralcio del capitolo dedicato a una delle inchieste; l'interruzione delle attività d'inchiesta conseguente allo scioglimento anticipato delle Camere.</w:t>
      </w:r>
    </w:p>
    <w:p>
      <w:pPr>
        <w:spacing w:after="120" w:line="276"/>
        <w:jc w:val="both"/>
      </w:pPr>
      <w:r>
        <w:rPr>
          <w:rFonts w:ascii="Barlow Semi Condensed" w:cs="Barlow Semi Condensed" w:eastAsia="Barlow Semi Condensed" w:hAnsi="Barlow Semi Condensed"/>
          <w:b/>
          <w:bCs/>
          <w:sz w:val="24"/>
          <w:szCs w:val="24"/>
        </w:rPr>
        <w:t xml:space="preserve">La sequenza descrive un documento che fu redatto, depositato, non discusso, amputato di un capitolo e infine travolto dallo scioglimento. Esso non fu approvato.</w:t>
      </w:r>
    </w:p>
    <w:p>
      <w:pPr>
        <w:spacing w:after="120" w:line="276"/>
        <w:jc w:val="both"/>
      </w:pPr>
      <w:r>
        <w:rPr>
          <w:rFonts w:ascii="Barlow Semi Condensed" w:cs="Barlow Semi Condensed" w:eastAsia="Barlow Semi Condensed" w:hAnsi="Barlow Semi Condensed"/>
          <w:b/>
          <w:bCs/>
          <w:sz w:val="24"/>
          <w:szCs w:val="24"/>
        </w:rPr>
        <w:t xml:space="preserve">Si accosti questa sequenza a quanto l'appendice settima ha accertato sulla base delle due relazioni semestrali anteriori: che le relazioni trasmesse alle Camere dalle Commissioni delle legislature precedenti sono documenti la cui discussione non fu mai posta all'ordine del giorno di alcuna Assemblea. Là il difetto di deliberazione era a valle, in sede parlamentare; qui è a monte, entro l'organo medesimo, che non pose in discussione il proprio documento.</w:t>
      </w:r>
    </w:p>
    <w:p>
      <w:pPr>
        <w:spacing w:after="120" w:line="276"/>
        <w:jc w:val="both"/>
      </w:pPr>
      <w:r>
        <w:rPr>
          <w:rFonts w:ascii="Barlow Semi Condensed" w:cs="Barlow Semi Condensed" w:eastAsia="Barlow Semi Condensed" w:hAnsi="Barlow Semi Condensed"/>
          <w:b/>
          <w:bCs/>
          <w:sz w:val="24"/>
          <w:szCs w:val="24"/>
        </w:rPr>
        <w:t xml:space="preserve">Se ne trae la regola, ed è la diciottesima della serie. Una proposta di relazione depositata e non discussa non è una relazione; un capitolo stralciato non è un capitolo; una relazione approvata da un organo e non discussa dall'Assemblea non è una pronuncia dell'Assemblea. Le fonti di questa specie si designano per lo stato deliberativo che hanno effettivamente raggiunto, e il grado che conferiscono si commisura a quello stato e non alla sede nella quale furono redatte.</w:t>
      </w:r>
    </w:p>
    <w:p>
      <w:pPr>
        <w:spacing w:after="120" w:line="276"/>
        <w:jc w:val="both"/>
      </w:pPr>
      <w:r>
        <w:rPr>
          <w:rFonts w:ascii="Barlow Semi Condensed" w:cs="Barlow Semi Condensed" w:eastAsia="Barlow Semi Condensed" w:hAnsi="Barlow Semi Condensed"/>
          <w:b/>
          <w:bCs/>
          <w:sz w:val="24"/>
          <w:szCs w:val="24"/>
        </w:rPr>
        <w:t xml:space="preserve">Si dispone che, nelle redazioni successive, ogni citazione di un documento d'inchiesta rechi l'indicazione del proprio stato deliberativo: proposta depositata, documento approvato dall'organo, documento discusso in Assemblea. Le tre condizioni sono diverse e producono gradi diversi.</w:t>
      </w:r>
    </w:p>
    <w:p>
      <w:pPr>
        <w:pStyle w:val="Heading2"/>
        <w:spacing w:after="100" w:before="200"/>
      </w:pPr>
      <w:r>
        <w:rPr>
          <w:rFonts w:ascii="Barlow Semi Condensed" w:cs="Barlow Semi Condensed" w:eastAsia="Barlow Semi Condensed" w:hAnsi="Barlow Semi Condensed"/>
          <w:sz w:val="24"/>
          <w:szCs w:val="24"/>
        </w:rPr>
        <w:t xml:space="preserve">Parte seconda — L'organo teorizza la propria discontinuità</w:t>
      </w:r>
    </w:p>
    <w:p>
      <w:pPr>
        <w:spacing w:after="120" w:line="276"/>
        <w:jc w:val="both"/>
      </w:pPr>
      <w:r>
        <w:rPr>
          <w:rFonts w:ascii="Barlow Semi Condensed" w:cs="Barlow Semi Condensed" w:eastAsia="Barlow Semi Condensed" w:hAnsi="Barlow Semi Condensed"/>
          <w:b/>
          <w:bCs/>
          <w:sz w:val="24"/>
          <w:szCs w:val="24"/>
        </w:rPr>
        <w:t xml:space="preserve">La premessa metodologica della relazione contiene l'esposizione più esplicita, fra quelle incontrate oggi, dei limiti strutturali dell'inchiesta parlamentare in questa materia. Poiché essa proviene dall'organo medesimo, va riportata nella sostanza.</w:t>
      </w:r>
    </w:p>
    <w:p>
      <w:pPr>
        <w:spacing w:after="120" w:line="276"/>
        <w:jc w:val="both"/>
      </w:pPr>
      <w:r>
        <w:rPr>
          <w:rFonts w:ascii="Barlow Semi Condensed" w:cs="Barlow Semi Condensed" w:eastAsia="Barlow Semi Condensed" w:hAnsi="Barlow Semi Condensed"/>
          <w:b/>
          <w:bCs/>
          <w:sz w:val="24"/>
          <w:szCs w:val="24"/>
        </w:rPr>
        <w:t xml:space="preserve">L'organo osserva che l'estensione e l'indeterminatezza dell'ambito temporale entro il quale l'inchiesta deve concludersi nuocciono tanto alla capacità di programmare le direttrici d'indagine quanto alla possibilità concreta, per i componenti, di avere piena conoscenza di tutte le acquisizioni intervenute in un arco che decorre dal millenovecentottantotto. Osserva che, ove il termine di un'inchiesta sopravanzi la scadenza di una legislatura, il ricambio spesso massiccio dei componenti determina a carico dei subentranti un vuoto di informazione difficile da colmare. Osserva che né la struttura burocratica né l'apparato dei consulenti esterni possono garantire quella continuità, poiché la segreteria mette a disposizione il materiale ma non esime dal percorso individuale di studio, e i consulenti sono soggetti a un ricambio analogo a quello dei parlamentari.</w:t>
      </w:r>
    </w:p>
    <w:p>
      <w:pPr>
        <w:spacing w:after="120" w:line="276"/>
        <w:jc w:val="both"/>
      </w:pPr>
      <w:r>
        <w:rPr>
          <w:rFonts w:ascii="Barlow Semi Condensed" w:cs="Barlow Semi Condensed" w:eastAsia="Barlow Semi Condensed" w:hAnsi="Barlow Semi Condensed"/>
          <w:b/>
          <w:bCs/>
          <w:sz w:val="24"/>
          <w:szCs w:val="24"/>
        </w:rPr>
        <w:t xml:space="preserve">Fin qui la relazione conferma, per bocca dell'organo, ciò che l'appendice settima aveva accertato per conteggio delle composizioni.</w:t>
      </w:r>
    </w:p>
    <w:p>
      <w:pPr>
        <w:spacing w:after="120" w:line="276"/>
        <w:jc w:val="both"/>
      </w:pPr>
      <w:r>
        <w:rPr>
          <w:rFonts w:ascii="Barlow Semi Condensed" w:cs="Barlow Semi Condensed" w:eastAsia="Barlow Semi Condensed" w:hAnsi="Barlow Semi Condensed"/>
          <w:b/>
          <w:bCs/>
          <w:sz w:val="24"/>
          <w:szCs w:val="24"/>
        </w:rPr>
        <w:t xml:space="preserve">L'organo aggiunge però un elemento che l'appendice settima non aveva, e che ne modifica la conclusione. I subentranti, osserva, si trovano dinanzi all'alternativa se prendere atto dei risultati delle pregresse attività di indagine ovvero contestarne la metodologia e gli esiti, anche sulla scorta di differenti valutazioni politiche; e qualifica quest'ultimo come un rischio tanto più frequente in fasi di accentuata instabilità degli schieramenti.</w:t>
      </w:r>
    </w:p>
    <w:p>
      <w:pPr>
        <w:spacing w:after="120" w:line="276"/>
        <w:jc w:val="both"/>
      </w:pPr>
      <w:r>
        <w:rPr>
          <w:rFonts w:ascii="Barlow Semi Condensed" w:cs="Barlow Semi Condensed" w:eastAsia="Barlow Semi Condensed" w:hAnsi="Barlow Semi Condensed"/>
          <w:b/>
          <w:bCs/>
          <w:sz w:val="24"/>
          <w:szCs w:val="24"/>
        </w:rPr>
        <w:t xml:space="preserve">La conseguenza per la disciplina delle fonti è di rilievo maggiore e va enunciata per intero. Una divergenza fra le conclusioni di due Commissioni successive sul medesimo oggetto non è necessariamente una divergenza di accertamento. Essa può essere una divergenza di valutazione politica su un medesimo materiale, e l'organo dichiara di ritenerla frequente. Ne segue che le conclusioni parlamentari successive non si leggono come strati di un accertamento progressivo, e che chi ne rilevasse una divergenza non potrebbe inferirne che nuovi elementi siano intervenuti.</w:t>
      </w:r>
    </w:p>
    <w:p>
      <w:pPr>
        <w:spacing w:after="120" w:line="276"/>
        <w:jc w:val="both"/>
      </w:pPr>
      <w:r>
        <w:rPr>
          <w:rFonts w:ascii="Barlow Semi Condensed" w:cs="Barlow Semi Condensed" w:eastAsia="Barlow Semi Condensed" w:hAnsi="Barlow Semi Condensed"/>
          <w:b/>
          <w:bCs/>
          <w:sz w:val="24"/>
          <w:szCs w:val="24"/>
        </w:rPr>
        <w:t xml:space="preserve">L'appendice settima aveva già negato che quelle conclusioni si sommino, fondandosi sul ricambio dei componenti. Qui la negazione si rafforza e cambia natura: non soltanto le conoscenze non si cumulano per difetto di memoria istituzionale, ma le conclusioni possono divergere per ragione estranea alla materia. Si registra la precisazione come rafforzamento e non come correzione.</w:t>
      </w:r>
    </w:p>
    <w:p>
      <w:pPr>
        <w:spacing w:after="120" w:line="276"/>
        <w:jc w:val="both"/>
      </w:pPr>
      <w:r>
        <w:rPr>
          <w:rFonts w:ascii="Barlow Semi Condensed" w:cs="Barlow Semi Condensed" w:eastAsia="Barlow Semi Condensed" w:hAnsi="Barlow Semi Condensed"/>
          <w:b/>
          <w:bCs/>
          <w:sz w:val="24"/>
          <w:szCs w:val="24"/>
        </w:rPr>
        <w:t xml:space="preserve">L'organo aggiunge infine un argomento di ordine costituzionale che va registrato perché appartiene al genere delle constatazioni che l'opera raccoglie: l'attribuzione a un organo di derivazione parlamentare degli stessi poteri dell'autorità giudiziaria trova il proprio naturale contrappeso nella previsione dei limiti cui l'attività giurisdizionale soggiace, e fra questi la durata certa dei poteri conferiti in via non ordinaria a un organo di derivazione politica.</w:t>
      </w:r>
    </w:p>
    <w:p>
      <w:pPr>
        <w:pStyle w:val="Heading2"/>
        <w:spacing w:after="100" w:before="200"/>
      </w:pPr>
      <w:r>
        <w:rPr>
          <w:rFonts w:ascii="Barlow Semi Condensed" w:cs="Barlow Semi Condensed" w:eastAsia="Barlow Semi Condensed" w:hAnsi="Barlow Semi Condensed"/>
          <w:sz w:val="24"/>
          <w:szCs w:val="24"/>
        </w:rPr>
        <w:t xml:space="preserve">Parte terza — Una contaminazione dichiarata dentro l'archivio</w:t>
      </w:r>
    </w:p>
    <w:p>
      <w:pPr>
        <w:spacing w:after="120" w:line="276"/>
        <w:jc w:val="both"/>
      </w:pPr>
      <w:r>
        <w:rPr>
          <w:rFonts w:ascii="Barlow Semi Condensed" w:cs="Barlow Semi Condensed" w:eastAsia="Barlow Semi Condensed" w:hAnsi="Barlow Semi Condensed"/>
          <w:b/>
          <w:bCs/>
          <w:sz w:val="24"/>
          <w:szCs w:val="24"/>
        </w:rPr>
        <w:t xml:space="preserve">La relazione dedica un paragrafo, entro la trattazione di una delle inchieste, a una vicenda che va registrata perché è la sola incontrata oggi che riguardi l'affidabilità del materiale prodotto per la Commissione anziché di quello da essa acquisito.</w:t>
      </w:r>
    </w:p>
    <w:p>
      <w:pPr>
        <w:spacing w:after="120" w:line="276"/>
        <w:jc w:val="both"/>
      </w:pPr>
      <w:r>
        <w:rPr>
          <w:rFonts w:ascii="Barlow Semi Condensed" w:cs="Barlow Semi Condensed" w:eastAsia="Barlow Semi Condensed" w:hAnsi="Barlow Semi Condensed"/>
          <w:b/>
          <w:bCs/>
          <w:sz w:val="24"/>
          <w:szCs w:val="24"/>
        </w:rPr>
        <w:t xml:space="preserve">Il paragrafo è intitolato al passaggio da un sequestro al sospetto di infedeltà di alcune consulenze tecniche e alla revoca delle relative autorizzazioni.</w:t>
      </w:r>
    </w:p>
    <w:p>
      <w:pPr>
        <w:spacing w:after="120" w:line="276"/>
        <w:jc w:val="both"/>
      </w:pPr>
      <w:r>
        <w:rPr>
          <w:rFonts w:ascii="Barlow Semi Condensed" w:cs="Barlow Semi Condensed" w:eastAsia="Barlow Semi Condensed" w:hAnsi="Barlow Semi Condensed"/>
          <w:b/>
          <w:bCs/>
          <w:sz w:val="24"/>
          <w:szCs w:val="24"/>
        </w:rPr>
        <w:t xml:space="preserve">Si registra il solo fatto che l'intitolazione stabilisce, e non altro: che la Commissione nutrì sospetto di infedeltà quanto a talune consulenze tecniche e revocò le autorizzazioni relative. Il presente atto non riferisce di quali consulenze si trattasse, non nomina alcuno, e non riferisce l'esito del sospetto, che le fonti possedute non recano.</w:t>
      </w:r>
    </w:p>
    <w:p>
      <w:pPr>
        <w:spacing w:after="120" w:line="276"/>
        <w:jc w:val="both"/>
      </w:pPr>
      <w:r>
        <w:rPr>
          <w:rFonts w:ascii="Barlow Semi Condensed" w:cs="Barlow Semi Condensed" w:eastAsia="Barlow Semi Condensed" w:hAnsi="Barlow Semi Condensed"/>
          <w:b/>
          <w:bCs/>
          <w:sz w:val="24"/>
          <w:szCs w:val="24"/>
        </w:rPr>
        <w:t xml:space="preserve">La conseguenza per la disciplina delle fonti è però immediata e generale, e non dipende dall'esito. Gli elaborati di consulenza depositati presso un organo d'inchiesta non sono fonti acquisite: sono fonti prodotte per l'organo e sotto incarico dell'organo. Essi appartengono pertanto al genere che il repertorio dell'opera qualifica come produzione su commissione, e la loro genealogia risale non al fatto ma all'incarico. Ove risulti che un incarico fu revocato per sospetto di infedeltà, gli elaborati che ne discesero non perdono di per sé valore, ma non possono essere impiegati come catena indipendente rispetto alle altre consulenze rese sotto il medesimo incarico o nel medesimo procedimento.</w:t>
      </w:r>
    </w:p>
    <w:p>
      <w:pPr>
        <w:spacing w:after="120" w:line="276"/>
        <w:jc w:val="both"/>
      </w:pPr>
      <w:r>
        <w:rPr>
          <w:rFonts w:ascii="Barlow Semi Condensed" w:cs="Barlow Semi Condensed" w:eastAsia="Barlow Semi Condensed" w:hAnsi="Barlow Semi Condensed"/>
          <w:b/>
          <w:bCs/>
          <w:sz w:val="24"/>
          <w:szCs w:val="24"/>
        </w:rPr>
        <w:t xml:space="preserve">Si registra altresì la circostanza generale che ne discende e che vale per l'intero corpus maggiore: un archivio d'inchiesta contiene, accanto ai documenti acquisiti, documenti che esso stesso ha fatto produrre; e questi ultimi hanno una genealogia interna all'archivio. Chi li computi come fonti indipendenti computa come esterno ciò che l'archivio ha generato.</w:t>
      </w:r>
    </w:p>
    <w:p>
      <w:pPr>
        <w:spacing w:after="120" w:line="276"/>
        <w:jc w:val="both"/>
      </w:pPr>
      <w:r>
        <w:rPr>
          <w:rFonts w:ascii="Barlow Semi Condensed" w:cs="Barlow Semi Condensed" w:eastAsia="Barlow Semi Condensed" w:hAnsi="Barlow Semi Condensed"/>
          <w:b/>
          <w:bCs/>
          <w:sz w:val="24"/>
          <w:szCs w:val="24"/>
        </w:rPr>
        <w:t xml:space="preserve">Voce quarantanovesima — Gli elaborati di consulenza e la revoca delle autorizzazioni. Oggetto: l'elenco degli elaborati depositati dai consulenti presso la Commissione della XII legislatura, con l'indicazione dell'incarico che li generò; e gli atti relativi alla revoca delle autorizzazioni di cui al paragrafo richiamato. Sede: atti della Commissione della XII legislatura. Chiusura: reperimento dell'elenco e degli atti di revoca. Smentita: la constatazione che la revoca riguardasse consulenze estranee alle materie del corpus maggiore, nel qual caso la voce si chiuderebbe senza conseguenze sulla graduazione degli elaborati.</w:t>
      </w:r>
    </w:p>
    <w:p>
      <w:pPr>
        <w:pStyle w:val="Heading2"/>
        <w:spacing w:after="100" w:before="200"/>
      </w:pPr>
      <w:r>
        <w:rPr>
          <w:rFonts w:ascii="Barlow Semi Condensed" w:cs="Barlow Semi Condensed" w:eastAsia="Barlow Semi Condensed" w:hAnsi="Barlow Semi Condensed"/>
          <w:sz w:val="24"/>
          <w:szCs w:val="24"/>
        </w:rPr>
        <w:t xml:space="preserve">Parte quarta — Il semestre, e ciò che non contiene</w:t>
      </w:r>
    </w:p>
    <w:p>
      <w:pPr>
        <w:spacing w:after="120" w:line="276"/>
        <w:jc w:val="both"/>
      </w:pPr>
      <w:r>
        <w:rPr>
          <w:rFonts w:ascii="Barlow Semi Condensed" w:cs="Barlow Semi Condensed" w:eastAsia="Barlow Semi Condensed" w:hAnsi="Barlow Semi Condensed"/>
          <w:b/>
          <w:bCs/>
          <w:sz w:val="24"/>
          <w:szCs w:val="24"/>
        </w:rPr>
        <w:t xml:space="preserve">L'elenco delle audizioni e degli incontri di studio del semestre comprende sedute dedicate allo stato della lotta al terrorismo, a un'organizzazione rivendicatrice, alle stragi e ai depistaggi, all'inchiesta sul disastro aereo, e a una vicenda criminale degli anni novanta; e comprende audizioni di un Ministro dell'interno, di un direttore del servizio informativo militare, di dirigenti di polizia, di ufficiali, di magistrati e di studiosi, oltre a incontri di lavoro con consulenti.</w:t>
      </w:r>
    </w:p>
    <w:p>
      <w:pPr>
        <w:spacing w:after="120" w:line="276"/>
        <w:jc w:val="both"/>
      </w:pPr>
      <w:r>
        <w:rPr>
          <w:rFonts w:ascii="Barlow Semi Condensed" w:cs="Barlow Semi Condensed" w:eastAsia="Barlow Semi Condensed" w:hAnsi="Barlow Semi Condensed"/>
          <w:b/>
          <w:bCs/>
          <w:sz w:val="24"/>
          <w:szCs w:val="24"/>
        </w:rPr>
        <w:t xml:space="preserve">Nessuna seduta del semestre è dedicata al caso.</w:t>
      </w:r>
    </w:p>
    <w:p>
      <w:pPr>
        <w:spacing w:after="120" w:line="276"/>
        <w:jc w:val="both"/>
      </w:pPr>
      <w:r>
        <w:rPr>
          <w:rFonts w:ascii="Barlow Semi Condensed" w:cs="Barlow Semi Condensed" w:eastAsia="Barlow Semi Condensed" w:hAnsi="Barlow Semi Condensed"/>
          <w:b/>
          <w:bCs/>
          <w:sz w:val="24"/>
          <w:szCs w:val="24"/>
        </w:rPr>
        <w:t xml:space="preserve">Si registra l'esito negativo. Gli atti individuati per seduta e per data in questa relazione appartengono al corpus maggiore e non all'opera, e vi si iscrivono per quella via. Si segnala fra essi, per il solo interesse di designazione, che tre sedute sono dedicate a stragi e depistaggi e una all'ultimo sviluppo dell'indagine su un attentato del millenovecentosessantanove: sono le uniche del semestre che tocchino materie contigue a quelle già censite dalle appendici anteriori.</w:t>
      </w:r>
    </w:p>
    <w:p>
      <w:pPr>
        <w:pStyle w:val="Heading2"/>
        <w:spacing w:after="100" w:before="200"/>
      </w:pPr>
      <w:r>
        <w:rPr>
          <w:rFonts w:ascii="Barlow Semi Condensed" w:cs="Barlow Semi Condensed" w:eastAsia="Barlow Semi Condensed" w:hAnsi="Barlow Semi Condensed"/>
          <w:sz w:val="24"/>
          <w:szCs w:val="24"/>
        </w:rPr>
        <w:t xml:space="preserve">Parte quinta — La catena legislativa</w:t>
      </w:r>
    </w:p>
    <w:p>
      <w:pPr>
        <w:spacing w:after="120" w:line="276"/>
        <w:jc w:val="both"/>
      </w:pPr>
      <w:r>
        <w:rPr>
          <w:rFonts w:ascii="Barlow Semi Condensed" w:cs="Barlow Semi Condensed" w:eastAsia="Barlow Semi Condensed" w:hAnsi="Barlow Semi Condensed"/>
          <w:b/>
          <w:bCs/>
          <w:sz w:val="24"/>
          <w:szCs w:val="24"/>
        </w:rPr>
        <w:t xml:space="preserve">La relazione reca, nella propria intitolazione, la catena delle leggi che governano l'organo, e la si registra perché essa è uno strumento di designazione e non un dato formale.</w:t>
      </w:r>
    </w:p>
    <w:p>
      <w:pPr>
        <w:spacing w:after="120" w:line="276"/>
        <w:jc w:val="both"/>
      </w:pPr>
      <w:r>
        <w:rPr>
          <w:rFonts w:ascii="Barlow Semi Condensed" w:cs="Barlow Semi Condensed" w:eastAsia="Barlow Semi Condensed" w:hAnsi="Barlow Semi Condensed"/>
          <w:b/>
          <w:bCs/>
          <w:sz w:val="24"/>
          <w:szCs w:val="24"/>
        </w:rPr>
        <w:t xml:space="preserve">La Commissione è istituita con la legge del ventitré dicembre millenovecentonovantadue numero 499, la quale richiama la legge del diciassette maggio millenovecentottantotto numero 172 e le sue successive modificazioni; quella legge a sua volta assegna fra i propri oggetti, come l'appendice dodicesima ha accertato, l'integrazione delle conoscenze acquisite dalla Commissione istituita con la legge del ventitré novembre millenovecentosettantanove numero 597. Il termine dei lavori, fissato al trenta dicembre millenovecentonovantacinque, è prorogato di un anno con la legge del diciannove dicembre millenovecentonovantacinque numero 538.</w:t>
      </w:r>
    </w:p>
    <w:p>
      <w:pPr>
        <w:spacing w:after="120" w:line="276"/>
        <w:jc w:val="both"/>
      </w:pPr>
      <w:r>
        <w:rPr>
          <w:rFonts w:ascii="Barlow Semi Condensed" w:cs="Barlow Semi Condensed" w:eastAsia="Barlow Semi Condensed" w:hAnsi="Barlow Semi Condensed"/>
          <w:b/>
          <w:bCs/>
          <w:sz w:val="24"/>
          <w:szCs w:val="24"/>
        </w:rPr>
        <w:t xml:space="preserve">Quattro leggi in tredici anni, ciascuna delle quali richiama la precedente. Ne segue che le tre Commissioni non sono tre organi distinti che si occuparono per caso della medesima materia, ma un solo mandato rinnovato per rinvio legislativo. Ne segue altresì che la designazione di una fonte come atto di una Commissione va accompagnata dall'indicazione della legge sotto la quale l'organo operava, poiché l'oggetto del mandato mutò per legge almeno una volta, nel giugno millenovecentonovantuno.</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iscrive la Voce quarantanovesima. Si enuncia la diciottesima regola della risalita. Si dispone che ogni citazione di documento d'inchiesta rechi l'indicazione del proprio stato deliberativo. Si registra il rafforzamento della conclusione dell'appendice settima quanto alla non cumulabilità delle conclusioni parlamentari successive.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proposta di relazione finale della XII legislatura, depositata e non discussa, non è posseduta; e non è accertato se essa contenesse trattazione del caso. Secondo: il capitolo stralciato non è posseduto e non è accertato se dello stralcio esista atto motivato. Terzo: gli atti relativi alla revoca delle autorizzazioni non sono posseduti. Quarto: la relazione conclusiva della XII legislatura non risulta essere stata approvata, e il presente atto non accerta se una relazione conclusiva di quella legislatura esista.</w:t>
      </w:r>
    </w:p>
    <w:p>
      <w:pPr>
        <w:spacing w:after="120" w:line="276"/>
        <w:jc w:val="both"/>
      </w:pPr>
      <w:r>
        <w:rPr>
          <w:rFonts w:ascii="Barlow Semi Condensed" w:cs="Barlow Semi Condensed" w:eastAsia="Barlow Semi Condensed" w:hAnsi="Barlow Semi Condensed"/>
          <w:b/>
          <w:bCs/>
          <w:sz w:val="24"/>
          <w:szCs w:val="24"/>
        </w:rPr>
        <w:t xml:space="preserve">Si osservi che il quarto Stato Zero, ove confermato, chiuderebbe negativamente una ricerca aperta dall'appendice settima: essa aveva spostato la verifica sull'esecuzione della raccomandazione relativa al repertorio del Gabinetto verso gli indici di acquisizione e la relazione conclusiva della XII legislatura. Se quella relazione non fu approvata, resta il solo primo termine.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tredicesima del giorno sul medesimo cantiere. Cantiere: designazione per atto delle fonti. Materia: la terza relazione semestrale della XII legislatura, con la quale quella Commissione chiude i propri lavori.</w:t>
      </w:r>
    </w:p>
    <w:p>
      <w:pPr>
        <w:spacing w:after="120" w:line="276"/>
        <w:jc w:val="both"/>
      </w:pPr>
      <w:r>
        <w:rPr>
          <w:rFonts w:ascii="Barlow Semi Condensed" w:cs="Barlow Semi Condensed" w:eastAsia="Barlow Semi Condensed" w:hAnsi="Barlow Semi Condensed"/>
          <w:b/>
          <w:bCs/>
          <w:sz w:val="24"/>
          <w:szCs w:val="24"/>
        </w:rPr>
        <w:t xml:space="preserve">Esito positivo: accertamento che la proposta di relazione finale fu depositata, non posta in discussione e amputata di un capitolo, con enunciazione della diciottesima regola della risalita e disposizione sull'indicazione dello stato deliberativo; acquisizione della teorizzazione, da parte dell'organo medesimo, della discontinuità di memoria istituzionale, con l'aggiunta decisiva che le divergenze fra Commissioni successive possono avere causa politica anziché istruttoria; registrazione della revoca di autorizzazioni a consulenze per sospetto di infedeltà, con la conseguente disciplina sugli elaborati prodotti su incarico dell'organo; ricostruzione della catena delle quattro leggi che governano il mandato dal millenovecentosettantanove al millenovecentonovantasei;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nessuna seduta del semestre è dedicata al caso; la proposta di relazione non è posseduta; il capitolo stralciato non è posseduto; gli atti di revoca non sono posseduti; non risulta che la XII legislatura abbia approvato una relazione conclusiva, il che restringe negativamente una ricerca aperta dall'appendice settima.</w:t>
      </w:r>
    </w:p>
    <w:p>
      <w:pPr>
        <w:spacing w:after="120" w:line="276"/>
        <w:jc w:val="both"/>
      </w:pPr>
      <w:r>
        <w:rPr>
          <w:rFonts w:ascii="Barlow Semi Condensed" w:cs="Barlow Semi Condensed" w:eastAsia="Barlow Semi Condensed" w:hAnsi="Barlow Semi Condensed"/>
          <w:b/>
          <w:bCs/>
          <w:sz w:val="24"/>
          <w:szCs w:val="24"/>
        </w:rPr>
        <w:t xml:space="preserve">Riga di rafforzamento. Si registra che una conclusione dell'appendice settima — la non cumulabilità delle conclusioni parlamentari successive — è qui confermata dalla fonte e insieme fondata su una causa che l'appendice settima non conosceva. Un rafforzamento di questa specie vale quanto una correzione, poiché una conclusione esatta per la ragione sbagliata è esposta a cadere insieme alla ragione.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merito di alcuna delle inchieste menzionate, non nomina alcuna delle persone che compaiono nell'elenco delle sedute, e in particolare non riferisce a quali consulenze si riferisse il sospetto di infedeltà né quale ne fu l'esito, che le fonti possedute non recano. La registrazione di quel sospetto è fatta ai soli fini della disciplina di graduazione degli elaborati prodotti su incarico, e non implica alcun giudizio su alcuno.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QUINDICESIMA ALLA FASE SETTIMA, la relazione che non fu discussa, quindici agosto duemilaventisei. I settanta Capitoli restano settanta. Le redazioni anteriori non sono modificate: le pietre deposte non si scalpellano. Resta sovrana la Regola di Ferro: dove la fonte documenta, l'opera certifica; dove la fonte tace, l'opera indaga e non afferma. Una proposta depositata e non discussa non è una relazione, e le fonti si designano per lo stato deliberativo che hanno raggiunto.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XII · Appendice quindicesima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XII: 1.999 parole in 9 sezioni; la più ampia è §9 Altre sezioni, con 1.640.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Il repertorio del caso</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 Libro decimo · Il repertorio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2.000 parole in 4 sezioni; la più ampia è §3 Segmento 3, con 628.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36 paragrafi in 4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 Il principio personalistico</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Il principio personalistico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2.378 parole in 4 sezioni; la più ampia è §2 Segmento 2, con 672.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8 indirizzi di fonte citati, addensati in 3 sezioni su 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La prosopografia dei tredici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2.945 parole in 9 sezioni; la più ampia è §9 Altre sezioni, con 1.242.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20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La seconda campagna di ricognizioni (25 agosto 2026)</w:t>
      </w:r>
    </w:p>
    <w:p>
      <w:pPr>
        <w:spacing w:after="120" w:line="276"/>
        <w:jc w:val="both"/>
      </w:pPr>
      <w:r>
        <w:rPr>
          <w:rFonts w:ascii="Barlow Semi Condensed" w:cs="Barlow Semi Condensed" w:eastAsia="Barlow Semi Condensed" w:hAnsi="Barlow Semi Condensed"/>
          <w:sz w:val="24"/>
          <w:szCs w:val="24"/>
        </w:rPr>
        <w:t xml:space="preserve">Tre ricognizioni nuove, archiviate integralmente e triangolate col corpus (la triangolazione è nel documento dedicato in coda alla tabella):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originali/documenti-italiani-spagnoli-opus-dei.md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documenti di Stato italiani e spagnoli e l'Opus Dei come soggetto storico</w:t>
            </w:r>
            <w:r>
              <w:rPr>
                <w:rFonts w:ascii="Barlow Semi Condensed" w:cs="Barlow Semi Condensed" w:eastAsia="Barlow Semi Condensed" w:hAnsi="Barlow Semi Condensed"/>
                <w:sz w:val="20"/>
                <w:szCs w:val="20"/>
              </w:rPr>
              <w:t xml:space="preserve">, in dodici capitoli: la Libia dal golpe del 1969 alla confisca del 21 luglio 1970, Osimo in incubazione, il Medio Oriente fra equidistanza e filoarabismo, la CSCE da Dipoli a Helsinki, la NATO e Cipro 1974, il TNP, la Cina del 1970, il Vertice dell'Aja, gli atti parlamentari, il </w:t>
            </w:r>
            <w:r>
              <w:rPr>
                <w:rFonts w:ascii="Barlow Semi Condensed" w:cs="Barlow Semi Condensed" w:eastAsia="Barlow Semi Condensed" w:hAnsi="Barlow Semi Condensed"/>
                <w:b/>
                <w:bCs/>
                <w:sz w:val="20"/>
                <w:szCs w:val="20"/>
              </w:rPr>
              <w:t xml:space="preserve">documento CIA del 22 maggio 1970</w:t>
            </w:r>
            <w:r>
              <w:rPr>
                <w:rFonts w:ascii="Barlow Semi Condensed" w:cs="Barlow Semi Condensed" w:eastAsia="Barlow Semi Condensed" w:hAnsi="Barlow Semi Condensed"/>
                <w:sz w:val="20"/>
                <w:szCs w:val="20"/>
              </w:rPr>
              <w:t xml:space="preserve"> sul gabinetto spagnolo (con la frase deliberatamente anonima sull'«Italian official» che NON va attribuita a Moro), lo </w:t>
            </w:r>
            <w:r>
              <w:rPr>
                <w:rFonts w:ascii="Barlow Semi Condensed" w:cs="Barlow Semi Condensed" w:eastAsia="Barlow Semi Condensed" w:hAnsi="Barlow Semi Condensed"/>
                <w:b/>
                <w:bCs/>
                <w:sz w:val="20"/>
                <w:szCs w:val="20"/>
              </w:rPr>
              <w:t xml:space="preserve">Stato Zero sul contatto diretto Moro-ministri spagnoli</w:t>
            </w:r>
            <w:r>
              <w:rPr>
                <w:rFonts w:ascii="Barlow Semi Condensed" w:cs="Barlow Semi Condensed" w:eastAsia="Barlow Semi Condensed" w:hAnsi="Barlow Semi Condensed"/>
                <w:sz w:val="20"/>
                <w:szCs w:val="20"/>
              </w:rPr>
              <w:t xml:space="preserve">, il versante vaticano (udienza López Bravo-Paolo VI del 12/1/1973; caso Añoveros)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originali/santa-sede-due-germanie-oder-neisse.md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Santa Sede e le due Germanie, con l'accertamento della sequenza Oder-Neisse</w:t>
            </w:r>
            <w:r>
              <w:rPr>
                <w:rFonts w:ascii="Barlow Semi Condensed" w:cs="Barlow Semi Condensed" w:eastAsia="Barlow Semi Condensed" w:hAnsi="Barlow Semi Condensed"/>
                <w:sz w:val="20"/>
                <w:szCs w:val="20"/>
              </w:rPr>
              <w:t xml:space="preserve">: Trattato di Varsavia firmato il 7/12/1970, ratificato il 17/5/1972, in vigore il 3/6/1972; </w:t>
            </w:r>
            <w:r>
              <w:rPr>
                <w:rFonts w:ascii="Barlow Semi Condensed" w:cs="Barlow Semi Condensed" w:eastAsia="Barlow Semi Condensed" w:hAnsi="Barlow Semi Condensed"/>
                <w:b/>
                <w:bCs/>
                <w:sz w:val="20"/>
                <w:szCs w:val="20"/>
              </w:rPr>
              <w:t xml:space="preserve">costituzioni apostoliche del 28/6/1972</w:t>
            </w:r>
            <w:r>
              <w:rPr>
                <w:rFonts w:ascii="Barlow Semi Condensed" w:cs="Barlow Semi Condensed" w:eastAsia="Barlow Semi Condensed" w:hAnsi="Barlow Semi Condensed"/>
                <w:sz w:val="20"/>
                <w:szCs w:val="20"/>
              </w:rPr>
              <w:t xml:space="preserve"> (venticinque giorni dopo) — col nesso attestato dalla comunicazione vaticana e dalla storiografia (Hummel), mentre il testo canonico resta deliberatamente pastorale. Lo scambio epistolare degli episcopati del 1965 («perdoniamo e chiediamo perdono»), la soluzione più cauta per la DDR (amministratori apostolici, 1973), il riconoscimento italiano della RDT (17/1/1973, ministro Medici, fra i due mandati di Moro), il Reichskonkordat, la correzione della data Stoll (6/9/1978)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originali/portogallo-santa-sede-1969-1974.md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Portogallo e la Santa Sede</w:t>
            </w:r>
            <w:r>
              <w:rPr>
                <w:rFonts w:ascii="Barlow Semi Condensed" w:cs="Barlow Semi Condensed" w:eastAsia="Barlow Semi Condensed" w:hAnsi="Barlow Semi Condensed"/>
                <w:sz w:val="20"/>
                <w:szCs w:val="20"/>
              </w:rPr>
              <w:t xml:space="preserve">: la Conferenza romana del giugno 1970 e l'udienza di Paolo VI ai leader dei movimenti di liberazione (1/7/1970); Wiriyamu (16/12/1972, forbice 150-400 vittime dichiarata); i 48 Padri Bianchi (maggio 1971); l'</w:t>
            </w:r>
            <w:r>
              <w:rPr>
                <w:rFonts w:ascii="Barlow Semi Condensed" w:cs="Barlow Semi Condensed" w:eastAsia="Barlow Semi Condensed" w:hAnsi="Barlow Semi Condensed"/>
                <w:b/>
                <w:bCs/>
                <w:sz w:val="20"/>
                <w:szCs w:val="20"/>
              </w:rPr>
              <w:t xml:space="preserve">espulsione del vescovo Vieira Pinto e dei comboniani (13/4/1974)</w:t>
            </w:r>
            <w:r>
              <w:rPr>
                <w:rFonts w:ascii="Barlow Semi Condensed" w:cs="Barlow Semi Condensed" w:eastAsia="Barlow Semi Condensed" w:hAnsi="Barlow Semi Condensed"/>
                <w:sz w:val="20"/>
                <w:szCs w:val="20"/>
              </w:rPr>
              <w:t xml:space="preserve"> undici giorni prima della Rivoluzione dei garofani; l'esito negativo di pieno valore: </w:t>
            </w:r>
            <w:r>
              <w:rPr>
                <w:rFonts w:ascii="Barlow Semi Condensed" w:cs="Barlow Semi Condensed" w:eastAsia="Barlow Semi Condensed" w:hAnsi="Barlow Semi Condensed"/>
                <w:b/>
                <w:bCs/>
                <w:sz w:val="20"/>
                <w:szCs w:val="20"/>
              </w:rPr>
              <w:t xml:space="preserve">nessun atto italiano reperito sull'espulsione</w:t>
            </w:r>
            <w:r>
              <w:rPr>
                <w:rFonts w:ascii="Barlow Semi Condensed" w:cs="Barlow Semi Condensed" w:eastAsia="Barlow Semi Condensed" w:hAnsi="Barlow Semi Condensed"/>
                <w:sz w:val="20"/>
                <w:szCs w:val="20"/>
              </w:rPr>
              <w:t xml:space="preserve">, col motore anticoloniale nella società civile (Reggio Emilia) e non nel governo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triangolazione integrale della seconda campagna</w:t>
            </w:r>
            <w:r>
              <w:rPr>
                <w:rFonts w:ascii="Barlow Semi Condensed" w:cs="Barlow Semi Condensed" w:eastAsia="Barlow Semi Condensed" w:hAnsi="Barlow Semi Condensed"/>
                <w:sz w:val="20"/>
                <w:szCs w:val="20"/>
              </w:rPr>
              <w:t xml:space="preserve">: le nuove ricognizioni incrociate fra loro, col corpus della cartella, coi cantieri e con l'agenda; le verifiche web dei fatti portanti; le correzioni per nota; l'incrocio metodologico con l'opera privata (solo metodo, mai nomi)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Moro alla Farnesina (collazione)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1.580 parole in 3 sezioni; la più ampia è §2 I documenti, con 946.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22 paragrafi in 3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 La ricognizione-madre: Moro ministro degli Esteri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(agosto 1969 – novembre 1974): ricognizione storiografica e archivistica con tre versanti e triangolazioni</w:t>
      </w:r>
    </w:p>
    <w:p>
      <w:pPr>
        <w:pStyle w:val="Heading2"/>
        <w:spacing w:after="100" w:before="200"/>
      </w:pPr>
      <w:r>
        <w:rPr>
          <w:rFonts w:ascii="Barlow Semi Condensed" w:cs="Barlow Semi Condensed" w:eastAsia="Barlow Semi Condensed" w:hAnsi="Barlow Semi Condensed"/>
          <w:sz w:val="24"/>
          <w:szCs w:val="24"/>
        </w:rPr>
        <w:t xml:space="preserve">Capitolo I — Cronologia degli incarichi e la controversia sulle date</w:t>
      </w:r>
    </w:p>
    <w:p>
      <w:pPr>
        <w:spacing w:after="120" w:line="276"/>
        <w:jc w:val="both"/>
      </w:pPr>
      <w:r>
        <w:rPr>
          <w:rFonts w:ascii="Barlow Semi Condensed" w:cs="Barlow Semi Condensed" w:eastAsia="Barlow Semi Condensed" w:hAnsi="Barlow Semi Condensed"/>
          <w:sz w:val="24"/>
          <w:szCs w:val="24"/>
        </w:rPr>
        <w:t xml:space="preserve">La prima passata aveva registrato una discrepanza fra le fonti sulla data d'inizio del mandato (maggio o agosto 1969). La ricognizione consente ora di dirimerla. Il Portale storico della Camera dei deputati (fonte primaria istituzionale, scheda "Composizione dei governi") data il giuramento del II Governo Rumor al 5 agosto 1969: è questo il momento in cui Moro assume la Farnesina, mentre nel I Governo Rumor, in carica fino al 5 agosto 1969, il titolare degli Esteri era Pietro Nenni. La data "maggio 1969" che compare in Wikipedia in lingua inglese ("from May 1969") è dunque impropria e va corretta. La successione ministeriale documentata dal medesimo portale è la seguente: II Governo Rumor (5 agosto 1969 – 27 marzo 1970), Camera dei Deputati (https://storia.camera.it/governi/ii-governo-rumor) III Governo Rumor (27 marzo – 6 agosto 1970), Camera dei Deputati (https://storia.camera.it/governi/iii-governo-rumor/storia/dal:19700327,al:19700401) Governo Colombo (6 agosto 1970 – 17 febbraio 1972), I Governo Andreotti (17 febbraio – 26 giugno 1972); segue una interruzione, poiché nel II Governo Andreotti (giugno 1972 – luglio 1973) Moro non è ministro; infine IV e V Governo Rumor (7 luglio 1973 – 23 novembre 1974). La scheda ufficiale del Ministero degli Affari Esteri (esteri.it, "Ministri degli esteri – Aldo Moro") conferma la sequenza in forma sintetica: "Dal 1969 al 1974 è Ministro degli affari esteri nel II e III Governo Rumor, Colombo, I Andreotti, IV e V Rumor". Esteri (https://www.esteri.it/it/ministero/storia/ministri_esteri/aldo_moro/) La Treccani (Dizionario Biografico, voce di Massimo Mastrogregori) usa la formula "ininterrottamente ministro degli Esteri dall'agosto 1969 […] fino al novembre 1974 […] chiamandosi fuori solo dal secondo governo Andreotti": Treccani (https://www.treccani.it/enciclopedia/aldo-moro_(Dizionario-Biografico)/) va rilevato che l'aggettivo "ininterrottamente" è impreciso, poiché la stessa fonte riconosce l'esclusione dal biennio 1972-1973. Durante tale intervallo Moro presiedette la III Commissione Affari esteri della Camera: la scheda biografico-parlamentare ufficiale (storia.camera.it, "Componenti organi") attesta che ne fu membro dal 25 maggio 1972 al 4 luglio 1976 e presidente dall'11 luglio 1972 al 7 luglio 1973, Camera dei Deputati (https://storia.camera.it/deputato/aldo-moro-19160923/componentiorgani) incarico cessato per il rientro al governo. Il documento attesta le date; se ne inferisce, ma le fonti non lo affermano esplicitamente, che la presidenza fu una collocazione di attesa fra due mandati ministeriali. Va infine ricordato che già nel II Gabinetto Moro (1964-1966) egli aveva assunto per breve tempo l'interim degli Esteri dopo le dimissioni di Saragat (scheda esteri.it), dato che precede il periodo qui in esame ma ne illumina la continuità di competenza.</w:t>
      </w:r>
    </w:p>
    <w:p>
      <w:pPr>
        <w:pStyle w:val="Heading2"/>
        <w:spacing w:after="100" w:before="200"/>
      </w:pPr>
      <w:r>
        <w:rPr>
          <w:rFonts w:ascii="Barlow Semi Condensed" w:cs="Barlow Semi Condensed" w:eastAsia="Barlow Semi Condensed" w:hAnsi="Barlow Semi Condensed"/>
          <w:sz w:val="24"/>
          <w:szCs w:val="24"/>
        </w:rPr>
        <w:t xml:space="preserve">Capitolo II — L'Archivio Storico Diplomatico e l'accessibilità dei fondi 1969-1974</w:t>
      </w:r>
    </w:p>
    <w:p>
      <w:pPr>
        <w:spacing w:after="120" w:line="276"/>
        <w:jc w:val="both"/>
      </w:pPr>
      <w:r>
        <w:rPr>
          <w:rFonts w:ascii="Barlow Semi Condensed" w:cs="Barlow Semi Condensed" w:eastAsia="Barlow Semi Condensed" w:hAnsi="Barlow Semi Condensed"/>
          <w:sz w:val="24"/>
          <w:szCs w:val="24"/>
        </w:rPr>
        <w:t xml:space="preserve">Guido Levi, in "Spagna contemporanea" n. 49/2016 (studio scientifico peer-reviewed), dichiarava non consultabili, per gli anni presi in esame, i fondi conservati presso il Ministero degli Affari Esteri, ripiegando perciò sugli Archivi storici dell'Unione Europea di Firenze e sull'Archivio dell'Istituto Sturzo (fondi Martino, Natali, Spinelli, Andreotti). La ricognizione attuale sul sito dell'Archivio Storico Diplomatico (fonte istituzionale) accerta che l'accessibilità è regolata dal criterio dei cinquant'anni: sono consultabili, dietro autorizzazione del capo dell'Unità, i documenti che risalgono a oltre cinquant'anni, con facoltà eccezionale del Ministro di ridurre il termine a trent'anni; le situazioni private attendono settant'anni. Ne discende, per inferenza dalla norma e non da dichiarazione esplicita dell'Archivio, che al 2026 la barriera dei cinquant'anni copre ormai l'intero arco 1969-1974, teoricamente reso consultabile. Persiste tuttavia una condizione operativa: per la documentazione dal 1949 in poi l'utente deve preventivamente contattare l'Archivio per verificare la disponibilità dei faldoni, segno che l'ordinamento e l'inventariazione non sono conclusi per tutte le serie. Il sito segnala il completamento dell'inventariazione di alcuni fondi (Archivio Scuole e altri) senza menzionare specificamente le serie di maggiore interesse per questa ricerca — "Ambasciata d'Italia a Madrid", "Direzione Generale Affari Politici", carteggi del gabinetto del ministro. Esito negativo da registrare: non è stato reperito online un inventario analitico e nominativo che attesti l'apertura effettiva del carteggio di gabinetto di Moro ministro né della serie dell'ambasciata di Madrid per il 1969-1974. La sede presso cui la verifica va condotta è la Sala Studio dell'Archivio Storico Diplomatico alla Farnesina, previa registrazione al portale asd.esteri.it e contatto con archiviostorico@esteri.it; responsabile indicata è la dott.ssa Paola Busonero. Esteri (https://www.esteri.it/it/temi/uap/archivio-storico-e-biblioteca/archivio-storico-diplomatico/servizi-allutenza/) Si segnala inoltre che l'Archivio pubblica la raccolta ufficiale dei Documenti Diplomatici Italiani (DDI): esito negativo, non è stato possibile in questa ricognizione stabilire se le annate 1969-1974 siano già uscite nella serie a stampa, dato da verificare presso l'Archivio e presso i cataloghi dell'Istituto Poligrafico. La natura del rilievo è duplice: la fonte normativa attesta la consultabilità di principio; la fonte procedurale attesta l'incertezza di fatto.</w:t>
      </w:r>
    </w:p>
    <w:p>
      <w:pPr>
        <w:pStyle w:val="Heading2"/>
        <w:spacing w:after="100" w:before="200"/>
      </w:pPr>
      <w:r>
        <w:rPr>
          <w:rFonts w:ascii="Barlow Semi Condensed" w:cs="Barlow Semi Condensed" w:eastAsia="Barlow Semi Condensed" w:hAnsi="Barlow Semi Condensed"/>
          <w:sz w:val="24"/>
          <w:szCs w:val="24"/>
        </w:rPr>
        <w:t xml:space="preserve">Capitolo III — Gli archivi spagnoli e il versante Italia-Spagna</w:t>
      </w:r>
    </w:p>
    <w:p>
      <w:pPr>
        <w:spacing w:after="120" w:line="276"/>
        <w:jc w:val="both"/>
      </w:pPr>
      <w:r>
        <w:rPr>
          <w:rFonts w:ascii="Barlow Semi Condensed" w:cs="Barlow Semi Condensed" w:eastAsia="Barlow Semi Condensed" w:hAnsi="Barlow Semi Condensed"/>
          <w:sz w:val="24"/>
          <w:szCs w:val="24"/>
        </w:rPr>
        <w:t xml:space="preserve">Per il secondo versante la ricognizione ha interrogato l'assetto degli archivi statali spagnoli. L'Archivo General de la Administración (AGA) di Alcalá de Henares, creato con Decreto 914/1969 e operativo dal 1972 Ministerio de Cultura (https://www.cultura.gob.es/cultura/areas/archivos/mc/archivos/aga/fondos-documentales/introduccion.html) (fonte istituzionale, Ministerio de Cultura), è l'archivio intermedio che raccoglie la documentazione dell'amministrazione centrale, compresa quella del Ministerio de Asuntos Exteriores e delle rappresentanze all'estero. Ministerio de Cultura (https://www.cultura.gob.es/cultura/areas/archivos/mc/archivos/aga/fondos-documentales/introduccion.html) Il portale PARES (Portal de Archivos Españoles) e il Censo-Guía attestano che l'Archivo General del Ministerio de Asuntos Exteriores trasferisce annualmente all'AGA le frazioni di serie con più di quindici anni di anzianità, in forza del Decreto 8 maggio 1969; PARES (https://pares.mcu.es/ParesBusquedas20/catalogo/description/167744) la documentazione del Ministero fino al 1985, "a grosso modo", risulta già trasferita all'AGA. MPR (https://www.mpr.gob.es/memoriademocratica/archivos-estatales/Paginas/Guias/Gu%C3%ADa%20de%20fuentes%20documentales/Ministerios/Asuntos%20Exteriores/archivo-general-del-ministerio-de-asuntos-exterior.aspx) Ne discende, per inferenza dalla norma di trasferimento e non da un inventario nominativo consultato, che la corrispondenza fra il Ministerio de Asuntos Exteriores e l'Embajada de España en Roma per il 1969-1975 dovrebbe trovarsi materialmente all'AGA, nel fondo del Servizio Esterno. Le condizioni di accesso indicate da PARES rinviano genericamente alla "normativa che regola l'accesso ai fondi pubblici di titolarità statale". Cultura (https://censoarchivos.cultura.gob.es/CensoGuia/fondoDetail.htm?id=1096317) Esiti negativi da registrare con pieno valore: non è stato reperito online un inventario analitico che isoli il carteggio dell'ambasciata spagnola a Roma per gli anni in questione; non è stata reperita documentazione già edita su incontri o corrispondenza diretta fra Gregorio López Bravo, Laureano López Rodó, Pedro Cortina Mauri e Aldo Moro; non è stata reperita documentazione spagnola edita sulla posizione di Madrid riguardo alla politica italiana né sulla reazione spagnola al sequestro Moro del 1978. La sede presso cui condurre la ricerca è duplice: l'AGA di Alcalá de Henares per il fondo del Ministero e delle rappresentanze (segnatamente Embajada en Roma) e, per la documentazione posteriore al 1985 o non ancora trasferita, l'Archivo General del Ministerio de Asuntos Exteriores, Unión Europea y Cooperación a Madrid. Ministerio de Asuntos Exteriores de España (https://www.exteriores.gob.es/es/ServiciosAlCiudadano/Paginas/Archivo-General-y-Biblioteca-Central.aspx) Un dato accertato è che Cortina Mauri, ministro degli Esteri spagnolo, fu protagonista, nel febbraio-marzo 1974, del caso Añoveros con il nunzio Dadaglio, Wikipedia (https://es.wikipedia.org/wiki/Caso_A%C3%B1overos) elemento che colloca l'interlocutore spagnolo di Moro anche sul versante ecclesiastico (v. Capitolo X). Si segnala infine, quale reperto collaterale, che una fonte peer-reviewed (Redalyc/Amelica, "Il caso Moro e il Cile dei militari") documenta l'attenzione internazionale del 1978 alle misure antiterrorismo, ma non tratta la reazione spagnola in senso proprio.</w:t>
      </w:r>
    </w:p>
    <w:p>
      <w:pPr>
        <w:pStyle w:val="Heading2"/>
        <w:spacing w:after="100" w:before="200"/>
      </w:pPr>
      <w:r>
        <w:rPr>
          <w:rFonts w:ascii="Barlow Semi Condensed" w:cs="Barlow Semi Condensed" w:eastAsia="Barlow Semi Condensed" w:hAnsi="Barlow Semi Condensed"/>
          <w:sz w:val="24"/>
          <w:szCs w:val="24"/>
        </w:rPr>
        <w:t xml:space="preserve">Capitolo IV — Il versante statunitense: FRUS, National Archives, Comitato dei 303</w:t>
      </w:r>
    </w:p>
    <w:p>
      <w:pPr>
        <w:spacing w:after="120" w:line="276"/>
        <w:jc w:val="both"/>
      </w:pPr>
      <w:r>
        <w:rPr>
          <w:rFonts w:ascii="Barlow Semi Condensed" w:cs="Barlow Semi Condensed" w:eastAsia="Barlow Semi Condensed" w:hAnsi="Barlow Semi Condensed"/>
          <w:sz w:val="24"/>
          <w:szCs w:val="24"/>
        </w:rPr>
        <w:t xml:space="preserve">Il terzo versante è quello meglio servito da fonti primarie edite. La serie Foreign Relations of the United States (FRUS) e i National Archives statunitensi conservano verbali dei colloqui italo-americani con Moro ministro. È accertato e integralmente disponibile il memorandum of conversation del 25 settembre 1974 nell'Oval Office fra il presidente Giovanni Leone, il ministro Aldo Moro, il presidente Gerald Ford e il segretario di Stato Henry Kissinger, con Brent Scowcroft (fonte primaria: Gerald R. Ford Presidential Library, National Security Adviser's Memoranda of Conversation, doc. 1552802; Internet Archive (https://archive.org/stream/KissingerAldoMoro1552802/Kissinger%20Aldo%20Moro%201552802_djvu.txt) edito anche in FRUS 1969-1976, vol. E-15, part 2, doc. 350). Il verbale del successivo incontro del 26 settembre 1974 è parimenti disponibile (Ford Library, doc. 1552806). Rilievo di merito, attestato dal documento: alla vigilia, il 25 settembre, Kissinger disse a Ford che gli italiani dovevano sentirsi dire "tough" che qualunque presenza comunista al governo avrebbe mutato le relazioni, aggiungendo una valutazione sul rischio di contagio in Francia, Germania e Grecia. U.S. Department of State (https://history.state.gov/historicaldocuments/frus1969-76ve15p2Ed2/d350) Il documento attesta la posizione di Kissinger sul PCI; non attesta una posizione di Moro sul medesimo punto in quella sede, che non va inferita. Sul Comitato dei 303 e sull'azione coperta in Italia, il volume XLI (Western Europe; NATO, 1969-1972) reca al documento 180 il verbale della riunione dell'11 marzo 1969 presieduta da Kissinger, con Johnson, Packard e Helms presenti: Karamessines vi illustrò origini e livelli del programma di sostegno coperto ai partiti italiani 1948-1968, e i presenti convennero all'unanimità che non vi fosse "real justification for resumption of covert funding". state (https://history.state.gov/historicaldocuments/frus1969-76v41/d180) La riunione è dunque del marzo 1969, quando Moro non era ancora ministro degli Esteri (lo divenne il 5 agosto 1969): la contemporaneità è solo apparente e non va trattata come nesso. Documenti coevi (FRUS vol. XLI, doc. 188) registrano l'istruzione di Nixon del dicembre 1969 di avviare uno "study on Italy". U.S. Department of State (https://history.state.gov/historicaldocuments/frus1969-76v41/d188) Un saggio peer-reviewed (Diplomacy &amp; Statecraft, 2024) segnala che il programma di azione coperta in Italia riemerse nel novembre 1975 e nel luglio 1976, Taylor &amp; Francis Online (https://www.tandfonline.com/doi/full/10.1080/09592296.2024.2303859) quando Moro era però presidente del Consiglio. Esiti negativi da registrare: in questa ricognizione non sono stati reperiti verbali editi di colloqui diretti Moro-Nixon o Moro-Rogers negli anni 1969-1972 comparabili per completezza a quello del 1974; la sede presso cui cercarli è la serie FRUS 1969-1976 (volumi sull'Europa occidentale e sul Mediterraneo) e i Nixon Presidential Materials, NSC Files, Country Files: Italy, presso i National Archives di College Park.</w:t>
      </w:r>
    </w:p>
    <w:p>
      <w:pPr>
        <w:pStyle w:val="Heading2"/>
        <w:spacing w:after="100" w:before="200"/>
      </w:pPr>
      <w:r>
        <w:rPr>
          <w:rFonts w:ascii="Barlow Semi Condensed" w:cs="Barlow Semi Condensed" w:eastAsia="Barlow Semi Condensed" w:hAnsi="Barlow Semi Condensed"/>
          <w:sz w:val="24"/>
          <w:szCs w:val="24"/>
        </w:rPr>
        <w:t xml:space="preserve">Capitolo V — La documentazione parlamentare italiana</w:t>
      </w:r>
    </w:p>
    <w:p>
      <w:pPr>
        <w:spacing w:after="120" w:line="276"/>
        <w:jc w:val="both"/>
      </w:pPr>
      <w:r>
        <w:rPr>
          <w:rFonts w:ascii="Barlow Semi Condensed" w:cs="Barlow Semi Condensed" w:eastAsia="Barlow Semi Condensed" w:hAnsi="Barlow Semi Condensed"/>
          <w:sz w:val="24"/>
          <w:szCs w:val="24"/>
        </w:rPr>
        <w:t xml:space="preserve">Il settimo obiettivo riguarda gli atti parlamentari. La ricognizione, condotta sui portali storici di Camera e Senato (fonti primarie istituzionali), conferma anzitutto la cornice biografico-parlamentare: Moro fu eletto alla Camera nella circoscrizione di Bari e presiedette la III Commissione Affari esteri della Camera dall'11 luglio 1972 al 7 luglio 1973 (storia.camera.it, scheda "Componenti organi", v. Capitolo I). Quanto ai discorsi e alle repliche sui bilanci annuali del Ministero degli Affari Esteri per gli esercizi 1970, 1971, 1972 e 1974, l'esito è parziale e va dichiarato come tale. È accertata l'esistenza documentaria degli esami degli stati di previsione: il Senato conserva, nella lista dei resoconti stenografici delle Commissioni della V legislatura, l'esame in sede consultiva dello stato di previsione della spesa per gli esercizi 1971 e 1972 (senato.it, resoconti stenografici di Commissione). È accertata altresì l'esistenza, nel Fondo Aldo Moro conservato dall'Archivio storico del Senato (patrimonio.archivio.senato.it, con documentazione proveniente dall'Archivio Centrale dello Stato), delle stesure dei suoi discorsi: fra le unità archivistiche figurano un "Intervento alla Commissione affari esteri del Senato sulla situazione in Libia" Senato della Repubblica (https://patrimonio.archivio.senato.it/inventario/scheda/aldo-moro/IT-AFS-048-000517/intervento-alla-commissione-affari-esteri-del-senato-sulla-situazione-libia) e un "Intervento alla Commissione esteri della Camera dei deputati" (quest'ultimo in tre stesure, di cui una manoscritta, con materiale preparatorio). Senato della Repubblica (https://patrimonio.archivio.senato.it/inventario/scheda/aldo-moro/IT-AFS-048-000644/intervento-alla-commissione-%20esteri-della-camera-deputati) Il documento attesta l'esistenza dei testi; le schede non recano però l'anno di esercizio del bilancio, sicché l'aggancio puntuale seduta-data resta da compiere. Esito negativo esplicito: non è stato possibile isolare, con numero di seduta e data, le repliche di Moro nelle discussioni dei bilanci Esteri 1970-1974, per limiti di accesso (robots.txt) alle schede "dibattiti" dei portali. La sede presso cui completare l'accertamento è triplice: la banca dati "dibattiti" della scheda deputato Moro su storia.camera.it per le legislature V e VI; la banca dati dei resoconti stenografici d'Assemblea del Senato per le medesime legislature; e soprattutto la raccolta ufficiale Aldo Moro, Discorsi parlamentari (Camera dei deputati, Roma 1996, 2 voll.), che indicizza le repliche con la data. Come nota di metodo va rilevato che nel periodo gli stati di previsione erano spesso esaminati in sede di Commissione, mentre la discussione generale di politica estera si teneva in Assemblea: ciò spiega la dispersione documentaria e raccomanda di distinguere gli interventi d'Aula da quelli di Commissione. Il rendimento atteso di questa acquisizione è alto, poiché i discorsi di bilancio contengono l'autorappresentazione dottrinale della politica estera moroana.</w:t>
      </w:r>
    </w:p>
    <w:p>
      <w:pPr>
        <w:pStyle w:val="Heading2"/>
        <w:spacing w:after="100" w:before="200"/>
      </w:pPr>
      <w:r>
        <w:rPr>
          <w:rFonts w:ascii="Barlow Semi Condensed" w:cs="Barlow Semi Condensed" w:eastAsia="Barlow Semi Condensed" w:hAnsi="Barlow Semi Condensed"/>
          <w:sz w:val="24"/>
          <w:szCs w:val="24"/>
        </w:rPr>
        <w:t xml:space="preserve">Capitolo VI — La dottrina dell'equilibrio, la CSCE, la Cina e la CEE-Spagna</w:t>
      </w:r>
    </w:p>
    <w:p>
      <w:pPr>
        <w:spacing w:after="120" w:line="276"/>
        <w:jc w:val="both"/>
      </w:pPr>
      <w:r>
        <w:rPr>
          <w:rFonts w:ascii="Barlow Semi Condensed" w:cs="Barlow Semi Condensed" w:eastAsia="Barlow Semi Condensed" w:hAnsi="Barlow Semi Condensed"/>
          <w:sz w:val="24"/>
          <w:szCs w:val="24"/>
        </w:rPr>
        <w:t xml:space="preserve">Sul piano dottrinale la prima passata aveva colto la "dottrina dell'equilibrio" e la formula dei "germi di cambiamento" riferita alla CSCE. Le fonti divulgative e le raccolte disponibili confermano il lessico: in un intervento del 1971 alla Camera Moro sostenne che l'interesse del popolo italiano fosse "che la pace prevalga nel mondo, e particolarmente nel continente europeo e nel Mediterraneo", senza per questo rinunciare "alla difesa intelligente ed equilibrata dei nostri interessi" Progetto Radici (https://www.progetto-radici.it/2022/05/09/aldo-moro-il-dominus-della-politica-estera-italiana/) (citazione riportata da una fonte divulgativa, Progetto Radici, da verificare sull'originale parlamentare). Sul riconoscimento della Repubblica popolare cinese occorre una correzione rispetto a una lettura che lo attribuisca a Moro: la proposta fu di Pietro Nenni nel gennaio 1969, e la normalizzazione si perfezionò il 6 novembre 1970, quando Moro era ministro Wikipedia (https://it.wikipedia.org/wiki/Relazioni_bilaterali_tra_Italia_e_Repubblica_Popolare_Cinese) (fonte: Wikipedia in italiano e L'Antidiplomatico, quest'ultima riporta il testo del telegramma del Ministero del 28 novembre 1970). Il documento attesta che il riconoscimento maturò sotto la titolarità di Moro; non attesta una paternità morotea dell'iniziativa, che risale a Nenni. La prima passata aveva citato il telegramma 5472/0 del 29 dicembre 1972 sulla "Visita On. Ministro in Cina": esito negativo, in questa ricognizione non è stato possibile reperirne il testo o una scheda archivistica; la sede è l'Archivio Storico Diplomatico. Sull'accordo preferenziale CEE-Spagna, lo studio peer-reviewed di Levi e il DIZionario dell'Integrazione Europea confermano che l'intesa fu siglata a Lussemburgo il 29 giugno 1970 dal ministro spagnolo López Bravo, dal presidente del Consiglio CEE Pierre Harmel e dal presidente della Commissione Jean Rey, entrando in vigore il 1° ottobre 1970; Dizie (https://www.dizie.eu/dizionario/spagna/) il testo è confermato da EUR-Lex (CELEX 21970A0629(01)): "Accordo tra la Comunità economica europea e la Spagna, Gazzetta ufficiale n. L 182 del 16/08/1970 pag. 0002 […] Fatto a Lussemburgo, il ventinove giugno millenovecentosettanta", con validità cessata il 31 dicembre 1985. La constatazione della prima passata circa il silenzio della stampa italiana non è stata né confermata né smentita da questa ricognizione e resta da verificare su emeroteca. Quanto al settembre 1975, quando il governo — presieduto ormai da Moro — richiamò l'ambasciatore da Madrid dopo le fucilazioni di due militanti ETA e tre del FRAP del 27 settembre 1975, va corretto un dato della prima passata: le vittime furono cinque, di cui tre del FRAP (José Humberto Baena, José Luis Sánchez Bravo, Ramón García Sanz) e due dell'ETA (Juan Paredes Manot "Txiki" e Ángel Otaegui).</w:t>
      </w:r>
    </w:p>
    <w:p>
      <w:pPr>
        <w:pStyle w:val="Heading2"/>
        <w:spacing w:after="100" w:before="200"/>
      </w:pPr>
      <w:r>
        <w:rPr>
          <w:rFonts w:ascii="Barlow Semi Condensed" w:cs="Barlow Semi Condensed" w:eastAsia="Barlow Semi Condensed" w:hAnsi="Barlow Semi Condensed"/>
          <w:sz w:val="24"/>
          <w:szCs w:val="24"/>
        </w:rPr>
        <w:t xml:space="preserve">Capitolo VII — Il lodo Moro e la politica filo-araba</w:t>
      </w:r>
    </w:p>
    <w:p>
      <w:pPr>
        <w:spacing w:after="120" w:line="276"/>
        <w:jc w:val="both"/>
      </w:pPr>
      <w:r>
        <w:rPr>
          <w:rFonts w:ascii="Barlow Semi Condensed" w:cs="Barlow Semi Condensed" w:eastAsia="Barlow Semi Condensed" w:hAnsi="Barlow Semi Condensed"/>
          <w:sz w:val="24"/>
          <w:szCs w:val="24"/>
        </w:rPr>
        <w:t xml:space="preserve">Il caso più documentato del versante mediterraneo è il cosiddetto "lodo Moro". La cronologia della prima passata trova ampio riscontro nelle fonti, in prevalenza divulgative e giornalistiche, che rinviano però a documentazione desecretata (Direttiva Renzi 2014) e a due studi di riferimento: Giacomo Pacini, Il lodo Moro. Terrorismo e ragion di Stato 1969-1986, e i lavori richiamati da Valentine Lomellini. Secondo Pacini, il primo documento che certifichi un dialogo clandestino fra governo italiano e formazioni riconducibili all'OLP risale al 17 dicembre 1972 L'Incontro (https://www.lincontro.news/il-lodo-moro-non-era-una-fake-news-laccordo-fra-lo-stato-italiano-e-le-organizzazioni-palestinesi-ci-fu-e-produsse-degli-effetti/) e reca la firma del capo del SID collegato all'area libanese (il Giornale, L'Incontro). Il 14 gennaio 1973 (secondo altre ricostruzioni il 5 settembre 1973 per l'arresto dei cinque, con discrepanza fra le fonti sulla data e sul numero) si colloca l'episodio dei lanciamissili Strela destinati all'aereo di Golda Meir. L'Incontro (https://www.lincontro.news/il-lodo-moro-non-era-una-fake-news-laccordo-fra-lo-stato-italiano-e-le-organizzazioni-palestinesi-ci-fu-e-produsse-degli-effetti/) L'accordo sarebbe stato sottoscritto il 19 ottobre 1973; L'Incontro (https://www.lincontro.news/il-lodo-moro-non-era-una-fake-news-laccordo-fra-lo-stato-italiano-e-le-organizzazioni-palestinesi-ci-fu-e-produsse-degli-effetti/) un documento del 23 ottobre 1973 documenta la trattativa (il Giornale). Il 17 dicembre 1973 la strage di Fiumicino provocò, secondo la scheda ufficiale del Ministero della Cultura (memoria.cultura.gov.it), 32 vittime di cui 6 italiane e 15 feriti: "Attentato terroristico compiuto da un commando palestinese che ha provocato 32 vittime […] Il bilancio complessivo dell'azione è di 32 vittime, di cui 6 italiane"; l'aereo colpito era un Boeing 707 della Pan Am diretto a Teheran via Beirut con 56 passeggeri, 29 dei quali morti a bordo. Il documento attesta l'esistenza di contatti e di intese operative; non attesta univocamente né la paternità esclusiva di Moro né la natura giuridica di un vero e proprio "accordo": lo stesso studioso citato osserva che i documenti indicano non un "lodo Moro" in senso stretto ma il risultato di un lavoro diplomatico condotto da più persone e riconducibile a una politica di Stato. Il Giornale (https://www.ilgiornale.it/news/cultura/lodo-moro-leggenda-e-verit-storica-nel-libro-valentine-2003644.html) Va perciò distinto ciò che i documenti Giovannone attestano (contatti, colloqui in carcere, ruolo del colonnello Stefano Giovannone come capocentro del SID a Beirut) Wikipedia (https://it.wikipedia.org/wiki/Lodo_Moro) da ciò che se ne inferisce circa la volontà politica di Moro, che le fonti collegano a lui ma senza atto scritto di sua mano finora reso pubblico. Le date della prima passata relative al 7 novembre 1979 (Ortona, sequestro di lanciamissili) e al 16 febbraio 1978 (cablogramma Giovannone su Habbash) esulano dal mandato ministeriale ma ne segnano la coda: al novembre 1979 Moro era già morto, e il febbraio 1978 cade durante il suo sequestro. Esito negativo: non è stato reperito in questa ricognizione il testo integrale del cablogramma del 16 febbraio 1978 né dell'accordo del 19 ottobre 1973; la sede presso cui cercarli è l'archivio della Commissione parlamentare d'inchiesta Moro-2 e gli atti desecretati depositati presso l'Archivio Centrale dello Stato.</w:t>
      </w:r>
    </w:p>
    <w:p>
      <w:pPr>
        <w:pStyle w:val="Heading2"/>
        <w:spacing w:after="100" w:before="200"/>
      </w:pPr>
      <w:r>
        <w:rPr>
          <w:rFonts w:ascii="Barlow Semi Condensed" w:cs="Barlow Semi Condensed" w:eastAsia="Barlow Semi Condensed" w:hAnsi="Barlow Semi Condensed"/>
          <w:sz w:val="24"/>
          <w:szCs w:val="24"/>
        </w:rPr>
        <w:t xml:space="preserve">Capitolo VIII — Il versante libico e mediterraneo</w:t>
      </w:r>
    </w:p>
    <w:p>
      <w:pPr>
        <w:spacing w:after="120" w:line="276"/>
        <w:jc w:val="both"/>
      </w:pPr>
      <w:r>
        <w:rPr>
          <w:rFonts w:ascii="Barlow Semi Condensed" w:cs="Barlow Semi Condensed" w:eastAsia="Barlow Semi Condensed" w:hAnsi="Barlow Semi Condensed"/>
          <w:sz w:val="24"/>
          <w:szCs w:val="24"/>
        </w:rPr>
        <w:t xml:space="preserve">Il colpo di Stato di Gheddafi del 1° settembre 1969 aprì il dossier più drammatico del mandato. Ilmemoriale (https://www.ilmemoriale.it/politica/2017/09/04/espulsione-degli-italiani-da-tripoli.html) Il decreto di confisca dei beni degli italiani, promulgato dal Consiglio del Comando della Rivoluzione in tre leggi, è del 21 luglio 1970; gli italiani, circa ventimila, con beni confiscati quantificati in circa 400 miliardi di lire (valore 1970), dovettero lasciare la Libia: Lo Spiegone precisa che "le operazioni di traghettamento di più di 17.000 italiani finirono il 15 ottobre 1970, otto giorni dopo l'ultimatum inviato da Gheddafi il 7 ottobre", data poi celebrata dal regime libico come "Giornata della vendetta". Sul piano interpretativo, lo storico Massimo Mastrogregori (in Storia mondiale dell'Italia, Laterza 2017, studio scientifico) scrive che ai tempi delle crisi libica e petrolifera Moro "strinse contatti col mondo arabo, certo impopolari, utili per il futuro", entro i quali rientravano anche "caute mosse di avvicinamento alla galassia dei gruppi della resistenza palestinese". Ponza Racconta (https://www.ponzaracconta.it/2021/03/30/aldo-moro-gheddafi-e-arafat/) Una fonte memorialistica di parte (l'ex parlamentare che riferisce i racconti del generale Vito Miceli, su lavalledeitempli.net) attribuisce a Moro la scelta di "salvare Gheddafi" per tutelare gli interessi italiani, e collega a Moro il soccorso dato nel 1971 per far fallire un tentativo di rovesciamento ("operazione Hilton"): Lavalledeitempli (http://lavalledeitempli.net/2019/04/23/aldo-moro-vero-artefice-della-cooperazione-la-libia-gheddafi/) trattandosi di memoria di protagonista riferita indirettamente, il dato va accolto con cautela e non equiparato a fonte d'archivio. Il documento memorialistico attesta un'opinione; non attesta la decisione documentale di Moro, che andrebbe cercata nei carteggi di gabinetto. Una fonte cita un telegramma del 6 settembre 1970 da Tunisi ai vertici dello Stato con cui Moro avrebbe "sdrammatizzato" politicamente l'espulsione: Lavalledeitempli (http://lavalledeitempli.net/2019/04/23/aldo-moro-vero-artefice-della-cooperazione-la-libia-gheddafi/) esito da verificare all'Archivio Storico Diplomatico. Sugli altri fronti mediterranei — Malta, la Grecia dei colonnelli, il Portogallo di Caetano e poi la Rivoluzione dei garofani dell'aprile 1974, la caduta dei colonnelli greci nel luglio 1974 — la ricognizione non ha prodotto documentazione specifica sull'azione di Moro; l'esito negativo va registrato con la sede di ricerca (Archivio Storico Diplomatico, serie Affari Politici, e FRUS per il quadro NATO). Il terzo e quarto conflitto arabo-israeliano fanno da sfondo alla politica filo-araba: la guerra del Kippur dell'ottobre 1973, documentata ampiamente in FRUS (vol. XXV), è il contesto entro cui matura la strage di Fiumicino e la crisi petrolifera 1973-1974. Il documento FRUS attesta lo sforzo americano di guadagnare il sostegno degli alleati europei, "largely unsuccessful": CIE (https://israeled.org/wp-content/uploads/2012/05/FRUS-1969-1976-1973-war.pdf) ne discende, per inferenza corroborata ma non per affermazione esplicita, che la linea mediterranea italiana divergeva da quella statunitense.</w:t>
      </w:r>
    </w:p>
    <w:p>
      <w:pPr>
        <w:pStyle w:val="Heading2"/>
        <w:spacing w:after="100" w:before="200"/>
      </w:pPr>
      <w:r>
        <w:rPr>
          <w:rFonts w:ascii="Barlow Semi Condensed" w:cs="Barlow Semi Condensed" w:eastAsia="Barlow Semi Condensed" w:hAnsi="Barlow Semi Condensed"/>
          <w:sz w:val="24"/>
          <w:szCs w:val="24"/>
        </w:rPr>
        <w:t xml:space="preserve">Capitolo IX — Le sedi multilaterali e la coincidenza con la delegazione vaticana</w:t>
      </w:r>
    </w:p>
    <w:p>
      <w:pPr>
        <w:spacing w:after="120" w:line="276"/>
        <w:jc w:val="both"/>
      </w:pPr>
      <w:r>
        <w:rPr>
          <w:rFonts w:ascii="Barlow Semi Condensed" w:cs="Barlow Semi Condensed" w:eastAsia="Barlow Semi Condensed" w:hAnsi="Barlow Semi Condensed"/>
          <w:sz w:val="24"/>
          <w:szCs w:val="24"/>
        </w:rPr>
        <w:t xml:space="preserve">Il sesto obiettivo chiedeva di verificare la coincidenza fra le sedi in cui l'Italia della Farnesina di Moro era rappresentata e quelle in cui la Santa Sede era guidata da Silvestrini. L'Italia firmò il Trattato di non proliferazione nucleare il 28 gennaio 1969 Treccani (https://www.treccani.it/enciclopedia/non-proliferazione-atomica_(Enciclopedia-Italiana)/) (dato anteriore all'insediamento di Moro) e lo ratificò con legge 24 aprile 1975 n. 131; secondo la scheda del Centro di Ateneo per i Diritti Umani dell'Università di Padova, la "Data della ratifica: 02 maggio 1975 (Washington, Londra), 04 maggio 1975 (Mosca) (Gazzetta Ufficiale n. 201 del 30 luglio 1975)", mentre la legge 131 fu pubblicata in G.U. n. 113 del 30 aprile 1975. Lo studio peer-reviewed di Leopoldo Nuti (L'Italia come stato soglia?) documenta che fra la firma e la ratifica il governo italiano cercò di dilazionare la ratifica e di potenziare lo status italiano nell'arricchimento dell'uranio e nella propulsione navale, cedendo infine alle pressioni degli alleati nel maggio 1975. Unica (https://convegni.unica.it/sisi19/i-panel-dellottavo-convegno-sisi-cagliari-2019/panel-3/) Il dato è rilevante perché la ratifica cade quando Moro è presidente del Consiglio, non più ministro degli Esteri: la coincidenza cronologica con il suo mandato ministeriale è dunque solo parziale e va precisata. Sul versante vaticano, le fonti (Treccani, voce Casaroli; L'Osservatore Romano; SettimanaNews) attestano che Achille Silvestrini fu capo-delegazione della Santa Sede alla Conferenza ONU sull'uso dell'energia atomica del 1971 e alla Conferenza sul TNP del 1975, oltre che protagonista della CSCE. SettimanaNews (https://www.settimananews.it/chiesa/silvestrini-ostpolitik/) La proposta vaticana sulla libertà religiosa fu presentata il 7 marzo 1973 e recepita nel settimo principio dell'Atto finale di Helsinki del 1° agosto 1975; la Santa Sede aderì anche al TNP, "sollecitata dall'URSS" Vatican News (https://www.vaticannews.va/it/mondo/news/2022-04/conferenza-helsinki-1975-europa-guerra-fredda-eredita-pace.html) (Vatican News). Qui si colloca la triangolazione più delicata: la coincidenza fra le sedi multilaterali (energia atomica 1971, TNP, CSCE) in cui erano presenti sia la Farnesina di Moro sia la delegazione di Silvestrini è una comunanza di ambiente accertata dalle fonti. Ciò che essa NON stabilisce è un coordinamento o una concertazione fra Roma e la Santa Sede in quelle sedi: nessuna delle fonti reperite documenta contatti operativi Moro-Silvestrini o istruzioni concordate. La contemporaneità di presenza non va trattata come prova di un nesso: va classificata come comunanza di ambiente, non come convergenza di obiettivo documentata. La sede presso cui cercare un eventuale nesso è duplice: l'Archivio Storico Diplomatico (delegazioni CSCE e conferenze sul disarmo) e l'Archivio della Segreteria di Stato vaticana, sezione Rapporti con gli Stati, per il pontificato di Paolo VI, la cui apertura è stata disposta per gli anni di Pio XII e progressivamente estesa.</w:t>
      </w:r>
    </w:p>
    <w:p>
      <w:pPr>
        <w:pStyle w:val="Heading2"/>
        <w:spacing w:after="100" w:before="200"/>
      </w:pPr>
      <w:r>
        <w:rPr>
          <w:rFonts w:ascii="Barlow Semi Condensed" w:cs="Barlow Semi Condensed" w:eastAsia="Barlow Semi Condensed" w:hAnsi="Barlow Semi Condensed"/>
          <w:sz w:val="24"/>
          <w:szCs w:val="24"/>
        </w:rPr>
        <w:t xml:space="preserve">Capitolo X — La Santa Sede, la Spagna e la biografia di López Bravo</w:t>
      </w:r>
    </w:p>
    <w:p>
      <w:pPr>
        <w:spacing w:after="120" w:line="276"/>
        <w:jc w:val="both"/>
      </w:pPr>
      <w:r>
        <w:rPr>
          <w:rFonts w:ascii="Barlow Semi Condensed" w:cs="Barlow Semi Condensed" w:eastAsia="Barlow Semi Condensed" w:hAnsi="Barlow Semi Condensed"/>
          <w:sz w:val="24"/>
          <w:szCs w:val="24"/>
        </w:rPr>
        <w:t xml:space="preserve">Il quinto obiettivo verteva sulla posizione della Santa Sede e sull'Ostpolitik di Casaroli e Silvestrini. La revisione del Concordato lateranense costituisce il filo lungo: uno studio dell'Università di Padova (peer-reviewed) ne ricostruisce l'iter dal 1969 al 1984, fondandosi sugli archivi Gonella, Casaroli e Bartoletti e sul diario dell'ambasciatore Gianfranco Pompei, University of Padua (https://www.research.unipd.it/handle/11577/3421701) e collocando fra il 1976 e il 1983 la redazione delle sette bozze precedenti l'Accordo di Villa Madama del 18 febbraio 1984. Chiesacattolica.it (https://www.chiesacattolica.it/documenti-segreteria/accordo-di-revisione-del-concordato-lateranense-tra-la-santa-sede-e-la-repubblica-italiana/) Ne discende che durante il mandato di Moro (1969-1974) la revisione era in fase preparatoria e non produsse atti conclusivi: il dato va tenuto fermo contro ogni sovrapposizione anacronistica. Sul versante spagnolo, il caso López Bravo è centrale. La biografia di Gabriel Pérez Gómez (López Bravo. Una biografía, Rialp, Madrid 2024, 331 pp.) Delibris (https://www.delibris.org/es/lopez-bravo) è la novità storiografica più rilevante: l'autore, dottore in Scienze dell'informazione, ha lavorato sugli archivi della Biblioteca dell'Università di Navarra, su archivi statali e su documentazione della CIA. El Confidencial Digital (https://www.elconfidencialdigital.com/religion/articulo/de-libros/gregorio-lopez-bravo-miembro-opus-dei-servicio-progreso-espana/20241007004039050434.html) Le recensioni (El Confidencial Digital, Omnes) attestano che il libro pubblica per la prima volta la lunga nota che López Bravo, ministro degli Esteri spagnolo e membro dell'Opus Dei, Omnes (https://www.omnesmag.com/en/news/gabriel-perez-lopez-lopez-bravo-acted-freely/) scrisse in aereo subito dopo l'udienza del 12 gennaio 1973 con Paolo VI, definita dall'autore "di eccezionale importanza"; Omnes (https://www.omnesmag.com/en/news/gabriel-perez-lopez-lopez-bravo-acted-freely/) il recensore di El Confidencial Digital scrive che la nota "estremece" (fa fremere) e che "già solo per questo capitolo si giustifica la pubblicazione". El Confidencial Digital (https://www.elconfidencialdigital.com/religion/articulo/de-libros/gregorio-lopez-bravo-miembro-opus-dei-servicio-progreso-espana/20241007004039050434.html) López Bravo si era recato dal papa per consegnargli una lettera di Franco, nel pieno di uno scambio di corrispondenza sui rapporti fra Chiesa e Stato, la Conferenza episcopale e il privilegio di presentazione dei vescovi previsto dal Concordato del 27 agosto 1953. Esito negativo da registrare: le recensioni non riproducono il testo verbatim della nota, di cui riferiscono solo il tono; la sede per il contenuto è il libro stesso. Il caso Añoveros del 24 febbraio 1974 — omelia del vescovo di Bilbao a favore dell'identità basca, minaccia di espulsione da parte del governo Arias Navarro, controminaccia di scomunica — è documentato da Wikipedia in spagnolo e da memorie ecclesiastiche (cardinale Marcelo González): fu Cortina Mauri, ministro degli Esteri, a dare al nunzio Dadaglio quarantotto ore perché Añoveros lasciasse la Spagna. Wikipedia (https://es.wikipedia.org/wiki/Caso_A%C3%B1overos) Il documento memorialistico attesta la gravità del rischio di rottura fra Madrid e Santa Sede; non attesta alcun coinvolgimento italiano.</w:t>
      </w:r>
    </w:p>
    <w:p>
      <w:pPr>
        <w:pStyle w:val="Heading2"/>
        <w:spacing w:after="100" w:before="200"/>
      </w:pPr>
      <w:r>
        <w:rPr>
          <w:rFonts w:ascii="Barlow Semi Condensed" w:cs="Barlow Semi Condensed" w:eastAsia="Barlow Semi Condensed" w:hAnsi="Barlow Semi Condensed"/>
          <w:sz w:val="24"/>
          <w:szCs w:val="24"/>
        </w:rPr>
        <w:t xml:space="preserve">Capitolo XI — Il canale Pignedoli e la costruzione delle triangolazioni</w:t>
      </w:r>
    </w:p>
    <w:p>
      <w:pPr>
        <w:spacing w:after="120" w:line="276"/>
        <w:jc w:val="both"/>
      </w:pPr>
      <w:r>
        <w:rPr>
          <w:rFonts w:ascii="Barlow Semi Condensed" w:cs="Barlow Semi Condensed" w:eastAsia="Barlow Semi Condensed" w:hAnsi="Barlow Semi Condensed"/>
          <w:sz w:val="24"/>
          <w:szCs w:val="24"/>
        </w:rPr>
        <w:t xml:space="preserve">L'undicesimo punto raccoglie la triangolazione interna Italia–Santa Sede. Durante il sequestro Sossi (18 aprile – 23 maggio 1974), con Moro ministro degli Esteri, la Santa Sede fu segretamente coinvolta nella trattativa attraverso il cardinale Sergio Pignedoli: lo attesta la Treccani (voce "9 maggio 1978: lo schiaffo a Paolo VI", studio enciclopedico), che aggiunge come Moro, nel 1978, dalla prigionia, citasse per tre volte il nome di Pignedoli come canale per giungere "con mani sicure e rapide" al papa. Treccani (https://www.treccani.it/enciclopedia/9-maggio-1978-lo-schiaffo-a-paolo-vi-storia-e-fallimento-della-mediazione-vaticana-per-la-liberazione-di-aldo-moro_(Cristiani-d'Italia)/) Il documento (le lettere di Moro) attesta la fiducia di Moro in quel canale nel 1978; se ne inferisce, ma la fonte lo afferma esplicitamente per il 1974, che un canale vaticano di mediazione era già operativo al tempo del sequestro Sossi. Treccani (https://www.treccani.it/enciclopedia/9-maggio-1978-lo-schiaffo-a-paolo-vi-storia-e-fallimento-della-mediazione-vaticana-per-la-liberazione-di-aldo-moro_(Cristiani-d'Italia)/) Su questa base è possibile enunciare le tre triangolazioni richieste, distinguendo rigorosamente i piani. Prima triangolazione, Italia di Moro – Santa Sede: il grado di sostegno documentale è medio per il canale Pignedoli (fonte enciclopedica che rinvia alle lettere) e basso per una concertazione diplomatica multilaterale (Capitolo IX). Ciò che essa NON stabilisce: non esiste, nelle fonti reperite, prova di un coordinamento sistematico fra Farnesina e Segreteria di Stato nella politica estera 1969-1974; si tratta di convergenza di obiettivo (la mediazione umanitaria) episodica, non di alleanza strutturale. Seconda triangolazione, Italia di Moro – Spagna franchista: il grado di sostegno documentale è medio sul piano comunitario (accordo CEE-Spagna 1970, richiamo dell'ambasciatore nel 1975), ma quest'ultimo atto cade quando Moro è presidente del Consiglio, non ministro. Ciò che essa NON stabilisce: nessun contatto diretto documentato Moro–López Bravo o Moro–Cortina Mauri è emerso; la comunanza è di ambiente (il quadro CEE) e vi è una simultaneità di reazione (nel settembre 1975, secondo Startmag, "in poche ore diciassette Paesi richiamarono gli ambasciatori" da Madrid, mentre i presidenti delle Camere europee, riuniti a Roma il 26 settembre, avevano telegrafato a Franco chiedendo la grazia), non una convergenza di obiettivo provata. Terza triangolazione, Santa Sede – Spagna: è la meglio documentata (udienza del 12 gennaio 1973, caso Añoveros, Concordato del 1953), ma coinvolge Moro solo per contiguità cronologica e ambientale. Ciò che essa NON stabilisce: nessun ruolo italiano nelle tensioni ispano-vaticane. In sintesi, le tre triangolazioni vanno tenute distinte come convergenze di obiettivo (episodiche), simultaneità di reazione (1975) e comunanze di ambiente (le sedi multilaterali e il quadro CEE): la contemporaneità cronologica non è, in nessun caso, prova di nesso causale.</w:t>
      </w:r>
    </w:p>
    <w:p>
      <w:pPr>
        <w:pStyle w:val="Heading2"/>
        <w:spacing w:after="100" w:before="20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Chiude la ricognizione un bilancio degli esiti negativi, ordinati per rendimento atteso decrescente, ciascuno con la sede e la condizione di chiusura. Al primo posto, per rendimento, i carteggi del gabinetto del ministro Moro e la serie "Direzione Generale Affari Politici" e "Ambasciata d'Italia a Madrid" 1969-1974 presso l'Archivio Storico Diplomatico della Farnesina: teoricamente consultabili in forza della barriera dei cinquant'anni, restano di accesso incerto perché la disponibilità dei faldoni va verificata caso per caso; condizione di chiusura è la conferma inventariale da richiedere via portale asd.esteri.it. Al secondo posto, le repliche di Moro sui bilanci Esteri 1970, 1971, 1972 e 1974 con numero di seduta e data: reperibili nella raccolta Aldo Moro, Discorsi parlamentari (Camera, 1996) e nelle banche dati "dibattiti" di Camera e Senato per le legislature V e VI; condizione di chiusura è la consultazione diretta della raccolta a stampa, non accessibile in questa ricognizione per limiti dei portali. Al terzo posto, la corrispondenza fra il Ministerio de Asuntos Exteriores spagnolo e l'Embajada de España en Roma 1969-1975, e ogni traccia di contatto López Bravo/Cortina Mauri–Moro, presso l'Archivo General de la Administración di Alcalá de Henares: condizione di chiusura è la consultazione degli inventari del fondo del Servizio Esterno, non disponibili online in forma nominativa. Al quarto posto, il testo verbatim della nota redatta in aereo da López Bravo il 12 gennaio 1973: la sede è la biografia di Pérez Gómez (Rialp 2024) e, a monte, l'archivio dell'Università di Navarra; condizione di chiusura è la lettura del volume. Al quinto posto, i verbali di colloqui diretti Moro-Nixon e Moro-Rogers 1969-1972: sede è la serie FRUS 1969-1976 e i Nixon Presidential Materials (NSC Files, Country Files: Italy) ai National Archives di College Park; condizione di chiusura è lo spoglio dei volumi europei e mediterranei non esaminati. Al sesto posto, il telegramma 5472/0 del 29 dicembre 1972 sulla visita in Cina, il telegramma del 6 settembre 1970 da Tunisi sull'espulsione dalla Libia, l'accordo del 19 ottobre 1973 e il cablogramma Giovannone del 16 febbraio 1978: sedi rispettive l'Archivio Storico Diplomatico e l'archivio della Commissione Moro-2 presso l'Archivio Centrale dello Stato. Al settimo posto, per il nesso Italia–Santa Sede nelle sedi multilaterali, l'Archivio della Segreteria di Stato vaticana, sezione Rapporti con gli Stati, per il pontificato di Paolo VI: condizione di chiusura è l'apertura effettiva delle carte montiniane agli studiosi. Ogni esito negativo qui elencato è un'acquisizione di pieno valore: circoscrive ciò che allo stato non è dimostrabile e indica con precisione dove la dimostrazione andrebbe cercata.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ricognizione-madre: Moro ministro degli Esteri 1969-197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4.765 parole in 9 sezioni; la più ampia è §9 Altre sezioni, con 1.620.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III. Germania e Opus Dei 1952-1985</w:t>
      </w:r>
    </w:p>
    <w:p>
      <w:pPr>
        <w:pStyle w:val="Heading1"/>
        <w:spacing w:after="120" w:before="240"/>
      </w:pPr>
      <w:r>
        <w:rPr>
          <w:rFonts w:ascii="Barlow Semi Condensed" w:cs="Barlow Semi Condensed" w:eastAsia="Barlow Semi Condensed" w:hAnsi="Barlow Semi Condensed"/>
          <w:sz w:val="24"/>
          <w:szCs w:val="24"/>
        </w:rPr>
        <w:t xml:space="preserve">Ricerca storiografica e archivistica su Aldo Moro Ministro degli Esteri, l'Opus Dei in Germania (1952–1985) e le loro triangolazioni</w:t>
      </w:r>
    </w:p>
    <w:p>
      <w:pPr>
        <w:pStyle w:val="Heading2"/>
        <w:spacing w:after="100" w:before="200"/>
      </w:pPr>
      <w:r>
        <w:rPr>
          <w:rFonts w:ascii="Barlow Semi Condensed" w:cs="Barlow Semi Condensed" w:eastAsia="Barlow Semi Condensed" w:hAnsi="Barlow Semi Condensed"/>
          <w:sz w:val="24"/>
          <w:szCs w:val="24"/>
        </w:rPr>
        <w:t xml:space="preserve">Capitolo I — Impianto del problema, proposizione da testare e disciplina delle fonti</w:t>
      </w:r>
    </w:p>
    <w:p>
      <w:pPr>
        <w:spacing w:after="120" w:line="276"/>
        <w:jc w:val="both"/>
      </w:pPr>
      <w:r>
        <w:rPr>
          <w:rFonts w:ascii="Barlow Semi Condensed" w:cs="Barlow Semi Condensed" w:eastAsia="Barlow Semi Condensed" w:hAnsi="Barlow Semi Condensed"/>
          <w:sz w:val="24"/>
          <w:szCs w:val="24"/>
        </w:rPr>
        <w:t xml:space="preserve">La presente ricerca sottopone a verifica una proposizione formulata dal committente e da lui dichiarata confutabile: l'insediamento dell'Opus Dei in un Paese richiederebbe la compresenza di due condizioni, ossia una maggioranza cattolica della popolazione e la disponibilità di un ceto universitario e professionale cattolico autoctono su cui l'apostolato possa radicarsi. Il caso tedesco è il banco di prova più significativo di questa ricognizione, per una ragione strutturale: l'ente registra ufficialmente la Germania al 1952 come anno d'inizio del lavoro stabile, ma la Repubblica Federale del secondo dopoguerra non era un Paese a maggioranza cattolica. Se dunque l'insediamento fu stabile pur in assenza di una maggioranza cattolica, la prima delle due condizioni cade, e resta operante soltanto la seconda. La fonte ufficiale dell'ente — il Centro Studi Josemaría Escrivá dell'Università di Navarra e i portali della Prelatura — colloca l'inizio del lavoro stabile in Germania nel 1952; il dato è convergente con la pubblicistica critica in lingua tedesca (Peter Hertel, Klaus Steigleder) e con fonti terze indipendenti (bistum-essen.de, katholisch.de, stampa nazionale tedesca). La convergenza fra la fonte dell'ente e fonti indipendenti sulla data e sui luoghi consente di trattare il dato dell'insediamento come acquisito con alta affidabilità, in ossequio alla regola che impone di verificare la fonte ufficiale contro fonti terze.</w:t>
      </w:r>
    </w:p>
    <w:p>
      <w:pPr>
        <w:spacing w:after="120" w:line="276"/>
        <w:jc w:val="both"/>
      </w:pPr>
      <w:r>
        <w:rPr>
          <w:rFonts w:ascii="Barlow Semi Condensed" w:cs="Barlow Semi Condensed" w:eastAsia="Barlow Semi Condensed" w:hAnsi="Barlow Semi Condensed"/>
          <w:sz w:val="24"/>
          <w:szCs w:val="24"/>
        </w:rPr>
        <w:t xml:space="preserve">La disciplina di metodo qui adottata è quella richiesta dal committente e la si dichiara in apertura perché governa l'intera trattazione. Si distingue rigorosamente ciò che il documento attesta da ciò che se ne inferisce; si impiega la fonte ufficiale dell'ente per i dati di fatto verificabili su membri e insediamenti, verificandola contro fonti indipendenti, ma non la si impiega per le valutazioni sulle responsabilità; non si tratta l'appartenenza di una persona a un'organizzazione come prova di una condotta dell'organizzazione, e questa è la prescrizione che prevale su ogni esigenza narrativa; non si tratta la contemporaneità cronologica come prova di un nesso; per le persone viventi si riportano esclusivamente fatti pubblici documentati, senza inferenze associative; ove le fonti divergano su una data o su un numero si riporta la divergenza anziché sceglierla silenziosamente; si segnala quando una tesi circolante nella pubblicistica non trova riscontro nelle fonti primarie, qualificandola come non sostenuta. Sono escluse dalle citazioni, per disposizione del committente, l'enciclopedia collaborativa Grokipedia e il quotidiano il Manifesto. La letteratura polemica in lingua tedesca sull'ente è abbondante — dai libri di Hertel alle inchieste dei fogli antifascisti — e viene qui trattata con questo criterio, segnalando ciò che non trova riscontro documentale. Si privilegiano, secondo l'indicazione ricevuta, le fonti in tedesco e in italiano per il merito, lo spagnolo per la storiografia dell'ente, l'inglese per la storiografia internazionale.</w:t>
      </w:r>
    </w:p>
    <w:p>
      <w:pPr>
        <w:pStyle w:val="Heading2"/>
        <w:spacing w:after="100" w:before="200"/>
      </w:pPr>
      <w:r>
        <w:rPr>
          <w:rFonts w:ascii="Barlow Semi Condensed" w:cs="Barlow Semi Condensed" w:eastAsia="Barlow Semi Condensed" w:hAnsi="Barlow Semi Condensed"/>
          <w:sz w:val="24"/>
          <w:szCs w:val="24"/>
        </w:rPr>
        <w:t xml:space="preserve">Capitolo II — L'insediamento dell'Opus Dei in Germania: cronologia, luoghi, protagonisti</w:t>
      </w:r>
    </w:p>
    <w:p>
      <w:pPr>
        <w:spacing w:after="120" w:line="276"/>
        <w:jc w:val="both"/>
      </w:pPr>
      <w:r>
        <w:rPr>
          <w:rFonts w:ascii="Barlow Semi Condensed" w:cs="Barlow Semi Condensed" w:eastAsia="Barlow Semi Condensed" w:hAnsi="Barlow Semi Condensed"/>
          <w:sz w:val="24"/>
          <w:szCs w:val="24"/>
        </w:rPr>
        <w:t xml:space="preserve">Secondo la fonte ufficiale dell'ente (Prelatura, «Kurzdarstellung der Anfänge des Opus Dei in Deutschland», documento datato 21 marzo 2006 e pubblicato su opusdei.org), i primi tre membri dell'Opus Dei giunsero in Germania nel 1952: l'ingegnere diplomato e sacerdote dal 1951 Alfons (Alfonso) Par (1922–2002), il commercialista Fernando Echeverría (1924–2015) e il filosofo Fernando Inciarte (1929–2000), che sarebbe poi divenuto ordinario a Münster. La prima residenza fu aperta nel 1953 all'Adenauerallee di Bonn e divenne poi lo Studentenheim Althaus, che la stessa fonte qualifica come l'unico centro tedesco ancora oggi esistente ad essere stato visitato dal fondatore. Il lavoro femminile iniziò nel 1956 con l'apertura dello Studentinnenheim Eigelstein, nella Hülchrather Straße a Colonia. Va segnalata sin d'ora una divergenza sulle date della prima residenza maschile, che si riporta anziché risolverla: la fonte ufficiale tedesca colloca l'apertura della residenza di Bonn nel 1953, mentre altre fonti dell'ente in altre lingue e larga parte della pubblicistica (anche critica, come l'Antifaschistisches Infoblatt) indicano il 1952 come anno dell'insediamento nella villa dell'Adenauerallee. La discrepanza si spiega verosimilmente con la distinzione fra l'arrivo dei primi membri (1952) e l'apertura formale della residenza (1953), ma resta una divergenza documentale da segnalare.</w:t>
      </w:r>
    </w:p>
    <w:p>
      <w:pPr>
        <w:spacing w:after="120" w:line="276"/>
        <w:jc w:val="both"/>
      </w:pPr>
      <w:r>
        <w:rPr>
          <w:rFonts w:ascii="Barlow Semi Condensed" w:cs="Barlow Semi Condensed" w:eastAsia="Barlow Semi Condensed" w:hAnsi="Barlow Semi Condensed"/>
          <w:sz w:val="24"/>
          <w:szCs w:val="24"/>
        </w:rPr>
        <w:t xml:space="preserve">Il dato geografico è dirimente per la domanda di ricerca e va enunciato con precisione. L'insediamento avvenne a Bonn e a Colonia, dunque nella Renania, cioè in una delle regioni storicamente cattoliche dell'ovest tedesco, appartenente all'arcidiocesi di Colonia. Bonn era, all'epoca, la capitale federale e sede universitaria. L'espansione successiva, documentata analiticamente dalla fonte ufficiale, seguì un andamento che privilegiò dapprima la Renania e la Vestfalia e solo tardivamente la Baviera: per gli uomini, Essen (1969), Aquisgrana (1971), Treviri e Berlino (1972), Münster (1976), Monaco (1977); per le donne, Essen (1971), Aquisgrana (1976), Jülich (1978, dove alcune di esse insegnavano in un liceo femminile), Münster (1979), Monaco (1980), Treviri (1987), Berlino (1992). La Baviera, cuore cattolico del sud tedesco, fu dunque raggiunta relativamente tardi, con Monaco nel 1977 per gli uomini e nel 1980 per le donne; la fonte ufficiale definisce Münster e Monaco «tappe importanti dell'espansione nella vecchia Repubblica Federale» in quanto punti d'appoggio rispettivamente nel nord e nel sud. opusdei (https://opusdei.org/de-de/article/kurzdarstellung-der-anfange-des-opus-dei-in-deutschland/) Dal 1962 operò a Colonia, con interruzioni, uno dei tre primissimi sacerdoti dell'Opus Dei in assoluto, José María Hernández de Garnica (1913–1972). La consistenza numerica attuale è indicata dalla fonte ufficiale in termini letterali: «Die Mitgliederzahl liegt heute in Deutschland bei knapp 600 bzw. über 1.000, wenn man die aktiven Mitarbeiter mitzählt» opusdei (https://opusdei.org/de-de/article/kurzdarstellung-der-anfange-des-opus-dei-in-deutschland/) — cioè poco meno di 600 membri, oltre 1.000 includendo i cooperatori attivi; il dato dei circa 600 membri in Germania è convergente con quello riportato da katholisch.de a fronte di circa 92.000 membri nel mondo. Per il periodo storico 1952–1985 la consistenza numerica puntuale non è documentata dalle fonti aperte e costituisce uno Stato Zero, la cui sede di chiusura è 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III — Il ruolo del cardinale Frings e l'accoglienza della gerarchia tedesca</w:t>
      </w:r>
    </w:p>
    <w:p>
      <w:pPr>
        <w:spacing w:after="120" w:line="276"/>
        <w:jc w:val="both"/>
      </w:pPr>
      <w:r>
        <w:rPr>
          <w:rFonts w:ascii="Barlow Semi Condensed" w:cs="Barlow Semi Condensed" w:eastAsia="Barlow Semi Condensed" w:hAnsi="Barlow Semi Condensed"/>
          <w:sz w:val="24"/>
          <w:szCs w:val="24"/>
        </w:rPr>
        <w:t xml:space="preserve">Un punto è documentato con particolare forza e risponde direttamente al quesito, posto dal committente, sull'atteggiamento della gerarchia ecclesiastica tedesca e in specie del cardinale Josef Frings di Colonia. Secondo una lettera del nunzio apostolico Giovanni Lajolo al vicario regionale Christoph Bockamp, ripresa dall'ente in occasione del cinquantenario dell'insediamento tedesco, fu «per la petizione del cardinale Frings, allora arcivescovo di Colonia» che i primi membri dell'Opus Dei giunsero a Colonia nel 1952. Opus Dei (https://opusdei.org/en-us/article/commemorative-book-in-germany/) Questo configura un'accoglienza attiva e sollecitante da parte dell'ordinario diocesano, non una semplice tolleranza, ed è per certi versi accostabile — pur con tutte le cautele imposte dalla differenza dei contesti — al modello portoghese di accoglienza già accertato dal committente nel caso del cardinale Cerejeira. Il dato è corroborato da fonti ecclesiastiche tedesche successive: il generalvicario di Colonia Dominik Schwaderlapp ha ricordato che «già dai tempi del cardinale Frings l'Opus Dei è attivo nell'arcidiocesi di Colonia e appartiene alla molteplice ricchezza della vita ecclesiale»; Kath (https://kath.net/print/15147) e il cardinale Joachim Meisner, in una predica del 19 gennaio 2002, ringraziò espressamente i suoi predecessori Frings e Höffner per aver fatto sì che «l'Opus Dei potesse mettere radici» a Colonia, definendo il duomo «quasi un luogo commemorativo di Escrivá». Blogger (http://hugendubelverdi.blogspot.com/2012/01/gottes-werk-und-des-kardinals-beitrag.html) La pubblicistica critica (taz) ha inoltre rilevato che Frings, ancora nel 1975, si adoperò presso il papa per una rapida beatificazione e canonizzazione di Escrivá. taz.de (https://taz.de/Der-Mann-der-das-fringsen-erfand-und-alten-Nazis-half/%21664899/)</w:t>
      </w:r>
    </w:p>
    <w:p>
      <w:pPr>
        <w:spacing w:after="120" w:line="276"/>
        <w:jc w:val="both"/>
      </w:pPr>
      <w:r>
        <w:rPr>
          <w:rFonts w:ascii="Barlow Semi Condensed" w:cs="Barlow Semi Condensed" w:eastAsia="Barlow Semi Condensed" w:hAnsi="Barlow Semi Condensed"/>
          <w:sz w:val="24"/>
          <w:szCs w:val="24"/>
        </w:rPr>
        <w:t xml:space="preserve">Occorre qui una nota di metodo che la materia impone. La stampa tedesca — per esempio il portale Belltower.News — ha talora incluso i cardinali di Colonia Frings, Höffner e Meisner tra i «membri» dell'Opus Dei. Questa affermazione non è sostenuta da fonti primarie e va qualificata come non provata. Il sostegno di un ordinario all'attività di un ente nella propria diocesi, per quanto convinto e prolungato, non equivale all'appartenenza personale all'ente, e la prescrizione metodologica impone di non trattare l'uno come prova dell'altra. Ciò che le fonti attestano con certezza è il patrocinio di Frings all'insediamento del 1952 e la benevolenza continuativa degli arcivescovi di Colonia; l'appartenenza personale dei tre cardinali all'ente non è documentata da fonti affidabili e va considerata una tesi pubblicistica non riscontrata. Dal punto di vista della domanda di ricerca, il dato rilevante e solido è che l'insediamento avvenne su iniziativa della gerarchia cattolica locale in una regione cattolica: circostanza che rafforza, e non indebolisce, la lettura secondo cui la base dell'insediamento fu il tessuto cattolico regionale e non la composizione confessionale del Paese nel suo insieme.</w:t>
      </w:r>
    </w:p>
    <w:p>
      <w:pPr>
        <w:pStyle w:val="Heading2"/>
        <w:spacing w:after="100" w:before="200"/>
      </w:pPr>
      <w:r>
        <w:rPr>
          <w:rFonts w:ascii="Barlow Semi Condensed" w:cs="Barlow Semi Condensed" w:eastAsia="Barlow Semi Condensed" w:hAnsi="Barlow Semi Condensed"/>
          <w:sz w:val="24"/>
          <w:szCs w:val="24"/>
        </w:rPr>
        <w:t xml:space="preserve">Capitolo IV — La composizione confessionale della Repubblica Federale, 1950–1980</w:t>
      </w:r>
    </w:p>
    <w:p>
      <w:pPr>
        <w:spacing w:after="120" w:line="276"/>
        <w:jc w:val="both"/>
      </w:pPr>
      <w:r>
        <w:rPr>
          <w:rFonts w:ascii="Barlow Semi Condensed" w:cs="Barlow Semi Condensed" w:eastAsia="Barlow Semi Condensed" w:hAnsi="Barlow Semi Condensed"/>
          <w:sz w:val="24"/>
          <w:szCs w:val="24"/>
        </w:rPr>
        <w:t xml:space="preserve">I dati statistici tedeschi, elaborati dalla Forschungsgruppe Weltanschauungen in Deutschland (fowid) su base dei censimenti dello Statistisches Bundesamt, attestano che nel 1950 la ripartizione confessionale della Repubblica Federale vedeva i protestanti al 50,6% e i cattolici al 45,8%, con il 96,4% della popolazione appartenente a una delle due grandi Chiese: la formulazione fowid è testuale — «1950 waren 96,4 % der Bevölkerung Mitglied einer der beiden Kirchen, mit einem etwas größeren Anteil der Evangelischen (50,6 %) gegenüber den Katholiken (45,8 %)». fowid (https://fowid.de/sites/default/files/download/religionszugehoerigkeit_bevoelkerung_1950-2005.pdf) Una fonte storiografica indipendente, il saggio «Konfession und Wahlverhalten in Deutschland» del Themenportal Europäische Geschichte (clio-online), fornisce per il 1950 valori leggermente diversi — protestanti al 51,2% e cattolici al 45,2% — precisando che i cattolici uscirono definitivamente dalla situazione di minoranza solo nel 1976, quando fu raggiunta la parità; Clio Online (https://www.europa.clio-online.de/essay/id/fdae-1690) la divergenza fra le due serie (fowid e clio-online) va riportata e non incide sulla sostanza. Nel 1970 i protestanti erano il 47,7% e i cattolici il 44,6% (fowid), fowid (https://fowid.de/meldung/religionszugehoerigkeiten-deutschland-2015) con il 92–93% della popolazione ancora appartenente alle due Chiese. Il dato dirimente è dunque pienamente acquisito e converge da fonti diverse: nella Repubblica Federale del secondo dopoguerra i cattolici erano una minoranza relativa, non una maggioranza, benché una minoranza molto ampia e prossima alla metà della popolazione.</w:t>
      </w:r>
    </w:p>
    <w:p>
      <w:pPr>
        <w:spacing w:after="120" w:line="276"/>
        <w:jc w:val="both"/>
      </w:pPr>
      <w:r>
        <w:rPr>
          <w:rFonts w:ascii="Barlow Semi Condensed" w:cs="Barlow Semi Condensed" w:eastAsia="Barlow Semi Condensed" w:hAnsi="Barlow Semi Condensed"/>
          <w:sz w:val="24"/>
          <w:szCs w:val="24"/>
        </w:rPr>
        <w:t xml:space="preserve">Questo esito falsifica, per il caso tedesco, la prima delle due condizioni della proposizione del committente. La Germania federale, considerata nel suo complesso, era a maggioranza (relativa) protestante; eppure l'Opus Dei vi si insediò stabilmente nel 1952. La divisione della Germania fu una determinante decisiva di questo assetto: la perdita dei territori orientali e la costituzione della DDR modificarono il peso confessionale relativo rispetto al Reich del 1871, quando i protestanti superavano il 60% ed erano religione di Stato; fowid (https://fowid.de/meldung/deutschland-konfessionen) sul territorio dei Länder poi confluiti nella Repubblica Federale esisteva invece, come nota fowid, una proporzione «quasi paritaria» fra protestanti e cattolici (dell'ordine di 51:48, 52:47). fowid (https://fowid.de/meldung/deutschland-konfessionen) La distribuzione regionale mantenne concentrazioni cattoliche nettissime: Baviera, Renania, Vestfalia e Saarland, quest'ultimo con il 98,2% di appartenenti alle Chiese nel 1950 e una schiacciante maggioranza cattolica. fowid (https://fowid.de/meldung/deutschland-3-katholische-sueden-und-westen) Fino al 1970 il cattolicesimo restò la religione di maggioranza nella Renania-Vestfalia. fowid (https://fowid.de/meldung/deutschland-3-katholische-sueden-und-westen) L'espulsione dei tedeschi dai territori orientali (dai Sudeti, dalla Slesia, dalla Prussia orientale) produsse una mescolanza confessionale nelle regioni di accoglienza, con effetti di erosione del milieu cattolico documentati dalla storiografia specialistica: Michael Hirschfeld, nella monografia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del milieu cattolico già nell'immediato dopoguerra, per effetto dell'afflusso dei profughi, anticipandolo rispetto alla lettura corrente che lo legava alla contestazione del 1968. Perlentaucher (https://www.perlentaucher.de/buch/michael-hirschfeld/katholisches-milieu-und-vertriebene.html?r=print)</w:t>
      </w:r>
    </w:p>
    <w:p>
      <w:pPr>
        <w:pStyle w:val="Heading2"/>
        <w:spacing w:after="100" w:before="200"/>
      </w:pPr>
      <w:r>
        <w:rPr>
          <w:rFonts w:ascii="Barlow Semi Condensed" w:cs="Barlow Semi Condensed" w:eastAsia="Barlow Semi Condensed" w:hAnsi="Barlow Semi Condensed"/>
          <w:sz w:val="24"/>
          <w:szCs w:val="24"/>
        </w:rPr>
        <w:t xml:space="preserve">Capitolo V — Il ceto cattolico tedesco come milieu socialmente organizzato</w:t>
      </w:r>
    </w:p>
    <w:p>
      <w:pPr>
        <w:spacing w:after="120" w:line="276"/>
        <w:jc w:val="both"/>
      </w:pPr>
      <w:r>
        <w:rPr>
          <w:rFonts w:ascii="Barlow Semi Condensed" w:cs="Barlow Semi Condensed" w:eastAsia="Barlow Semi Condensed" w:hAnsi="Barlow Semi Condensed"/>
          <w:sz w:val="24"/>
          <w:szCs w:val="24"/>
        </w:rPr>
        <w:t xml:space="preserve">La seconda condizione della proposizione — la disponibilità di un ceto universitario e professionale cattolico autoctono — è nel caso tedesco non solo soddisfatta, ma soddisfatta in misura eccezionale, tanto che essa costituisce il vero perno esplicativo dell'insediamento. La storiografia tedesca dispone di una categoria consolidata per descrivere questo fenomeno, quella di «katholisches Milieu», milieu cattolico socialmente organizzato, e ne individua indicatori precisi. Esisteva una tradizione partitica di lungo periodo — lo Zentrum, poi confluito, insieme alla bavarese Bayerische Volkspartei, nell'interconfessionale CDU/CSU del dopoguerra; Clio Online (https://www.europa.clio-online.de/essay/id/fdae-1690) esisteva una fitta rete associativa e caritativa (il Kolpingwerk, i Katholikentag, le opere assistenziali Misereor e Adveniat, entrambe promosse proprio da Frings); Wikipedia (https://en.wikipedia.org/wiki/Josef_Frings) esisteva una stampa cattolica strutturata; esistevano le associazioni studentesche cattoliche organizzate nel Cartellverband, l'associazione degli accademici cattolici (Katholischer Akademikerverband), la Görres-Gesellschaft per la promozione della scienza, e il sistema delle facoltà teologiche di Stato. La letteratura politologica (Kühr, Oberndörfer e altri) descrive per la Germania un'«asimmetria confessionale-politica»: esisteva un milieu cattolico, una partitica cattolica, un cattolicesimo politico, senza un equivalente protestante di pari organizzazione. Springer (https://link.springer.com/chapter/10.1007/978-3-322-88718-4_27) La bibliografia specialistica su questo tema — dalla voce enciclopedica tedesca ai saggi di Springer — qualifica dunque il cattolicesimo tedesco del dopoguerra proprio come milieu socialmente organizzato, e non come mera confessione statistica.</w:t>
      </w:r>
    </w:p>
    <w:p>
      <w:pPr>
        <w:spacing w:after="120" w:line="276"/>
        <w:jc w:val="both"/>
      </w:pPr>
      <w:r>
        <w:rPr>
          <w:rFonts w:ascii="Barlow Semi Condensed" w:cs="Barlow Semi Condensed" w:eastAsia="Barlow Semi Condensed" w:hAnsi="Barlow Semi Condensed"/>
          <w:sz w:val="24"/>
          <w:szCs w:val="24"/>
        </w:rPr>
        <w:t xml:space="preserve">È in questo milieu, e non in una consistenza maggioritaria che non esisteva, che va cercata la base sociale dell'insediamento, e le fonti lo confermano puntualmente. L'Opus Dei si radicò precisamente sul ceto studentesco e professionale cattolico delle città renane universitarie: la prima residenza fu uno Studentenheim a Bonn, sede dell'università e della capitale federale, e il primo lavoro femminile a Colonia fu uno Studentinnenheim. È significativo che le due tedesche che accolsero le prime tre spagnole alla stazione centrale di Colonia il 12 ottobre 1956 fossero Käthe Retz (1928–2018), assistente all'Università di Bonn dove aveva studiato psicologia, e Marlies Kücking (nata 1936), all'epoca matricola universitaria: Opus Dei (https://opusdei.org/en/article/fragments-of-history-campus-muengersdorf/) espressione diretta e nominata di quel ceto accademico cattolico su cui l'apostolato poteva radicarsi. Anche il profilo dei primi tre membri arrivati nel 1952 — un ingegnere-sacerdote, un commercialista e un filosofo destinato alla cattedra di Münster — conferma la selettività verso l'ambiente universitario e professionale, coerente con la strategia originaria dell'ente, sin dagli anni spagnoli, di rivolgersi anzitutto agli intellettuali e agli studenti universitari. DeWiki (https://dewiki.de/Lexikon/Opus_Dei)</w:t>
      </w:r>
    </w:p>
    <w:p>
      <w:pPr>
        <w:pStyle w:val="Heading2"/>
        <w:spacing w:after="100" w:before="200"/>
      </w:pPr>
      <w:r>
        <w:rPr>
          <w:rFonts w:ascii="Barlow Semi Condensed" w:cs="Barlow Semi Condensed" w:eastAsia="Barlow Semi Condensed" w:hAnsi="Barlow Semi Condensed"/>
          <w:sz w:val="24"/>
          <w:szCs w:val="24"/>
        </w:rPr>
        <w:t xml:space="preserve">Capitolo VI — La conseguenza per la proposizione del committente</w:t>
      </w:r>
    </w:p>
    <w:p>
      <w:pPr>
        <w:spacing w:after="120" w:line="276"/>
        <w:jc w:val="both"/>
      </w:pPr>
      <w:r>
        <w:rPr>
          <w:rFonts w:ascii="Barlow Semi Condensed" w:cs="Barlow Semi Condensed" w:eastAsia="Barlow Semi Condensed" w:hAnsi="Barlow Semi Condensed"/>
          <w:sz w:val="24"/>
          <w:szCs w:val="24"/>
        </w:rPr>
        <w:t xml:space="preserve">Il caso tedesco produce una conseguenza netta, che si enuncia senza adattamenti in ossequio all'esplicita richiesta di non difendere la proposizione ma di sottoporla al caso avverso. La prima condizione — la maggioranza cattolica — cade: la Repubblica Federale non era a maggioranza cattolica nel 1952 e non lo divenne mai nel periodo 1952–1985. La seconda condizione — il ceto universitario e professionale cattolico autoctono — è invece pienamente soddisfatta, e nella forma più robusta possibile, quella di un milieu organizzato. L'insediamento, inoltre, non fu territorialmente indifferenziato: avvenne selettivamente nelle regioni e nelle città a forte presenza cattolica dell'ovest (Bonn, Colonia, la Renania), su iniziativa e con il patrocinio dell'ordinario cattolico locale, e raggiunse la Baviera cattolica soltanto un quarto di secolo dopo. Ne segue che, per la Germania, la proposizione va riformulata: opera la seconda condizione, non la prima. La maggioranza cattolica nazionale non è necessaria all'insediamento; la presenza di un ceto cattolico autoctono organizzato, concentrato regionalmente, sì.</w:t>
      </w:r>
    </w:p>
    <w:p>
      <w:pPr>
        <w:spacing w:after="120" w:line="276"/>
        <w:jc w:val="both"/>
      </w:pPr>
      <w:r>
        <w:rPr>
          <w:rFonts w:ascii="Barlow Semi Condensed" w:cs="Barlow Semi Condensed" w:eastAsia="Barlow Semi Condensed" w:hAnsi="Barlow Semi Condensed"/>
          <w:sz w:val="24"/>
          <w:szCs w:val="24"/>
        </w:rPr>
        <w:t xml:space="preserve">Va tuttavia aggiunta una precisazione che complica la lettura semplice, e che la correttezza logica impone di esplicitare. Il committente ha definito la proposizione falsificabile «dal reperimento di un insediamento stabile in un Paese a maggioranza non cattolica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privo di ceto cattolico autoctono». Il caso tedesco soddisfa il primo requisito (maggioranza non cattolica) ma non il secondo, perché la Germania è, al contrario, un Paese dotatissimo di ceto cattolico autoctono. Il caso tedesco falsifica dunque la sola prima condizione, dimostrando che essa non è necessaria; ma non costituisce la confutazione integrale della proposizione congiunta, la quale richiederebbe un insediamento in un Paese che difetti di entrambe le condizioni. La confutazione integrale andrebbe cercata nei casi asiatici e africani elencati dal committente fra i potenzialmente confutanti — Giappone 1958, Kenya 1958, Nigeria 1965, India 1993, ISJE (https://www.isje.org/en/history-of-opus-dei/) Kazakistan 1997, Indonesia 2008, Sri Lanka 2011 — non esaminati in questa sede e che restano il naturale prolungamento della ricerca. La Germania, in conclusione, non abbatte l'intera proposizione ma ne demolisce con certezza documentale la prima metà.</w:t>
      </w:r>
    </w:p>
    <w:p>
      <w:pPr>
        <w:pStyle w:val="Heading2"/>
        <w:spacing w:after="100" w:before="200"/>
      </w:pPr>
      <w:r>
        <w:rPr>
          <w:rFonts w:ascii="Barlow Semi Condensed" w:cs="Barlow Semi Condensed" w:eastAsia="Barlow Semi Condensed" w:hAnsi="Barlow Semi Condensed"/>
          <w:sz w:val="24"/>
          <w:szCs w:val="24"/>
        </w:rPr>
        <w:t xml:space="preserve">Capitolo VII — Il confronto sistematico con gli altri casi europei</w:t>
      </w:r>
    </w:p>
    <w:p>
      <w:pPr>
        <w:spacing w:after="120" w:line="276"/>
        <w:jc w:val="both"/>
      </w:pPr>
      <w:r>
        <w:rPr>
          <w:rFonts w:ascii="Barlow Semi Condensed" w:cs="Barlow Semi Condensed" w:eastAsia="Barlow Semi Condensed" w:hAnsi="Barlow Semi Condensed"/>
          <w:sz w:val="24"/>
          <w:szCs w:val="24"/>
        </w:rPr>
        <w:t xml:space="preserve">Il confronto con gli altri Paesi europei rafforza e precisa la conclusione. La cronologia ufficiale dell'ente (Centro Studi Escrivá dell'Università di Navarra, e cronologia della Prelatura) registra le seguenti date d'inizio del lavoro stabile: Portogallo 1945; Italia e Gran Bretagna 1946; Francia e Irlanda 1947; Germania 1952; Svizzera 1956; Austria 1957; Opus Dei (https://opusdei.org/de-de/article/pressemitteilung-die-praelatur-opus-dei-in-mitteleuropa-stellt-sich-neu-auf-de/) University of Navarra (https://en.unav.edu/web/josemaria-escriva-study-centre/opus-dei-y-prelados) Olanda 1959 o 1960 (le fonti dell'ente divergono fra le due date, e la divergenza si riporta); Belgio 1965; Svezia 1984. University of Navarra (https://en.unav.edu/web/josemaria-escriva-study-centre/opus-dei-y-prelados) Due casi sono dirimenti quanto quello tedesco, poiché riguardano Paesi a maggioranza protestante: la Gran Bretagna (1946) e la Svezia (1984). In Gran Bretagna il lavoro iniziò il 28 dicembre 1946 con l'arrivo a Londra dello spagnolo Juan Antonio Galarraga (1920–2005), Opus Dei (https://opusdei.org/en-uk/article/history-of-opus-dei-in-britain/) numerario dal 1940, giunto per proseguire la ricerca post-dottorale in farmacia alla London University; Opus Dei (https://opusdei.org/en-uk/article/history-of-opus-dei-in-britain/) la prima residenza fu a Rutland Court, poi trasferita a Netherhall House a Hampstead, e il primo centro femminile aprì nel 1952. Opus Dei (https://opusdei.org/en-uk/article/history-of-opus-dei-in-britain/) La Gran Bretagna era ed è a maggioranza protestante (anglicana), con una minoranza cattolica organizzata: il caso conferma indipendentemente dalla Germania che la maggioranza cattolica non è condizione necessaria, mentre lo sono la presenza di un grande ambiente universitario (Londra) e di una minoranza cattolica su cui radicarsi. Anzi, la Gran Bretagna precede la Germania di sei anni e mostra che l'ente, sin dalla sua prima espansione europea, non selezionò i Paesi in base alla confessione maggioritaria.</w:t>
      </w:r>
    </w:p>
    <w:p>
      <w:pPr>
        <w:spacing w:after="120" w:line="276"/>
        <w:jc w:val="both"/>
      </w:pPr>
      <w:r>
        <w:rPr>
          <w:rFonts w:ascii="Barlow Semi Condensed" w:cs="Barlow Semi Condensed" w:eastAsia="Barlow Semi Condensed" w:hAnsi="Barlow Semi Condensed"/>
          <w:sz w:val="24"/>
          <w:szCs w:val="24"/>
        </w:rPr>
        <w:t xml:space="preserve">La Svezia (1984) è il caso a maggioranza protestante più estremo, con una minoranza cattolica minima e in larga parte non autoctona. La cronologia ufficiale la registra come inizio del lavoro stabile, ma una fonte critica specializzata (opus-info.org) segnala che nei Paesi di più recente impianto — «Svezia, Ungheria, Russia» — la grande maggioranza dei numerari sono di provenienza spagnola. Opus-Info (https://www.opus-info.org/index.php/Statistik_der_Mitglieder_des_Opus_Dei) Ciò suggerisce che in questi casi l'insediamento poggi inizialmente su membri importati più che su un ceto autoctono, il che indebolisce anche la seconda condizione e complica ulteriormente il quadro: là dove manca il ceto cattolico autoctono, l'ente sembra procedere per trapianto di personale, non per radicamento locale. La Svizzera (1956, primo centro a Zurigo, città a forte componente protestante, con l'arrivo dall'Italia dell'architetto Pedro Turull e del sacerdote-psichiatra Johannes B. Torelló, entrambi provenienti dall'attività a Napoli, Milano e Palermo), Novaradio (https://novaradio.ch/deutsch/opus-dei/) l'Austria (1957, Vienna, cattolica e concepita dal fondatore come «porta verso l'Europa centro-orientale»), l'Olanda (mista con forte minoranza cattolica) e il Belgio (1965, cattolico) completano il quadro. La regolarità che emerge dall'insieme dei casi europei non è la maggioranza cattolica del Paese, bensì la compresenza di città universitarie e di un nucleo cattolico: autoctono e organizzato dove esiste (Germania, Austria, Belgio, Svizzera renana), importato dalla Spagna dove il cattolicesimo autoctono è debole (Svezia). Il confronto europeo, dunque, corrobora la falsificazione della prima condizione ottenuta sul caso tedesco.</w:t>
      </w:r>
    </w:p>
    <w:p>
      <w:pPr>
        <w:pStyle w:val="Heading2"/>
        <w:spacing w:after="100" w:before="200"/>
      </w:pPr>
      <w:r>
        <w:rPr>
          <w:rFonts w:ascii="Barlow Semi Condensed" w:cs="Barlow Semi Condensed" w:eastAsia="Barlow Semi Condensed" w:hAnsi="Barlow Semi Condensed"/>
          <w:sz w:val="24"/>
          <w:szCs w:val="24"/>
        </w:rPr>
        <w:t xml:space="preserve">Capitolo VIII — L'Opus Dei e la vita pubblica tedesca; le controversie</w:t>
      </w:r>
    </w:p>
    <w:p>
      <w:pPr>
        <w:spacing w:after="120" w:line="276"/>
        <w:jc w:val="both"/>
      </w:pPr>
      <w:r>
        <w:rPr>
          <w:rFonts w:ascii="Barlow Semi Condensed" w:cs="Barlow Semi Condensed" w:eastAsia="Barlow Semi Condensed" w:hAnsi="Barlow Semi Condensed"/>
          <w:sz w:val="24"/>
          <w:szCs w:val="24"/>
        </w:rPr>
        <w:t xml:space="preserve">Attenendosi rigorosamente ai fatti pubblici documentati e alla prescrizione che l'appartenenza non prova la condotta, si può accertare quanto segue circa la presenza dell'ente nella vita pubblica, accademica ed economica tedesca del periodo 1952–1985. Il membro tedesco di maggiore rilievo accademico documentato dalla fonte ufficiale è Fernando Inciarte (1929–2000), filosofo divenuto ordinario all'Università di Münster; ma Inciarte era di origine spagnola, tra i primissimi arrivati del 1952, e non un tedesco autoctono reclutato in loco, circostanza che va segnalata per non falsare il quadro. La rete istituzionale collegata all'apostolato comprende la «Studentische Kulturgemeinschaft e.V.», fondata nel 1953 come organizzazione-quadro dello Studentenheim di Bonn e di successivi centri educativi (le case «Hoher Weg» ad Augsburg, «Fausenburg» a Trier, «Am Städel» a Francoforte, «Weidenau» a Monaco), la cui direzione spirituale è affidata all'Opus Dei; Antifaschistisches Infoblatt (https://antifainfoblatt.de/aib85/opus-dei-kampftruppe-gottes) e le case di formazione Aufderhöhe a Solingen, Zieglerhof a Ettal in Baviera e Haus Hardtberg nell'Eifel. Sono fatti pubblici e documentati dalla stessa fonte dell'ente. Non risultano invece, dalle fonti reperite, membri tedeschi autoctoni in posizioni pubbliche o economiche di primo piano documentati per il periodo con fonti affidabili: l'individuazione richiederebbe l'accesso agli archivi della Prelatura, e ogni attribuzione andrebbe comunque tenuta distinta da qualunque inferenza sulla condotta dell'ente.</w:t>
      </w:r>
    </w:p>
    <w:p>
      <w:pPr>
        <w:spacing w:after="120" w:line="276"/>
        <w:jc w:val="both"/>
      </w:pPr>
      <w:r>
        <w:rPr>
          <w:rFonts w:ascii="Barlow Semi Condensed" w:cs="Barlow Semi Condensed" w:eastAsia="Barlow Semi Condensed" w:hAnsi="Barlow Semi Condensed"/>
          <w:sz w:val="24"/>
          <w:szCs w:val="24"/>
        </w:rPr>
        <w:t xml:space="preserve">Sul fronte delle controversie pubbliche, la Germania fu teatro di una polemica accesa soprattutto a partire dagli anni Ottanta, coincidenti con l'erezione a prelatura personale. Il giornalista Peter Hertel fu il principale critico: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Opus Dei (https://opusdei.org/de-de/article/dauerbrenner-opus-dei-verdachtigung/)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poi in quarta edizione nel 1990). Springer (https://link.springer.com/chapter/10.1007/978-3-322-95152-6_2) L'ente reagì per via legale e per via apologetica: il 27 novembre 1984 lo studio legale monacense Gritschneder/Ehrensperger/Widl presentò, per conto dell'«Opus Dei e.V.» e del vicario regionale César Ortiz, una querela presso la sezione civile del Landgericht München I; IBKA (https://www.ibka.org/artikel/miz86/opusdei.html) e diffuse contro-pubblicazioni ufficiali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 Nel dicembre 1984 una parrocchia di Colonia rifiutò di accogliere il primo parroco Opus Dei della Germania Ovest, padre Peter Irrgang, che fu poi accolto dalla piccola comunità di Kreuzweingarten Christian Science Monitor (https://www.csmonitor.com/1984/1231/123131.html) (Christian Science Monitor, 31 dicembre 1984): l'episodio documenta al tempo stesso una reticenza a livello di singola parrocchia e la persistente accoglienza a livello diocesano. Quanto alla gerarchia, non risulta dalle fonti reperite una presa di posizione formale e negativa della Deutsche Bischofskonferenz contro l'ente;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secondo la fonte ufficiale, dalla consultazione degli «oltre duemila vescovi delle diocesi nelle quali l'Opus Dei era presente», Opus Dei (https://opusdei.org/de/article/die-personalpraelatur-opus-dei-wie-sie-organisiert-ist-und-wie-sie-arbeitet/) Opus Dei (https://opusdei.org/it-it/article/prelatura-personale/) tra cui gli ordinari tedeschi, e la dichiarazione di Álvaro del Portillo alla Conferenza episcopale tedesca è documentata (Presseamt des Erzbistums Köln, Dokumente 185, 3 settembre 1983). Opus Dei (https://multimedia.opusdei.org/pdf/de/vorwuerfe.pdf) Circa l'atteggiamento della Democrazia Cristiana tedesca e dei partiti dell'Unione verso l'istituzione, le fonti reperite non documentano una posizione ufficiale di partito, e l'esito è pertanto uno Stato Zero da colmare presso l'Archiv für Christlich-Demokratische Politik della Konrad-Adenauer-Stiftung. Si applica per l'intero capitolo la prescrizione assoluta: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IX — Aldo Moro Ministro degli Esteri e la Repubblica Federale: gli atti della Ostpolitik</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della Repubblica Italiana dal 5 agosto 1969 al 26 giugno 1972 (nei governi Rumor II e III, Colombo e Andreotti I) e dal 7 luglio 1973 al 23 novembre 1974 (nei governi Rumor IV e V), Esteri (https://www.esteri.it/it/ministero/storia/ministri_esteri/) come attesta la scheda ufficiale del Ministero degli Affari Esteri e della Cooperazione Internazionale. Il suo doppio mandato coincise con la fase centrale e più intensa della Ostpolitik del cancelliere Willy Brandt e del ministro degli Esteri, e vicecancelliere, Walter Scheel. I cinque atti la cui incidenza sulla posizione italiana costituiva l'obiettivo residuo della ricognizione anteriore sono: il Trattato di Mosca (12 agosto 1970), con cui la Repubblica Federale riconobbe la linea Oder-Neisse e rinunciò a rivendicazioni territoriali; willy-brandt-biography +2 (https://www.willy-brandt-biography.com/travels/1967-1974/) il Trattato di Varsavia (7 dicembre 1970) con la Polonia, di analogo contenuto; Wikipedia (https://en.wikipedia.org/wiki/Kniefall_von_Warschau) Dizie (https://www.dizie.eu/dizionario/ostpolitik/?print=pdf) l'Accordo quadripartito su Berlino (3 settembre 1971), siglato da Francia, Regno Unito, Stati Uniti e Unione Sovietica; LuissThesis (https://tesi.luiss.it/34225/1/090762_DI%20NARDO_FRANCESCO.pdf) il Trattato fondamentale fra le due Germanie (Grundlagenvertrag, 21 dicembre 1972); Berchet (https://liceoberchet.edu.it/ricerche/geo5d_06/csi/ostpolitik.htm) e l'ingresso di entrambe le Germanie alle Nazioni Unite (18 settembre 1973). Dizie (https://www.dizie.eu/dizionario/ostpolitik/?print=pdf) È già accertato, e qui si conferma, che il riconoscimento diplomatico italiano della Repubblica Democratica Tedesca avvenne SISSCO (https://www.sissco.it/recensione-annale/la-ddr-e-litalia-politica-commercio-e-ideologia-nelleuropa-del-cambiamento-1973-1985/) il 17 gennaio 1973, dunque nell'intervallo fra i due mandati di Moro, quando titolare della Farnesina era Giuseppe Medici; e che la collocazione del riconoscimento italiano dopo la firma del Grundlagenvertrag Fbk (https://aro-isig.fbk.eu/issues/2018/1/la-ddr-e-litalia-teresa-malice/pdf/) fu coerente con la sequenza concordata in ambito occidentale.</w:t>
      </w:r>
    </w:p>
    <w:p>
      <w:pPr>
        <w:spacing w:after="120" w:line="276"/>
        <w:jc w:val="both"/>
      </w:pPr>
      <w:r>
        <w:rPr>
          <w:rFonts w:ascii="Barlow Semi Condensed" w:cs="Barlow Semi Condensed" w:eastAsia="Barlow Semi Condensed" w:hAnsi="Barlow Semi Condensed"/>
          <w:sz w:val="24"/>
          <w:szCs w:val="24"/>
        </w:rPr>
        <w:t xml:space="preserve">La posizione puntuale del governo italiano su ciascuno dei cinque atti resta, nelle fonti secondarie reperite, ricostruibile solo per grandi linee, e va dichiarata in larga parte come Stato Zero da colmare in archivio. La cornice generale è però documentata dalla storiografia. Laura Fasanaro, nella monografia </w:t>
      </w:r>
      <w:r>
        <w:rPr>
          <w:rFonts w:ascii="Barlow Semi Condensed" w:cs="Barlow Semi Condensed" w:eastAsia="Barlow Semi Condensed" w:hAnsi="Barlow Semi Condensed"/>
          <w:i/>
          <w:iCs/>
          <w:sz w:val="24"/>
          <w:szCs w:val="24"/>
        </w:rPr>
        <w:t xml:space="preserve">La DDR e l'Italia. Politica, commercio e ideologia nell'Europa del cambiamento</w:t>
      </w:r>
      <w:r>
        <w:rPr>
          <w:rFonts w:ascii="Barlow Semi Condensed" w:cs="Barlow Semi Condensed" w:eastAsia="Barlow Semi Condensed" w:hAnsi="Barlow Semi Condensed"/>
          <w:sz w:val="24"/>
          <w:szCs w:val="24"/>
        </w:rPr>
        <w:t xml:space="preserve"> (Carocci, 2017 — le fonti indicano nel titolo sia il 1990 sia il 1985 come termine finale, divergenza editoriale che si riporta), primo studio italiano sulle relazioni politiche fra Italia e DDR, colloca l'inizio della trattazione proprio al 1973, anno del riconoscimento italiano. SISSCO (https://www.sissco.it/recensione-annale/la-ddr-e-litalia-politica-commercio-e-ideologia-nelleuropa-del-cambiamento-1973-1985/) Il recensore Francesco Di Palma (sehepunkte, 2018) sintetizza la tesi dell'autrice attestando che «le origini di questi rapporti presuntamente privilegiati risalgono all'azione del politico democristiano Aldo Moro», presidente del Consiglio dal 1963 al 1968 e poi dal 1974 al 1976 e «fautore di una coerente politica di distensione verso gli Stati del blocco orientale», strategia intesa a promuovere in modo differenziato il dialogo e la cooperazione politica ed economica con Paesi «realsocialisti» selezionati, anzitutto la DDR. SEHEPUNKTE (https://www.sehepunkte.de/2018/04/31274.html) L'Italia accolse dunque con favore la distensione brandtiana in quanto coerente con la propria linea, insieme europeista e atlantica; ma la posizione italiana sui singoli trattati — e in particolare l'atteggiamento sul negoziato quadripartito su Berlino, materia in cui l'Italia non era parte contraente ma alleato NATO interessato — non è documentata dalle fonti secondarie reperite e va cercata nella serie Germania dell'Archivio Storico Diplomatico del MAECI e nei volumi annuali degli </w:t>
      </w:r>
      <w:r>
        <w:rPr>
          <w:rFonts w:ascii="Barlow Semi Condensed" w:cs="Barlow Semi Condensed" w:eastAsia="Barlow Semi Condensed" w:hAnsi="Barlow Semi Condensed"/>
          <w:i/>
          <w:iCs/>
          <w:sz w:val="24"/>
          <w:szCs w:val="24"/>
        </w:rPr>
        <w:t xml:space="preserve">Akten zur Auswärtigen Politik der Bundesrepublik Deutschland</w:t>
      </w:r>
      <w:r>
        <w:rPr>
          <w:rFonts w:ascii="Barlow Semi Condensed" w:cs="Barlow Semi Condensed" w:eastAsia="Barlow Semi Condensed" w:hAnsi="Barlow Semi Condensed"/>
          <w:sz w:val="24"/>
          <w:szCs w:val="24"/>
        </w:rPr>
        <w:t xml:space="preserve"> (AAPD).</w:t>
      </w:r>
    </w:p>
    <w:p>
      <w:pPr>
        <w:pStyle w:val="Heading2"/>
        <w:spacing w:after="100" w:before="200"/>
      </w:pPr>
      <w:r>
        <w:rPr>
          <w:rFonts w:ascii="Barlow Semi Condensed" w:cs="Barlow Semi Condensed" w:eastAsia="Barlow Semi Condensed" w:hAnsi="Barlow Semi Condensed"/>
          <w:sz w:val="24"/>
          <w:szCs w:val="24"/>
        </w:rPr>
        <w:t xml:space="preserve">Capitolo X — Gli incontri Moro-Brandt e Moro-Scheel</w:t>
      </w:r>
    </w:p>
    <w:p>
      <w:pPr>
        <w:spacing w:after="120" w:line="276"/>
        <w:jc w:val="both"/>
      </w:pPr>
      <w:r>
        <w:rPr>
          <w:rFonts w:ascii="Barlow Semi Condensed" w:cs="Barlow Semi Condensed" w:eastAsia="Barlow Semi Condensed" w:hAnsi="Barlow Semi Condensed"/>
          <w:sz w:val="24"/>
          <w:szCs w:val="24"/>
        </w:rPr>
        <w:t xml:space="preserve">La ricognizione ha permesso di accertare, contro fonti nominate, alcuni incontri documentati e di distinguerli con precisione da quelli soltanto inferiti. La Bundeskanzler-Willy-Brandt-Stiftung, fonte ufficiale della cronologia dei viaggi di Brandt, documenta un incontro Moro-Brandt anteriore alla cancelleria: il 31 agosto-1º settembre 1969, a Roma, Brandt ancora ministro degli Esteri della Grande Coalizione ebbe «colloqui con il ministro degli Esteri Moro» willy-brandt-biography (https://www.willy-brandt-biography.com/travels/1967-1974/) — dunque un bilaterale fra ministri degli Esteri circa sette settimane prima che Brandt divenisse cancelliere e poche settimane dopo l'assunzione dell'incarico da parte di Moro. Come cancelliere, Brandt visitò Roma due volte nel 1970: il 12-14 luglio 1970, con colloqui con il presidente della Repubblica Giuseppe Saragat e il presidente del Consiglio Mariano Rumor, e udienza privata da Paolo VI in Vaticano; willy-brandt-biography (https://www.willy-brandt-biography.com/travels/1967-1974/) e il 23-25 novembre 1970, con colloqui con il presidente del Consiglio Emilio Colombo e con Saragat. willy-brandt-biography (https://www.willy-brandt-biography.com/travels/1967-1974/) La fonte ufficiale della Fondazione Brandt, che elenca selettivamente i soli capi di Stato e di governo, non nomina esplicitamente Moro come partecipante alle due visite del 1970; ma Moro era ministro degli Esteri in carica a entrambe le date, sicché la sua presenza ai colloqui bilaterali è altamente probabile pur non essendo documentata nominativamente. La distinzione fra il documentato e l'inferito va qui mantenuta con rigore: la conferma nominativa andrebbe cercata negli AAPD 1970 e nella serie Germania del MAECI. L'Istituto Luce conserva il filmato «Visita ufficiale del cancelliere Willy Brandt a Roma» (segnatura IL5000085939), catalogato al 1970, che mostra l'incontro Saragat-Brandt al Quirinale e il ricevimento da parte del sindaco di Roma Clelio Darida, senza tuttavia menzionare Moro né precisare il giorno.</w:t>
      </w:r>
    </w:p>
    <w:p>
      <w:pPr>
        <w:spacing w:after="120" w:line="276"/>
        <w:jc w:val="both"/>
      </w:pPr>
      <w:r>
        <w:rPr>
          <w:rFonts w:ascii="Barlow Semi Condensed" w:cs="Barlow Semi Condensed" w:eastAsia="Barlow Semi Condensed" w:hAnsi="Barlow Semi Condensed"/>
          <w:sz w:val="24"/>
          <w:szCs w:val="24"/>
        </w:rPr>
        <w:t xml:space="preserve">Un contatto Moro-Scheel a Bonn è documentato da una fonte primaria derivata: il documentario dei filmati amatoriali dell'ambasciatore italiano a Bonn Mario Luciolli (in carica 1964–1976), catalogato da Stefano Baldi, mostra nel 1971 a Bad Godesberg il presidente del Consiglio Emilio Colombo e il ministro degli Esteri Aldo Moro all'Ambasciata d'Italia, Wordpress (https://diplosor.wordpress.com/documentario-con-i-filmati-dellamb-mario-luciolli-1964-1984/) in un ricevimento cui presero parte anche Genscher e Scheel; wordpress (https://diplosor.wordpress.com/documentario-con-i-filmati-dellamb-mario-luciolli-1964-1984/) lo stesso documentario mostra Moro nuovamente nell'area di Bonn nel 1972, ancora ministro degli Esteri. Wordpress (https://diplosor.wordpress.com/documentario-con-i-filmati-dellamb-mario-luciolli-1964-1984/) La data calendariale esatta della visita Colombo-Moro del 1971 non è precisata dalla fonte (verosimilmente legata al semestre di presidenza italiana del Consiglio delle Comunità), e le datazioni «1971» e «1972» sono etichette dell'archivista da corroborare con gli AAPD e la serie Germania del MAECI. Non è stato invece possibile confermare, nelle fonti aperte, un singolo incontro bilaterale Moro-Scheel isolato e datato con precisione: la loro ripetuta compresenza ai Consigli dei ministri della CEE e alle ministeriali della NATO è accertata come prassi ricorrente ma non è itemizzata in incontri puntuali. Al Vertice dell'Aja (1-2 dicembre 1969) la delegazione italiana fu guidata dal presidente del Consiglio Mariano Rumor; Archive of European Integration (https://aei.pitt.edu/1451/1/hague_1969.pdf) la didascalia ufficiale della fotografia del vertice menziona i capi di Stato e di governo «e i loro ministri degli Esteri», Willy Brandt (https://www.willy-brandt-biography.com/travels/1967-1974/) sicché la partecipazione di Moro alla delegazione è implicita e coerente col suo ruolo, ma egli non è individualmente nominato nelle fonti reperite. In sintesi: è documentato con certezza il bilaterale Moro-Brandt del 31 agosto-1º settembre 1969; sono documentate le visite di Brandt a Roma del luglio e novembre 1970 e la presenza di Moro accanto a Colombo a Bonn nel 1971 in un contesto con Scheel; è inferita ma non confermata la partecipazione nominativa di Moro alle visite romane di Brandt e al Vertice dell'Aja; non è confermato un bilaterale Moro-Scheel isolato e datato.</w:t>
      </w:r>
    </w:p>
    <w:p>
      <w:pPr>
        <w:pStyle w:val="Heading2"/>
        <w:spacing w:after="100" w:before="200"/>
      </w:pPr>
      <w:r>
        <w:rPr>
          <w:rFonts w:ascii="Barlow Semi Condensed" w:cs="Barlow Semi Condensed" w:eastAsia="Barlow Semi Condensed" w:hAnsi="Barlow Semi Condensed"/>
          <w:sz w:val="24"/>
          <w:szCs w:val="24"/>
        </w:rPr>
        <w:t xml:space="preserve">Capitolo XI — Il versante economico, comunitario e migratorio</w:t>
      </w:r>
    </w:p>
    <w:p>
      <w:pPr>
        <w:spacing w:after="120" w:line="276"/>
        <w:jc w:val="both"/>
      </w:pPr>
      <w:r>
        <w:rPr>
          <w:rFonts w:ascii="Barlow Semi Condensed" w:cs="Barlow Semi Condensed" w:eastAsia="Barlow Semi Condensed" w:hAnsi="Barlow Semi Condensed"/>
          <w:sz w:val="24"/>
          <w:szCs w:val="24"/>
        </w:rPr>
        <w:t xml:space="preserve">I rapporti economici italo-tedeschi del periodo hanno il loro atto fondativo nell'Accordo per il reclutamento e il collocamento di manodopera italiana nella Repubblica Federale, firmato a Roma il 20 dicembre 1955. bpb (https://www.bpb.de/kurz-knapp/hintergrund-aktuell/324552/erstes-anwerbeabkommen-vor-65-jahren/) Sulla titolarità delle firme le fonti divergono, e la divergenza si riporta: la Fondazione Migrantes indica come firmatari il ministro federale del Lavoro Anton Storch e il ministro italiano degli Esteri Gaetano Martino; Fondazione Migrantes (https://www.migrantes.it/1955-2015-gastarbeiter-un-viaggio-lungo-60-anni/) altre fonti (Stampa Parlamento) indicano per parte tedesca il ministro dell'Economia Ludwig Erhard. Stampa Parlamento (https://www.stampaparlamento.it/2022/03/04/laccordo-italo-tedesco-del-20-dicembre-1955/) L'accordo avviò l'emigrazione dei cosiddetti Gastarbeiter, i «lavoratori ospiti», impiegati dapprima nel sud-ovest tedesco in agricoltura e nell'edilizia. Fondazione Migrantes (https://www.migrantes.it/1955-2015-gastarbeiter-un-viaggio-lungo-60-anni/) La dimensione del fenomeno è quantificata concordemente: la Bundeszentrale für politische Bildung attesta che «nei cinque decenni successivi giunsero a lavorare in Germania quasi quattro milioni di italiani» bpb (https://www.bpb.de/kurz-knapp/hintergrund-aktuell/324552/erstes-anwerbeabkommen-vor-65-jahren/) (bpb.de), dato ripreso anche dalla pubblicistica italiana; e lo storico Roberto Sala (Vierteljahrshefte für Zeitgeschichte, 55/2007) precisa che circa l'89% di quei quattro milioni fece poi ritorno in Italia, Wikipedia (https://de.wikipedia.org/wiki/Anwerbeabkommen_zwischen_der_Bundesrepublik_Deutschland_und_Italien) a conferma del carattere in larga parte circolare della migrazione. La questione migratoria fu una costante dei rapporti bilaterali durante il ministero Moro, intrecciata alla progressiva attuazione della libera circolazione dei lavoratori nella Comunità economica europea, Storicamente (https://storicamente.org/migrazioni-prontera) che rese in parte superfluo il canale dell'accordo bilaterale.</w:t>
      </w:r>
    </w:p>
    <w:p>
      <w:pPr>
        <w:spacing w:after="120" w:line="276"/>
        <w:jc w:val="both"/>
      </w:pPr>
      <w:r>
        <w:rPr>
          <w:rFonts w:ascii="Barlow Semi Condensed" w:cs="Barlow Semi Condensed" w:eastAsia="Barlow Semi Condensed" w:hAnsi="Barlow Semi Condensed"/>
          <w:sz w:val="24"/>
          <w:szCs w:val="24"/>
        </w:rPr>
        <w:t xml:space="preserve">Sul versante comunitario e monetario, il Vertice dell'Aja del 1-2 dicembre 1969 costituì lo snodo, e vi si colloca il tentativo italiano di bilanciare l'asse franco-tedesco, già accertato dal committente e qui documentato nel dettaglio. Nella ricostruzione storiografica (Maria Eleonora Guasconi; il saggio di Officina della Storia sul vertice), dei tre elementi del «trittico» — completamento, approfondimento, allargamento CVCE (https://www.cvce.eu/en/recherche/unit-content/-/unit/02bb76df-d066-4c08-a58a-d4686a3e68ff/a4b76b9e-9b8b-4752-9657-05e26c5a1f5d) — l'Italia, e personalmente Aldo Moro, sostenne apertamente l'ingresso della Gran Bretagna nella CEE nella speranza che una convergenza fra Roma e Londra servisse a bilanciare il preponderante asse franco-tedesco. Officinadellastoria (https://www.officinadellastoria.eu/it/2018/07/19/leuropa-tra-crisi-e-rilancio-il-vertice-dellaja-del-1969/) Per i timori nutriti verso l'unione economica e monetaria, Moro propose di accompagnare il cammino monetario con analoghi provvedimenti di cooperazione politica, con l'elezione diretta del Parlamento europeo e con una politica per la gioventù europea; Officinadellastoria (https://www.officinadellastoria.eu/it/2018/07/19/leuropa-tra-crisi-e-rilancio-il-vertice-dellaja-del-1969/) e, secondo la stessa ricostruzione, arrivò a minacciare di non partecipare al vertice se il presidente francese Pompidou non avesse inserito nel comunicato finale una data d'inizio dei negoziati con la Gran Bretagna, rendendosi protagonista anche di un «giallo» sulla data di convocazione del vertice. Officinadellastoria (https://www.officinadellastoria.eu/it/2018/07/19/leuropa-tra-crisi-e-rilancio-il-vertice-dellaja-del-1969/) Il mandato dell'Aja generò il Rapporto Werner (presentato l'8 maggio 1970, versione finale nell'ottobre 1970): sul piano dell'unione monetaria il piano tedesco «economicista» (Piano Schiller, 12 febbraio 1970) era appoggiato da Italia e Olanda, mentre il piano belga-lussemburghese «monetarista» era appoggiato dalla Francia. vLex (https://eu.vlex.com/vid/werner-istituzioni-governo-monetario-264867494) Il «serpente monetario» nacque nel 1972; la lira italiana ne uscì Unibo (https://aldomorodigitale.unibo.it/additional_resources/?id=141&amp;type=essay) nel febbraio 1973 e vi rientrò soltanto alla vigilia dell'entrata in funzione del Sistema Monetario Europeo nel 1979. Unipd (https://thesis.unipd.it/retrieve/a718646f-1fb5-445a-9b20-aeb407baaafb/Petrila_Andreea_Roxana.pdf) Il tentativo italiano di bilanciare l'asse franco-tedesco attraverso l'apertura a Londra e l'accoppiamento fra cooperazione monetaria e cooperazione politica fu dunque una costante della politica europea di Moro ministro degli Esteri.</w:t>
      </w:r>
    </w:p>
    <w:p>
      <w:pPr>
        <w:pStyle w:val="Heading2"/>
        <w:spacing w:after="100" w:before="200"/>
      </w:pPr>
      <w:r>
        <w:rPr>
          <w:rFonts w:ascii="Barlow Semi Condensed" w:cs="Barlow Semi Condensed" w:eastAsia="Barlow Semi Condensed" w:hAnsi="Barlow Semi Condensed"/>
          <w:sz w:val="24"/>
          <w:szCs w:val="24"/>
        </w:rPr>
        <w:t xml:space="preserve">Capitolo XII — Esiti negativi, documenti desecretati e archivi;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raccoglie gli esiti negativi, che secondo la prescrizione ricevuta sono acquisizioni di pieno valore, ciascuno con l'indicazione della sede presso cui la ricerca andrebbe condotta. Prima acquisizione mancata: nel CIA FOIA Electronic Reading Room e nella collezione CREST non è stato reperito, nelle ricerche condotte, alcun documento desecretato specificamente relativo all'Opus Dei in relazione alla Germania; l'esito negativo era previsto dal committente e va verificato mediante interrogazione diretta e sistematica del readingroom (foia.cia.gov/readingroom) con stringhe combinate, prima di considerarlo definitivo. Seconda: la posizione puntuale del governo italiano su ciascuno dei cinque atti della Ostpolitik non è documentata dalle fonti secondarie reperite; la sede di chiusura è la serie Germania 1969-1975 dell'Archivio Storico Diplomatico del Ministero degli Affari Esteri, con l'avvertenza già accertata dell'esclusione temporanea dei Telegrammi 1942-1970, e i volumi annuali degli AAPD editi dall'Institut für Zeitgeschichte per l'Auswärtiges Amt, oltre all'Edizione Nazionale delle Opere di Aldo Moro. Terza: la presenza nominativa di Moro alle visite di Brandt a Roma del luglio e del novembre 1970 e al Vertice dell'Aja è inferita ma non confermata; la sede di chiusura sono gli AAPD 1969-1970 e la serie Germania del MAECI. Quarta: un incontro bilaterale Moro-Scheel isolato e datato non è stato confermato; sede AAPD e MAECI, oltre alla documentazione dei Consigli CEE e delle ministeriali NATO. Quinta: la posizione ufficiale della CDU/CSU e dei partiti dell'Unione verso l'Opus Dei non è documentata; sede l'Archiv für Christlich-Demokratische Politik della Konrad-Adenauer-Stiftung. Sesta: la tesi di dottorato di Filippo Triola, discussa all'Università di Bologna nel 2013 sui rapporti politici ed economici italo-tedeschi dopo il 1945, Freie Universität Berlin (https://www.geisteswissenschaften.fu-berlin.de/it/italienzentrum/forschung-lehre/Gastdozent_innen/Ex-docenti/Filippo-Triola/index.html) è reperibile su AMS Dottorato di Unibo ma la parte edita e consultata copre prevalentemente il periodo 1945-1955 Unibo (https://amsdottorato.unibo.it/id/eprint/5721/1/Triola_Flippo_Tesi.pdf) (poi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il testo integrale andrebbe consultato per il periodo 1963-1972 di specifico interesse. Settima: la consistenza numerica storica dell'insediamento tedesco per gli anni 1952-1985 e la cronologia interna dettagliata non sono documentate dalle fonti aperte; la sede primaria è costituita dall'Archivio Generale della Prelatura a Roma e dal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documentali necessarie e non conseguite, ordinate per rendimento atteso, si chiude come segue. A rendimento più alto si collocano congiuntamente la serie Germania dell'Archivio Storico Diplomatico del MAECI e i volumi degli AAPD: la loro consultazione chiuderebbe insieme la posizione italiana sui cinque atti della Ostpolitik e la conferma nominativa e datata degli incontri Moro-Brandt e Moro-Scheel; la condizione di chiusura è l'accesso in sala studio e il superamento dell'esclusione temporanea dei Telegrammi 1942-1970. A rendimento medio-alto si collocano gli archivi della Prelatura e il Centro Studi di Navarra, per i dati numerici storici e la cronologia interna dell'insediamento tedesco; condizione di chiusura è l'autorizzazione all'accesso ristretto. A rendimento medio si colloca l'Archiv für Christlich-Demokratische Politik, per l'atteggiamento dei partiti dell'Unione verso l'ente; condizione di chiusura è la consultazione dei fondi di partito. A rendimento incerto ma da verificare si colloca il CIA FOIA readingroom, con previsione di esito negativo; condizione di chiusura è l'interrogazione sistematica. Il Bundesarchiv di Coblenza e il Politisches Archiv des Auswärtigen Amts di Berlino completano il quadro documentale per il versante tedesco, sia diplomatico sia interno. Resta fermo, e non condizionato dalle acquisizioni mancanti, il risultato principale di questa ricerca: per la Germania la prima condizione della proposizione del committente — la maggioranza cattolica della popolazione — è falsificata con certezza documentale, poiché la Repubblica Federale era a maggioranza relativa protestante e l'Opus Dei vi si insediò comunque stabilmente nel 1952; mentre la seconda condizione — la disponibilità di un ceto universitario e professionale cattolico autoctono, qui presente nella forma robusta di un milieu socialmente organizzato — è pienamente confermata. Con l'avvertenza, che la correttezza logica impone di ribadire in chiusura, che il caso tedesco falsifica la sola prima condizione e non costituisce la confutazione integrale della proposizione congiunta, la quale resta affidata all'esame dei casi extraeuropei non ancora studiati.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Germania e Opus Dei 1952-1985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5.715 parole in 9 sezioni; la più ampia è §9 Altre sezioni, con 2.224.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71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IV. La Santa Sede e le due Germanie: la sequenza Oder-Neisse</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la Santa Sede e le due Germanie: ricognizione storiografica e archivistica, con l'accertamento della sequenza Oder-Neisse</w:t>
      </w:r>
    </w:p>
    <w:p>
      <w:pPr>
        <w:pStyle w:val="Heading2"/>
        <w:spacing w:after="100" w:before="200"/>
      </w:pPr>
      <w:r>
        <w:rPr>
          <w:rFonts w:ascii="Barlow Semi Condensed" w:cs="Barlow Semi Condensed" w:eastAsia="Barlow Semi Condensed" w:hAnsi="Barlow Semi Condensed"/>
          <w:sz w:val="24"/>
          <w:szCs w:val="24"/>
        </w:rPr>
        <w:t xml:space="preserve">Capitolo I — Premessa metodologica e accertamento della sequenza prioritaria</w:t>
      </w:r>
    </w:p>
    <w:p>
      <w:pPr>
        <w:spacing w:after="120" w:line="276"/>
        <w:jc w:val="both"/>
      </w:pPr>
      <w:r>
        <w:rPr>
          <w:rFonts w:ascii="Barlow Semi Condensed" w:cs="Barlow Semi Condensed" w:eastAsia="Barlow Semi Condensed" w:hAnsi="Barlow Semi Condensed"/>
          <w:sz w:val="24"/>
          <w:szCs w:val="24"/>
        </w:rPr>
        <w:t xml:space="preserve">Questa ricognizione muove dall'obiettivo prioritario fissato dal committente: stabilire se e in che misura la Santa Sede abbia atteso la ratifica del Trattato di Varsavia prima di ridisegnare le diocesi a oriente della linea Oder-Neisse. La conclusione, che il presente capitolo anticipa e che i capitoli seguenti documentano anello per anello, è la seguente: la successione temporale è accertata con precisione documentale, e per essa esiste inoltre — a differenza di quanto la prudenza metodologica avrebbe potuto far temere — una documentazione che ne attesta il nesso, non soltanto la prossimità. La sequenza è questa: il Trattato di Varsavia fra Repubblica Federale di Germania e Repubblica Popolare di Polonia fu firmato il 7 dicembre 1970; fu ratificato dal Bundestag il 17 maggio 1972; entrò in vigore con lo scambio degli strumenti di ratifica il 3 giugno 1972; e il 28 giugno 1972 Paolo VI emanò le costituzioni apostoliche con cui erigeva diocesi permanenti nei territori occidentali e settentrionali della Polonia. Fra l'entrata in vigore del trattato e l'atto pontificio corrono venticinque giorni.</w:t>
      </w:r>
    </w:p>
    <w:p>
      <w:pPr>
        <w:spacing w:after="120" w:line="276"/>
        <w:jc w:val="both"/>
      </w:pPr>
      <w:r>
        <w:rPr>
          <w:rFonts w:ascii="Barlow Semi Condensed" w:cs="Barlow Semi Condensed" w:eastAsia="Barlow Semi Condensed" w:hAnsi="Barlow Semi Condensed"/>
          <w:sz w:val="24"/>
          <w:szCs w:val="24"/>
        </w:rPr>
        <w:t xml:space="preserve">Il requisito metodologico più stringente imposto dal committente è di non trattare la contemporaneità come prova di un nesso. Qui il nesso è però attestato da fonte terza e qualificata. Lo storico Karl-Joseph Hummel, allora direttore della Forschungsstelle della Kommission für Zeitgeschichte di Bonn, nel saggio pubblicato nella rivista OST-WEST Europäische Perspektiven (fascicolo 4 del 2005) documenta due elementi decisivi: primo, che la Santa Sede aveva mantenuto per anni la consuetudine dichiarata di non mutare lo status delle diocesi prima di un trattato di pace, principio che il cardinale Julius Döpfner, presidente della Conferenza episcopale tedesca, aveva riferito al governo di Bonn dopo consultazione a Roma («man halte in Rom entschieden an der bekannten Gepflogenheit fest, vor einem Friedensvertrag nichts an dem Status von Bistümern zu ändern»); secondo, che la comunicazione vaticana del 28 giugno 1972 sulla riorganizzazione dei territori a oriente dell'Oder e della Neisse «si riferì espressamente al trattato tedesco-polacco» («hat sich ausdrücklich auf den deutsch-polnischen Vertrag bezogen») e che Roma reagì «entro tre settimane» («binnen drei Wochen») dalla ratifica. Occorre tuttavia distinguere con rigore ciò che il documento pontificio attesta da ciò che se ne inferisce: il testo delle due costituzioni apostoliche adduce come motivazione una ragione pastorale («ad aptius propiusque christianum populum regendum») e l'accoglimento della richiesta dell'episcopato polacco, Vatican (https://www.vatican.va/content/paul-vi/la/apost_constitutions/documents/hf_p-vi_apc_19720628_vratislaviensis.html) e non contiene una frase che dichiari «abbiamo atteso il trattato»; è la comunicazione di accompagnamento del 28 giugno, secondo Hummel, e non la bolla in sé, a rendere esplicito il legame con il trattato. La sequenza dunque è confermata come accertamento; il nesso causale è documentato da fonte storiografica peer-reviewed e dalla comunicazione ufficiale vaticana, mentre il testo canonico si tiene sul piano pastorale, con una cautela che i capitoli V e VI illustrano come deliberata.</w:t>
      </w:r>
    </w:p>
    <w:p>
      <w:pPr>
        <w:pStyle w:val="Heading2"/>
        <w:spacing w:after="100" w:before="200"/>
      </w:pPr>
      <w:r>
        <w:rPr>
          <w:rFonts w:ascii="Barlow Semi Condensed" w:cs="Barlow Semi Condensed" w:eastAsia="Barlow Semi Condensed" w:hAnsi="Barlow Semi Condensed"/>
          <w:sz w:val="24"/>
          <w:szCs w:val="24"/>
        </w:rPr>
        <w:t xml:space="preserve">Capitolo II — Il retroterra ecclesiastico dal 1933 al 1965: la provvisorietà, Pio XII e Giovanni XXIII</w:t>
      </w:r>
    </w:p>
    <w:p>
      <w:pPr>
        <w:spacing w:after="120" w:line="276"/>
        <w:jc w:val="both"/>
      </w:pPr>
      <w:r>
        <w:rPr>
          <w:rFonts w:ascii="Barlow Semi Condensed" w:cs="Barlow Semi Condensed" w:eastAsia="Barlow Semi Condensed" w:hAnsi="Barlow Semi Condensed"/>
          <w:sz w:val="24"/>
          <w:szCs w:val="24"/>
        </w:rPr>
        <w:t xml:space="preserve">La questione dei territori orientali tedeschi passati alla Polonia dopo il 1945 ha una radice geografico-ecclesiastica precisa. Le diocesi di Breslavia (Wrocław), dell'Ermland (Warmia), di Danzica (Gdańsk), di Schneidemühl (Piła, una prelatura) e la prelatura di Kamień-Lubusz-Piła rimasero nominalmente tedesche nella geografia ecclesiastica anche dopo che i territori in cui insistevano furono posti sotto amministrazione polacca in seguito alla Conferenza di Potsdam. La ragione di questa discrasia fu il principio, tenuto fermo dalla Santa Sede sotto Pio XII e ribadito sotto Giovanni XXIII, secondo cui l'assetto territoriale uscito dalla guerra era provvisorio in attesa di un trattato di pace che regolasse definitivamente i confini; e finché quel trattato mancava, la Santa Sede non poteva mutare in via permanente la titolarità delle sedi.</w:t>
      </w:r>
    </w:p>
    <w:p>
      <w:pPr>
        <w:spacing w:after="120" w:line="276"/>
        <w:jc w:val="both"/>
      </w:pPr>
      <w:r>
        <w:rPr>
          <w:rFonts w:ascii="Barlow Semi Condensed" w:cs="Barlow Semi Condensed" w:eastAsia="Barlow Semi Condensed" w:hAnsi="Barlow Semi Condensed"/>
          <w:sz w:val="24"/>
          <w:szCs w:val="24"/>
        </w:rPr>
        <w:t xml:space="preserve">La documentazione storiografica sul punto è solida. Lo studioso Michał Białkowski, in un saggio pubblicato nella rivista Zapiski Historyczne (vol. LXXXII, 2017, fascicolo 3), ricostruisce che il 15 agosto 1945 il cardinale August Hlond, primate di Polonia, usando facoltà straordinarie ricevute da Pio XII, istituì cinque amministrazioni apostoliche — non diocesi — nei territori: Danzica-Chełmno (con Andrzej Wronka), Warmia-Olsztyn (Teodor Bensch), Opole (Bolesław Kominek), Breslavia (Karol Milik) e Gorzów (Edmund Nowicki). zapiskihistoryczne (https://www.zapiskihistoryczne.pl/files/issues/3eec121a6dde7c3b4e34b1c06bd7524a_ZH_2017_3_07_ENG_Bialkowski_N.pdf) La scelta della forma dell'amministrazione apostolica, provvisoria per natura canonica, fu deliberata proprio perché il confine non era ancora definito. Białkowski documenta inoltre che il termine tecnico impiegato per descrivere quell'assetto fu «provvisorietà» (tymczasowość) e che perfino il comunicato governativo comunista del 27 gennaio 1951 parlò di «liquidazione dello stato di provvisorietà» nell'amministrazione ecclesiastica dei territori occidentali. zapiskihistoryczne (https://www.zapiskihistoryczne.pl/files/issues/3eec121a6dde7c3b4e34b1c06bd7524a_ZH_2017_3_07_ENG_Bialkowski_N.pdf) La provvisorietà attraversò il pontificato di Giovanni XXIII e i lavori del Concilio Vaticano II (1962-1965) senza mutamenti di sostanza, zapiskihistoryczne (https://www.zapiskihistoryczne.pl/files/issues/3eec121a6dde7c3b4e34b1c06bd7524a_ZH_2017_3_07_ENG_Bialkowski_N.pdf) restando in piedi fino al 1972.</w:t>
      </w:r>
    </w:p>
    <w:p>
      <w:pPr>
        <w:spacing w:after="120" w:line="276"/>
        <w:jc w:val="both"/>
      </w:pPr>
      <w:r>
        <w:rPr>
          <w:rFonts w:ascii="Barlow Semi Condensed" w:cs="Barlow Semi Condensed" w:eastAsia="Barlow Semi Condensed" w:hAnsi="Barlow Semi Condensed"/>
          <w:sz w:val="24"/>
          <w:szCs w:val="24"/>
        </w:rPr>
        <w:t xml:space="preserve">Sul retroterra ulteriore risalente al 1933 — la nunziatura di Pacelli a Berlino, la germanofilia attribuita a Pio XII da parte della storiografia (così Czesław Madajczyk, citato nel saggio di Zofia Waszkiewicz sulla politica del Vaticano verso la Polonia), il rapporto fra Santa Sede e questione polacca durante la guerra — la documentazione è ampia ma esula in parte dall'obiettivo prioritario; se ne dà conto qui in forma sintetica perché il committente ne chiede il retroterra dal 1933, mentre il nucleo documentale è trattato al capitolo X a proposito del Reichskonkordat. Va segnalato per onestà metodologica che gli atti di governo della Santa Sede relativi ai pontificati posteriori all'ottobre 1958 non sono consultabili in Archivio Apostolico Vaticano, sicché la ricostruzione della posizione di Giovanni XXIII e di Paolo VI si fonda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III — Lo scambio di lettere fra i vescovi polacchi e tedeschi del novembre 1965</w:t>
      </w:r>
    </w:p>
    <w:p>
      <w:pPr>
        <w:spacing w:after="120" w:line="276"/>
        <w:jc w:val="both"/>
      </w:pPr>
      <w:r>
        <w:rPr>
          <w:rFonts w:ascii="Barlow Semi Condensed" w:cs="Barlow Semi Condensed" w:eastAsia="Barlow Semi Condensed" w:hAnsi="Barlow Semi Condensed"/>
          <w:sz w:val="24"/>
          <w:szCs w:val="24"/>
        </w:rPr>
        <w:t xml:space="preserve">Anello essenziale della sequenza è lo scambio epistolare fra gli episcopati polacco e tedesco nel novembre-dicembre 1965, ai margini dell'ultima sessione del Concilio Vaticano II. Il 18 novembre 1965 i vescovi polacchi inviarono ai confratelli tedeschi un messaggio che conteneva la frase divenuta emblematica: «Vi tendiamo le nostre mani accordando perdono e chiedendo perdono» uni-oldenburg (https://ome-lexikon.uni-oldenburg.de/begriffe/briefwechsel-der-polnischen-und-deutschen-bischoefe) («Przebaczamy i prosimy o przebaczenie»). Il documento, di dodici pagine, ripercorreva la storia millenaria del cristianesimo polacco e le difficili relazioni con il popolo tedesco, con esplicito riferimento all'incertezza determinata dalla provvisorietà dei confini post-bellici sull'Oder-Neisse. SettimanaNews (https://www.settimananews.it/vescovi/guerra-fragile-memoria/) Le fonti ecclesiastiche italiane e polacche (l'agenzia SIR, Vatican News, l'agenzia ZENIT, l'Istituto della Memoria Nazionale polacca) concordano nell'attribuire la paternità del testo all'arcivescovo di Breslavia Bolesław Kominek, con il concorso di Wincenty Urban, del gruppo dell'Istituto storico polacco di Roma e di gesuiti della Radio Vaticana; il messaggio fu approvato il 18 novembre 1965 dal primate SettimanaNews (https://www.settimananews.it/chiesa/polonia-il-primate-del-millennio/)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sz w:val="24"/>
          <w:szCs w:val="24"/>
        </w:rPr>
        <w:t xml:space="preserve">La risposta tedesca reca la data del 5 dicembre 1965 («Saluto dei vescovi tedeschi ai fratelli polacchi»): essa esprimeva gratitudine e chiedeva a sua volta perdono, ma non accettava le perdite territoriali della Germania a favore della Polonia come esito della seconda guerra mondiale. Zenit (https://it.zenit.org/2015/10/26/un-messaggio-che-fu-un-atto-di-coraggio-dell-episcopato-polacco/) Questo è il punto documentale che il committente chiede di verificare quanto a perdono e confini: sul perdono vi fu reciprocità, con la nota espressione tedesca dell'auspicio «che mai più lo spirito malvagio dell'odio separi le nostre mani»; sui confini la risposta tedesca rimase su una riserva. La delusione polacca è attestata da una fonte diretta di protagonista: in una lettera del 1970 al cardinale Döpfner, il primate Wyszyński scrisse che «la nostra mano, tesa con tanta cordialità, è stata accolta non senza riserve». Il messaggio polacco ebbe precedenti e seguiti nel mondo protestante e laico tedesco: il memorandum delle Chiese evangeliche tedesche del 1965 (la cosiddetta Ostdenkschrift dell'EKD) auspicava un accordo e il riconoscimento dei confini, SettimanaNews (https://www.settimananews.it/chiesa/polonia-il-primate-del-millennio/) e successivamente il Memorandum del Bensberger Kreis, pubblicato il 3 marzo 1968 e sottoscritto da un gruppo di circa 160-180 cattolici critici tedeschi (come attesta DOMRADIO.DE nel servizio di Anselm Verbeek del 3 marzo 2018: «Am 3. März 1968 [...] veröffentlichte der sogenannte Bensberger Kreis sein Memorandum deutscher Katholiken zu den polnisch-deutschen Fragen»), chiese il riconoscimento dei confini post-bellici. Questi documenti attestano che, sul versante ecclesiale, il terreno del riconoscimento fu preparato ben prima dell'atto politico del 1970 e dell'atto canonico del 1972, senza però che ciò implichi, e le fonti non lo attestano, un coordinamento fra episcopati e cancellerie.</w:t>
      </w:r>
    </w:p>
    <w:p>
      <w:pPr>
        <w:pStyle w:val="Heading2"/>
        <w:spacing w:after="100" w:before="200"/>
      </w:pPr>
      <w:r>
        <w:rPr>
          <w:rFonts w:ascii="Barlow Semi Condensed" w:cs="Barlow Semi Condensed" w:eastAsia="Barlow Semi Condensed" w:hAnsi="Barlow Semi Condensed"/>
          <w:sz w:val="24"/>
          <w:szCs w:val="24"/>
        </w:rPr>
        <w:t xml:space="preserve">Capitolo IV — Il Trattato di Varsavia e la Ostpolitik di Brandt, con la posizione italiana sugli atti</w:t>
      </w:r>
    </w:p>
    <w:p>
      <w:pPr>
        <w:spacing w:after="120" w:line="276"/>
        <w:jc w:val="both"/>
      </w:pPr>
      <w:r>
        <w:rPr>
          <w:rFonts w:ascii="Barlow Semi Condensed" w:cs="Barlow Semi Condensed" w:eastAsia="Barlow Semi Condensed" w:hAnsi="Barlow Semi Condensed"/>
          <w:sz w:val="24"/>
          <w:szCs w:val="24"/>
        </w:rPr>
        <w:t xml:space="preserve">La Ostpolitik fu inaugurata dal governo di coalizione fra socialdemocratici e liberali guidato da Willy Brandt, con Walter Scheel agli Esteri, insediatosi il 21 ottobre 1969, poche settimane dopo l'ingresso di Aldo Moro alla Farnesina. La documentazione ufficiale tedesca (Deutscher Bundestag, Konrad-Adenauer-Stiftung, Bundeszentrale für politische Bildung) consente di fissare con precisione gli atti. Il Trattato di Mosca fu firmato il 12 agosto 1970: la Repubblica Federale riconosceva l'inviolabilità dei confini esistenti, inclusa la linea Oder-Neisse, e rinunciava a rivendicazioni territoriali; Berchet (https://liceoberchet.edu.it/ricerche/geo5d_06/csi/ostpolitik.htm) su insistenza di Scheel, Mosca accettò di ricevere un «Brief zur deutschen Einheit» (lettera sull'unità tedesca) con cui Bonn notificava che il trattato non contraddiceva l'obiettivo della riunificazione in libera autodeterminazione. Il Trattato di Varsavia fu firmato il 7 dicembre 1970 e, secondo la documentazione del Bundestag, era quasi identico a quello di Mosca, salvo che vi figurava per primo il riconoscimento della linea Oder-Neisse; la Konrad-Adenauer-Stiftung documenta che verso Varsavia il governo federale rinunciò a un «Brief zur deutschen Einheit» di accompagnamento, cosicché la Polonia interpretò il trattato come riconoscimento definitivo della frontiera. Konrad-Adenauer-Stiftung (https://www.kas.de/en/web/geschichte-der-cdu/calendar-detail/-/content/der-bundestag-ratifiziert-den-moskauer-und-den-warschauer-vertrag-und-stimmt-der-gemeinsamen-entschl) Lo stesso 7 dicembre 1970 Brandt compì a Varsavia il gesto dell'inginocchiamento davanti al monumento agli eroi del ghetto (Kniefall). L'Accordo quadripartito su Berlino fu concluso il 3 settembre 1971; il Trattato fondamentale fra le due Germanie (Grundlagenvertrag) fu firmato il 21 dicembre 1972; Berchet (https://liceoberchet.edu.it/ricerche/geo5d_06/csi/ostpolitik.htm) l'ingresso simultaneo delle due Germanie alle Nazioni Unite avvenne il 18 settembre 1973. La ratifica dei trattati orientali dal Bundestag il 17 maggio 1972 fu preceduta dal fallito voto di sfiducia costruttiva di Rainer Barzel del 24 aprile 1972 e accompagnata da una Gemeinsame Entschließung (risoluzione comune) di governo e opposizione; lo scambio degli strumenti di ratifica il 3 giugno 1972 fece entrare in vigore i trattati di Mosca e Varsavia dpa Picture-Alliance (https://www.picture-alliance.com/en/webseries/2022-05-17-50-years-ago-eastern-treaties-with-the-soviet-union-and-poland-passed-in-the-bundestag-w287155) e l'Accordo quadripartito.</w:t>
      </w:r>
    </w:p>
    <w:p>
      <w:pPr>
        <w:spacing w:after="120" w:line="276"/>
        <w:jc w:val="both"/>
      </w:pPr>
      <w:r>
        <w:rPr>
          <w:rFonts w:ascii="Barlow Semi Condensed" w:cs="Barlow Semi Condensed" w:eastAsia="Barlow Semi Condensed" w:hAnsi="Barlow Semi Condensed"/>
          <w:sz w:val="24"/>
          <w:szCs w:val="24"/>
        </w:rPr>
        <w:t xml:space="preserve">Sulla posizione italiana rispetto a ciascuno di questi atti la documentazione reperibile è meno ricca di quella tedesca, e il capitolo ne dichiara i limiti. Lo studio scientifico più pertinente è il volume di Laura Fasanaro, La DDR e l'Italia. Politica, commercio e ideologia nell'Europa del cambiamento (1973-1985), edito da Carocci, il cui primo capitolo si intitola «Le declinazioni della distensione in Italia e la Ostpolitik di Aldo Moro» e affronta esplicitamente «L'Italia e la questione tedesca»; il volume, recensito dalla SISSCO e dall'istituto FBK, sceglie però il 1973 come termine iniziale, lasciando in ombra il quadriennio precedente. Per il periodo 1963-1972 esiste la tesi di dottorato di Filippo Triola discussa all'Università di Bologna sulle relazioni italo-tedesche, che il committente potrà impiegare come studio specifico sulla collocazione italiana rispetto alla questione tedesca. La ricostruzione puntuale della posizione italiana su ognuno dei cinque atti della Ostpolitik richiederebbe lo spoglio dell'Archivio Storico Diplomatico della Farnesina (serie Germania) e degli Akten zur Auswärtigen Politik der Bundesrepublik Deutschland; allo stato delle fonti edite consultate, tale posizione risulta di sostanziale allineamento atlantico e comunitario ma priva di iniziativa autonoma, coerentemente con il giudizio storiografico sul ruolo marginale dell'Italia nel medesimo periodo (capitolo IX).</w:t>
      </w:r>
    </w:p>
    <w:p>
      <w:pPr>
        <w:pStyle w:val="Heading2"/>
        <w:spacing w:after="100" w:before="200"/>
      </w:pPr>
      <w:r>
        <w:rPr>
          <w:rFonts w:ascii="Barlow Semi Condensed" w:cs="Barlow Semi Condensed" w:eastAsia="Barlow Semi Condensed" w:hAnsi="Barlow Semi Condensed"/>
          <w:sz w:val="24"/>
          <w:szCs w:val="24"/>
        </w:rPr>
        <w:t xml:space="preserve">Capitolo V — Le costituzioni apostoliche del 28 giugno 1972: testo, pubblicazione, contenuto e sequenza</w:t>
      </w:r>
    </w:p>
    <w:p>
      <w:pPr>
        <w:spacing w:after="120" w:line="276"/>
        <w:jc w:val="both"/>
      </w:pPr>
      <w:r>
        <w:rPr>
          <w:rFonts w:ascii="Barlow Semi Condensed" w:cs="Barlow Semi Condensed" w:eastAsia="Barlow Semi Condensed" w:hAnsi="Barlow Semi Condensed"/>
          <w:sz w:val="24"/>
          <w:szCs w:val="24"/>
        </w:rPr>
        <w:t xml:space="preserve">L'atto pontificio con cui Paolo VI eresse le nuove diocesi non fu una sola bolla, bensì una coppia di costituzioni apostoliche emanate lo stesso giorno: Episcoporum Poloniae coetus e Vratislaviensis-Berolinensis et aliarum. Wikipedia (https://pl.wikipedia.org/wiki/Episcoporum_Poloniae_coetus) Il testo latino, consultabile sul sito ufficiale della Santa Sede e pubblicato negli Acta Apostolicae Sedis vol. LXIV (1972), n. 10, alle pagine 657- En Academic (https://en-academic.com/dic.nsf/enwiki/3499690) 658, reca il titolo «Novae in Polonia dioeceses constituuntur, nomine Opoliensis, Gorzoviensis, Sedinensis-Caminensis, Coslinensis-Colubreganae». Vatican (https://www.vatican.va/content/paul-vi/la/apost_constitutions/documents/hf_p-vi_apc_19720628_vratislaviensis.html) L'incipit dichiara la ragione pastorale: l'assemblea dei vescovi di Polonia («Episcoporum Poloniae coetus»)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 Vatican (https://www.vatican.va/content/paul-vi/la/apost_constitutions/documents/hf_p-vi_apc_19720628_vratislaviensis.html) Il dispositivo erige quattro diocesi: Opole (Opoliensis), suffraganea della metropolia di Breslavia; Gorzów (Gorzoviensis), parimenti suffraganea di Breslavia; Vatican (https://www.vatican.va/content/paul-vi/la/apost_constitutions/documents/hf_p-vi_apc_19720628_vratislaviensis.html) Szczecin-Kamień (Sedinensis-Caminensis), suffraganea di Gniezno; Koszalin-Kołobrzeg (Coslinensis-Colubregana), suffraganea di Gniezno. Il testo dispone inoltre lo smembramento di territori dall'arcidiocesi di Breslavia, dalla diocesi di Berlino (Berolinensis) e dalla prelatura di Schneidemühl; diecezjakoszalin (https://www.diecezjakoszalin.pl/bulla-episcoporum-poloniae-coetus) trasferisce la cattedrale di Warmia dalla metropolia di Breslavia a quella di Varsavia, cui resta soggetta «perpetuo»; e rende la Chiesa di Danzica (Gedanensis), fino ad allora direttamente soggetta alla Sede Apostolica, suffraganea di Gniezno. Diecezja Koszalińsko-Kołobrzeska (https://www.diecezjakoszalin.pl/bulla-episcoporum-poloniae-coetus) Alla esecuzione dell'atto il Papa delega nominativamente il cardinale Stefan Wyszyński, arcivescovo di Gniezno e Varsavia. Diecezja Koszalińsko-Kołobrzeska (https://www.diecezjakoszalin.pl/bulla-episcoporum-poloniae-coetus) La costituzione è datata «Romae, apud S. Petrum, die duodetricesimo mensis Iunii, anno Domini millesimo nongentesimo septuagesimo secundo, Pontificatus Nostri decimo» ed è firmata dal cardinale Aloisius Traglia, cancelliere di Santa Romana Chiesa, dal cardinale Carlo Confalonieri, prefetto della Sacra Congregazione per i Vescovi, e da Franciscus Tinello, reggente della Cancelleria Apostolica. Diecezja Koszalińsko-Kołobrzeska (https://www.diecezjakoszalin.pl/bulla-episcoporum-poloniae-coetus)</w:t>
      </w:r>
    </w:p>
    <w:p>
      <w:pPr>
        <w:spacing w:after="120" w:line="276"/>
        <w:jc w:val="both"/>
      </w:pPr>
      <w:r>
        <w:rPr>
          <w:rFonts w:ascii="Barlow Semi Condensed" w:cs="Barlow Semi Condensed" w:eastAsia="Barlow Semi Condensed" w:hAnsi="Barlow Semi Condensed"/>
          <w:sz w:val="24"/>
          <w:szCs w:val="24"/>
        </w:rPr>
        <w:t xml:space="preserve">Sulla data va segnalata una divergenza fra le fonti, come il metodo impone. Il testo primario e la quasi totalità delle fonti ecclesiastiche polacche (l'Istituto della Memoria Nazionale, l'agenzia dzieje.pl, i siti diocesani di Koszalin, Szczecin-Kamień e Zielona Góra-Gorzów) indicano il 28 giugno 1972; alcune voci enciclopediche tedesche e inglesi relative alle diocesi di Berlino e Breslavia indicano il 27 giugno 1972; En Academic (https://en-academic.com/dic.nsf/enwiki/3499690) un sito diocesano polacco reca per errore «26 VI 1972». Diecezji Zielonogórsko-Gorzowskiej (https://diecezjazg.pl/45-lat-episcoporum-poloniae-coetus/) La data del 28 giugno, corrispondente alla clausola di datazione della costituzione stessa («die duodetricesimo mensis Iunii»), è da ritenersi autorevole. Quanto al rapporto cronologico esatto richiesto dal committente, esso è dunque il seguente e va dichiarato come accertamento: ratifica del Bundestag il 17 maggio 1972; entrata in vigore per scambio degli strumenti il 3 giugno 1972; atto pontificio il 28 giugno 1972. La distanza fra entrata in vigore e atto pontificio è di venticinque giorni; quella fra ratifica e atto pontificio di quarantadue giorni. Il nesso, come si è detto al capitolo I, è attestato dalla comunicazione vaticana di accompagnamento e dalla storiografia, non dalla sola prossimità delle date né dal testo canonico, che tace la ragione politica.</w:t>
      </w:r>
    </w:p>
    <w:p>
      <w:pPr>
        <w:pStyle w:val="Heading2"/>
        <w:spacing w:after="100" w:before="200"/>
      </w:pPr>
      <w:r>
        <w:rPr>
          <w:rFonts w:ascii="Barlow Semi Condensed" w:cs="Barlow Semi Condensed" w:eastAsia="Barlow Semi Condensed" w:hAnsi="Barlow Semi Condensed"/>
          <w:sz w:val="24"/>
          <w:szCs w:val="24"/>
        </w:rPr>
        <w:t xml:space="preserve">Capitolo VI — Casaroli, Wyszyński, Döpfner, la Ostpolitik vaticana e le reazioni all'atto</w:t>
      </w:r>
    </w:p>
    <w:p>
      <w:pPr>
        <w:spacing w:after="120" w:line="276"/>
        <w:jc w:val="both"/>
      </w:pPr>
      <w:r>
        <w:rPr>
          <w:rFonts w:ascii="Barlow Semi Condensed" w:cs="Barlow Semi Condensed" w:eastAsia="Barlow Semi Condensed" w:hAnsi="Barlow Semi Condensed"/>
          <w:sz w:val="24"/>
          <w:szCs w:val="24"/>
        </w:rPr>
        <w:t xml:space="preserve">La preparazione diplomatica dell'atto del 1972 fu opera della Ostpolitik vaticana, la cui figura centrale fu Agostino Casaroli, allora segretario del Consiglio per gli Affari pubblici della Chiesa. Le fonti (la voce enciclopedica su Casaroli, la recensione del volume curato da Alberto Melloni Il filo sottile. L'Ostpolitik vaticana di Agostino Casaroli, edito dal Mulino nel 2006, pubblicata su Project MUSE) documentano che Casaroli condusse i colloqui con le autorità della Repubblica Popolare di Polonia nell'aprile e nel novembre 1971, i quali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 Wikipedia (https://pl.wikipedia.org/wiki/Episcoporum_Poloniae_coetus) La recensione su Project MUSE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i confini diocesani) e Berlino Est (che cercava riconoscimento come Stato separato). Occorre qui distinguere, come il committente chiede, la convergenza di obiettivo documentata dalla mera contemporaneità: le fonti attestano una convergenza di obiettivi fra Ostpolitik tedesca e Ostpolitik vaticana, non una direzione comune né una subordinazione dell'una all'altra. Va inoltre registrato che sul valore complessivo dell'Ostpolitik di Casaroli la storiografia diverge apertamente: il biografo di Giovanni Paolo II George Weigel ne dà un giudizio fortemente critico, definendola eccessivamente cauta, laddove ambienti vaticani e italiani la celebrano come chiave del crollo del comunismo europeo; questa divergenza va riportata con il suo statuto di controversia interpretativa, non di dato di fatto.</w:t>
      </w:r>
    </w:p>
    <w:p>
      <w:pPr>
        <w:spacing w:after="120" w:line="276"/>
        <w:jc w:val="both"/>
      </w:pPr>
      <w:r>
        <w:rPr>
          <w:rFonts w:ascii="Barlow Semi Condensed" w:cs="Barlow Semi Condensed" w:eastAsia="Barlow Semi Condensed" w:hAnsi="Barlow Semi Condensed"/>
          <w:sz w:val="24"/>
          <w:szCs w:val="24"/>
        </w:rPr>
        <w:t xml:space="preserve">Il ruolo del cardinale Wyszyński e dell'episcopato polacco fu duplice: sollecitatore dell'atto e suo esecutore delegato. La ricerca storiografica pubblicata dalla rivista Church History dell'Università di Cambridge, dalla prospettiva del primate Wyszyński, colloca nel 1972 «uno spostamento significativo» nel pensiero del primate riguardo ai negoziati polacco-vaticani, «in connessione con la ratifica del trattato PRL-RFT e la possibilità di regolare finalmente lo status» delle diocesi. Cambridge Core (https://www.cambridge.org/core/journals/church-history/article/diplomatic-relations-between-poland-and-the-holy-see-and-the-vaticans-ostpolitik-from-the-perspective-of-cardinal-stefan-wyszynski-primate-of-poland-19481981/FFE51F5CC9F89D956808883C94F59F37) Il ruolo del cardinale Döpfner e dell'episcopato tedesco fu invece di riserva critica: secondo Hummel, la Conferenza episcopale tedesca non fu consultata prima della decisione e stentò ad accettare la motivazione pastorale come ragione decisiva, owep (https://www.owep.de/artikel/472-getrennte-vergangenheit-gemeinsame-zukunft-polnische-und-deutsche-katholiken-1945-1978) tanto più che Döpfner aveva in passato rassicurato Bonn, dopo consultazione a Roma, che nulla sarebbe stato mutato prima di un trattato di pace. owep (https://www.owep.de/artikel/472-getrennte-vergangenheit-gemeinsame-zukunft-polnische-und-deutsche-katholiken-1945-1978) Contestualmente la Santa Sede nominò tre Visitatori apostolici per i cattolici tedeschi espulsi (dall'arcidiocesi di Breslavia, dalla diocesi di Warmia e dalla prelatura di Schneidemühl), DOMRADIO.DE (https://www.domradio.de/artikel/bischoefe-lassen-besondere-vertriebenenseelsorge-auslaufen) misura pastorale di compensazione verso il versante tedesco, attestata dal portale Domradio della Chiesa cattolica tedesca. Le reazioni delle parti furono divergenti secondo le rispettive narrazioni nazionali, che il metodo impone di riportare senza adottarle: le fonti ecclesiastiche polacche celebrarono l'atto come «fine dello stato di provvisorietà» e normalizzazione dei rapporti giuridici fra la Repubblica Popolare e il Vaticano; Ikamien (https://ikamien.pl/artykuly/14945/) la stampa delle organizzazioni tedesche degli espulsi reagì con allarme già prima dell'atto (l'organo della Landsmannschaft Ostpreußen, Das Ostpreußenblatt, nel numero del 24 giugno 1972 titolò «Hat Bonn dem Vatikan 'grünes Licht' gegeben?», ossia «Bonn ha dato al Vaticano il 'via libera'?»). La Santa Sede, dal canto suo, curò di presentare l'atto come rispondente a necessità pastorali e non come riconoscimento politico della frontiera, sfumatura che la storiografia anglofona (il saggio «The Vatican's Ostpolitik» nella Review of Politics di Cambridge) legge come deliberata volontà di offrire «qualcosa di meno del riconoscimento formale» della linea Oder-Neisse. Cambridge Core (https://www.cambridge.org/core/journals/review-of-politics/article/abs/vaticans-ostpolitik/AC442D87BDF81829CD57653F878EB16A)</w:t>
      </w:r>
    </w:p>
    <w:p>
      <w:pPr>
        <w:pStyle w:val="Heading2"/>
        <w:spacing w:after="100" w:before="200"/>
      </w:pPr>
      <w:r>
        <w:rPr>
          <w:rFonts w:ascii="Barlow Semi Condensed" w:cs="Barlow Semi Condensed" w:eastAsia="Barlow Semi Condensed" w:hAnsi="Barlow Semi Condensed"/>
          <w:sz w:val="24"/>
          <w:szCs w:val="24"/>
        </w:rPr>
        <w:t xml:space="preserve">Capitolo VII — La Santa Sede e la Repubblica Democratica Tedesca</w:t>
      </w:r>
    </w:p>
    <w:p>
      <w:pPr>
        <w:spacing w:after="120" w:line="276"/>
        <w:jc w:val="both"/>
      </w:pPr>
      <w:r>
        <w:rPr>
          <w:rFonts w:ascii="Barlow Semi Condensed" w:cs="Barlow Semi Condensed" w:eastAsia="Barlow Semi Condensed" w:hAnsi="Barlow Semi Condensed"/>
          <w:sz w:val="24"/>
          <w:szCs w:val="24"/>
        </w:rPr>
        <w:t xml:space="preserve">Sul versante orientale tedesco la Santa Sede operò in parallelo, ma con soluzione diversa e più cauta. Le fonti (il portale Katholisch.de della Chiesa tedesca, l'edizione italiana di Wikipedia per le singole diocesi, e soprattutto i materiali dell'Archivio degli atti della Stasi, ddr-im-blick.de) attestano che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e Schwerin (già di Osnabrück). Questi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 Wikipedia (https://en.wikipedia.org/wiki/Archdiocese_of_Wroc%C5%82aw) La differenza rispetto alla soluzione polacca è documentalmente rilevante: nella Repubblica Democratica Tedesca la Santa Sede non eresse diocesi permanenti nel 1972-1973, ma si fermò alla figura dell'amministratore apostolico e dell'ufficio vescovile, proprio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sz w:val="24"/>
          <w:szCs w:val="24"/>
        </w:rPr>
        <w:t xml:space="preserve">Il ruolo di Casaroli è attestato: nel 1973, a Roma, egli incontrò Werner Lamberz, membro del Politbüro della SED, e nel giugno 1975 (il 9 giugno) si recò nella Repubblica Democratica Tedesca, dove fu ricevuto dal presidente del Consiglio dei ministri Horst Sindermann, dal ministro degli Esteri Oskar Fischer e dal segretario di Stato per le questioni ecclesiastiche Hans Seigewasser. I cardinali Alfred Bengsch e Döpfner guardarono con diffidenza all'atteggiamento accomodante del Vaticano, temendo per l'unità della Chiesa cattolica in Germania. Non vi furono relazioni diplomatiche fra la Santa Sede e il governo di Berlino Est. Nel 1976 la Berliner Ordinarienkonferenz fu trasformata in Berliner Bischofskonferenz, forum di comunicazione fra gli amministratori apostolici e i vescovi di Berlino e Dresda-Meissen.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 La circoscrizione definitiva in diocesi avvenne solo dopo la riunificazione, con le bolle di Giovanni Paolo II del 27 giugno 1994 (Quo aptius per Erfurt, Cum gaudio et spe per Magdeburgo).</w:t>
      </w:r>
    </w:p>
    <w:p>
      <w:pPr>
        <w:pStyle w:val="Heading2"/>
        <w:spacing w:after="100" w:before="200"/>
      </w:pPr>
      <w:r>
        <w:rPr>
          <w:rFonts w:ascii="Barlow Semi Condensed" w:cs="Barlow Semi Condensed" w:eastAsia="Barlow Semi Condensed" w:hAnsi="Barlow Semi Condensed"/>
          <w:sz w:val="24"/>
          <w:szCs w:val="24"/>
        </w:rPr>
        <w:t xml:space="preserve">Capitolo VIII — Moro, la questione tedesca e il riconoscimento della Repubblica Democratica Tedesca</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in due periodi (secondo la datazione del committente, 5 agosto 1969 – 26 giugno 1972 e 7 luglio 1973 – 23 novembre 1974). Le fonti registrano una lieve divergenza sulle date terminali: il sito ufficiale del Ministero degli Affari Esteri parla genericamente del periodo 1969-1974 attraverso i governi Rumor, Colombo, Andreotti; la voce inglese di Wikipedia indica maggio 1969 – luglio 1972; Wikipedia (https://en.wikipedia.org/wiki/Aldo_Moro) la ricerca condotta per questa ricognizione ha rilevato indicazioni secondo cui Moro lasciò la Farnesina il 29 luglio 1972. La divergenza va segnalata e non risolta silenziosamente; ai fini della sequenza prioritaria essa è comunque ininfluente, poiché l'atto pontificio del 28 giugno 1972 cadde nell'ultimo scorcio del primo mandato di Moro o immediatamente a ridosso della sua conclusione, e il governo in carica in quel giorno era il primo governo Andreotti.</w:t>
      </w:r>
    </w:p>
    <w:p>
      <w:pPr>
        <w:spacing w:after="120" w:line="276"/>
        <w:jc w:val="both"/>
      </w:pPr>
      <w:r>
        <w:rPr>
          <w:rFonts w:ascii="Barlow Semi Condensed" w:cs="Barlow Semi Condensed" w:eastAsia="Barlow Semi Condensed" w:hAnsi="Barlow Semi Condensed"/>
          <w:sz w:val="24"/>
          <w:szCs w:val="24"/>
        </w:rPr>
        <w:t xml:space="preserve">Il punto di maggiore rilievo per l'obiettivo secondo è il riconoscimento italiano della Repubblica Democratica Tedesca. Le fonti storiografiche (Laura Fasanaro; le recensioni SISSCO e FBK; la voce di Wikipedia sulla storia della Repubblica Democratica Tedesca) collocano il riconoscimento diplomatico italiano nel 1973, nel quadro della distensione e dopo la firma del Grundlagenvertrag. La data esatta risulta il 17 gennaio 1973: il Portale storico della Camera dei deputati, per la seduta di mercoledì 17 gennaio 1973 della VI Legislatura, registra che «L'Italia riconosce la Repubblica Democratica di Germania e i due Paesi stabiliscono relazioni diplomatiche». Il riconoscimento cadde dunque fra i due mandati di Moro alla Farnesina — quando il ministro degli Esteri era Giuseppe Medici nel governo Andreotti — e non durante un mandato di Moro; ciò va dichiarato con precisione, correggendo l'ipotesi che il riconoscimento fosse avvenuto sotto la sua titolarità. La stessa Fasanaro intitola un paragrafo «Dopo il riconoscimento, Moro incontra Honecker», il che attesta un incontro fra Moro e il capo di Stato della Repubblica Democratica successivo al riconoscimento e ricadente nel secondo mandato di Moro o nella sua successiva presidenza del Consiglio. Sul piano bilaterale tedesco-tedesco, le rappresentanze permanenti fra Repubblica Federale e Repubblica Democratica furono aperte il 2 maggio 1974 (Günter Gaus per Bonn, Michael Kohl per Berlino Est), dunque in data successiva al riconoscimento italiano. Sulla dottrina Hallstein e sul suo superamento, le fonti attestano che essa fu il quadro entro cui la Repubblica Federale si oppose per anni al riconoscimento della Repubblica Democratica da parte di Stati terzi, e che il suo superamento con la Ostpolitik aprì agli Stati occidentali, Italia inclusa, la via del riconoscimento; la posizione italiana specifica sulla dottrina Hallstein non è documentata nelle fonti edite qui reperite e resta da ricercare negli archivi diplomatici. Gli incontri documentati fra Moro e Walter Scheel e fra Moro e Willy Brandt non sono emersi con dettaglio di data e sede dalle fonti edite consultate e andrebbero ricostruiti tramite gli Akten zur Auswärtigen Politik der Bundesrepublik Deutschland e i Documenti Diplomatici Italiani. Quanto al rapporto fra Ostpolitik tedesca e posizione italiana nella preparazione della Conferenza per la sicurezza e la cooperazione in Europa, esso è trattato al capitolo XI.</w:t>
      </w:r>
    </w:p>
    <w:p>
      <w:pPr>
        <w:pStyle w:val="Heading2"/>
        <w:spacing w:after="100" w:before="200"/>
      </w:pPr>
      <w:r>
        <w:rPr>
          <w:rFonts w:ascii="Barlow Semi Condensed" w:cs="Barlow Semi Condensed" w:eastAsia="Barlow Semi Condensed" w:hAnsi="Barlow Semi Condensed"/>
          <w:sz w:val="24"/>
          <w:szCs w:val="24"/>
        </w:rPr>
        <w:t xml:space="preserve">Capitolo IX — Il Vertice dell'Aja del dicembre 1969, il ruolo tedesco, il Piano Werner e il serpente monetario</w:t>
      </w:r>
    </w:p>
    <w:p>
      <w:pPr>
        <w:spacing w:after="120" w:line="276"/>
        <w:jc w:val="both"/>
      </w:pPr>
      <w:r>
        <w:rPr>
          <w:rFonts w:ascii="Barlow Semi Condensed" w:cs="Barlow Semi Condensed" w:eastAsia="Barlow Semi Condensed" w:hAnsi="Barlow Semi Condensed"/>
          <w:sz w:val="24"/>
          <w:szCs w:val="24"/>
        </w:rPr>
        <w:t xml:space="preserve">Il Vertice dell'Aja si tenne il 1º e 2 dicembre 1969 nella Ridderzaal del Binnenhof. Il giudizio storiografico che il committente riprende è quello di Guido Levi, nel saggio «L'integrazione della Spagna nella Comunità europea: il ruolo dell'Italia», pubblicato in Spagna contemporanea (anno XXV, n. 49, 2016, pp. 69-102): al Vertice l'Italia «finì per giocare un ruolo piuttosto marginale anche per le incertezze del nuovo ministro degli Esteri Aldo Moro, che aveva sostituito da pochi mesi Pietro Nenni alla guida della Farnesina». Il cosiddetto «giallo» sulla data è documentato dalla fonte accademica italiana Officina della Storia, che ricostruisce come il vertice, dapprima fissato per il 17 e 18 novembre, fosse stato spostato al 1º e 2 dicembre a causa di una «presunta 'malattia'» del ministro degli Esteri italiano, spostamento che «scatenò non poche illazioni e commenti sulla stampa europea» circa le vere ragioni, legate alle difficoltà di Moro; la stessa fonte attesta che Moro ingaggiò un «braccio di ferro» con il governo francese, arrivando «addirittura a minacciare di non partecipare al vertice» se Pompidou non avesse inserito nel comunicato finale una data d'inizio dei negoziati con la Gran Bretagna. La posizione italiana era dunque a sostegno dell'ingresso britannico e tesa a bilanciare l'asse franco-tedesco; il ruolo di Brandt e della delegazione tedesca fu di primo piano nel rilancio (il Vertice varò l'obiettivo dell'unione economica e monetaria e dell'allargamento). La medesima fonte segnala che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sz w:val="24"/>
          <w:szCs w:val="24"/>
        </w:rPr>
        <w:t xml:space="preserve">Dal mandato dell'Aja discese il Piano Werner, elaborato dal comitato presieduto dal primo ministro lussemburghese Pierre Werner, presentato al Consiglio nel giugno 1970 e recepito dal Consiglio con risoluzione del 22 marzo 1971, che avviava la prima tappa dell'unione economica e monetaria da realizzarsi in dieci anni. Sul serpente monetario le fonti presentano una lieve divergenza terminologica che va riportata: la Wikipedia italiana colloca i primi provvedimenti al 21 marzo 1972, perfezionati nell'accordo di Basilea del 10 aprile 1972 ed entrati in vigore il 24 aprile 1972, con margini di fluttuazione del 2,25 per cento; BankPedia colloca l'accordo di Basilea al 24 aprile 1972; una lezione universitaria della Sapienza colloca la nascita del serpente nel marzo 1972. L'uscita della lira dal serpente è datata concordemente al 13 febbraio 1973 (BankPedia; Wikipedia italiana), in coincidenza con la seconda svalutazione del dollaro; la lira restò fuori dal sistema fino alla vigilia dell'entrata in funzione del Sistema monetario europeo nel 1979. La materia monetaria è di ambito comunitario e non tocca direttamente la questione tedesca ecclesiastica; se ne dà conto perché richiesta esplicitamente dal committente come parte del ruolo tedesco nel processo di integrazione.</w:t>
      </w:r>
    </w:p>
    <w:p>
      <w:pPr>
        <w:pStyle w:val="Heading2"/>
        <w:spacing w:after="100" w:before="200"/>
      </w:pPr>
      <w:r>
        <w:rPr>
          <w:rFonts w:ascii="Barlow Semi Condensed" w:cs="Barlow Semi Condensed" w:eastAsia="Barlow Semi Condensed" w:hAnsi="Barlow Semi Condensed"/>
          <w:sz w:val="24"/>
          <w:szCs w:val="24"/>
        </w:rPr>
        <w:t xml:space="preserve">Capitolo X — Il Reichskonkordat del 1933 e la sua vigenza nella Repubblica Federale, con il confronto lateranense</w:t>
      </w:r>
    </w:p>
    <w:p>
      <w:pPr>
        <w:spacing w:after="120" w:line="276"/>
        <w:jc w:val="both"/>
      </w:pPr>
      <w:r>
        <w:rPr>
          <w:rFonts w:ascii="Barlow Semi Condensed" w:cs="Barlow Semi Condensed" w:eastAsia="Barlow Semi Condensed" w:hAnsi="Barlow Semi Condensed"/>
          <w:sz w:val="24"/>
          <w:szCs w:val="24"/>
        </w:rPr>
        <w:t xml:space="preserve">Il Concordato fra Santa Sede e Reich germanico fu firmato il 20 luglio 1933 dal cardinale segretario di Stato Eugenio Pacelli e dal vicecancelliere Franz von Papen. La documentazione ufficiale tedesca (il servizio scientifico del Bundestag, la Konrad-Adenauer-Stiftung, i portali Katholisch.de e Domradio) attesta che il negoziato si svolse in due tornate (10-20 aprile e 29 giugno – 5 luglio 1933), con la partecipazione di Ludwig Kaas per il Zentrum, e che il testo paraphato l'8 luglio fu approvato dal gabinetto del Reich il 14 luglio; il Concordato fu pubblicato nel Reichsgesetzblatt 1933 II, p. 679, ed entrò in vigore con lo scambio degli strumenti di ratifica il 10 settembre 1933. Esso è comunemente descritto come l'unico accordo di politica estera dell'epoca nazista ancora oggi vigente. Va registrata la controversia storiografica sul significato dell'atto: la cosiddetta polemica Repgen-Scholder verte sul se il Concordato fu, secondo Konrad Repgen, un «Defensivvertrag» con cui la Chiesa cercò di proteggere i cattolici, o piuttosto uno strumento che avrebbe contribuito a consolidare il regime; questa controversia va riportata con il suo statuto di dibattito scientifico aperto.</w:t>
      </w:r>
    </w:p>
    <w:p>
      <w:pPr>
        <w:spacing w:after="120" w:line="276"/>
        <w:jc w:val="both"/>
      </w:pPr>
      <w:r>
        <w:rPr>
          <w:rFonts w:ascii="Barlow Semi Condensed" w:cs="Barlow Semi Condensed" w:eastAsia="Barlow Semi Condensed" w:hAnsi="Barlow Semi Condensed"/>
          <w:sz w:val="24"/>
          <w:szCs w:val="24"/>
        </w:rPr>
        <w:t xml:space="preserve">Sulla vigenza nella Repubblica Federale la fonte primaria è la sentenza della Corte costituzionale federale nota come Konkordatsurteil, in materia della legge scolastica della Bassa Sassonia (scuole confessionali). Qui si registra una divergenza di data fra le fonti, che il metodo impone di riportare: la Konrad-Adenauer-Stiftung, il portale Katholisch.de e più portali giornalistici indicano il 26 marzo 1957; alcune fonti (un documento del servizio scientifico del Bundestag, il portale Domradio in un passaggio) indicano il 23 marzo 1957; la citazione formale della sentenza è comunque BVerfGE 6, 309, procedimento 2 BvG 1/55.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 I concordati regionali con i Länder precedono e affiancano il Reichskonkordat: Baviera 1924, Prussia 1929, Baden 1932. katholisch.de (https://katholisch.de/artikel/54136-das-reichskonkordat-kontroversen-um-einen-teufelspakt) La Repubblica Democratica Tedesca non riconosceva il Concordato, coerentemente con la sua dottrina di non successione al Reich e con l'impianto ideologico del regime. Il confronto con il Concordato lateranense italiano — firmato l'11 febbraio 1929 e revisionato con l'Accordo di Villa Madama concluso il 18 febbraio 1984, come accertato in ricognizione anteriore — evidenzia una differenza di traiettoria: mentre in Italia il concordato fu oggetto di una revisione bilaterale integrale e consensuale, in Germania il Reichskonkordat rimase in vigore immutato nella sua cornice, con adattamenti affidati alla giurisprudenza costituzionale e ai concordati dei Länder.</w:t>
      </w:r>
    </w:p>
    <w:p>
      <w:pPr>
        <w:pStyle w:val="Heading2"/>
        <w:spacing w:after="100" w:before="200"/>
      </w:pPr>
      <w:r>
        <w:rPr>
          <w:rFonts w:ascii="Barlow Semi Condensed" w:cs="Barlow Semi Condensed" w:eastAsia="Barlow Semi Condensed" w:hAnsi="Barlow Semi Condensed"/>
          <w:sz w:val="24"/>
          <w:szCs w:val="24"/>
        </w:rPr>
        <w:t xml:space="preserve">Capitolo XI — La Germania, la CSCE e la firma di Helsinki del 1975</w:t>
      </w:r>
    </w:p>
    <w:p>
      <w:pPr>
        <w:spacing w:after="120" w:line="276"/>
        <w:jc w:val="both"/>
      </w:pPr>
      <w:r>
        <w:rPr>
          <w:rFonts w:ascii="Barlow Semi Condensed" w:cs="Barlow Semi Condensed" w:eastAsia="Barlow Semi Condensed" w:hAnsi="Barlow Semi Condensed"/>
          <w:sz w:val="24"/>
          <w:szCs w:val="24"/>
        </w:rPr>
        <w:t xml:space="preserve">La Conferenza per la sicurezza e la cooperazione in Europa si aprì nella fase multilaterale preparatoria dal novembre 1972 e nei negoziati veri e propri dal 3 luglio 1973, per concludersi con l'Atto finale firmato a Helsinki il 1º agosto 1975 da trentacinque Stati. La documentazione tedesca (Bundeszentrale für politische Bildung; Haus der Geschichte; il testo dell'Atto finale) attesta che entrambe le Germanie parteciparono alla pari e che per la Repubblica Federale firmò il cancelliere Helmut Schmidt e per la Repubblica Democratica il segretario generale Erich Honecker. Il principio III dell'Atto finale sancisce l'inviolabilità delle frontiere («Unverletzlichkeit der Grenzen»); la clausola sulla loro modificabilità per via pacifica — secondo cui le frontiere possono essere mutate solo con mezzi pacifici e per accordo — fu essenziale per la Repubblica Federale perché lasciava aperta la possibilità giuridica della riunificazione tedesca senza contraddire il riconoscimento dello status quo. Su questo punto il committente chiede se esista una lettera tedesca sull'unità nazionale allegata all'Atto finale: le fonti edite qui reperite non attestano un tale documento allegato all'Atto finale di Helsinki; il «Brief zur deutschen Einheit» fu invece allegato al Trattato di Mosca del 1970 Konrad-Adenauer-Stiftung (https://www.kas.de/en/web/geschichte-der-cdu/calendar-detail/-/content/der-bundestag-ratifiziert-den-moskauer-und-den-warschauer-vertrag-und-stimmt-der-gemeinsamen-entschl) e al Grundlagenvertrag del 1972 (capitolo IV), mentre a Helsinki lo strumento rilevante fu la clausola di modificabilità pacifica delle frontiere. Questo va dichiarato come esito parzialmente negativo: nessuna lettera tedesca allegata all'Atto finale è documentata; la funzione che il committente ipotizza fu assolta dalla clausola sulla modificabilità pacifica, non da una lettera.</w:t>
      </w:r>
    </w:p>
    <w:p>
      <w:pPr>
        <w:spacing w:after="120" w:line="276"/>
        <w:jc w:val="both"/>
      </w:pPr>
      <w:r>
        <w:rPr>
          <w:rFonts w:ascii="Barlow Semi Condensed" w:cs="Barlow Semi Condensed" w:eastAsia="Barlow Semi Condensed" w:hAnsi="Barlow Semi Condensed"/>
          <w:sz w:val="24"/>
          <w:szCs w:val="24"/>
        </w:rPr>
        <w:t xml:space="preserve">Per l'Italia firmò Aldo Moro, nella duplice qualità di presidente del Consiglio e di presidente di turno della Comunità europea. La fonte giornalistica qualificata (Avvenire, che cita l'intervento di Moro) riporta che Moro annunciò a Helsinki che i Nove, per le materie di competenza comunitaria, avevano esaminato le conclusioni della Conferenza e le accettavano, «di conseguenza firmerò l'Atto finale nella mia duplice qualità»; l'ambasciatore Luigi Vittorio Ferraris fu tessitore per l'Italia di quella Conferenza, come attesta una testimonianza pubblicata su Affari Internazionali. Anche la Santa Sede fu firmataria dell'Atto finale, avendo perseguito, secondo Vatican News e la recensione del volume di Melloni, l'inserimento delle clausole sui diritti umani e sulla libertà religiosa. La convergenza fra la posizione italiana, quella comunitaria e quella della Santa Sede a Helsinki è documentata come convergenza di obiettivo e comunanza di ambiente diplomatico, non come coordinamento formale fra Roma politica e Roma pontificia, che le fonti non attestano.</w:t>
      </w:r>
    </w:p>
    <w:p>
      <w:pPr>
        <w:pStyle w:val="Heading2"/>
        <w:spacing w:after="100" w:before="200"/>
      </w:pPr>
      <w:r>
        <w:rPr>
          <w:rFonts w:ascii="Barlow Semi Condensed" w:cs="Barlow Semi Condensed" w:eastAsia="Barlow Semi Condensed" w:hAnsi="Barlow Semi Condensed"/>
          <w:sz w:val="24"/>
          <w:szCs w:val="24"/>
        </w:rPr>
        <w:t xml:space="preserve">Capitolo XII — Il versante del terrorismo, gli archivi, gli esiti negativi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conclusivo raccoglie tre materie che il metodo impone di trattare con cautela: il versante del terrorismo, lo stato degli archivi e la dichiarazione espressa degli esiti negativi con la tavola delle acquisizioni necessarie e non conseguite.</w:t>
      </w:r>
    </w:p>
    <w:p>
      <w:pPr>
        <w:spacing w:after="120" w:line="276"/>
        <w:jc w:val="both"/>
      </w:pPr>
      <w:r>
        <w:rPr>
          <w:rFonts w:ascii="Barlow Semi Condensed" w:cs="Barlow Semi Condensed" w:eastAsia="Barlow Semi Condensed" w:hAnsi="Barlow Semi Condensed"/>
          <w:sz w:val="24"/>
          <w:szCs w:val="24"/>
        </w:rPr>
        <w:t xml:space="preserve">Sul versante del terrorismo, la vicenda di Willy Peter Stoll, militante della Rote Armee Fraktion, va riportata attenendosi rigorosamente a ciò che le fonti giudiziarie e parlamentari accertino. La data della sua uccisione da parte della polizia a Düsseldorf, indicata dal committente come 11 settembre 1978, va corretta: le fonti accertano il 6 settembre 1978, come attesta la voce biografica tedesca (Willy Peter Stoll, nato a Stoccarda il 12 giugno 1950, morto a Düsseldorf il 6 settembre 1978) e la Stuttgarter Zeitung, che colloca l'episodio «am Abend des 6. September 1978» nel ristorante cinese Shanghai di Düsseldorf. La divergenza di data va dunque segnalata e risolta a favore del 6 settembre.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 Occorre qualificare con precisione lo statuto di queste affermazioni: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 La documentazione parlamentare italiana (gli atti della Commissione Moro reperibili tramite l'archivio digitale Grassi) attesta l'esistenza di un filone d'indagine sui possibili contatti operativi fra Brigate Rosse e RAF nel periodo immediatamente precedente il sequestro, incluso il tema di un presunto infiltrato dei servizi tedeschi a Milano; ma le tesi circolanti nella pubblicistica su una eterodirezione del sequestro Moro, non trovando riscontro nelle fonti primarie giudiziarie, vanno qualificate come non sostenute. Il sequestro Schleyer del settembre-ottobre 1977 (Hanns Martin Schleyer, presidente della Confindustria tedesca, rapito a Colonia il 5 settembre 1977 dal commando «Siegfried Hausner» della RAF e ucciso in ottobre) costituì il precedente immediato; la linea tedesca della fermezza, gestita da un Krisenstab e culminata nel blitz di Mogadiscio del 18 ottobre 1977, è documentata dalla storiografia sul Deutscher Herbst; il sequestro Moro si colloca fra il 16 marzo e il 9 maggio 1978. Sulla cooperazione italo-tedesca in materia di terrorismo e sul ruolo del Bundeskriminalamt durante il sequestro Moro, le fonti edite qui reperite sono insufficienti a un accertamento puntuale, e la materia è dichiarata come voce aperta da approfondire negli atti della Commissione parlamentare d'inchiesta e negli archivi del Bundeskriminalamt.</w:t>
      </w:r>
    </w:p>
    <w:p>
      <w:pPr>
        <w:spacing w:after="120" w:line="276"/>
        <w:jc w:val="both"/>
      </w:pPr>
      <w:r>
        <w:rPr>
          <w:rFonts w:ascii="Barlow Semi Condensed" w:cs="Barlow Semi Condensed" w:eastAsia="Barlow Semi Condensed" w:hAnsi="Barlow Semi Condensed"/>
          <w:sz w:val="24"/>
          <w:szCs w:val="24"/>
        </w:rPr>
        <w:t xml:space="preserve">Sugli archivi, lo stato di accessibilità è il seguente. L'Archivio Storico Diplomatico del Ministero degli Affari Esteri italiano conserva la serie Germania e la serie Santa Sede per il periodo 1969-1975, con l'avvertenza già accertata dell'esclusione temporanea dei Telegrammi 1942-1970. Il Politisches Archiv des Auswärtigen Amts di Berlino conserva la serie Akten zur Auswärtigen Politik der Bundesrepublik Deutschland, edita per annate. Il Bundesarchiv ha sedi a Coblenza e Berlino. Le carte del cardinale Döpfner sono presso l'archivio della Conferenza episcopale tedesca e l'archivio dell'arcidiocesi di Monaco. L'Archivio Apostolico Vaticano è consultabile soltanto fino all'ottobre 1958, termine del pontificato di Pio XII: i pontificati di Giovanni XXIII, Paolo VI e Giovanni Paolo II non sono aperti, il che preclude allo stato ogni verifica archivistica primaria sull'atto del 1972 e sui negoziati di Casaroli. L'Archivio Aldo Moro è ripartito fra l'Archivio storico del Senato e l'Archivio Centrale dello Stato, con la risorsa digitale Aldo Moro Digitale dell'Università di Bologna. I resoconti stenografici della quinta e sesta legislatura sono disponibili, con l'avvertenza che la banca dati del sindacato ispettivo copre soltanto dalla settima legislatura, cioè dal 5 luglio 1976.</w:t>
      </w:r>
    </w:p>
    <w:p>
      <w:pPr>
        <w:spacing w:after="120" w:line="276"/>
        <w:jc w:val="both"/>
      </w:pPr>
      <w:r>
        <w:rPr>
          <w:rFonts w:ascii="Barlow Semi Condensed" w:cs="Barlow Semi Condensed" w:eastAsia="Barlow Semi Condensed" w:hAnsi="Barlow Semi Condensed"/>
          <w:sz w:val="24"/>
          <w:szCs w:val="24"/>
        </w:rPr>
        <w:t xml:space="preserve">Gli esiti negativi, che sono acquisizioni di pieno valore, si ordinano per rendimento atteso come segue. Primo e di massimo rilievo: non è stata reperita alcuna documentazione di una posizione italiana o della Farnesina sulla riorganizzazione diocesana del 1972; la ricerca andrebbe condotta nei Documenti Diplomatici Italiani, nell'Archivio Storico Diplomatico (serie Santa Sede) e nelle carte dell'Ambasciata d'Italia presso la Santa Sede, ma allo stato l'esito è negativo, ed è del resto coerente con il fatto che la materia fu trilaterale (Santa Sede, Polonia, Repubblica Federale) e priva di interesse giuridico italiano. Secondo: gli incontri documentati fra Moro e Scheel e fra Moro e Brandt, con data e sede, non sono emersi dalle fonti edite e vanno ricostruiti negli Akten zur Auswärtigen Politik e nei Documenti Diplomatici Italiani. Terzo: la citazione verbatim di Casaroli, di Hansjakob Stehle (Die Ostpolitik des Vatikans, Monaco 1975), di Andrea Riccardi e del volume Il filo sottile curato da Melloni, che attesti in modo definitivo il nesso fra ratifica e atto del 1972, non è stata ottenuta e va reperita nei rispettivi volumi e nel testo integrale della comunicazione vaticana del 28 giugno 1972 pubblicata negli Acta Apostolicae Sedis; il volume di riferimento primario in lingua polacca è la raccolta curata da Wojciech Kucharski, Droga do stabilizacji polskiej administracji kościelnej na Ziemiach Zachodnich i Północnych po II wojnie światowej (Wrocław 2013). Quarto: l'esistenza di una lettera tedesca sull'unità nazionale allegata all'Atto finale di Helsinki non è documentata e va considerata, allo stato, inesistente, essendo la funzione assolta dalla clausola di modificabilità pacifica delle frontiere. Quinto: la posizione italiana specifica sulla dottrina Hallstein e sul suo superamento resta da documentare negli archivi diplomatici. Sesto: la cooperazione italo-tedesca in materia di terrorismo durante il sequestro Moro, con il ruolo del Bundeskriminalamt e le offerte di collaborazione tedesca, resta da accertare negli atti della Commissione parlamentare d'inchiesta e negli archivi tedeschi. Ciascuna di queste acquisizioni, ove conseguita, integrerebbe la ricostruzione senza però modificare l'accertamento centrale, che resta fermo: la sequenza Oder-Neisse è confermata, e il nesso fra la ratifica del Trattato di Varsavia e l'atto pontificio del 28 giugno 1972 è attestato dalla comunicazione vaticana di accompagnamento e dalla storiografia (segnatamente Karl-Joseph Hummel), mentre il testo canonico si mantenne, per scelta deliberata, sul solo piano pastorale.</w:t>
      </w:r>
    </w:p>
    <w:p>
      <w:pPr>
        <w:pStyle w:val="Heading2"/>
        <w:spacing w:after="100" w:before="200"/>
      </w:pPr>
      <w:r>
        <w:rPr>
          <w:rFonts w:ascii="Barlow Semi Condensed" w:cs="Barlow Semi Condensed" w:eastAsia="Barlow Semi Condensed" w:hAnsi="Barlow Semi Condensed"/>
          <w:sz w:val="24"/>
          <w:szCs w:val="24"/>
        </w:rPr>
        <w:t xml:space="preserve">NOTA CONCLUSIVA SUL METODO E SUI LIMITI. Questa ricognizione ha privilegiato, come richiesto, le fonti in italiano e in tedesco, con impiego del polacco per il versante polacco (siti diocesani, IPN, Zapiski Historyczne), dell'inglese per la storiografia internazionale (Cambridge, Project MUSE, la controversia Weigel-Casaroli) e del latino per il testo degli atti pontifici (la costituzione apostolica pubblicata negli Acta Apostolicae Sedis LXIV, 1972). Sono state escluse, come imposto, l'enciclopedia Grokipedia e il quotidiano il Manifesto. Ove le fonti divergono su una data (l'uccisione di Stoll, la data del Konkordatsurteil, la data terminale del primo mandato di Moro, la data della bolla del 1972, la nascita del serpente monetario), la divergenza è stata riportata e, ove possibile, risolta indicando la fonte prevalente. L'accertamento centrale relativo all'obiettivo prioritario è raggiunto con sicurezza documentale; gli obiettivi ulteriori sono raggiunti in misura variabile, con dichiarazione espressa dei punti in cui la documentazione primaria d'archivio, allo stato della sua accessibilità, non consente di andare oltre l'inferenza fondata su fonti edite.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e le due Germanie: la sequenza Oder-Neisse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6.066 parole in 9 sezioni; la più ampia è §9 Altre sezioni, con 2.294.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35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 Portogallo e Opus Dei</w:t>
      </w:r>
    </w:p>
    <w:p>
      <w:pPr>
        <w:pStyle w:val="Heading1"/>
        <w:spacing w:after="120" w:before="240"/>
      </w:pPr>
      <w:r>
        <w:rPr>
          <w:rFonts w:ascii="Barlow Semi Condensed" w:cs="Barlow Semi Condensed" w:eastAsia="Barlow Semi Condensed" w:hAnsi="Barlow Semi Condensed"/>
          <w:sz w:val="24"/>
          <w:szCs w:val="24"/>
        </w:rPr>
        <w:t xml:space="preserve">Aldo Moro, l'Opus Dei in Portogallo e le loro triangolazioni. Ricognizione storiografica e archivistica in dodici capitoli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L'Opus Dei si insediò in Portogallo dal 5 febbraio 1945 su iniziativa del fondatore Josemaría Escrivá (viaggio sollecitato da suor Lúcia di Fátima), ma — a differenza radicale del caso spagnolo — non ebbe mai un ruolo governativo tecnocratico comparabile: anzi, la polizia politica PIDE/DGS la sorvegliò per decenni sospettando una "cospirazione", senza mai provarla.</w:t>
      </w:r>
      <w:r>
        <w:rPr>
          <w:rFonts w:ascii="Barlow Semi Condensed" w:cs="Barlow Semi Condensed" w:eastAsia="Barlow Semi Condensed" w:hAnsi="Barlow Semi Condensed"/>
          <w:sz w:val="24"/>
          <w:szCs w:val="24"/>
        </w:rPr>
        <w:t xml:space="preserve"> La consistenza attuale è modesta (1.615 membri secondo i dati ufficiali di dicembre 2021). CNN Portugal (https://cnnportugal.iol.pt/religiao/igreja-catolica/o-papa-francisco-usou-cilicio-entrevista-rara-do-lider-do-opus-dei-que-assume-acolhimento-de-homossexuais/20220205/61fd3b150cf2cc58e7e10649)</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Nessun documento collega Aldo Moro all'Opus Dei in alcuna veste: si conferma lo Stato Zero.</w:t>
      </w:r>
      <w:r>
        <w:rPr>
          <w:rFonts w:ascii="Barlow Semi Condensed" w:cs="Barlow Semi Condensed" w:eastAsia="Barlow Semi Condensed" w:hAnsi="Barlow Semi Condensed"/>
          <w:sz w:val="24"/>
          <w:szCs w:val="24"/>
        </w:rPr>
        <w:t xml:space="preserve"> Parimenti negativa è la ricerca nei documenti desecretati statunitensi: non esiste, per il Portogallo, alcun analogo del rapporto CIA del 22 maggio 1970 sul gabinetto franchista.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sola triangolazione dotata di sostegno documentale è la mediazione della Santa Sé</w:t>
      </w:r>
      <w:r>
        <w:rPr>
          <w:rFonts w:ascii="Barlow Semi Condensed" w:cs="Barlow Semi Condensed" w:eastAsia="Barlow Semi Condensed" w:hAnsi="Barlow Semi Condensed"/>
          <w:sz w:val="24"/>
          <w:szCs w:val="24"/>
        </w:rPr>
        <w:t xml:space="preserve">, interlocutrice comune di Portogallo e Italia; tutte le altre convergenze sono di ambiente cattolico o di mera contemporaneità cronologica e non stabiliscono alcun nesso operativo.</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conferma che il "versante nuovo e prioritario" — l'Opus Dei in Portogallo come soggetto storico — è documentabile ma restituisce un quadro rovesciato rispetto all'ipotesi implicita nel confronto iberico: dove in Spagna l'istituzione fornì ministri, in Portogallo essa fu oggetto di sospetto poliziesco e di reticenza da parte del cardinale patriarca di Lisbona. La spiegazione del divario non risiede in una diversa "strategia" dell'ente, bensì in differenze strutturali di società, Chiesa ed élites, colte dalla storiografia religiosa portoghese peer-reviewed. Sul versante Moro, la ricerca produce due esiti negativi di pieno valore documentale (nessun legame con l'Opus Dei; nessuna traccia specifica su Moro e il Portogallo nel reperibile), che vanno enunciati con chiarezza anziché diluiti. Le triangolazioni reali si riducono a un solo nodo: la funzione di interlocuzione della Santa Sé.</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Premessa metodologica, natura delle fonti e mappa del reperito</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 l'attività di Aldo Moro come ministro degli Esteri in rapporto al Portogallo, l'Opus Dei in Portogallo dal suo insediamento al 1985, e le loro triangolazioni per via diretta o attraverso la mediazione vaticana e il confronto spagnolo — applicando un principio dirimente che prevale su ogni esigenza narrativa: l'appartenenza di una persona a un'organizzazione non è prova di una condotta dell'organizzazione. Le fonti reperite si collocano su piani eterogenei, che il metodo impone di tenere distinti. Per l'insediamento dell'Opus Dei in Portogallo la fonte ufficiale dell'ente (opusdei.org, versione pt-pt) fornisce la cronologia interna, da impiegare per i dati di fatto sui propri membri ma non per le valutazioni sulle responsabilità. Una recensione accademica peer-reviewed pubblicata sulla rivista Lusitania Sacra del Centro de Estudos de História Religiosa della Universidade Católica Portuguesa (doi 10.34632/lusitaniasacra.2022.11811, a firma di Miguel de Salis Amaral, della Pontifícia Università della Santa Croce) offre il vaglio critico della monografia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opera del filone dell'Istituto Storico San Josemaría Escrivá. Sul versante della sorveglianza statale la fonte principale è il libro giornalistico d'inchiesta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PIDE/DGS conservati alla Torre do Tombo: WOOK (https://www.wook.pt/livro/salazar-e-a-conspiracao-do-opus-dei-antonio-jose-vilela/10952303) va trattato come pubblicistica d'inchiesta che cita fonti primarie, non come studio peer-reviewed, e le sue tesi vanno qualificate in quanto tali. Per Moro le fonti sono la biografia istituzionale e gli atti (il sito aldomoro.eu, l'edizione digitale dell'Università di Bologna aldomorodigitale.unibo.it), oltre alla storiografia sulla politica estera (Nuova Rivista Storica; Euro-Balkan Law and Economics Review). Il versante desecretato è stato verificato direttamente nel CIA FOIA Reading Room e nei Foreign Relations of the United States. Ogni capitolo dichiara la natura della fonte, distingue ciò che il documento attesta da ciò che se ne inferisce, e — ove il materiale non basti — si dichiara più breve, poiché è preferibile un capitolo corto che enunci uno Stato Zero rispetto a un capitolo lungo che diluisca pochi fatti. Sono espressamente escluse dalle fonti l'enciclopedia collaborativa Grokipedia e il quotidiano il Manifesto.</w:t>
      </w:r>
    </w:p>
    <w:p>
      <w:pPr>
        <w:pStyle w:val="Heading3"/>
        <w:spacing w:after="80" w:before="160"/>
      </w:pPr>
      <w:r>
        <w:rPr>
          <w:rFonts w:ascii="Barlow Semi Condensed" w:cs="Barlow Semi Condensed" w:eastAsia="Barlow Semi Condensed" w:hAnsi="Barlow Semi Condensed"/>
          <w:sz w:val="24"/>
          <w:szCs w:val="24"/>
        </w:rPr>
        <w:t xml:space="preserve">CAPITOLO II — L'insediamento dell'Opus Dei in Portogallo (1945–anni Cinquanta)</w:t>
      </w:r>
    </w:p>
    <w:p>
      <w:pPr>
        <w:spacing w:after="120" w:line="276"/>
        <w:jc w:val="both"/>
      </w:pPr>
      <w:r>
        <w:rPr>
          <w:rFonts w:ascii="Barlow Semi Condensed" w:cs="Barlow Semi Condensed" w:eastAsia="Barlow Semi Condensed" w:hAnsi="Barlow Semi Condensed"/>
          <w:sz w:val="24"/>
          <w:szCs w:val="24"/>
        </w:rPr>
        <w:t xml:space="preserve">La fonte ufficiale dell'istituzione data l'inizio della presenza in Portogallo al 5 febbraio 1945, con la prima visita del fondatore Josemaría Escrivá de Balaguer, giunto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a istanza di suor Lúcia, veggente di Fátima, conosciuta a Tui. DN (https://www.dn.pt/sociedade/opus-dei-em-portugal-com-um-empurrao-da-irma-lucia--14256887.html) Escrivá, accompagnato dal vescovo di Tui, incontrò il cardinale patriarca di Lisbona e i vescovi di Braga, Porto, Coimbra e Leiria, decidendo l'avvio immediato dell'apostolato. Un anno dopo giunsero a Coimbra alcuni membri in studi post-laurea, che aprirono una residenza universitaria; seguirono le residenze di Porto (1948) e Lisbona (1951). Opus Dei (https://opusdei.org/pt-pt/article/historia-opus-dei-portugal/) La recensione di Lusitania Sacra apporta due precisazioni erudite: il primo portoghese entrato nell'Opus Dei fu Armando Serrano nell'anno accademico 1942-43, e una prima visita esplorativa di José Luis Múzquiz avvenne nel marzo 1941 ucp (https://journals.ucp.pt/index.php/lusitaniasacra/article/download/11811/11315) — segno che l'idea di iniziare il lavoro in Portogallo precedeva l'incontro con suor Lúcia, che la recensione considera concausa e non causa esclusiva. L'inchiesta Vilela–Brandão colloca l'ingresso stabile nel 1946, con l'arrivo di un gruppo di cinque universitari spagnoli e un cubano. Sul 21 (https://sul21.com.br/opiniao/2011/07/infiltrados-no-estado-novo/) La recensione di Salis Amaral segnala inoltre l'esistenza di uno studio dedicato alla corrispondenza fra Marcello Caetano e Laureano López Rodó, a firma di Paulo Miguel Martins, quale fonte di rilievo per il rapporto luso-spagnolo dell'ente. ucp (https://journals.ucp.pt/index.php/lusitaniasacra/article/download/11811/11315) Quanto alla consistenza numerica, documentata dalla stessa istituzione, la pagina storica ufficiale parla di circa 1.400 fedeli; l'agenzia Lusa (ripresa da RTP) riferì di circa 1.625 membri "no início deste ano" 2020; RTP (https://www.rtp.pt/noticias/pais/opus-dei-com-75-anos-em-portugal-e-uma-influencia-maior-do-que-os-1625-membros_n1358555) e per i dati di dicembre 2021 il vicario regionale José Rafael Espírito Santo, in occasione dei 75 anni e in un'intervista alla CNN Portugal (5 febbraio 2022), dichiarò: «há 1.615 membros no total, 1.012 mulheres e 603 homens», dei quali «505» celibatari e «1.110 são casadas ou solteiras sem o compromisso do celibato». CNN Portugal (https://cnnportugal.iol.pt/religiao/igreja-catolica/o-papa-francisco-usou-cilicio-entrevista-rara-do-lider-do-opus-dei-que-assume-acolhimento-de-homossexuais/20220205/61fd3b150cf2cc58e7e10649) Sono documentati centri della prelatura a Braga, Porto, Miramar, Viseu, Coimbra, Lisbona, Montemor-o-Novo e Ponta Delgada. Opus Dei (https://opusdei.org/pt-pt/article/historia-opus-dei-portugal/) Fra le opere educative e istituzionali collegate a membri dell'ente in Portogallo, il volume collettivo diretto da José Freire Antunes menziona il Colégio Universitário Montes Claros, il Colégio Horizonte (Porto), il Colégio Mira Rio, la Residência Universitária dos Álamos, l'AESE (scuola di direzione d'impresa) e l'ISU (Instituto de Solidariedade e Cooperação), sull'asse di quel modello di residenze universitarie e opere professionali che caratterizza l'apostolato dell'istituzione.</w:t>
      </w:r>
    </w:p>
    <w:p>
      <w:pPr>
        <w:pStyle w:val="Heading3"/>
        <w:spacing w:after="80" w:before="160"/>
      </w:pPr>
      <w:r>
        <w:rPr>
          <w:rFonts w:ascii="Barlow Semi Condensed" w:cs="Barlow Semi Condensed" w:eastAsia="Barlow Semi Condensed" w:hAnsi="Barlow Semi Condensed"/>
          <w:sz w:val="24"/>
          <w:szCs w:val="24"/>
        </w:rPr>
        <w:t xml:space="preserve">CAPITOLO III — L'Opus Dei e l'Estado Novo: la sorveglianza della polizia politica</w:t>
      </w:r>
    </w:p>
    <w:p>
      <w:pPr>
        <w:spacing w:after="120" w:line="276"/>
        <w:jc w:val="both"/>
      </w:pPr>
      <w:r>
        <w:rPr>
          <w:rFonts w:ascii="Barlow Semi Condensed" w:cs="Barlow Semi Condensed" w:eastAsia="Barlow Semi Condensed" w:hAnsi="Barlow Semi Condensed"/>
          <w:sz w:val="24"/>
          <w:szCs w:val="24"/>
        </w:rPr>
        <w:t xml:space="preserve">Il rapporto tra istituzione e regime salazarista si presenta in senso diametralmente opposto a quello spagnolo: non collaborazione ma diffidenza e sorveglianza. Secondo l'inchiesta Vilela–Brandão, fondata sui fondi PIDE/DGS della Torre do Tombo, la polizia politica riteneva esistesse una "cospirazione" dell'Opus Dei per dominare il regime, sul modello di quanto essa credeva avvenuto nella Spagna franchista, dove — a suo giudizio — Escrivá avrebbe voluto conquistare le élites di sostegno a Salazar. Fnac (https://www.fnac.pt/Salazar-e-a-Conspiracao-do-Opus-Dei-Pedro-Ramos-Brandao/a361319) Livraria Almedina (https://www.almedina.net/salazar-e-a-conspira-o-do-opus-dei-1563875565.html) Un rapporto PIDE del settembre 1963 conteneva la frase, citata dagli autori, secondo cui «os representantes espanhóis sempre procuraram encontrar para dirigente em Portugal um homem com nome político e prestígio suficientes que o levasse um dia a fazer parte do Governo». Sul 21 (https://sul21.com.br/opiniao/2011/07/infiltrados-no-estado-novo/) Una nota non firmata del 1961 indirizzata a Salazar e conservata alla Torre do Tombo, intitolata «As Actividades do Opus Dei em Portugal», è alla base dell'inchiesta ripresa dalla rivista SÁBADO (di cui Vilela è direttore aggiunto) nell'articolo «A vigilância secreta de Salazar ao Opus Dei»: «A PIDE desviou cartas, anotou nomes como os de Marcello Caetano e Adriano Moreira e detetou a entrada de 18 milhões de pesetas». SÁBADO (https://www.sabado.pt/vida/detalhe/a-vigilancia-secreta-de-salazar-ao-opus-dei) La stessa inchiesta indica inoltre l'ex-ministro Daniel Barbosa fra i nomi annotati e individua lo spagnolo D. Gregório Ortega Pardo come «o homem eficaz que fazia a ligação destes ex-governantes com a instituição», secondo un relatório PIDE del gennaio 1964 dedicato alle «tentativas de penetração do Opus Dei na política interna portuguesa». Pro Roma Mariana (https://promariana.wordpress.com/2015/12/10/o-opus-dei-na-historia-de-fatima/) Occorre la massima cautela interpretativa: si tratta di ciò che la PIDE sospettava e annotava, non di condotte provate dell'istituzione o degli individui. Gli stessi resoconti sottolineano che la polizia non riuscì mai a provare i legami, e che Marcello Caetano e Adriano Moreira — quest'ultimo indicato in alcuni rapporti come possibile successore del capo del governo — «terão resistido ao assédio». Nomi come Leite Pinto, Vieira Barbosa e Cavaleiro Ferreira comparivano come presunti membri, ma senza prova documentale. Palrador D'el Rei (https://denunciation.wordpress.com/2011/06/22/%C2%ABsalazar-e-a-conspiracao-do-opus-dei%C2%BB-de-antonio-jose-vilela-e-pedro-ramos-brandao/) Questo intero corpus va perciò qualificato come sospetto poliziesco, non come accertamento storico: costituisce prova di ciò che il regime temeva, non di ciò che l'Opus Dei fece. La tesi cospirativa che coinvolgerebbe suor Lúcia, il controllo del Banco da Agricultura e un'alleanza tacita e frustrata col cardinale Cerejeira Bertrand (https://www.bertrand.pt/livro/salazar-e-a-conspiracao-do-opus-dei-antonio-jose-vilela/10952303) Livraria Almedina (https://www.almedina.net/salazar-e-a-conspira-o-do-opus-dei-1563875565.html) è precisamente il tipo di tesi circolante nella pubblicistica che, non trovando riscontro in fonti primarie autonome, va qualificata come non sostenuta.</w:t>
      </w:r>
    </w:p>
    <w:p>
      <w:pPr>
        <w:pStyle w:val="Heading3"/>
        <w:spacing w:after="80" w:before="160"/>
      </w:pPr>
      <w:r>
        <w:rPr>
          <w:rFonts w:ascii="Barlow Semi Condensed" w:cs="Barlow Semi Condensed" w:eastAsia="Barlow Semi Condensed" w:hAnsi="Barlow Semi Condensed"/>
          <w:sz w:val="24"/>
          <w:szCs w:val="24"/>
        </w:rPr>
        <w:t xml:space="preserve">CAPITOLO IV — Il confronto iberico: perché in Spagna sì e in Portogallo no</w:t>
      </w:r>
    </w:p>
    <w:p>
      <w:pPr>
        <w:spacing w:after="120" w:line="276"/>
        <w:jc w:val="both"/>
      </w:pPr>
      <w:r>
        <w:rPr>
          <w:rFonts w:ascii="Barlow Semi Condensed" w:cs="Barlow Semi Condensed" w:eastAsia="Barlow Semi Condensed" w:hAnsi="Barlow Semi Condensed"/>
          <w:sz w:val="24"/>
          <w:szCs w:val="24"/>
        </w:rPr>
        <w:t xml:space="preserve">La domanda storiografica centrale — perché in Spagna l'Opus Dei fornì ministri tecnocrati al franchismo mentre in Portogallo, per quanto risulta, non ebbe ruolo governativo comparabile — trova risposta nelle differenze strutturali fra i due Paesi, messe a fuoco proprio dalla recensione peer-reviewed di Lusitania Sacra. In Spagna alcuni membri dell'Opus Dei giunsero al governo a partire dal 1957 (Alberto Ullastres al Commercio, Mariano Navarro Rubio alle Finanze) Recursosacademicos (https://www.recursosacademicos.net/tecnocratas-del-opus-dei/) e con maggiore visibilità nel gabinetto del 1969; secondo la fonte ufficiale dell'ente, otto ministri su centosedici complessivi appartennero all'istituzione nell'intero arco franchista, e figure come Gregorio López Bravo (Esteri, ottobre 1969 – giugno 1973) U.S. Department of State (https://history.state.gov/historicaldocuments/frus1969-76v41/d303) e Laureano López Rodó (poi agli Esteri dal giugno 1973) furono associate al cosiddetto "sviluppismo". La storiografia spagnola citata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Grijalbo-Mondadori, 1994) avverte che l'arrivo dei tecnocrati «no fue ni siniestra ni astuta, sino más bien una respuesta pragmática y sin esquema fijo», Contrainformacion (https://contrainformacion.es/opus-dei-y-los-ministros-miembros/) e la stessa istituzione insiste che «ni todos los tecnócratas fueron del Opus Dei, ni todos los miembros del Opus Dei... fueron tecnócratas». Religión en Libertad (https://www.religionenlibertad.com/cultura/150215/ni-todos-los-tecnocratas-fueron-del-opus-dei-ni-todos-los_32125.html) In Portogallo nulla di comparabile risulta. La recensione di Salis Amaral individua con precisione le ragioni della divergenza: il diverso grado di secolarizzazione e di preparazione religiosa della gioventù universitaria portoghese rispetto a quella spagnola; il diverso rapporto Chiesa-Stato ucp (https://journals.ucp.pt/index.php/lusitaniasacra/article/download/11811/11315) (Cerejeira amico personale di Salazar dai tempi di Coimbra, ma Chiesa portoghese meno organicamente fusa con il regime rispetto al nazionalcattolicesimo spagnolo); una situazione socio-economica non paragonabile a quella di una Spagna appena uscita dalla guerra civile; e una politica portoghese durante la Seconda guerra mondiale differente da quella spagnola. ucp (https://journals.ucp.pt/index.php/lusitaniasacra/article/download/11811/11315) A questi fattori se ne aggiunge uno ecclesiale decisivo, documentato dall'Agência Ecclesia sulla scorta della storiografia del Vaticano II: il cardinale Cerejeira fu costantemente reticente verso i movimenti di origine straniera — «com o argumento de que a Ação Católica Portuguesa supria as necessidades» — sicché Opus Dei, Legião de Maria, Casais de Nossa Senhora, Graal e il Movimento dos Industriais si impiantarono a partire da diocesi diverse da quella di Lisbona. ECCLESIA (https://agencia.ecclesia.pt/portal/vaticano-ii-portugal-o-mundo-e-a-convocacao-do-concilio/) La spiegazione storica non è dunque una diversa "strategia" dell'ente, ma la combinazione di una domanda sociale e di un'accoglienza ecclesiastica strutturalmente differenti. Anche sul piano concordatario il quadro diverge: la dissertazione di dottorato di Bruno Cardoso Reis (RUN/Universidade Nova de Lisboa) sulla Concordata del 1940 rileva che «Salazar impôs os seus pontos de vista, fazendo um acordo cujas benesses para a Igreja ficaram muito aquém das vantagens oferecidas noutras concordatas, como a italiana ou a espanhola» RUN (https://run.unl.pt/entities/publication/4bd29800-b1ac-4187-bcc6-897130f67b44) — indice di una Chiesa portoghese meno "premiata" dallo Stato di quanto lo fosse quella spagnola.</w:t>
      </w:r>
    </w:p>
    <w:p>
      <w:pPr>
        <w:pStyle w:val="Heading3"/>
        <w:spacing w:after="80" w:before="160"/>
      </w:pPr>
      <w:r>
        <w:rPr>
          <w:rFonts w:ascii="Barlow Semi Condensed" w:cs="Barlow Semi Condensed" w:eastAsia="Barlow Semi Condensed" w:hAnsi="Barlow Semi Condensed"/>
          <w:sz w:val="24"/>
          <w:szCs w:val="24"/>
        </w:rPr>
        <w:t xml:space="preserve">CAPITOLO V — L'Opus Dei, le guerre coloniali e la questione africana</w:t>
      </w:r>
    </w:p>
    <w:p>
      <w:pPr>
        <w:spacing w:after="120" w:line="276"/>
        <w:jc w:val="both"/>
      </w:pPr>
      <w:r>
        <w:rPr>
          <w:rFonts w:ascii="Barlow Semi Condensed" w:cs="Barlow Semi Condensed" w:eastAsia="Barlow Semi Condensed" w:hAnsi="Barlow Semi Condensed"/>
          <w:sz w:val="24"/>
          <w:szCs w:val="24"/>
        </w:rPr>
        <w:t xml:space="preserve">Su questo punto specifico il reperito è scarso e occorre dichiararlo espressamente. Il quadro generale del rapporto tra Chiesa e guerra coloniale è ben documentato dalla storiografia religiosa portoghese: la Concordata e l'Accordo missionario del 7 maggio 1940 conferivano alla Chiesa una «utilidade imperial» e un senso «civilizador» associati al nazionalismo portoghese, Revistas Científicas da UCP (https://revistas.ucp.pt/index.php/lusitaniasacra/article/view/16035) secondo João Marques de Almeida in Lusitania Sacra (n. 51, 2026); e nel colonialismo tardo (1961-1974) si aprì il conflitto fra paradigmi missionari nazionalisti e paradigmi della "libertação", culminato — come già acquisito nelle ricognizioni anteriori — nell'espulsione del vescovo di Nampula Manuel Vieira Pinto e dei comboniani dopo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Guerracolonial (https://guerracolonial.pt/1970-a-ilusao-das-grandes-operacoes/a-igreja-catolica-e-a-guerra-colonial/) Non è stato tuttavia reperito alcun documento che attribuisca all'Opus Dei come istituzione una posizione specifica e distinta sulle guerre coloniali o sulla questione africana, né a favore né contro. Il volume collettivo di Freire Antunes contiene testimonianze individuali che intersecano l'Africa portoghese (una sezione su «Os mutilados da Guerra de África»; il caso di Jorge Jardim Gonçalves «e a reconquista de Nambuangongo»), ma si tratta di vicende personali di membri, che il metodo impone di non trasformare in condotta dell'ente. Questo è dunque uno Stato Zero parziale: la ricerca andrebbe condotta nell'Archivio Generale della Prelatura a Roma e nei fondi diocesani portoghesi. Il capitolo è volutamente breve, poiché il materiale non basta e diluirlo con generalità sarebbe metodologicamente scorretto.</w:t>
      </w:r>
    </w:p>
    <w:p>
      <w:pPr>
        <w:pStyle w:val="Heading3"/>
        <w:spacing w:after="80" w:before="160"/>
      </w:pPr>
      <w:r>
        <w:rPr>
          <w:rFonts w:ascii="Barlow Semi Condensed" w:cs="Barlow Semi Condensed" w:eastAsia="Barlow Semi Condensed" w:hAnsi="Barlow Semi Condensed"/>
          <w:sz w:val="24"/>
          <w:szCs w:val="24"/>
        </w:rPr>
        <w:t xml:space="preserve">CAPITOLO VI — L'Opus Dei di fronte alla Rivoluzione dei garofani e alla transizione</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Revolucionário Em Curso (PREC) del 1974-1975. La fonte ufficiale dell'ente e la letteratura testimoniale (il volume collettivo </w:t>
      </w:r>
      <w:r>
        <w:rPr>
          <w:rFonts w:ascii="Barlow Semi Condensed" w:cs="Barlow Semi Condensed" w:eastAsia="Barlow Semi Condensed" w:hAnsi="Barlow Semi Condensed"/>
          <w:i/>
          <w:iCs/>
          <w:sz w:val="24"/>
          <w:szCs w:val="24"/>
        </w:rPr>
        <w:t xml:space="preserve">Opus Dei em Portugal</w:t>
      </w:r>
      <w:r>
        <w:rPr>
          <w:rFonts w:ascii="Barlow Semi Condensed" w:cs="Barlow Semi Condensed" w:eastAsia="Barlow Semi Condensed" w:hAnsi="Barlow Semi Condensed"/>
          <w:sz w:val="24"/>
          <w:szCs w:val="24"/>
        </w:rPr>
        <w:t xml:space="preserve">, diretto da José Freire Antunes, che dedica una sezione specifica «O 25 de Abril de 1974» e una al progetto SOCEI-Fomento) non documentano persecuzioni sistematiche, occupazioni di sedi o espulsioni di membri dell'Opus Dei </w:t>
      </w:r>
      <w:r>
        <w:rPr>
          <w:rFonts w:ascii="Barlow Semi Condensed" w:cs="Barlow Semi Condensed" w:eastAsia="Barlow Semi Condensed" w:hAnsi="Barlow Semi Condensed"/>
          <w:i/>
          <w:iCs/>
          <w:sz w:val="24"/>
          <w:szCs w:val="24"/>
        </w:rPr>
        <w:t xml:space="preserve">in quanto tali</w:t>
      </w:r>
      <w:r>
        <w:rPr>
          <w:rFonts w:ascii="Barlow Semi Condensed" w:cs="Barlow Semi Condensed" w:eastAsia="Barlow Semi Condensed" w:hAnsi="Barlow Semi Condensed"/>
          <w:sz w:val="24"/>
          <w:szCs w:val="24"/>
        </w:rPr>
        <w:t xml:space="preserve"> durante il biennio rivoluzionario; non è stato reperito alcun documento indipendente che le attesti. La figura in cui la traiettoria dell'istituzione tocca la politica portoghese post-rivoluzionaria è Adelino Amaro da Costa, cofondatore del CDS: secondo il sito ufficiale del Parlamento portoghese egli «foi membro fundador do Partido do Centro Democrático Social (CDS) em 1974, tendo sido o seu primeiro Secretário-Geral até fevereiro de 1975» Parlamento (https://www.parlamento.pt/VisitaParlamento/Paginas/BiogAdelinoAmarodaCosta.aspx) (il CDS fu fondato il 19 luglio 1974). La sua appartenenza all'Opus Dei è documentata: l'Infopédia riferisce che «em 1979, casou-se com Maria Manuela Vaz Pires, tendo assim rompido os votos de castidade feitos quando aderiu, anos antes, à Opus Dei», Infopedia (https://www.infopedia.pt/artigos/%24adelino-amaro-da-costa) 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«a importância central do Opus Dei na vida de Adelino Amaro da Costa, até ao casamento em 1979», datando l'ingresso in residenza a dopo la laurea in Ingegneria civile del 1966. ucp (https://revistas.ucp.pt/index.php/povoseculturas/article/download/8975/8843) Vale in modo assoluto la prescrizione metodologica: l'appartenenza di Amaro da Costa all'Opus Dei non costituisce prova di una condotta politica dell'Opus Dei come istituzione; egli agì come uomo politico del CDS, e le testimonianze raccolte (Rui Pena, Ernâni Lopes) descrivono un impegno personale, non una direttiva dell'ente. Amaro da Costa contribuì alla stesura del programma del I Governo provisório su richiesta del ministro Veiga Simão, ucp (https://revistas.ucp.pt/index.php/povoseculturas/article/download/8975/8843) e fu poi ministro della Difesa nel governo dell'Aliança Democrática (1980), Infopedia (https://www.infopedia.pt/artigos/%24adelino-amaro-da-costa) morendo nel disastro aereo di Camarate il 4 dicembre 1980 insieme al primo ministro Francisco Sá Carneiro. Livraria Almedina +2 (https://www.almedina.net/adelino-amaro-da-costa-hist-rias-de-uma-vida-interrompida-1563875470.html) Il capitolo resta contenuto per insufficienza di documentazione sulle vicende collettive dell'ente nel periodo rivoluzionario.</w:t>
      </w:r>
    </w:p>
    <w:p>
      <w:pPr>
        <w:pStyle w:val="Heading3"/>
        <w:spacing w:after="80" w:before="160"/>
      </w:pPr>
      <w:r>
        <w:rPr>
          <w:rFonts w:ascii="Barlow Semi Condensed" w:cs="Barlow Semi Condensed" w:eastAsia="Barlow Semi Condensed" w:hAnsi="Barlow Semi Condensed"/>
          <w:sz w:val="24"/>
          <w:szCs w:val="24"/>
        </w:rPr>
        <w:t xml:space="preserve">CAPITOLO VII — Moro ministro degli Esteri e il Portogallo</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dal 5 agosto 1969 al 26 giugno 1972 (governi terzo Rumor, primo Colombo, primo Andreotti) e di nuovo dal 7 luglio 1973 al 23 novembre 1974 (quarto e quinto Rumor), Wikipedia (https://en.wikipedia.org/wiki/Aldo_Moro) come confermano concordemente la biografia istituzionale (aldomoro.eu) e le voci enciclopediche. La storiografia definisce la sua come l'"iniziatore della fase mediterranea" delle relazioni internazionali italiane: la Nuova Rivista Storica lo descrive come colui che «legando al quadro europeo la politica araba dell'Italia» tentò, dal 1973, di conciliare filo-arabismo energetico e costruzione europea; Nuovarivistastorica (https://nuovarivistastorica.it/?p=7636) parallelamente egli fu protagonista della CSCE e della Conferenza di Helsinki. Non è stato reperito alcun documento diplomatico specifico che colleghi direttamente Moro alla situazione portoghese pre-rivoluzionaria, né iniziative morotee riguardanti il Portogallo di Caetano. La transizione portoghese cadde in gran parte quando Moro era ancora agli Esteri (25 aprile 1974) e poi presidente del Consiglio (dal 23 novembre 1974); la reazione italiana alla rivoluzione fu tuttavia soprattutto di parte, con forte coinvolgimento del PSI e del PCI (la letteratura specialistica documenta il dibattito della sinistra italiana sulla rivoluzione portoghese), mentre l'orientamento atlantico italiano si allineava alla preoccupazione NATO documentata nei FRUS, dove Kissinger paventava per Lisbona «not a Communist take-over, but a leftist neutralist regime remaining within NATO». state (https://history.state.gov/historicaldocuments/frus1969-76ve15p2/d153) Il rapporto Moro-Portogallo, allo stato, non è dunque documentato da fonti dirette reperibili e va ricostruito presso l'Archivio Storico Diplomatico del Ministero degli Affari Esteri italiano, serie Portogallo 1969-1974: sede presso cui la ricerca resta interamente da condurre.</w:t>
      </w:r>
    </w:p>
    <w:p>
      <w:pPr>
        <w:pStyle w:val="Heading3"/>
        <w:spacing w:after="80" w:before="160"/>
      </w:pPr>
      <w:r>
        <w:rPr>
          <w:rFonts w:ascii="Barlow Semi Condensed" w:cs="Barlow Semi Condensed" w:eastAsia="Barlow Semi Condensed" w:hAnsi="Barlow Semi Condensed"/>
          <w:sz w:val="24"/>
          <w:szCs w:val="24"/>
        </w:rPr>
        <w:t xml:space="preserve">CAPITOLO VIII — L'Opus Dei in Italia, la politica estera italiana e la questione Moro–Opus Dei (Stato Zero)</w:t>
      </w:r>
    </w:p>
    <w:p>
      <w:pPr>
        <w:spacing w:after="120" w:line="276"/>
        <w:jc w:val="both"/>
      </w:pPr>
      <w:r>
        <w:rPr>
          <w:rFonts w:ascii="Barlow Semi Condensed" w:cs="Barlow Semi Condensed" w:eastAsia="Barlow Semi Condensed" w:hAnsi="Barlow Semi Condensed"/>
          <w:sz w:val="24"/>
          <w:szCs w:val="24"/>
        </w:rPr>
        <w:t xml:space="preserve">L'Opus Dei è presente in Italia dal 1946, come attesta la fonte ufficiale, che documenta anche la mediazione del cardinale Giovanni Battista Montini (poi Paolo VI) nel riconoscimento pontificio del 1947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 e — secondo la ricostruzione riportata da fonti divulgative da verificare — nella presentazione di Escrivá a Giulio Andreotti. Non è stato reperito alcun documento, atto, corrispondenza o testimonianza che colleghi Aldo Moro all'Opus Dei in qualunque veste. La biografia intellettuale di Moro lo colloca senza ambiguità nella tradizione della FUCI (di cui fu presidente 1939-1943), del Movimento Laureati Cattolici, della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della componente dossettiana della sinistra DC: un cattolicesimo democratico distante per cultura, teologia politica e collocazione dall'ambiente dell'Opus Dei. La recensione critica della biografia di Paolo Acanfora (ARO-FBK) e la letteratura più recente (Iannuzzi–Losacco,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Baldini Castoldi) descrivono «un uomo... non di appartenenza confessionale chiusa, ma un credente che considera la politica un servizio alla libertà». Quotidiano Nazionale (https://www.quotidiano.net/cronaca/aldo-moro-libro-iannuzzi-losacco-vk0b33xf) Si conferma pertanto lo Stato Zero già registrato da una ricognizione anteriore: nessun legame documentato fra Moro e l'Opus Dei. Questa conferma ha valore proprio e va enunciata con la massima chiarezza, poiché in materia tanto esposta alla pubblicistica congetturale la smentita documentale è un'acquisizione. La verifica ulteriore andrebbe condotta nell'Archivio Aldo Moro (inventariato tra Archivio storico del Senato e Archivio Centrale dello Stato) e nell'Archivio della Fondazione Aldo Moro.</w:t>
      </w:r>
    </w:p>
    <w:p>
      <w:pPr>
        <w:pStyle w:val="Heading3"/>
        <w:spacing w:after="80" w:before="160"/>
      </w:pPr>
      <w:r>
        <w:rPr>
          <w:rFonts w:ascii="Barlow Semi Condensed" w:cs="Barlow Semi Condensed" w:eastAsia="Barlow Semi Condensed" w:hAnsi="Barlow Semi Condensed"/>
          <w:sz w:val="24"/>
          <w:szCs w:val="24"/>
        </w:rPr>
        <w:t xml:space="preserve">CAPITOLO IX — I documenti desecretati (CIA e FRUS)</w:t>
      </w:r>
    </w:p>
    <w:p>
      <w:pPr>
        <w:spacing w:after="120" w:line="276"/>
        <w:jc w:val="both"/>
      </w:pPr>
      <w:r>
        <w:rPr>
          <w:rFonts w:ascii="Barlow Semi Condensed" w:cs="Barlow Semi Condensed" w:eastAsia="Barlow Semi Condensed" w:hAnsi="Barlow Semi Condensed"/>
          <w:sz w:val="24"/>
          <w:szCs w:val="24"/>
        </w:rPr>
        <w:t xml:space="preserve">La ricerca sistematica nel CIA FOIA Electronic Reading Room, nella collezione CREST e nei Foreign Relations of the United States ha prodotto un esito negativo di grande significato, verificato mediante ricognizione dedicata. Esiste, per la Spagna, il documento del 22 maggio 1970 (protocollo CIA-RDP85T00875R001500020027-1) sul gabinetto franchista e sull'assegnazione del maggior numero di dicasteri a membri o associati dell'Opus Dei. Non esiste alcun documento analogo per il Portogallo. Le carte CIA sull'Opus Dei reperite riguardano esclusivamente la Spagna (segnatamente «Opus Dei in Barcelona», CIA-RDP82-00457R015000010003-5, della serie di note informative degli anni Quaranta-Cinquanta); e va ricordato che il contenzioso FOIA promosso nel 2009-2011 dal ricercatore Harry Cason (CUNY) con Public Citizen per ottenere le carte CIA sull'Opus Dei verteva anch'esso sulla Spagna franchista. Fox News (https://www.foxnews.com/politics/consumer-group-helps-student-suing-cia-over-opus-dei-records.amp) I profili biografici CIA su Marcello Caetano (documenti C06790244 e C06790246, rilasciati il 12 luglio 2019) e su Salazar (documento 06782148, 1° settembre 1968) — pur dettagliati sul "conservatore ragionevole" Caetano, cia (https://cia.gov/readingroom/docs/MARCELO%20CAETANO%20%28PORTUGAL%5B15678188%5D.pdf) cia (https://www.cia.gov/readingroom/docs/MARCELO%20CAETANO%20%28PORTUGAL%5B15678189%5D.pdf) sui rimpasti del gennaio 1970 e sulla fede religiosa di Salazar — non menzionano in alcun punto l'Opus Dei. Nei FRUS 1969-1976, Volume E-15 Part 2 (ed. Kathleen B. Rasmussen, GPO 2014), la sezione Portogallo (documenti 123-178) state (https://history.state.gov/historicaldocuments/frus1969-76ve15p2Ed2) non contiene alcun riferimento all'Opus Dei né a "tecnocrati cattolici", concentrandosi su Rivoluzione dei garofani, minaccia comunista, adesione alla NATO e aiuti occidentali. L'unico riferimento all'Opus Dei nell'intero ciclo FRUS 1969-1976 individuato è nella sezione Spagna (Vol. 41, </w:t>
      </w:r>
      <w:r>
        <w:rPr>
          <w:rFonts w:ascii="Barlow Semi Condensed" w:cs="Barlow Semi Condensed" w:eastAsia="Barlow Semi Condensed" w:hAnsi="Barlow Semi Condensed"/>
          <w:i/>
          <w:iCs/>
          <w:sz w:val="24"/>
          <w:szCs w:val="24"/>
        </w:rPr>
        <w:t xml:space="preserve">Western Europe; NATO, 1969-1972</w:t>
      </w:r>
      <w:r>
        <w:rPr>
          <w:rFonts w:ascii="Barlow Semi Condensed" w:cs="Barlow Semi Condensed" w:eastAsia="Barlow Semi Condensed" w:hAnsi="Barlow Semi Condensed"/>
          <w:sz w:val="24"/>
          <w:szCs w:val="24"/>
        </w:rPr>
        <w:t xml:space="preserve">, documento 303), in una nota redazionale sullo scandalo MATESA che ricorda l'incriminazione di due ex ministri membri dell'Opus Dei. U.S. Department of State (https://history.state.gov/historicaldocuments/frus1969-76v41/d303) La conclusione, distinguendo il documento dall'inferenza, è netta: l'intelligence statunitense tracciò l'Opus Dei nel contesto spagnolo (franchista), non in quello portoghese; e l'unica traccia documentale del nesso Opus Dei–Portogallo resta nei fondi PIDE/DGS portoghesi, cioè in intelligence domestica portoghese, non statunitense. Resta il limite tecnico che l'interfaccia di ricerca interna del Reading Room non è stata interrogabile direttamente: non si può escludere l'esistenza di un cablogramma non indicizzato o pesantemente sanitizzato, ma nulla è emerso su oltre dieci interrogazioni mirate.</w:t>
      </w:r>
    </w:p>
    <w:p>
      <w:pPr>
        <w:pStyle w:val="Heading3"/>
        <w:spacing w:after="80" w:before="160"/>
      </w:pPr>
      <w:r>
        <w:rPr>
          <w:rFonts w:ascii="Barlow Semi Condensed" w:cs="Barlow Semi Condensed" w:eastAsia="Barlow Semi Condensed" w:hAnsi="Barlow Semi Condensed"/>
          <w:sz w:val="24"/>
          <w:szCs w:val="24"/>
        </w:rPr>
        <w:t xml:space="preserve">CAPITOLO X — Gli archivi: stato di accessibilità</w:t>
      </w:r>
    </w:p>
    <w:p>
      <w:pPr>
        <w:spacing w:after="120" w:line="276"/>
        <w:jc w:val="both"/>
      </w:pPr>
      <w:r>
        <w:rPr>
          <w:rFonts w:ascii="Barlow Semi Condensed" w:cs="Barlow Semi Condensed" w:eastAsia="Barlow Semi Condensed" w:hAnsi="Barlow Semi Condensed"/>
          <w:sz w:val="24"/>
          <w:szCs w:val="24"/>
        </w:rPr>
        <w:t xml:space="preserve">L'Arquivo Nacional da Torre do Tombo è ad accesso libero per chiunque abbia più di 16 anni Dglab (https://antt.dglab.gov.pt/servicos/leitura-e-referencia/) (18 per talune richieste online); la documentazione PIDE/DGS è soggetta a un regolamento proprio ma è consultabile su richiesta al servizio di riferimento. Dglab (https://antt.dglab.gov.pt/servicos/leitura-e-referencia/) Sull'ampiezza dell'inesplorato, Paulo Tremoceiro, capo divisione dell'archivio, ha dichiarato alla TSF (reportage di Nuno Guedes, 23 aprile 2019): «da minha experiência diária, aquilo que posso concluir é que metade da documentação existente nos nossos depósitos ainda está por consultar», pur essendo già numerata dai tecnici TSF Rádio Notícias (https://www.tsf.pt/sociedade/artigo/metade-do-arquivo-da-pide-nunca-foi-consultado-e-um-mundo-por-descobrir/10825928) — dato che segnala un potenziale di reperimento tuttora aperto. I fondi rilevanti per la ricerca sono il fondo PIDE-DGS, l'Arquivo Oliveira Salazar e l'Arquivo Marcello Caetano, tutti alla Torre do Tombo. L'Arquivo Histórico-Diplomático del Ministério dos Negócios Estrangeiros portoghese è accessibile e descritto attraverso l'Instituto Diplomático (idi.mne.gov.pt), con serie sulle relazioni diplomatiche dal 1640. Gli archivi dell'Opus Dei — l'Archivio Generale della Prelatura a Roma e la Biblioteca dell'Università di Navarra — sono ad accesso ristretto e mediato dall'Istituto Storico San Josemaría Escrivá, che tuttavia ha promosso l'edizione critica e monografie basate su diari e corrispondenza interni (come la citata opera di Onésimo Díaz). L'Archivio Storico Diplomatico del Ministero degli Affari Esteri italiano conserva la serie Portogallo per il periodo 1969-1974, non ancora spogliata ai fini di questa ricerca. Per l'Italia, l'Archivio Aldo Moro è inventariato e in parte digitalizzato (aldomorodigitale.unibo.it; patrimonio.archivio.senato.it).</w:t>
      </w:r>
    </w:p>
    <w:p>
      <w:pPr>
        <w:pStyle w:val="Heading3"/>
        <w:spacing w:after="80" w:before="160"/>
      </w:pPr>
      <w:r>
        <w:rPr>
          <w:rFonts w:ascii="Barlow Semi Condensed" w:cs="Barlow Semi Condensed" w:eastAsia="Barlow Semi Condensed" w:hAnsi="Barlow Semi Condensed"/>
          <w:sz w:val="24"/>
          <w:szCs w:val="24"/>
        </w:rPr>
        <w:t xml:space="preserve">CAPITOLO XI — Le triangolazioni</w:t>
      </w:r>
    </w:p>
    <w:p>
      <w:pPr>
        <w:spacing w:after="120" w:line="276"/>
        <w:jc w:val="both"/>
      </w:pPr>
      <w:r>
        <w:rPr>
          <w:rFonts w:ascii="Barlow Semi Condensed" w:cs="Barlow Semi Condensed" w:eastAsia="Barlow Semi Condensed" w:hAnsi="Barlow Semi Condensed"/>
          <w:sz w:val="24"/>
          <w:szCs w:val="24"/>
        </w:rPr>
        <w:t xml:space="preserve">Applicando rigorosamente la distinzione fra convergenza di obiettivo documentata, simultaneità di reazione a un medesimo evento, comunanza di ambiente istituzionale e mera contemporaneità cronologica, si registra quanto segue, indicando per ciascun asse il grado di sostegno documentale e ciò che esso non stabilisce. </w:t>
      </w:r>
      <w:r>
        <w:rPr>
          <w:rFonts w:ascii="Barlow Semi Condensed" w:cs="Barlow Semi Condensed" w:eastAsia="Barlow Semi Condensed" w:hAnsi="Barlow Semi Condensed"/>
          <w:b/>
          <w:bCs/>
          <w:sz w:val="24"/>
          <w:szCs w:val="24"/>
        </w:rPr>
        <w:t xml:space="preserve">Moro–Opus Dei</w:t>
      </w:r>
      <w:r>
        <w:rPr>
          <w:rFonts w:ascii="Barlow Semi Condensed" w:cs="Barlow Semi Condensed" w:eastAsia="Barlow Semi Condensed" w:hAnsi="Barlow Semi Condensed"/>
          <w:sz w:val="24"/>
          <w:szCs w:val="24"/>
        </w:rPr>
        <w:t xml:space="preserve">: nessun punto di contatto documentato (Stato Zero, Cap. VIII); la triangolazione non esiste sul piano delle fonti, e la contemporaneità del ministero Moro con la fase spagnola dei ministri dell'Opus Dei non stabilisce nulla. </w:t>
      </w:r>
      <w:r>
        <w:rPr>
          <w:rFonts w:ascii="Barlow Semi Condensed" w:cs="Barlow Semi Condensed" w:eastAsia="Barlow Semi Condensed" w:hAnsi="Barlow Semi Condensed"/>
          <w:b/>
          <w:bCs/>
          <w:sz w:val="24"/>
          <w:szCs w:val="24"/>
        </w:rPr>
        <w:t xml:space="preserve">Moro–Portogallo</w:t>
      </w:r>
      <w:r>
        <w:rPr>
          <w:rFonts w:ascii="Barlow Semi Condensed" w:cs="Barlow Semi Condensed" w:eastAsia="Barlow Semi Condensed" w:hAnsi="Barlow Semi Condensed"/>
          <w:sz w:val="24"/>
          <w:szCs w:val="24"/>
        </w:rPr>
        <w:t xml:space="preserve">: solo cornice diplomatica generale, senza documenti specifici reperiti (Cap. VII); ciò che non si stabilisce è qualunque iniziativa morotea mirata al Portogallo. </w:t>
      </w:r>
      <w:r>
        <w:rPr>
          <w:rFonts w:ascii="Barlow Semi Condensed" w:cs="Barlow Semi Condensed" w:eastAsia="Barlow Semi Condensed" w:hAnsi="Barlow Semi Condensed"/>
          <w:b/>
          <w:bCs/>
          <w:sz w:val="24"/>
          <w:szCs w:val="24"/>
        </w:rPr>
        <w:t xml:space="preserve">Opus Dei–Portogallo</w:t>
      </w:r>
      <w:r>
        <w:rPr>
          <w:rFonts w:ascii="Barlow Semi Condensed" w:cs="Barlow Semi Condensed" w:eastAsia="Barlow Semi Condensed" w:hAnsi="Barlow Semi Condensed"/>
          <w:sz w:val="24"/>
          <w:szCs w:val="24"/>
        </w:rPr>
        <w:t xml:space="preserve">: contatto documentato con la gerarchia (rapporti dapprima tesi, poi ricomposti nel 1972, con Cerejeira, e con il successore António Ribeiro dal 1971) e sorveglianza PIDE documentata dai fondi Torre do Tombo (Cap. III); ciò che tale documentazione non stabilisce è una condotta politica effettiva dell'ente, restando essa prova di sospetto, non di azione. </w:t>
      </w:r>
      <w:r>
        <w:rPr>
          <w:rFonts w:ascii="Barlow Semi Condensed" w:cs="Barlow Semi Condensed" w:eastAsia="Barlow Semi Condensed" w:hAnsi="Barlow Semi Condensed"/>
          <w:b/>
          <w:bCs/>
          <w:sz w:val="24"/>
          <w:szCs w:val="24"/>
        </w:rPr>
        <w:t xml:space="preserve">Confronto col caso spagnolo</w:t>
      </w:r>
      <w:r>
        <w:rPr>
          <w:rFonts w:ascii="Barlow Semi Condensed" w:cs="Barlow Semi Condensed" w:eastAsia="Barlow Semi Condensed" w:hAnsi="Barlow Semi Condensed"/>
          <w:sz w:val="24"/>
          <w:szCs w:val="24"/>
        </w:rPr>
        <w:t xml:space="preserve">: comunanza di ambiente istituzionale cattolico ma divergenza netta di esito politico (Cap. IV), il che è una differenza, non una triangolazione. Il solo nodo comune reale è la </w:t>
      </w:r>
      <w:r>
        <w:rPr>
          <w:rFonts w:ascii="Barlow Semi Condensed" w:cs="Barlow Semi Condensed" w:eastAsia="Barlow Semi Condensed" w:hAnsi="Barlow Semi Condensed"/>
          <w:b/>
          <w:bCs/>
          <w:sz w:val="24"/>
          <w:szCs w:val="24"/>
        </w:rPr>
        <w:t xml:space="preserve">mediazione della Santa Sé</w:t>
      </w:r>
      <w:r>
        <w:rPr>
          <w:rFonts w:ascii="Barlow Semi Condensed" w:cs="Barlow Semi Condensed" w:eastAsia="Barlow Semi Condensed" w:hAnsi="Barlow Semi Condensed"/>
          <w:sz w:val="24"/>
          <w:szCs w:val="24"/>
        </w:rPr>
        <w:t xml:space="preserve">: Paolo VI mediò per il riconoscimento dell'Opus Dei, e la Santa Sé fu interlocutrice tanto del Portogallo (Concordato e Accordo missionario del 7 maggio 1940; Protocollo addizionale del 15 febbraio 1975 firmato da Villot e Salgado Zenha, già acquisito nelle ricognizioni anteriori) quanto dell'Italia concordataria. Anche questo nodo, però, è di comunanza d'interlocutore, non di convergenza d'obiettivo documentata fra Moro e l'Opus Dei. Nessuna delle triangolazioni esaminate stabilisce un nesso operativo fra l'azione diplomatica di Moro, la vicenda portoghese e l'Opus Dei: la contemporaneità cronologica, qui come altrove, non prova alcun legame.</w:t>
      </w:r>
    </w:p>
    <w:p>
      <w:pPr>
        <w:pStyle w:val="Heading3"/>
        <w:spacing w:after="80" w:before="160"/>
      </w:pPr>
      <w:r>
        <w:rPr>
          <w:rFonts w:ascii="Barlow Semi Condensed" w:cs="Barlow Semi Condensed" w:eastAsia="Barlow Semi Condensed" w:hAnsi="Barlow Semi Condensed"/>
          <w:sz w:val="24"/>
          <w:szCs w:val="24"/>
        </w:rPr>
        <w:t xml:space="preserve">CAPITOLO XII — Stato Zero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raccolgono qui gli esiti negativi, ordinati per rendimento atteso decrescente, ciascuno con la sede e la condizione di chiusura, ribadendo che gli esiti negativi sono acquisizioni di pieno valore. In primo luogo, la posizione dell'Opus Dei </w:t>
      </w:r>
      <w:r>
        <w:rPr>
          <w:rFonts w:ascii="Barlow Semi Condensed" w:cs="Barlow Semi Condensed" w:eastAsia="Barlow Semi Condensed" w:hAnsi="Barlow Semi Condensed"/>
          <w:i/>
          <w:iCs/>
          <w:sz w:val="24"/>
          <w:szCs w:val="24"/>
        </w:rPr>
        <w:t xml:space="preserve">come istituzione</w:t>
      </w:r>
      <w:r>
        <w:rPr>
          <w:rFonts w:ascii="Barlow Semi Condensed" w:cs="Barlow Semi Condensed" w:eastAsia="Barlow Semi Condensed" w:hAnsi="Barlow Semi Condensed"/>
          <w:sz w:val="24"/>
          <w:szCs w:val="24"/>
        </w:rPr>
        <w:t xml:space="preserve"> sulle guerre coloniali e sulla questione africana resta non documentata: andrebbe cercata nell'Archivio Generale della Prelatura a Roma e nei fondi diocesani portoghesi (Nampula, Beira, Tete, Patriarcato di Lisbona); condizione di chiusura, l'accesso mediato dall'Istituto Storico San Josemaría Escrivá e l'autorizzazione degli archivi ecclesiastici. In secondo luogo, le carte diplomatiche italiane su Moro e il Portogallo, potenzialmente il reperimento a più alto rendimento per la specifica triangolazione richiesta: andrebbero cercate nell'Archivio Storico Diplomatico della Farnesina, serie Portogallo 1969-1974, e nell'Archivio Aldo Moro; condizione di chiusura, ricerca in loco sui telespressi e sui rapporti dell'ambasciata italiana a Lisbona. In terzo luogo, la conferma o smentita definitiva del nesso Moro–Opus Dei, allo stato Stato Zero confermato, chiudibile solo con lo spoglio integrale dell'Archivio Aldo Moro e della Fondazione Aldo Moro. In quarto luogo, i fascicoli PIDE/DGS originali sull'Opus Dei (nota del 1961 «As Actividades do Opus Dei em Portugal»; rapporti del settembre 1963 e del gennaio 1964), da consultare direttamente alla Torre do Tombo per verificare autonomamente le citazioni della pubblicistica Vilela–Brandão e distinguere il testo primario dalla parafrasi giornalistica; condizione di chiusura, richiesta al servizio di riferimento e vaglio del regolamento speciale PIDE/DGS. In quinto luogo, l'eventuale documento CIA o del Dipartimento di Stato non indicizzato che menzioni Opus Dei e Portogallo: condizione di chiusura, interrogazione diretta dell'indice interno del Reading Room e richiesta FOIA mirata. La ricerca, nel suo insieme, converge su una conclusione sobria: il "versante nuovo" dell'Opus Dei in Portogallo è reale e documentabile come storia di sorveglianza e di marginalità politica, non di potere; il "primo oggetto" Moro-Portogallo è quasi tutto da reperire negli archivi diplomatici; e le triangolazioni, sottoposte a disciplina probatoria, si riducono a un solo nodo vaticano, che non regge alcuna inferenza ulteriore.</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Priorità immediata (massimo rendimento atteso):</w:t>
      </w:r>
      <w:r>
        <w:rPr>
          <w:rFonts w:ascii="Barlow Semi Condensed" w:cs="Barlow Semi Condensed" w:eastAsia="Barlow Semi Condensed" w:hAnsi="Barlow Semi Condensed"/>
          <w:sz w:val="24"/>
          <w:szCs w:val="24"/>
        </w:rPr>
        <w:t xml:space="preserve"> condurre lo spoglio della serie Portogallo 1969-1974 presso l'Archivio Storico Diplomatico della Farnesina, cercando telespressi dell'ambasciata di Lisbona e appunti della Direzione Generale Affari Politici: è l'unica sede in cui la triangolazione Moro-Portogallo può passare dallo Stato Zero a un accertamento. Benchmark che cambierebbe la valutazione: il rinvenimento anche di un solo documento firmato o siglato da Moro sul Portogallo.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Secondo passo:</w:t>
      </w:r>
      <w:r>
        <w:rPr>
          <w:rFonts w:ascii="Barlow Semi Condensed" w:cs="Barlow Semi Condensed" w:eastAsia="Barlow Semi Condensed" w:hAnsi="Barlow Semi Condensed"/>
          <w:sz w:val="24"/>
          <w:szCs w:val="24"/>
        </w:rPr>
        <w:t xml:space="preserve"> richiesta formale alla Torre do Tombo dei fascicoli PIDE/DGS citati (note del 1961, 1963, 1964), per verificare le citazioni contro il testo primario e distinguere ciò che il documento attesta da ciò che l'inchiesta giornalistica inferisce. Soglia critica: la conferma verbatim della frase del rapporto 1963 e dei nomi annotati.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Terzo passo:</w:t>
      </w:r>
      <w:r>
        <w:rPr>
          <w:rFonts w:ascii="Barlow Semi Condensed" w:cs="Barlow Semi Condensed" w:eastAsia="Barlow Semi Condensed" w:hAnsi="Barlow Semi Condensed"/>
          <w:sz w:val="24"/>
          <w:szCs w:val="24"/>
        </w:rPr>
        <w:t xml:space="preserve"> istanza di accesso all'Archivio Generale della Prelatura (Roma) e alla Biblioteca dell'Università di Navarra per la posizione dell'ente sulle guerre coloniali e per la cronologia delle circoscrizioni/delegazioni portoghesi. Soglia: reperimento di un documento istituzionale (non testimonianza individuale) sul tema africano.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Da mantenere come acquisizione stabile:</w:t>
      </w:r>
      <w:r>
        <w:rPr>
          <w:rFonts w:ascii="Barlow Semi Condensed" w:cs="Barlow Semi Condensed" w:eastAsia="Barlow Semi Condensed" w:hAnsi="Barlow Semi Condensed"/>
          <w:sz w:val="24"/>
          <w:szCs w:val="24"/>
        </w:rPr>
        <w:t xml:space="preserve"> lo Stato Zero Moro–Opus Dei va riportato come tale in ogni esito; non trattarlo come lacuna da colmare a ogni costo, ma come risultato. Cambierebbe solo di fronte a un documento diretto nell'Archivio Aldo Moro.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Cautela redazionale vincolante:</w:t>
      </w:r>
      <w:r>
        <w:rPr>
          <w:rFonts w:ascii="Barlow Semi Condensed" w:cs="Barlow Semi Condensed" w:eastAsia="Barlow Semi Condensed" w:hAnsi="Barlow Semi Condensed"/>
          <w:sz w:val="24"/>
          <w:szCs w:val="24"/>
        </w:rPr>
        <w:t xml:space="preserve"> ogni menzione di Amaro da Costa, Jorge Jardim Gonçalves o altri membri viventi/deceduti va accompagnata dalla clausola che l'appartenenza non prova condotta dell'ente, e per i viventi vanno riportati solo fatti pubblici documentati.</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principale fonte sulla sorveglianza PIDE (Vilela–Brandão) è pubblicistica d'inchiesta, non studio peer-reviewed: le sue citazioni dei fascicoli sono attendibili ma non verificate qui contro l'originale, e le sue tesi cospirative (suor Lúcia, Banco da Agricultura, alleanza frustrata con Cerejeira) restano non sostenute da fonti primarie autonome. I dati numerici sui membri provengono dalla fonte ufficiale dell'ente e da dichiarazioni del vicario regionale, impiegati solo per fatti verificabili e non per valutazioni di responsabilità. Il budget di ricerca non ha consentito lo spoglio archivistico diretto, sicché diversi punti restano allo stato di Stato Zero dichiarato con indicazione della sede. La ricerca sui documenti desecretati statunitensi, pur estesa, non ha potuto interrogare l'indice interno del Reading Room e resta quindi soggetta al limite tecnico segnalato. Infine, per disciplina metodologica, non si è attribuita ad alcuna persona o istituzione alcuna responsabilità, intenzione o condotta che le fonti non accertino, e ove le fonti divergano (per esempio sulla data d'ingresso stabile dell'ente, 1945 secondo la fonte ufficiale, 1946 secondo l'inchiesta) la divergenza è stata riportata anziché risolta silenziosamente.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4.705 parole in 5 sezioni; la più ampia è §3 Details, con 4.005.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 Portogallo e Santa Sede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il Portogallo e la Santa Sede (1969–1974): ricerca storiografica e archivistica sulle triangolazioni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documentazione accessibile stabilisce con certezza la contemporaneità e la comunanza d'ambiente romano fra l'azione anticoloniale della Santa Sede, la mobilitazione della società civile italiana e la vicenda coloniale portoghese, ma NON stabilisce un'azione diplomatica autonoma e documentata di Aldo Moro ministro sul dossier coloniale portoghese o sull'espulsione dei missionari del 1974.</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sei lacune indicate risultano in parte colmate (Conferenza romana, decolonizzazione, CSCE, Padri Bianchi) e in parte confermate come esiti negativi di pieno valore (atti italiani sull'espulsione del 13 aprile 1974; atti parlamentari 1969–1975 non indicizzati per la V e VI legislatura), con l'indicazione precisa delle sedi archivistiche da interrogare.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firma dell'Atto finale di Helsinki da parte di Moro il 1° agosto 1975, accanto al Portogallo post-rivoluzionario e alla Santa Sede rappresentata da Casaroli e Silvestrini, è l'unico punto di contatto istituzionale pienamente documentato fra i tre vertici del triangolo, ma è successiva ai mandati ministeriali e riguarda la sicurezza europea, non la questione coloniale.</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ricognizione conferma che i motori dell'azione anticoloniale in ambito italiano furono la società civile di sinistra e gli enti locali (Reggio Emilia, con Giuseppe Soncini e il sindaco Renzo Bonazzi) e una parte della Chiesa missionaria (comboniani, Padri di Burgos, Padri Bianchi, il vescovo di Nampula Manuel Vieira Pinto), non il governo o il ministro degli Esteri. Sul versante governativo, la posizione italiana resta, allo stato delle fonti online, silente o non documentata sul dossier coloniale portoghese, coerentemente con la fedeltà atlantica dei governi a maggioranza democristiana. Gli unici punti di contatto istituzionali pienamente documentati fra Moro, il Portogallo e la Santa Sede riguardano la CSCE e sono posteriori ai mandati agli Esteri. Le lacune prioritarie (atti italiani sull'espulsione, atti parlamentari) si chiudono come esiti negativi dovuti in parte a limiti strutturali di accessibilità, con indicazione delle sedi archivistiche.</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quadro cronologico e istituzionale dei mandati ministeriali di Moro</w:t>
      </w:r>
    </w:p>
    <w:p>
      <w:pPr>
        <w:spacing w:after="120" w:line="276"/>
        <w:jc w:val="both"/>
      </w:pPr>
      <w:r>
        <w:rPr>
          <w:rFonts w:ascii="Barlow Semi Condensed" w:cs="Barlow Semi Condensed" w:eastAsia="Barlow Semi Condensed" w:hAnsi="Barlow Semi Condensed"/>
          <w:sz w:val="24"/>
          <w:szCs w:val="24"/>
        </w:rPr>
        <w:t xml:space="preserve">La cronologia dei mandati, già accertata dalla passata ricognizione, va ricollocata nel quadro istituzionale che ne condiziona la lettura. Secondo la scheda ufficiale del Ministero degli Affari Esteri (esteri.it), Aldo Moro fu ministro degli affari esteri dal 5 agosto 1969 al 26 giugno 1972 e nuovamente dal 7 luglio 1973 al 23 novembre 1974, attraversando i governi Rumor II e III, Colombo, Andreotti I, Rumor IV e V. La stessa fonte ufficiale osserva che egli si distinse "per la risoluzione di contenziosi internazionali". Esteri (https://www.esteri.it/it/ministero/storia/ministri_esteri/aldo_moro/) La nota storico-critica di Zampieri sul portale aldomorodigitale.unibo.it precisa che dopo il novembre 1974 Moro fu presidente del Consiglio e, da luglio a dicembre 1975, presidente di turno del Consiglio europeo. Unibo (https://aldomorodigitale.unibo.it/additionalResources/142/essay/Zampieri_vol4_notastorica.pdf) La collocazione è essenziale perché delimita ciò che poteva essere condotta ministeriale di Moro in senso proprio: il triennio 1969–1972 e il periodo luglio 1973 – novembre 1974. La firma di Helsinki (agosto 1975) e i Consigli europei del 1975 cadono invece fuori dai mandati agli Esteri e vanno attribuiti a Moro presidente del Consiglio.</w:t>
      </w:r>
    </w:p>
    <w:p>
      <w:pPr>
        <w:spacing w:after="120" w:line="276"/>
        <w:jc w:val="both"/>
      </w:pPr>
      <w:r>
        <w:rPr>
          <w:rFonts w:ascii="Barlow Semi Condensed" w:cs="Barlow Semi Condensed" w:eastAsia="Barlow Semi Condensed" w:hAnsi="Barlow Semi Condensed"/>
          <w:sz w:val="24"/>
          <w:szCs w:val="24"/>
        </w:rPr>
        <w:t xml:space="preserve">L'ambiente istituzionale è quello di una diplomazia italiana atlantica e insieme europeista. Le fonti divulgative e accademiche concordano su una linea di continuità: firma del Trattato di non proliferazione, impegno per la distensione, sostegno al processo CSCE. Sul TNP va introdotta una precisazione cronologica: benché il Trattato fosse stato aperto alla firma il 1° luglio 1968, l'Italia lo firmò il 28 gennaio 1969 e lo ratificò con la legge 24 aprile 1975 n. 131 (Gazzetta Ufficiale n. 113 del 30 aprile 1975), come attesta la scheda dell'Archivio Disarmo IRIAD ("L'Italia, che ha firmato il 28 gennaio 1969, ha ratificato il TNP con legge 24 aprile 1975 n. 131"); l'atto italiano è dunque del 1969 e la ratifica del 1975, non del 1968. La voce di Wikipedia in inglese sintetizza che nel suo dicastero Moro "implemented a pro-Arab policy". Wikipedia (https://en.wikipedia.org/wiki/Aldo_Moro) Nessuna delle fonti ufficiali o accademiche consultate collega tuttavia il nome di Moro a una iniziativa specifica sul Portogallo coloniale nel periodo 1969–1974. Questo è un primo dato di rilievo: la letteratura celebrativa su Moro ministro (BeeMagazine, Avvenire, Nuova Rivista Storica, Affari Internazionali) ruota attorno a Helsinki, Osimo, l'Alto Adige e la politica mediterranea, e tace sul dossier coloniale portoghese. La ragione più probabile — che qui si dichiara come inferenza e non come dato documentale — è che il Portogallo fosse trattato come alleato NATO e la questione coloniale come materia di sede multilaterale (ONU) e non di rapporto bilaterale privilegiato.</w:t>
      </w:r>
    </w:p>
    <w:p>
      <w:pPr>
        <w:spacing w:after="120" w:line="276"/>
        <w:jc w:val="both"/>
      </w:pPr>
      <w:r>
        <w:rPr>
          <w:rFonts w:ascii="Barlow Semi Condensed" w:cs="Barlow Semi Condensed" w:eastAsia="Barlow Semi Condensed" w:hAnsi="Barlow Semi Condensed"/>
          <w:sz w:val="24"/>
          <w:szCs w:val="24"/>
        </w:rPr>
        <w:t xml:space="preserve">Il quadro istituzionale comprende anche il carattere singolare del rapporto Italia–Santa Sede, che condiziona ogni triangolazione: come ricorda la voce portoghese di Wikipedia sulle relazioni Italia–Santa Sede, il Trattato del Laterano del 1929 fa di Roma l'unico caso al mondo in cui le due missioni diplomatiche reciproche sono accreditate nella stessa città. Wikipedia (https://pt.wikipedia.org/wiki/Rela%C3%A7%C3%B5es_entre_It%C3%A1lia_e_Santa_S%C3%A9) Il ministro degli Esteri italiano operava dunque a pochi passi dalla Segreteria di Stato, in una prossimità che facilita la comunanza d'ambiente ma non prova, di per sé, il coordinamento. Questo capitolo è più breve della misura indicata perché la sua funzione è di inquadramento e perché il materiale già accertato non va ripetuto; le acquisizioni sostanziali sono distribuite nei capitoli tematici che seguono.</w:t>
      </w:r>
    </w:p>
    <w:p>
      <w:pPr>
        <w:pStyle w:val="Heading3"/>
        <w:spacing w:after="80" w:before="160"/>
      </w:pPr>
      <w:r>
        <w:rPr>
          <w:rFonts w:ascii="Barlow Semi Condensed" w:cs="Barlow Semi Condensed" w:eastAsia="Barlow Semi Condensed" w:hAnsi="Barlow Semi Condensed"/>
          <w:sz w:val="24"/>
          <w:szCs w:val="24"/>
        </w:rPr>
        <w:t xml:space="preserve">Capitolo II – La Conferenza romana del giugno 1970 e l'udienza pontificia: promotori, comitato italiano e posizione del governo</w:t>
      </w:r>
    </w:p>
    <w:p>
      <w:pPr>
        <w:spacing w:after="120" w:line="276"/>
        <w:jc w:val="both"/>
      </w:pPr>
      <w:r>
        <w:rPr>
          <w:rFonts w:ascii="Barlow Semi Condensed" w:cs="Barlow Semi Condensed" w:eastAsia="Barlow Semi Condensed" w:hAnsi="Barlow Semi Condensed"/>
          <w:sz w:val="24"/>
          <w:szCs w:val="24"/>
        </w:rPr>
        <w:t xml:space="preserve">La seconda lacuna riguarda chi promosse in Italia la Conferenza internazionale di solidarietà con i popoli delle colonie portoghesi (Roma, 27–29 giugno 1970) e quale fu la posizione del governo. Le fonti raccolte permettono di stabilire alcuni punti e di lasciarne aperti altri. La rete promotrice fu di matrice della sinistra e del movimento anticolonialista, con un ruolo documentato del Partito Comunista Italiano. Un saggio accademico di Vincenzo Russo (Università di Milano, ripubblicato su air.unimi.it) cita una fonte interna del PAIGC secondo cui "La conferenza Internazionale di Solidarietà con i popoli delle colonie portoghesi che ebbe luogo a Roma dal 27 al 29 giugno e alla cui realizzazione il nostro Partito ha lavorato senza sosta, ha rappresentato un successo politico di primo ordine". Università di Milano (https://air.unimi.it/retrieve/dfa8b9a2-2341-748b-e053-3a05fe0a3a96/Russo_ResistenzaContinua%20ST.pdf) Lo stesso saggio, citando Tornimbeni (2018), inquadra la solidarietà anticoloniale nella "dialettica tra una visione internazionalista implicita in certe municipalità di sinistra come Reggio Emilia e Bologna e la fedeltà atlantica dei governi a maggioranza DC". Università di Milano (https://air.unimi.it/retrieve/dfa8b9a2-2341-748b-e053-3a05fe0a3a96/Russo_ResistenzaContinua%20ST.pdf) Questa formula scientifica è decisiva per la triangolazione: essa segnala che l'iniziativa fu della società civile e degli enti locali di sinistra, non del governo, e che fra municipalità internazionaliste e governo democristiano vi era divergenza di orientamento, non convergenza.</w:t>
      </w:r>
    </w:p>
    <w:p>
      <w:pPr>
        <w:spacing w:after="120" w:line="276"/>
        <w:jc w:val="both"/>
      </w:pPr>
      <w:r>
        <w:rPr>
          <w:rFonts w:ascii="Barlow Semi Condensed" w:cs="Barlow Semi Condensed" w:eastAsia="Barlow Semi Condensed" w:hAnsi="Barlow Semi Condensed"/>
          <w:sz w:val="24"/>
          <w:szCs w:val="24"/>
        </w:rPr>
        <w:t xml:space="preserve">L'Archivio audiovisivo del movimento operaio e democratico (AAMOD) conserva le riprese della Conferenza e la conferenza stampa di Agostino Neto (patrimonio.aamod.it), a conferma della regia di ambienti legati al movimento operaio. La rivista Confronti, in un articolo del 2020 di taglio divulgativo-documentato (ripubblicato anche su Articolo21.org, giugno 2020), ricostruisce l'udienza di Paolo VI del 1° luglio 1970 a Cabral, Neto e dos Santos come "una grande vittoria politica e morale" Confronti (https://confronti.net/2020/06/i-movimenti-di-liberazione-portoghesi-e-lincontro-con-paolo-vi/) dei movimenti, riportando le parole di Cabral secondo cui "L'udienza ha provocato un grande spaesamento negli ambienti governativi e ecclesiastici portoghesi". Confronti (https://confronti.net/2020/06/i-movimenti-di-liberazione-portoghesi-e-lincontro-con-paolo-vi/) La stessa fonte conferma che la scelta di Paolo VI "causò un incidente diplomatico con il Portogallo". Confronti (https://confronti.net/2020/06/i-movimenti-di-liberazione-portoghesi-e-lincontro-con-paolo-vi/)</w:t>
      </w:r>
    </w:p>
    <w:p>
      <w:pPr>
        <w:spacing w:after="120" w:line="276"/>
        <w:jc w:val="both"/>
      </w:pPr>
      <w:r>
        <w:rPr>
          <w:rFonts w:ascii="Barlow Semi Condensed" w:cs="Barlow Semi Condensed" w:eastAsia="Barlow Semi Condensed" w:hAnsi="Barlow Semi Condensed"/>
          <w:sz w:val="24"/>
          <w:szCs w:val="24"/>
        </w:rPr>
        <w:t xml:space="preserve">Sul versante italiano-locale la documentazione è ricca e primaria. L'inventario dell'Archivio Giuseppe Soncini – Bruna Ganapini presso l'Istituto per i beni culturali dell'Emilia-Romagna (archivi.ibc.regione.emilia-romagna.it) contiene un fascicolo "Frelimo-Mozambico" (1965–1993) e documenta l'organizzazione della Conferenza Nazionale di Solidarietà con i popoli delle colonie portoghesi tenutasi a Reggio Emilia dal 23 al 26 marzo 1973 Regione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(la fonte reca anche la variante 24–25 marzo 1973 in una scheda del Fondo Zagari del Senato: la divergenza di date fra i due strumenti archivistici va segnalata). I Musei Civici di Reggio Emilia e il portale della cooperazione AICS (aics.gov.it) attestano il gemellaggio del 1970 fra l'Arcispedale Santa Maria Nuova e l'ospedale di Cabo Delgado gestito dal FRELIMO, animato da Giuseppe Soncini (militante comunista) e dal sindaco Renzo Bonazzi. Una fonte reggiana (livello9.it) qualifica l'ospedale come "posto di combattimento" Livello9 (https://www.livello9.it/amicizia-reggio-africa/arcispedale-santa-maria-nuova) nel supporto alla guerra anticolonialista. La scheda del Senato sul Fondo Mario Zagari (patrimonio.archivio.senato.it) documenta la partecipazione di un esponente socialista (Zagari) alla conferenza reggiana del 1973, segno che la mobilitazione non fu solo comunista ma coinvolse anche il PSI e ambienti cattolici, come nota il portale AICS ("non solo comunisti, ma anche socialisti e cattolici"). Oltremare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sz w:val="24"/>
          <w:szCs w:val="24"/>
        </w:rPr>
        <w:t xml:space="preserve">Ciò che le fonti NON stabiliscono: non risulta alcun patrocinio, autorizzazione formale o obiezione del governo italiano alla Conferenza romana del 1970; non risulta che il Portogallo abbia protestato presso il governo italiano oltre che presso la Santa Sede (il richiamo dell'ambasciatore riguarda la sede vaticana); non risulta una presa di posizione documentata di Moro o della DC sulla Conferenza. Queste assenze vanno verificate presso l'Archivio storico diplomatico della Farnesina (serie Affari politici, Portogallo) e presso gli atti della VI legislatura.</w:t>
      </w:r>
    </w:p>
    <w:p>
      <w:pPr>
        <w:pStyle w:val="Heading3"/>
        <w:spacing w:after="80" w:before="160"/>
      </w:pPr>
      <w:r>
        <w:rPr>
          <w:rFonts w:ascii="Barlow Semi Condensed" w:cs="Barlow Semi Condensed" w:eastAsia="Barlow Semi Condensed" w:hAnsi="Barlow Semi Condensed"/>
          <w:sz w:val="24"/>
          <w:szCs w:val="24"/>
        </w:rPr>
        <w:t xml:space="preserve">Capitolo III – Wiriyamu, la denuncia missionaria e la posizione ufficiale portoghese</w:t>
      </w:r>
    </w:p>
    <w:p>
      <w:pPr>
        <w:spacing w:after="120" w:line="276"/>
        <w:jc w:val="both"/>
      </w:pPr>
      <w:r>
        <w:rPr>
          <w:rFonts w:ascii="Barlow Semi Condensed" w:cs="Barlow Semi Condensed" w:eastAsia="Barlow Semi Condensed" w:hAnsi="Barlow Semi Condensed"/>
          <w:sz w:val="24"/>
          <w:szCs w:val="24"/>
        </w:rPr>
        <w:t xml:space="preserve">Il massacro di Wiriyamu (16 dicembre 1972, operazione Marosca) è già accertato; qui se ne approfondiscono la divergenza sulle vittime e lo statuto della negazione portoghese, come richiesto dai vincoli di metodo. Le stime divergono ampiamente secondo la fonte. Il sito accademico-divulgativo portoghese Guerra Colonial (guerracolonial.pt) parla di un numero "que a estimativa varia segundo as fontes entre os cento e cinquenta e os quatrocentos". Guerracolonial (https://guerracolonial.pt/1972-negar-uma-solucao-politica-para-a-guerra/wiriyamu-de-mocambique-para-o-mundo/) La Wikipedia inglese, citando la Croce Rossa e il quotidiano Expresso, indica "between 150 (according to the Red Cross) and 300 (according to a much later investigation by the Portuguese newspaper Expresso)". Wikipedia (https://it.wikipedia.org/wiki/Guerra_d'indipendenza_del_Mozambico) Wikipedia (https://en.wikipedia.org/wiki/Wiriyamu_Massacre) La Wikipedia portoghese riferisce "Pelo menos 385 pessoas". Wikipedia (https://pt.wikipedia.org/wiki/Massacre_de_Wiriyamu) Lo studio storico di Mustafah Dhada, ospitato sul portale del Centro de Documentação 25 de Abril dell'Università di Coimbra (cd25a.uc.pt), identifica "400 as dead, 177 by name and 223 as Jane and John Does". Uc (https://www.cd25a.uc.pt/storage/media/pdf/Biblioteca%20digital/Artigos/APP_Cx23-13_The%20Wiriyamu%20Massacre%20In%20Mozambique%20The%20Search%20For%20Answers.pdf) La cifra di 385 morti (circa un terzo dei 1.350 abitanti di cinque villaggi) è ripresa dal Museu do Aljube. Si riporta dunque la forbice 150–400 senza scegliere silenziosamente, come prescritto.</w:t>
      </w:r>
    </w:p>
    <w:p>
      <w:pPr>
        <w:spacing w:after="120" w:line="276"/>
        <w:jc w:val="both"/>
      </w:pPr>
      <w:r>
        <w:rPr>
          <w:rFonts w:ascii="Barlow Semi Condensed" w:cs="Barlow Semi Condensed" w:eastAsia="Barlow Semi Condensed" w:hAnsi="Barlow Semi Condensed"/>
          <w:sz w:val="24"/>
          <w:szCs w:val="24"/>
        </w:rPr>
        <w:t xml:space="preserve">Il primo resoconto è già accertato (padre Domingos Ferrão, primo sacerdote nero della diocesi di Beira, con il sostegno di due religiose; ruolo dei Padri di Burgos; articolo di Adrian Hastings sulla prima pagina del Times del 10 luglio 1973). L'apparato di note dell'articolo peer-reviewed di Bruno C. Reis e Pedro Aires Oliveira, "Cutting Heads or Winning Hearts", Civil Wars 14/1 (2012), precisa i riferimenti bibliografici primari: l'articolo del Times "Portuguese Massacre Reported by Priests" (10 luglio 1973, p. 1), il volume di Hastings Wiriyamu (Search Press 1974), il libro del comboniano Cesare Bertulli A Cruz e a Espada em Moçambique (Portugália 1974) e il volume di António Sousa Ribeiro Terror em Tete (1974). Taylor \&amp; Francis Online (https://www.tandfonline.com/doi/abs/10.1080/13698249.2012.654690) Il saggio di Norrie MacQueen e Pedro Aires Oliveira "Grocer Meets Butcher" (Cold War History 10/1, 2010) documenta l'impatto sulla visita londinese di Caetano.</w:t>
      </w:r>
    </w:p>
    <w:p>
      <w:pPr>
        <w:spacing w:after="120" w:line="276"/>
        <w:jc w:val="both"/>
      </w:pPr>
      <w:r>
        <w:rPr>
          <w:rFonts w:ascii="Barlow Semi Condensed" w:cs="Barlow Semi Condensed" w:eastAsia="Barlow Semi Condensed" w:hAnsi="Barlow Semi Condensed"/>
          <w:sz w:val="24"/>
          <w:szCs w:val="24"/>
        </w:rPr>
        <w:t xml:space="preserve">La posizione ufficiale portoghese dell'epoca fu di negazione. Come attesta la voce inglese su Hastings, l'esercito portoghese negò il massacro in un'inchiesta ufficiale; il governo commissionò poi un'indagine a Jorge Jardim, che localizzò il villaggio, ne fotografò i resti e consegnò un rapporto che ne provava l'esistenza; Caetano e i suoi ministri ne discussero il 18 agosto 1973 e decisero di nominare un'ulteriore inchiesta militare, che di nuovo sostenne l'inesistenza di Wiriyamu. Wikipedia (https://en.wikipedia.org/wiki/Adrian_Hastings) Questa posizione va riportata con il suo statuto: è la posizione di un governo che aveva interesse alla negazione, e come tale va registrata senza ometterla ma senza equipararla alle testimonianze missionarie. Va segnalato che una contro-tesi (attribuzione delle uccisioni al FRELIMO, riportata da un rapporto dell'arcivescovo di Dar es Salaam Laurean Rugambwa) Wikipedia (https://en.wikipedia.org/wiki/Wiriyamu_Massacre) circola nella pubblicistica ma non trova sostegno nella storiografia peer-reviewed, che la considera parte della macchina di negazione: va qualificata come tesi non sostenuta dalle fonti primarie. Nessuna delle fonti raccolte collega Wiriyamu a una reazione ufficiale italiana o del ministro Moro. Anche questo è un esito negativo da verificare presso la Farnesina e gli atti parlamentari.</w:t>
      </w:r>
    </w:p>
    <w:p>
      <w:pPr>
        <w:pStyle w:val="Heading3"/>
        <w:spacing w:after="80" w:before="160"/>
      </w:pPr>
      <w:r>
        <w:rPr>
          <w:rFonts w:ascii="Barlow Semi Condensed" w:cs="Barlow Semi Condensed" w:eastAsia="Barlow Semi Condensed" w:hAnsi="Barlow Semi Condensed"/>
          <w:sz w:val="24"/>
          <w:szCs w:val="24"/>
        </w:rPr>
        <w:t xml:space="preserve">Capitolo IV – L'espulsione del 13 aprile 1974 e la ricerca degli atti italiani</w:t>
      </w:r>
    </w:p>
    <w:p>
      <w:pPr>
        <w:spacing w:after="120" w:line="276"/>
        <w:jc w:val="both"/>
      </w:pPr>
      <w:r>
        <w:rPr>
          <w:rFonts w:ascii="Barlow Semi Condensed" w:cs="Barlow Semi Condensed" w:eastAsia="Barlow Semi Condensed" w:hAnsi="Barlow Semi Condensed"/>
          <w:sz w:val="24"/>
          <w:szCs w:val="24"/>
        </w:rPr>
        <w:t xml:space="preserve">Questa è la lacuna prioritaria. L'esito della ricerca è, in larga parte, un esito negativo di pieno valore documentale, che si dichiara espressamente con l'indicazione delle sedi.</w:t>
      </w:r>
    </w:p>
    <w:p>
      <w:pPr>
        <w:spacing w:after="120" w:line="276"/>
        <w:jc w:val="both"/>
      </w:pPr>
      <w:r>
        <w:rPr>
          <w:rFonts w:ascii="Barlow Semi Condensed" w:cs="Barlow Semi Condensed" w:eastAsia="Barlow Semi Condensed" w:hAnsi="Barlow Semi Condensed"/>
          <w:sz w:val="24"/>
          <w:szCs w:val="24"/>
        </w:rPr>
        <w:t xml:space="preserve">Sul fatto in sé la documentazione dell'istituto comboniano è abbondante e primaria. Il portale ufficiale dei Missionari Comboniani (comboni.org) conserva testimonianze dirette degli espulsi. Nell'obituario di padre Ramiro (comboni.org) padre Danilo Cimitan scrive: "Fu lui ad accogliere padre Rogério Artur de Sousa e me quando, assieme ad altri nove missionari comboniani, fummo espulsi dal Mozambico nel 1974, in seguito alla nostra presa di posizione con il documento 'Un imperativo di coscienza'". Comboni (https://www.comboni.org/fratelli/106604) La scheda di padre Rogério Artur de Sousa conferma: "faceva parte del gruppo degli 11 comboniani espulsi dal Mozambico il 13 aprile 1974 come conseguenza dell'Imperativo di Coscienza scritto dal Vescovo Manuel Vieira Pinto e dai comboniani". Comboni (https://www.comboni.org/fratelli/106111) La scheda "In Pace Christi" del superiore provinciale padre Severino Peano riporta il testo dell'ordine di espulsione trascritto nel suo diario (5 marzo 1974, Nampula: "Per decisione del governo Portoghese dovrà abbandonare lo stato del Mozambico nel più breve spazio di tempo") Comboni (https://www.comboni.org/fratelli/105544) e documenta gli interrogatori subiti dalla PIDE ("Dal 30 dicembre al 19 febbraio del '74 fu sottoposto ad interrogatorio per 50 ore e 30 minuti"). Comboni (https://www.comboni.org/fratelli/105544)</w:t>
      </w:r>
    </w:p>
    <w:p>
      <w:pPr>
        <w:spacing w:after="120" w:line="276"/>
        <w:jc w:val="both"/>
      </w:pPr>
      <w:r>
        <w:rPr>
          <w:rFonts w:ascii="Barlow Semi Condensed" w:cs="Barlow Semi Condensed" w:eastAsia="Barlow Semi Condensed" w:hAnsi="Barlow Semi Condensed"/>
          <w:sz w:val="24"/>
          <w:szCs w:val="24"/>
        </w:rPr>
        <w:t xml:space="preserve">La composizione del gruppo, secondo una fonte portoghese di divulgazione documentata (setemargens.com), comprendeva due portoghesi (Rogério de Sousa e Manuel Horta) e nove italiani (i padri Ernesto Calderola, Severino Peano, Gino Centis, Giovanni Zani, Vincenzo Capra, Graziano Castellari, Danilo Cimitan, Cornelio Prandina e il fratello Luigi Coronini), Sete Margens (https://setemargens.com/testemunhos-sobre-manuel-vieira-pinto-um-bispo-que-deixou-marcas-profundas-em-portugal-e-mocambique/) oltre al vescovo di Nampula Manuel Vieira Pinto, giunto a Lisbona il 14 aprile 1974, domenica di Pasqua, undici giorni prima della rivoluzione. Sul numero le fonti divergono: il volume di Giuseppe Franzelli Mondo Comboniano, citato su comboni.org, parla di "il vescovo Vieira e 13 Comboniani"; Comboni (https://www.comboni.org/fratelli/105086) la storia comboniana del Mozambico riconcilia la divergenza distinguendo undici espulsi da Nampula e due da Tete. Comboni (https://www.comboni.org/pt/contenuti/100237) Anche la data oscilla fra 12, 13 e 14 aprile nelle diverse fonti; la dicitura 13 aprile (Sabato Santo) è la più ricorrente nelle fonti comboniane. Queste divergenze vanno registrate.</w:t>
      </w:r>
    </w:p>
    <w:p>
      <w:pPr>
        <w:spacing w:after="120" w:line="276"/>
        <w:jc w:val="both"/>
      </w:pPr>
      <w:r>
        <w:rPr>
          <w:rFonts w:ascii="Barlow Semi Condensed" w:cs="Barlow Semi Condensed" w:eastAsia="Barlow Semi Condensed" w:hAnsi="Barlow Semi Condensed"/>
          <w:sz w:val="24"/>
          <w:szCs w:val="24"/>
        </w:rPr>
        <w:t xml:space="preserve">Quanto alla rivista Nigrizia: un articolo peer-reviewed di Eugenio Enea (Università di Messina), "The challenges of missionary activity after April 25: considerations and perspectives in Nigrizia", pubblicato in Lusitania Sacra n. 51 (2025), DOI 10.34632/lusitaniasacra.2025.16897, prolunga la sua tesi di dottorato "sobre as relações entre a Santa Sé e Portugal (1926-1974)" e "sobre a expulsão dos missionários e do bispo de Nampula na sequência da redação e circulação do documento Um imperativo de consciência", relatando "as reflexões dos combonianos no período de 1974-1976 na revista Nigrizia". Revistas Científicas da UCP (https://revistas.ucp.pt/index.php/lusitaniasacra/article/view/16897) Ciò conferma che Nigrizia diede conto dell'espulsione con posizione di solidarietà verso i missionari e di critica al colonialismo e all'Accordo missionario del 1940; il testo integrale dell'articolo di Enea è la fonte da acquisire per le citazioni puntuali delle annate 1974–1976.</w:t>
      </w:r>
    </w:p>
    <w:p>
      <w:pPr>
        <w:spacing w:after="120" w:line="276"/>
        <w:jc w:val="both"/>
      </w:pPr>
      <w:r>
        <w:rPr>
          <w:rFonts w:ascii="Barlow Semi Condensed" w:cs="Barlow Semi Condensed" w:eastAsia="Barlow Semi Condensed" w:hAnsi="Barlow Semi Condensed"/>
          <w:sz w:val="24"/>
          <w:szCs w:val="24"/>
        </w:rPr>
        <w:t xml:space="preserve">Sull'intervento italiano l'esito è negativo. Nessuna delle testimonianze comboniane menziona un intervento del consolato italiano a Lourenço Marques, dell'ambasciata italiana a Lisbona, della Farnesina o del ministro Moro: gli espulsi attribuiscono la loro accoglienza esclusivamente all'istituto comboniano (la provincia portoghese) e a figure ecclesiastiche. Non è stato reperito alcun atto parlamentare, nota diplomatica o dichiarazione ministeriale italiana relativi all'espulsione. Questo esito va dichiarato con le sue condizioni di chiusura: (a) la banca dati del sindacato ispettivo di Camera e Senato copre solo gli atti dalla VII legislatura (5 luglio 1976), mentre l'aprile 1974 cade nella VI legislatura, i cui atti esistono solo come PDF stenografici non indicizzati per soggetto; (b) il sito esteri.it non ospita documentazione del 1974; (c) l'archivio Moro come ministro degli Esteri indicizzato su aldomoro.eu inizia con il IV Governo Moro (novembre 1974), successivo all'evento. Le sedi da interrogare sono dunque l'Archivio storico diplomatico del Ministero degli Affari Esteri (serie Affari politici, Portogallo e Mozambico, 1974), i registri di corrispondenza del consolato di Lourenço Marques e dell'ambasciata di Lisbona, e i volumi a stampa degli Atti Parlamentari – Discussioni della VI legislatura per aprile–luglio 1974.</w:t>
      </w:r>
    </w:p>
    <w:p>
      <w:pPr>
        <w:pStyle w:val="Heading3"/>
        <w:spacing w:after="80" w:before="160"/>
      </w:pPr>
      <w:r>
        <w:rPr>
          <w:rFonts w:ascii="Barlow Semi Condensed" w:cs="Barlow Semi Condensed" w:eastAsia="Barlow Semi Condensed" w:hAnsi="Barlow Semi Condensed"/>
          <w:sz w:val="24"/>
          <w:szCs w:val="24"/>
        </w:rPr>
        <w:t xml:space="preserve">Capitolo V – Gli atti parlamentari italiani sul Portogallo, 1969–1975</w:t>
      </w:r>
    </w:p>
    <w:p>
      <w:pPr>
        <w:spacing w:after="120" w:line="276"/>
        <w:jc w:val="both"/>
      </w:pPr>
      <w:r>
        <w:rPr>
          <w:rFonts w:ascii="Barlow Semi Condensed" w:cs="Barlow Semi Condensed" w:eastAsia="Barlow Semi Condensed" w:hAnsi="Barlow Semi Condensed"/>
          <w:sz w:val="24"/>
          <w:szCs w:val="24"/>
        </w:rPr>
        <w:t xml:space="preserve">La terza lacuna chiede l'individuazione, con numero di seduta e data, delle discussioni parlamentari italiane sul Portogallo. L'esito è in gran parte negativo per ragioni strutturali di accessibilità, che qui si dichiarano. La banca dati degli atti di indirizzo e controllo (interrogazioni, interpellanze, mozioni, risoluzioni, ordini del giorno) di Camera e Senato è consultabile solo a partire dalla VII legislatura, cioè dal 5 luglio 1976, come indicato dallo stesso portale della Camera. L'intero arco 1969–1975 (V e VI legislatura) resta fuori dall'indicizzazione per soggetto: gli atti sopravvivono come resoconti stenografici digitalizzati (legislature.camera.it) non ricercabili a testo pieno per parola chiave. Ne consegue che non è possibile, con i soli strumenti online, confermare o escludere l'esistenza di specifiche interrogazioni su Wiriyamu, sull'espulsione dei comboniani o sul Portogallo coloniale, né datare l'eventuale riconoscimento italiano del nuovo governo portoghese mediante atto parlamentare.</w:t>
      </w:r>
    </w:p>
    <w:p>
      <w:pPr>
        <w:spacing w:after="120" w:line="276"/>
        <w:jc w:val="both"/>
      </w:pPr>
      <w:r>
        <w:rPr>
          <w:rFonts w:ascii="Barlow Semi Condensed" w:cs="Barlow Semi Condensed" w:eastAsia="Barlow Semi Condensed" w:hAnsi="Barlow Semi Condensed"/>
          <w:sz w:val="24"/>
          <w:szCs w:val="24"/>
        </w:rPr>
        <w:t xml:space="preserve">Le fonti d'archivio confermano tuttavia che la materia coloniale portoghese ebbe eco nel personale politico italiano. La scheda del Senato sul Fondo Mario Zagari (patrimonio.archivio.senato.it) reca un fascicolo "Colonie Portoghesi (Angola – Mozambico – Capo Verde)" con la relazione dattiloscritta di Zagari per la Conferenza nazionale di solidarietà di Reggio Emilia del 1973, segno che un esponente socialista di rango parlamentare fu coinvolto nel movimento anticolonialista. Ciò documenta l'impegno di singoli parlamentari, non una posizione dell'istituzione parlamentare o del governo: la distinzione fra condotta di una persona e condotta dell'istituzione, prescritta dai vincoli di metodo, va qui rigorosamente mantenuta.</w:t>
      </w:r>
    </w:p>
    <w:p>
      <w:pPr>
        <w:spacing w:after="120" w:line="276"/>
        <w:jc w:val="both"/>
      </w:pPr>
      <w:r>
        <w:rPr>
          <w:rFonts w:ascii="Barlow Semi Condensed" w:cs="Barlow Semi Condensed" w:eastAsia="Barlow Semi Condensed" w:hAnsi="Barlow Semi Condensed"/>
          <w:sz w:val="24"/>
          <w:szCs w:val="24"/>
        </w:rPr>
        <w:t xml:space="preserve">Per gli interventi di Aldo Moro le fonti indicate dal committente (raccolta "Aldo Moro, Discorsi parlamentari", Camera dei deputati 1996, a cura di Emilia Lamaro; Edizione Nazionale delle Opere; portale aldomorodigitale.unibo.it; Fondo Aldo Moro presso l'Archivio storico del Senato, segnature IT-AFS-048) non hanno restituito, negli strumenti online consultati, alcun discorso o intervento di Moro specificamente dedicato al Portogallo coloniale o alla rivoluzione dei garofani. L'inventario disponibile su aldomoro.eu descrive per la Sezione II, Serie 10 (Ministro degli Affari esteri) le sole sottoserie del IV e V Governo Moro (1974–1976), cioè successive ai mandati agli Esteri. Anche questo è un esito negativo da chiudere presso l'Archivio storico del Senato (Fondo Moro) e sui due volumi a stampa dei Discorsi parlamentari. Sulla posizione italiana in sede ONU sulle risoluzioni contro il colonialismo portoghese non è stata reperita documentazione puntuale online: la sede da interrogare è l'Archivio storico diplomatico della Farnesina e gli atti dell'Assemblea generale delle Nazioni Unite.</w:t>
      </w:r>
    </w:p>
    <w:p>
      <w:pPr>
        <w:pStyle w:val="Heading3"/>
        <w:spacing w:after="80" w:before="160"/>
      </w:pPr>
      <w:r>
        <w:rPr>
          <w:rFonts w:ascii="Barlow Semi Condensed" w:cs="Barlow Semi Condensed" w:eastAsia="Barlow Semi Condensed" w:hAnsi="Barlow Semi Condensed"/>
          <w:sz w:val="24"/>
          <w:szCs w:val="24"/>
        </w:rPr>
        <w:t xml:space="preserve">Capitolo VI – Il riconoscimento italiano del nuovo Portogallo e la missione Spínola a Roma</w:t>
      </w:r>
    </w:p>
    <w:p>
      <w:pPr>
        <w:spacing w:after="120" w:line="276"/>
        <w:jc w:val="both"/>
      </w:pPr>
      <w:r>
        <w:rPr>
          <w:rFonts w:ascii="Barlow Semi Condensed" w:cs="Barlow Semi Condensed" w:eastAsia="Barlow Semi Condensed" w:hAnsi="Barlow Semi Condensed"/>
          <w:sz w:val="24"/>
          <w:szCs w:val="24"/>
        </w:rPr>
        <w:t xml:space="preserve">La Rivoluzione dei garofani del 25 aprile 1974 e la cronologia oraria della resa di Caetano e della Legge n. 1 di Spínola sono già accertate. Sul riconoscimento italiano del nuovo governo la fonte più diretta è il portale ufficiale del Ministério dos Negócios Estrangeiros portoghese "Diplomacia e Revolução" (diplomaciaerevolucao.mne.gov.pt), che raccoglie le reazioni dei Paesi con cui il Portogallo aveva relazioni nel 1974 — elenco in cui figurano sia l'Italia sia la Santa Sede Mne (https://diplomaciaerevolucao.mne.gov.pt/pt/visto-de-fora) — e documenta il processo di riconoscimento del nuovo governo fra il 25 aprile e i primi di maggio 1974. Il portale, di natura di fonte ufficiale istituzionale, contiene una sezione italiana ("visto de fora/italia") con documenti diplomatici; uno di essi riferisce di una missione del governo portoghese a Roma e dell'intenzione di far compiere a Spínola "uma visita de Estado a Itália", valutando gli accordi di Lusaka come elemento "di conferma del processo di avanzata decolonizzazione". La consultazione integrale di questa serie è impedita dal blocco all'accesso automatizzato del sito, per cui i testi vanno letti direttamente presso il portale 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Il quadro atlantico del riconoscimento è documentato dai Foreign Relations of the United States (history.state.gov): il memorandum del 19 giugno 1974 sull'incontro alle Azzorre fra Nixon e Spínola registra la richiesta portoghese di assistenza per "countering any moves by the Communists ... thus implanting another Cuba in the Iberian Peninsula". state (https://history.state.gov/historicaldocuments/frus1969-76ve15p2Ed2/d133) Questo colloca il riconoscimento italiano — di cui il governo Rumor V, con Moro agli Esteri fino al 23 novembre 1974, fu responsabile — nel contesto della preoccupazione occidentale per la deriva della transizione portoghese. Le fonti raccolte non consentono però di attribuire a Moro una posizione personale distinta su tale riconoscimento: l'atto va ascritto al governo italiano nel suo complesso, non al ministro in modo documentato. Nessuna fonte primaria italiana sul riconoscimento è stata reperita online; la sede di chiusura è la Farnesina.</w:t>
      </w:r>
    </w:p>
    <w:p>
      <w:pPr>
        <w:pStyle w:val="Heading3"/>
        <w:spacing w:after="80" w:before="160"/>
      </w:pPr>
      <w:r>
        <w:rPr>
          <w:rFonts w:ascii="Barlow Semi Condensed" w:cs="Barlow Semi Condensed" w:eastAsia="Barlow Semi Condensed" w:hAnsi="Barlow Semi Condensed"/>
          <w:sz w:val="24"/>
          <w:szCs w:val="24"/>
        </w:rPr>
        <w:t xml:space="preserve">Capitolo VII – La Santa Sede, il Portogallo e il Concordato: dall'Accordo missionario del 1940 al Protocollo del 1975</w:t>
      </w:r>
    </w:p>
    <w:p>
      <w:pPr>
        <w:spacing w:after="120" w:line="276"/>
        <w:jc w:val="both"/>
      </w:pPr>
      <w:r>
        <w:rPr>
          <w:rFonts w:ascii="Barlow Semi Condensed" w:cs="Barlow Semi Condensed" w:eastAsia="Barlow Semi Condensed" w:hAnsi="Barlow Semi Condensed"/>
          <w:sz w:val="24"/>
          <w:szCs w:val="24"/>
        </w:rPr>
        <w:t xml:space="preserve">Il Concordato e l'Accordo missionario fra Santa Sede e Portogallo del 7 maggio 1940 (ratificati il 30 maggio 1940), in vigore fino al 2004 con una sola revisione, sono già accertati, così come il Protocollo addizionale del 15 febbraio 1975 firmato dal cardinale Jean Villot e da Francisco Salgado Zenha, che modificò l'articolo 24 sulla rinuncia legale al divorzio adottando una formula che Salazar aveva proposto alla Santa Sede nel 1937. Il portale diplomatico portoghese (portaldiplomatico.mne.gov.pt) conferma, come fonte ufficiale, che "A 18 de maio de 2004 é assinada em Roma a nova Concordata entre Portugal e a Santa Sé que substitui a de 1940". Portal Diplomático (https://portaldiplomatico.mne.gov.pt/relacoesbilaterais/historia-diplomatica?view=article&amp;id=366%3Asanta-se&amp;catid=119%3Arelacoes-diplomaticas) La sequenza è storiograficamente significativa: il Protocollo del febbraio 1975 interviene sul divorzio pochi mesi dopo il referendum italiano sul divorzio del 12 maggio 1974 (già accertato), in un momento in cui la Santa Sede riconfigurava i propri rapporti concordatari sia con l'Italia sia con il Portogallo post-rivoluzionario. La contemporaneità dei due dossier concordatari (revisione lateranense poi conclusa con l'Accordo di Villa Madama del 18 febbraio 1984; revisione dell'articolo 24 con il Portogallo nel 1975) è una comunanza d'ambiente giuridico-diplomatico presso la Segreteria di Stato, non una prova di nesso causale fra i due: la distinzione va mantenuta.</w:t>
      </w:r>
    </w:p>
    <w:p>
      <w:pPr>
        <w:spacing w:after="120" w:line="276"/>
        <w:jc w:val="both"/>
      </w:pPr>
      <w:r>
        <w:rPr>
          <w:rFonts w:ascii="Barlow Semi Condensed" w:cs="Barlow Semi Condensed" w:eastAsia="Barlow Semi Condensed" w:hAnsi="Barlow Semi Condensed"/>
          <w:sz w:val="24"/>
          <w:szCs w:val="24"/>
        </w:rPr>
        <w:t xml:space="preserve">L'Accordo missionario del 1940 è il retroterra giuridico dell'espulsione del 1974: esso legava la missione cattolica nelle colonie alla cornice dello Stato portoghese, ed è precisamente questo legame che il documento "Imperativo di Coscienza" e la successiva riflessione comboniana su Nigrizia (Enea 2025) misero in crisi. Qui la triangolazione è documentabile come convergenza di obiettivo fra una parte della Chiesa missionaria e i movimenti di liberazione, ma NON come azione della Santa Sede in quanto istituzione: l'udienza di Paolo VI del 1970 fu un gesto pontificio, mentre l'espulsione del 1974 colpì missionari e un vescovo la cui posizione anticoloniale non era necessariamente la posizione ufficiale dell'intera gerarchia portoghese. Sul richiamo dell'ambasciatore portoghese presso la Santa Sede nel luglio 1970 (già accertato come fatto) non è stato reperito online l'inventario archivistico che ne isoli la documentazione: la sede è l'Arquivo Histórico-Diplomático del MNE e il fondo dell'ambasciata di Portogallo presso la Santa Sede, oltre agli archivi vaticani.</w:t>
      </w:r>
    </w:p>
    <w:p>
      <w:pPr>
        <w:pStyle w:val="Heading3"/>
        <w:spacing w:after="80" w:before="160"/>
      </w:pPr>
      <w:r>
        <w:rPr>
          <w:rFonts w:ascii="Barlow Semi Condensed" w:cs="Barlow Semi Condensed" w:eastAsia="Barlow Semi Condensed" w:hAnsi="Barlow Semi Condensed"/>
          <w:sz w:val="24"/>
          <w:szCs w:val="24"/>
        </w:rPr>
        <w:t xml:space="preserve">Capitolo VIII – Paolo VI, i Padri Bianchi, la nunziatura e la Ostpolitik di Casaroli</w:t>
      </w:r>
    </w:p>
    <w:p>
      <w:pPr>
        <w:spacing w:after="120" w:line="276"/>
        <w:jc w:val="both"/>
      </w:pPr>
      <w:r>
        <w:rPr>
          <w:rFonts w:ascii="Barlow Semi Condensed" w:cs="Barlow Semi Condensed" w:eastAsia="Barlow Semi Condensed" w:hAnsi="Barlow Semi Condensed"/>
          <w:sz w:val="24"/>
          <w:szCs w:val="24"/>
        </w:rPr>
        <w:t xml:space="preserve">Le posizioni pubbliche di Paolo VI sul colonialismo oltre l'udienza del 1970 sono documentabili nel magistero. La lettera apostolica Africae terrarum del 29 ottobre 1967 (testo ufficiale su vatican.va) e l'enciclica Populorum progressio del 26 marzo 1967 costituiscono la cornice dottrinale. Nel discorso al Parlamento dell'Uganda del 1° agosto 1969 (vatican.va) Paolo VI dichiarò: "Né colonialismo, né neocolonialismo, ma aiuto ed impulso alla gente africana, affinché essa sappia esprimere ... le strutture politiche, sociali, economiche, culturali, proporzionate ai suoi bisogni". Si tratta di prese di posizione generali sul principio di autodeterminazione, non di condanne nominative del Portogallo: la distinzione fra magistero generale e atto diplomatico mirato va mantenuta. L'udienza del 1970 resta l'unico gesto pontificio a impatto diplomatico diretto sul Portogallo, come attesta l'incidente diplomatico che ne seguì.</w:t>
      </w:r>
    </w:p>
    <w:p>
      <w:pPr>
        <w:spacing w:after="120" w:line="276"/>
        <w:jc w:val="both"/>
      </w:pPr>
      <w:r>
        <w:rPr>
          <w:rFonts w:ascii="Barlow Semi Condensed" w:cs="Barlow Semi Condensed" w:eastAsia="Barlow Semi Condensed" w:hAnsi="Barlow Semi Condensed"/>
          <w:sz w:val="24"/>
          <w:szCs w:val="24"/>
        </w:rPr>
        <w:t xml:space="preserve">Sul caso dei Padri Bianchi (Missionari d'Africa) che nel 1971 lasciarono il Mozambico in protesta contro la connivenza della Chiesa con il regime coloniale, la ricognizione ha ora reperito il dato preciso: nel maggio 1971 furono quarantotto Padri Bianchi a lasciare le diocesi di Beira e Tete, per non essere — secondo la formulazione riportata da Encyclopedia.com nella voce "Mozambique, The Catholic Church in" — "accomplices of an official support which even the bishops … seem to give to a regime that shrewdly uses the Church to consolidate and perpetuate in Africa an anachronistic situation". La monografia primaria è Francis Nolan, "The Departure of the Missionaries of Africa (The White Fathers) from Mozambique in 1971", Roma, Society of the Missionaries of Africa – History series n. 17, 2017, 148 p. (disponibile su peresblancs.org e mafrome.org). È notevole che padre Adrian Hastings, autore della denuncia di Wiriyamu, appartenesse proprio ai Missionari d'Africa (Padri Bianchi), come attesta la fonte portoghese SBS Português: ciò lega il ritiro del 1971 e la denuncia del 1973 al medesimo ambiente missionario, configurando una convergenza di obiettivo documentata all'interno di un istituto religioso determinato — non della Santa Sede come istituzione.</w:t>
      </w:r>
    </w:p>
    <w:p>
      <w:pPr>
        <w:spacing w:after="120" w:line="276"/>
        <w:jc w:val="both"/>
      </w:pPr>
      <w:r>
        <w:rPr>
          <w:rFonts w:ascii="Barlow Semi Condensed" w:cs="Barlow Semi Condensed" w:eastAsia="Barlow Semi Condensed" w:hAnsi="Barlow Semi Condensed"/>
          <w:sz w:val="24"/>
          <w:szCs w:val="24"/>
        </w:rPr>
        <w:t xml:space="preserve">Sul ruolo del cardinale patriarca di Lisbona Manuel Gonçalves Cerejeira e del successore António Ribeiro (dal 1971), e sul nunzio apostolico a Lisbona 1969–1975, non è stata reperita documentazione online puntuale: sedi da interrogare sono gli archivi vaticani e la storiografia ecclesiastica portoghese (la tesi di Enea sul rapporto Santa Sede–Portogallo 1926–1974 è la fonte accademica più pertinente). Sul rapporto fra la Ostpolitik di Agostino Casaroli e la questione portoghese: le fonti collegano Casaroli alla CSCE (di cui al capitolo X), non alla decolonizzazione portoghese. Vatican News e Avvenire, come fonti ufficiali e divulgative, documentano il ruolo di Casaroli e di Achille Silvestrini a Helsinki; nessuna fonte lega la Ostpolitik al dossier coloniale portoghese. Trattare i due ambiti come connessi sarebbe una mera contemporaneità: qui si dichiara l'assenza di nesso documentato.</w:t>
      </w:r>
    </w:p>
    <w:p>
      <w:pPr>
        <w:pStyle w:val="Heading3"/>
        <w:spacing w:after="80" w:before="160"/>
      </w:pPr>
      <w:r>
        <w:rPr>
          <w:rFonts w:ascii="Barlow Semi Condensed" w:cs="Barlow Semi Condensed" w:eastAsia="Barlow Semi Condensed" w:hAnsi="Barlow Semi Condensed"/>
          <w:sz w:val="24"/>
          <w:szCs w:val="24"/>
        </w:rPr>
        <w:t xml:space="preserve">Capitolo IX – La decolonizzazione: Algeri, Lusaka, Alvor, Timor e la posizione italiana</w:t>
      </w:r>
    </w:p>
    <w:p>
      <w:pPr>
        <w:spacing w:after="120" w:line="276"/>
        <w:jc w:val="both"/>
      </w:pPr>
      <w:r>
        <w:rPr>
          <w:rFonts w:ascii="Barlow Semi Condensed" w:cs="Barlow Semi Condensed" w:eastAsia="Barlow Semi Condensed" w:hAnsi="Barlow Semi Condensed"/>
          <w:sz w:val="24"/>
          <w:szCs w:val="24"/>
        </w:rPr>
        <w:t xml:space="preserve">Gli accordi di decolonizzazione sono documentati nelle loro date e nei loro firmatari. Gli accordi di Algeri del 26 agosto 1974 riconobbero l'indipendenza della Guinea-Bissau; l'accordo di Lusaka del 7 settembre 1974 (fonte: Wikipedia inglese, Diário do Governo) sancì il riconoscimento portoghese dell'indipendenza del Mozambico e il trasferimento dei poteri al FRELIMO, fissando l'indipendenza al 25 giugno 1975; Wikipedia (https://en.wikipedia.org/wiki/Lusaka_Accord) l'accordo di Alvor del 15 gennaio 1975 (firmato alle 12:45, ratificato il 28 gennaio 1975) stabilì l'indipendenza dell'Angola per l'11 novembre 1975 con un governo di transizione fra Portogallo, MPLA, FNLA e UNITA. Wikipedia (https://en.wikipedia.org/wiki/Alvor_Agreement) Il saggio peer-reviewed di Fernando Tavares Pimenta su Storicamente (2016) analizza in dettaglio l'accordo di Lusaka, notando che esso "servì appena a sanzionare a livello internazionale la consegna del Mozambico al Frelimo". Storicamente (https://storicamente.org/pimenta-indipendenza-mozambico-decolonizzazione)</w:t>
      </w:r>
    </w:p>
    <w:p>
      <w:pPr>
        <w:spacing w:after="120" w:line="276"/>
        <w:jc w:val="both"/>
      </w:pPr>
      <w:r>
        <w:rPr>
          <w:rFonts w:ascii="Barlow Semi Condensed" w:cs="Barlow Semi Condensed" w:eastAsia="Barlow Semi Condensed" w:hAnsi="Barlow Semi Condensed"/>
          <w:sz w:val="24"/>
          <w:szCs w:val="24"/>
        </w:rPr>
        <w:t xml:space="preserve">La posizione italiana su ciascun accordo non è documentabile nelle fonti raccolte se non indirettamente. La delegazione reggiana (sindaco Bonazzi e Soncini) rappresentò lo Stato italiano alla cerimonia dell'indipendenza del Mozambico il 25 giugno 1975, secondo i Musei Civici di Reggio Emilia: dettaglio che segnala come la rappresentanza italiana a un evento decisivo della decolonizzazione portoghese fu affidata a una municipalità di sinistra e non a un'alta rappresentanza governativa — un fatto che va registrato ma che non prova una scelta politica del governo Moro. Sulla posizione italiana ad Algeri, Lusaka e Alvor non è stata reperita documentazione: la sede è la Farnesina.</w:t>
      </w:r>
    </w:p>
    <w:p>
      <w:pPr>
        <w:spacing w:after="120" w:line="276"/>
        <w:jc w:val="both"/>
      </w:pPr>
      <w:r>
        <w:rPr>
          <w:rFonts w:ascii="Barlow Semi Condensed" w:cs="Barlow Semi Condensed" w:eastAsia="Barlow Semi Condensed" w:hAnsi="Barlow Semi Condensed"/>
          <w:sz w:val="24"/>
          <w:szCs w:val="24"/>
        </w:rPr>
        <w:t xml:space="preserve">Sulla questione di Timor Est e l'invasione indonesiana del dicembre 1975 la ricognizione non ha potuto completare la ricerca per esaurimento del budget di interrogazione; le fonti raccolte (Wikipedia sulla Rivoluzione dei garofani) confermano solo che "La colonia di Timor dichiarò l'indipendenza, ma venne invasa cinque giorni dopo dall'Indonesia". Wikipedia (https://it.wikipedia.org/wiki/Rivoluzione_dei_garofani) La posizione italiana e la sede ONU vanno chiuse presso gli atti dell'Assemblea generale e la Farnesina. Questo capitolo è più breve perché il materiale online sulla posizione italiana ai singoli accordi è risultato insufficiente, e se ne dichiara la ragione.</w:t>
      </w:r>
    </w:p>
    <w:p>
      <w:pPr>
        <w:pStyle w:val="Heading3"/>
        <w:spacing w:after="80" w:before="160"/>
      </w:pPr>
      <w:r>
        <w:rPr>
          <w:rFonts w:ascii="Barlow Semi Condensed" w:cs="Barlow Semi Condensed" w:eastAsia="Barlow Semi Condensed" w:hAnsi="Barlow Semi Condensed"/>
          <w:sz w:val="24"/>
          <w:szCs w:val="24"/>
        </w:rPr>
        <w:t xml:space="preserve">Capitolo X – Il Portogallo, la CSCE e l'Atto finale di Helsinki; la crisi atlantica del 1975</w:t>
      </w:r>
    </w:p>
    <w:p>
      <w:pPr>
        <w:spacing w:after="120" w:line="276"/>
        <w:jc w:val="both"/>
      </w:pPr>
      <w:r>
        <w:rPr>
          <w:rFonts w:ascii="Barlow Semi Condensed" w:cs="Barlow Semi Condensed" w:eastAsia="Barlow Semi Condensed" w:hAnsi="Barlow Semi Condensed"/>
          <w:sz w:val="24"/>
          <w:szCs w:val="24"/>
        </w:rPr>
        <w:t xml:space="preserve">La partecipazione portoghese alla CSCE attraversò le fasi di Dipoli/Helsinki (fase preliminare, novembre 1972 – giugno 1973), Ginevra (settembre 1973 – luglio 1975) e la cerimonia finale di Helsinki (30 luglio – 1° agosto 1975), come ricostruisce la Nuova Rivista Storica. Il mutamento della delegazione portoghese dopo il 25 aprile 1974 — dal regime dell'Estado Novo al Portogallo democratico — non è documentato nel dettaglio dalle fonti raccolte, e va chiuso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La firma dell'Atto finale il 1° agosto 1975 da parte del Portogallo e da parte di Moro per l'Italia è pienamente documentata. Fonti ufficiali e accademiche (Nuova Rivista Storica; Vatican News; Avvenire; Notizie Geopolitiche) attestano che Moro firmò "nella sua duplice qualità" di presidente del Consiglio italiano e presidente di turno della Comunità europea, BeeMagazine (https://beemagazine.it/moro-1975-quando-litalia-era-davvero-battistrada-delleuropa/) e che egli, "sfidando l'insofferenza di Kissinger", ottenne il coinvolgimento formale della Comunità europea nella firma. Avvenire (https://www.avvenire.it/agora/cultura/ripartire-dallo-spirito-di-helsinki-per-costruire-la-pace_93849) Ad Helsinki, il 30 luglio 1975, Moro tenne un discorso in cui affermò, secondo la Nuova Rivista Storica, che l'Atto finale "non cristallizzava la realtà politica europea" ma riaffermava "il diritto di autodecisione e di autodeterminazione". Nuovarivistastorica (https://www.nuovarivistastorica.it/litalia-nellorganizzazione-per-la-sicurezza-e-la-cooperazione-in-europa/) La Santa Sede fu rappresentata da monsignor Agostino Casaroli e monsignor Achille Silvestrini, che ottennero l'inclusione del principio della libertà religiosa (Vatican News). Qui la triangolazione è documentabile come comunanza di ambiente istituzionale e simultaneità di firma fra i tre vertici — Italia di Moro, Portogallo, Santa Sede — ma riguarda la sicurezza europea e non la questione coloniale, ed è successiva ai mandati di Moro agli Esteri.</w:t>
      </w:r>
    </w:p>
    <w:p>
      <w:pPr>
        <w:spacing w:after="120" w:line="276"/>
        <w:jc w:val="both"/>
      </w:pPr>
      <w:r>
        <w:rPr>
          <w:rFonts w:ascii="Barlow Semi Condensed" w:cs="Barlow Semi Condensed" w:eastAsia="Barlow Semi Condensed" w:hAnsi="Barlow Semi Condensed"/>
          <w:sz w:val="24"/>
          <w:szCs w:val="24"/>
        </w:rPr>
        <w:t xml:space="preserve">La crisi atlantica del 1975 riguardò la presenza di forze comuniste nel governo di un Paese NATO. Le fonti raccolte documentano la preoccupazione statunitense (FRUS, memorandum Nixon–Spínola del giugno 1974) e il quadro NATO, ma non restituiscono una posizione italiana o di Moro puntualmente documentata sulla questione portoghese in sede NATO e comunitaria nel 1975, né gli atti dei Consigli europei del 1975 in materia portoghese. Il Consiglio europeo di Roma dell'1–2 dicembre 1975, presieduto da Moro, è citato dalle fonti divulgative (BeeMagazine) come momento culminante della presidenza italiana, senza però documentazione specifica sul Portogallo. Queste acquisizioni vanno chiuse presso gli archivi della NATO, del Consiglio europeo e della Farnesina.</w:t>
      </w:r>
    </w:p>
    <w:p>
      <w:pPr>
        <w:pStyle w:val="Heading3"/>
        <w:spacing w:after="80" w:before="160"/>
      </w:pPr>
      <w:r>
        <w:rPr>
          <w:rFonts w:ascii="Barlow Semi Condensed" w:cs="Barlow Semi Condensed" w:eastAsia="Barlow Semi Condensed" w:hAnsi="Barlow Semi Condensed"/>
          <w:sz w:val="24"/>
          <w:szCs w:val="24"/>
        </w:rPr>
        <w:t xml:space="preserve">Capitolo XI – Gli archivi portoghesi e italiani e gli esiti negativi</w:t>
      </w:r>
    </w:p>
    <w:p>
      <w:pPr>
        <w:spacing w:after="120" w:line="276"/>
        <w:jc w:val="both"/>
      </w:pPr>
      <w:r>
        <w:rPr>
          <w:rFonts w:ascii="Barlow Semi Condensed" w:cs="Barlow Semi Condensed" w:eastAsia="Barlow Semi Condensed" w:hAnsi="Barlow Semi Condensed"/>
          <w:sz w:val="24"/>
          <w:szCs w:val="24"/>
        </w:rPr>
        <w:t xml:space="preserve">Come richiesto, gli esiti negativi sono raccolti in un capitolo proprio, insieme allo stato di accessibilità degli archivi. L'Arquivo Nacional da Torre do Tombo (antt.dglab.gov.pt) conserva il fondo PIDE-DGS, il fondo Arquivo Oliveira Salazar (AOS), il fondo Negócios Estrangeiros e altri; l'accesso è libero ai maggiori di sedici anni con iscrizione alla piattaforma CRAV, mentre la documentazione PIDE/DGS è soggetta a regolamento proprio. Dglab (https://antt.dglab.gov.pt/servicos/leitura-e-referencia/) La piattaforma digitale è Digitarq (nuova versione lanciata nel 2025). Il portale EHRI (portal.ehri-project.eu) descrive le collezioni. L'Arquivo Histórico-Diplomático del MNE, la Fundação Mário Soares e il Centro de Documentação 25 de Abril di Coimbra (cd25a.uc.pt, che ospita gli studi di Dhada su Wiriyamu) completano il quadro. Il portale MNE "Diplomacia e Revolução" contiene una serie italiana sul riconoscimento del 1974, ma il suo accesso automatizzato è bloccato: va consultato manualmente. Non è stato reperito online un inventario che isoli la corrispondenza dell'ambasciata portoghese a Roma o presso la Santa Sede per il 1969–1975, né la documentazione del richiamo dell'ambasciatore del luglio 1970: queste restano acquisizioni da conseguire presso l'AHD-MNE e gli archivi vaticani.</w:t>
      </w:r>
    </w:p>
    <w:p>
      <w:pPr>
        <w:spacing w:after="120" w:line="276"/>
        <w:jc w:val="both"/>
      </w:pPr>
      <w:r>
        <w:rPr>
          <w:rFonts w:ascii="Barlow Semi Condensed" w:cs="Barlow Semi Condensed" w:eastAsia="Barlow Semi Condensed" w:hAnsi="Barlow Semi Condensed"/>
          <w:sz w:val="24"/>
          <w:szCs w:val="24"/>
        </w:rPr>
        <w:t xml:space="preserve">Sul versante italiano gli esiti negativi principali sono: (1) l'assenza, negli strumenti online, di qualsiasi atto italiano — parlamentare, ministeriale, consolare — sull'espulsione del 13 aprile 1974; (2) l'impossibilità di ricerca per soggetto negli atti parlamentari della V e VI legislatura (1969–1976), non indicizzati a testo pieno; (3) l'assenza di interventi di Moro sul Portogallo coloniale negli strumenti online relativi ai Discorsi parlamentari e al Fondo Moro; (4) l'assenza di documentazione italiana sul riconoscimento del nuovo Portogallo, sugli accordi di decolonizzazione e su Timor. Ciascuno di questi esiti è di pieno valore conoscitivo e indica dove la ricerca andrebbe condotta: Archivio storico diplomatico della Farnesina; Archivio storico del Senato (Fondo Moro, IT-AFS-048); Archivio Comboniano di Roma e redazione storica di Nigrizia; archivi della NATO e del Consiglio europeo.</w:t>
      </w:r>
    </w:p>
    <w:p>
      <w:pPr>
        <w:spacing w:after="120" w:line="276"/>
        <w:jc w:val="both"/>
      </w:pPr>
      <w:r>
        <w:rPr>
          <w:rFonts w:ascii="Barlow Semi Condensed" w:cs="Barlow Semi Condensed" w:eastAsia="Barlow Semi Condensed" w:hAnsi="Barlow Semi Condensed"/>
          <w:sz w:val="24"/>
          <w:szCs w:val="24"/>
        </w:rPr>
        <w:t xml:space="preserve">Sul dossier Aginter Press si dichiara lo Stato Zero prescritto dai vincoli di metodo: la ricognizione non ha prodotto, entro il proprio budget, fonti primarie o studi peer-reviewed che ne documentino un ruolo nelle vicende qui trattate. La materia non viene perciò trattata per rassegna generica, e la tesi circolante nella pubblicistica va considerata, allo stato, non sostenuta dalle fonti primarie. Analogamente, le enciclopedie e le testate escluse dal committente non sono state utilizzate; ove una voce enciclopedica collaborativa esclusa contenesse cifre su Wiriyamu, queste non sono state recepite come fonte, essendo comunque disponibili le stime della Croce Rossa, di Expresso e di Dhada.</w:t>
      </w:r>
    </w:p>
    <w:p>
      <w:pPr>
        <w:pStyle w:val="Heading3"/>
        <w:spacing w:after="80" w:before="160"/>
      </w:pPr>
      <w:r>
        <w:rPr>
          <w:rFonts w:ascii="Barlow Semi Condensed" w:cs="Barlow Semi Condensed" w:eastAsia="Barlow Semi Condensed" w:hAnsi="Barlow Semi Condensed"/>
          <w:sz w:val="24"/>
          <w:szCs w:val="24"/>
        </w:rPr>
        <w:t xml:space="preserve">Capitolo XII – Le triangolazioni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distinguono, come prescritto, quattro gradi di relazione fra l'azione diplomatica di Moro, l'azione della Santa Sede e la vicenda portoghese. Primo, la convergenza di obiettivo documentata: essa sussiste fra una parte della Chiesa missionaria (comboniani, Padri di Burgos, il vescovo Vieira Pinto, i quarantotto Padri Bianchi che lasciarono Beira e Tete nel maggio 1971) e i movimenti di liberazione, come attestano l'udienza di Paolo VI del 1970, la denuncia di Wiriyamu del 1973 e il documento "Imperativo di Coscienza" del 1974; ma questa convergenza NON coinvolge in modo documentato Moro né il governo italiano, e va attribuita a soggetti ecclesiali determinati, non alla Santa Sede come istituzione monolitica. Secondo, la simultaneità di reazione a un medesimo evento: essa è visibile nella firma dell'Atto finale di Helsinki del 1° agosto 1975, dove Moro, il Portogallo democratico e la Santa Sede di Casaroli e Silvestrini agirono nel medesimo consesso — ma su materia di sicurezza europea, non coloniale, e fuori dai mandati di Moro agli Esteri. Terzo, la comunanza di ambiente istituzionale: il rapporto ravvicinato Roma–Vaticano e la contemporaneità dei dossier concordatari (Protocollo portoghese del 1975; revisione lateranense verso Villa Madama 1984) collocano l'azione italiana e quella vaticana nel medesimo spazio, senza provarne il coordinamento. Quarto, la mera contemporaneità cronologica, che non stabilisce nulla: essa comprende la coincidenza fra il referendum italiano sul divorzio (maggio 1974) e il Protocollo portoghese sull'articolo 24 (febbraio 1975), e la coincidenza fra la Ostpolitik di Casaroli e la questione coloniale portoghese. Nessun documento raccolto trasforma queste contemporaneità in nessi causali, e si è evitato di trattarle come prove.</w:t>
      </w:r>
    </w:p>
    <w:p>
      <w:pPr>
        <w:spacing w:after="120" w:line="276"/>
        <w:jc w:val="both"/>
      </w:pPr>
      <w:r>
        <w:rPr>
          <w:rFonts w:ascii="Barlow Semi Condensed" w:cs="Barlow Semi Condensed" w:eastAsia="Barlow Semi Condensed" w:hAnsi="Barlow Semi Condensed"/>
          <w:sz w:val="24"/>
          <w:szCs w:val="24"/>
        </w:rPr>
        <w:t xml:space="preserve">La conclusione storiografica è netta: le fonti accessibili documentano un triangolo Roma–Vaticano–Lisbona in cui i due vertici attivi sulla questione coloniale furono la società civile italiana di sinistra (con enti locali come Reggio Emilia) e una parte della Chiesa missionaria, mentre il vertice governativo italiano — e con esso Moro ministro — resta, allo stato della documentazione online, silente o non documentato sul dossier coloniale, coerentemente con la "fedeltà atlantica dei governi a maggioranza DC" segnalata dalla storiografia (Tornimbeni; Russo). Ciò non equivale a provare un'inerzia deliberata: equivale a constatare un'assenza di fonti, da colmare in archivio.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necessarie e non conseguite, ordinate per rendimento atteso, è la seguente. Al primo posto, per rendimento atteso massimo, gli atti italiani sull'espulsione del 13 aprile 1974: da conseguire presso l'Archivio storico diplomatico della Farnesina (serie Affari politici, Portogallo/Mozambico 1974) e i registri del consolato di Lourenço Marques e dell'ambasciata di Lisbona; condizione di chiusura: reperimento di eventuali note verbali o telegrammi, o attestazione formale della loro assenza. Al secondo posto, gli atti parlamentari della VI legislatura su Portogallo, Wiriyamu ed espulsione: da conseguire sui volumi a stampa degli Atti Parlamentari – Discussioni (Camera e Senato) e sugli indici delle interrogazioni/interpellanze 1974; condizione di chiusura: spoglio manuale, non essendo la banca dati elettronica estesa a prima del luglio 1976. Al terzo posto, gli interventi di Moro sul Portogallo: da conseguire sulla raccolta "Aldo Moro, Discorsi parlamentari" (1996) e sul Fondo Moro dell'Archivio storico del Senato (IT-AFS-048). Al quarto posto, la posizione ufficiale portoghese e le reazioni italiane al 25 aprile 1974: da conseguire sul portale MNE "Diplomacia e Revolução" (serie italiana) e all'AHD-MNE, con consultazione manuale per l'accesso bloccato. Al quinto posto, la copertura di Nigrizia 1974–1976: da conseguire acquisendo il testo integrale dell'articolo di Eugenio Enea in Lusitania Sacra n. 51 (2025) e le annate di Nigrizia presso l'Archivio Comboniano di Roma. Al sesto posto, il richiamo dell'ambasciatore portoghese presso la Santa Sede (luglio 1970), la partenza dei Padri Bianchi del maggio 1971 (con la monografia di Francis Nolan, 2017, come punto di partenza) e i ruoli di Cerejeira, Ribeiro e del nunzio a Lisbona: da conseguire presso l'AHD-MNE, gli archivi vaticani e l'archivio dei Missionari d'Africa. Al settimo posto, la posizione italiana su Algeri, Lusaka, Alvor, Timor e in sede NATO/CEE nel 1975: da conseguire alla Farnesina, negli archivi NATO e del Consiglio europeo, e negli atti ONU. Ciascuna di queste acquisizioni, ove conseguita, potrebbe trasformare uno degli attuali esiti negativi in dato positivo; fino ad allora, la ricostruzione qui offerta va letta come un bilancio rigoroso di ciò che le fonti accessibili attestano e di ciò che esse, con pari valore conoscitivo, tacciono.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Si raccomanda, in fase primaria, di aprire due fronti d'archivio prioritari: l'Archivio storico diplomatico della Farnesina per le serie Affari politici Portogallo e Mozambico 1974, e l'Archivio Comboniano di Roma per le testimonianze degli espulsi e le annate di Nigrizia; la soglia che modificherebbe le conclusioni è il reperimento di una qualsiasi nota consolare o diplomatica italiana sull'espulsione del 13 aprile 1974. In fase secondaria, lo spoglio manuale degli Atti Parlamentari della VI legislatura (aprile–luglio 1974) e del Fondo Moro del Senato (IT-AFS-048); il benchmark che riorienterebbe la ricerca è l'individuazione di una interrogazione, interpellanza o intervento di Moro sul Portogallo. In fase terziaria, la consultazione diretta del portale MNE "Diplomacia e Revolução" e dell'AHD-MNE per la corrispondenza Roma–Lisbona–Vaticano, l'acquisizione integrale dell'articolo di Enea (2025) e della monografia di Nolan (2017). Ogni conclusione sulle triangolazioni va sospesa fino a che questi fronti non siano esauriti: allo stato, va affermato solo ciò che i documenti attestano, e cioè che l'iniziativa anticoloniale in ambito italiano fu della società civile e di parte della Chiesa missionaria, non del governo Moro.</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Molte fonti qui utilizzate sono divulgative o istituzionali online e non sostituiscono la consultazione archivistica; le stime delle vittime di Wiriyamu divergono (150–400) e sono state riportate senza sceglierne una; la posizione ufficiale portoghese di negazione è riportata con il suo statuto di posizione interessata; gli esiti negativi derivano in parte da limiti di accessibilità (banca dati parlamentare posteriore al 1976; blocchi all'accesso automatizzato di alcuni portali) e non equivalgono a prova di inesistenza; le date e i numeri dell'espulsione dei comboniani (11 vs 13; 12/13/14 aprile) e della conferenza reggiana del 1973 (23–26 vs 24–25 marzo) divergono fra le fonti e sono state segnalate come tali; sui viventi si sono riportati solo fatti pubblici documentati, senza inferenze associative; il dossier Aginter Press è dichiarato Stato Zero; le fonti escluse dal committente (l'enciclopedia collaborativa Grokipedia e il quotidiano il Manifesto) non sono state utilizzate come fonti citate.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Santa Sede 1969-1974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6.427 parole in 5 sezioni; la più ampia è §3 Details, con 5.802.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39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 Grecia e Opus Dei 1969-1985</w:t>
      </w:r>
    </w:p>
    <w:p>
      <w:pPr>
        <w:spacing w:after="120" w:line="276"/>
        <w:jc w:val="both"/>
      </w:pPr>
      <w:r>
        <w:rPr>
          <w:rFonts w:ascii="Barlow Semi Condensed" w:cs="Barlow Semi Condensed" w:eastAsia="Barlow Semi Condensed" w:hAnsi="Barlow Semi Condensed"/>
          <w:sz w:val="24"/>
          <w:szCs w:val="24"/>
        </w:rPr>
        <w:t xml:space="preserve">and# ALDO MORO, LA GRECIA E L'OPUS DEI (1969–1985): TRE OGGETTI E LE LORO TRIANGOLAZIONI. RICOGNIZIONE STORIOGRAFICA E ARCHIVISTICA</w:t>
      </w:r>
    </w:p>
    <w:p>
      <w:pPr>
        <w:pStyle w:val="Heading2"/>
        <w:spacing w:after="100" w:before="200"/>
      </w:pPr>
      <w:r>
        <w:rPr>
          <w:rFonts w:ascii="Barlow Semi Condensed" w:cs="Barlow Semi Condensed" w:eastAsia="Barlow Semi Condensed" w:hAnsi="Barlow Semi Condensed"/>
          <w:sz w:val="24"/>
          <w:szCs w:val="24"/>
        </w:rPr>
        <w:t xml:space="preserve">CAPITOLO I — IMPIANTO, METODO E PREVISIONE DICHIARATA</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e le loro possibili triangolazioni. Il primo è l'attività di Aldo Moro come ministro degli Affari Esteri della Repubblica Italiana nei due mandati compresi fra l'agosto 1969 e il novembre 1974, in rapporto alla Grecia. Il secondo è l'eventuale presenza dell'Opus Dei in Grecia come soggetto storico nel periodo 1928-1985. Il terzo sono le triangolazioni fra i due, per via diretta o mediata dalla Santa Sede, dal Patriarcato ecumenico di Costantinopoli e dalla Chiesa ortodossa di Grecia, e il confronto con i casi iberici già studiati. Il metodo è quello delle ricognizioni anteriori: per ogni affermazione si indica la fonte e la sua natura; si dichiarano espressamente gli esiti negativi; si distingue ciò che il documento attesta da ciò che se ne inferisce; non si tratta l'appartenenza di una persona a una organizzazione come prova di una condotta dell'organizzazione, né la contemporaneità come prova di nesso; ove le fonti divergano su una data o un numero, si riporta la divergenza. Sono escluse dalle fonti citate, per disposizione del committente, l'enciclopedia collaborativa Grokipedia e il quotidiano il Manifesto.</w:t>
      </w:r>
    </w:p>
    <w:p>
      <w:pPr>
        <w:spacing w:after="120" w:line="276"/>
        <w:jc w:val="both"/>
      </w:pPr>
      <w:r>
        <w:rPr>
          <w:rFonts w:ascii="Barlow Semi Condensed" w:cs="Barlow Semi Condensed" w:eastAsia="Barlow Semi Condensed" w:hAnsi="Barlow Semi Condensed"/>
          <w:sz w:val="24"/>
          <w:szCs w:val="24"/>
        </w:rPr>
        <w:t xml:space="preserve">La previsione, dichiarata in anticipo perché il suo esito è esso stesso un risultato, è la seguente: chi scrive prevede che l'asse dell'Opus Dei in Grecia risulti quasi o del tutto vuoto per ragioni demografico-religiose, essendo la Grecia a maggioranza ortodossa, i cattolici di rito latino una minoranza esigua e la Chiesa ortodossa titolare di una posizione prevalente riconosciuta dalla Costituzione. Come si vedrà al Capitolo IX, la previsione risulta verificata. La conseguenza analitica che se ne trae è che la presenza dell'Opus Dei nei Paesi mediterranei correla con la maggioranza cattolica e non con la natura autoritaria del regime, il che spiega per contrasto la consistenza dei casi spagnolo e portoghese già studiati e la vacuità del caso greco, nonostante la Grecia abbia conosciuto, come Spagna e Portogallo, una dittatura di destra nello stesso torno di anni.</w:t>
      </w:r>
    </w:p>
    <w:p>
      <w:pPr>
        <w:spacing w:after="120" w:line="276"/>
        <w:jc w:val="both"/>
      </w:pPr>
      <w:r>
        <w:rPr>
          <w:rFonts w:ascii="Barlow Semi Condensed" w:cs="Barlow Semi Condensed" w:eastAsia="Barlow Semi Condensed" w:hAnsi="Barlow Semi Condensed"/>
          <w:sz w:val="24"/>
          <w:szCs w:val="24"/>
        </w:rPr>
        <w:t xml:space="preserve">Una precisazione sui mandati moroteani. Le fonti ufficiali del Ministero degli Affari Esteri collocano Moro alla Farnesina «dal 1969 al 1974» in modo ininterrotto attraverso il II e III governo Rumor, il governo Colombo, il I governo Andreotti e di nuovo il IV e V governo Rumor. La scheda biografica del Ministero e la voce SIUSA dell'amministrazione archivistica dei beni culturali attestano che egli fu «ininterrottamente ministro degli esteri dall'agosto 1969 fino al novembre 1974»; alcune schede enciclopediche riportano invece come estremi il maggio 1969 e il luglio 1972 per il primo tratto, divergenza che si segnala e che dipende dalla data assunta come </w:t>
      </w:r>
      <w:r>
        <w:rPr>
          <w:rFonts w:ascii="Barlow Semi Condensed" w:cs="Barlow Semi Condensed" w:eastAsia="Barlow Semi Condensed" w:hAnsi="Barlow Semi Condensed"/>
          <w:i/>
          <w:iCs/>
          <w:sz w:val="24"/>
          <w:szCs w:val="24"/>
        </w:rPr>
        <w:t xml:space="preserve">dies a quo</w:t>
      </w:r>
      <w:r>
        <w:rPr>
          <w:rFonts w:ascii="Barlow Semi Condensed" w:cs="Barlow Semi Condensed" w:eastAsia="Barlow Semi Condensed" w:hAnsi="Barlow Semi Condensed"/>
          <w:sz w:val="24"/>
          <w:szCs w:val="24"/>
        </w:rPr>
        <w:t xml:space="preserve"> (formazione del II governo Rumor o giuramento). Il committente ha fissato gli estremi al 5 agosto 1969 – 26 giugno 1972 e al 7 luglio 1973 – 23 novembre 1974: si adotta questa periodizzazione, segnalando la lieve difformità delle date nelle diverse fonti.</w:t>
      </w:r>
    </w:p>
    <w:p>
      <w:pPr>
        <w:pStyle w:val="Heading2"/>
        <w:spacing w:after="100" w:before="200"/>
      </w:pPr>
      <w:r>
        <w:rPr>
          <w:rFonts w:ascii="Barlow Semi Condensed" w:cs="Barlow Semi Condensed" w:eastAsia="Barlow Semi Condensed" w:hAnsi="Barlow Semi Condensed"/>
          <w:sz w:val="24"/>
          <w:szCs w:val="24"/>
        </w:rPr>
        <w:t xml:space="preserve">CAPITOLO II — MORO, LA GRECIA DEI COLONNELLI E L'ESPULSIONE DAL CONSIGLIO D'EUROPA (1969)</w:t>
      </w:r>
    </w:p>
    <w:p>
      <w:pPr>
        <w:spacing w:after="120" w:line="276"/>
        <w:jc w:val="both"/>
      </w:pPr>
      <w:r>
        <w:rPr>
          <w:rFonts w:ascii="Barlow Semi Condensed" w:cs="Barlow Semi Condensed" w:eastAsia="Barlow Semi Condensed" w:hAnsi="Barlow Semi Condensed"/>
          <w:sz w:val="24"/>
          <w:szCs w:val="24"/>
        </w:rPr>
        <w:t xml:space="preserve">L'atto più documentato e più rilevante del rapporto fra Moro ministro e la Grecia riguarda l'uscita della Grecia dal Consiglio d'Europa nel dicembre 1969. Il regime dei colonnelli, instaurato con il colpo di Stato del 21 aprile 1967, era stato posto sotto inchiesta dalla Commissione europea dei diritti dell'uomo su iniziativa dei governi di Danimarca, Norvegia, Svezia e Paesi Bassi, che nel settembre 1967 avevano denunciato le torture inflitte ai prigionieri politici. I lavori della Commissione si conclusero nel novembre 1969 e portarono la vicenda dinanzi agli organi di Strasburgo. La fonte primaria dirimente è la Risoluzione (69) 51 del Comitato dei Ministri del Consiglio d'Europa, adottata il 12 dicembre 1969 in materia di Grecia, e la successiva Risoluzione (70) 34, che registra come «il Governo di Grecia avendo notificato il ritiro il 12 dicembre 1969, esso ha effetto il 31 dicembre 1970». Il volume Foreign Relations of the United States 1969-1976, vol. XXIX (documento d.264), attesta parallelamente che «il 12 dicembre la Grecia si ritirò dall'appartenenza al Consiglio d'Europa dopo che una maggioranza degli Stati membri si era schierata a sostegno di una risoluzione tedesca». La seduta decisiva fu presieduta da Aldo Moro nella sua qualità di rappresentante italiano ai vertici dell'organizzazione. La saggistica in lingua italiana attesta concordemente il ruolo di Moro; la data della seduta oscilla, nelle fonti secondarie, fra il 12 e il 13 dicembre 1969, divergenza che qui si segnala: il portale accademico Storicamente (saggio di Cinzia Venturoli) indica «una seduta dell'Assemblea del Consiglio d'Europa presieduta il 13 dicembre 1969 da Aldo Moro»; il portale Storia e Futuro indica il 12 dicembre; la pubblicistica derivata dal volume di Dimitri Deliolanes </w:t>
      </w:r>
      <w:r>
        <w:rPr>
          <w:rFonts w:ascii="Barlow Semi Condensed" w:cs="Barlow Semi Condensed" w:eastAsia="Barlow Semi Condensed" w:hAnsi="Barlow Semi Condensed"/>
          <w:i/>
          <w:iCs/>
          <w:sz w:val="24"/>
          <w:szCs w:val="24"/>
        </w:rPr>
        <w:t xml:space="preserve">Colonnelli</w:t>
      </w:r>
      <w:r>
        <w:rPr>
          <w:rFonts w:ascii="Barlow Semi Condensed" w:cs="Barlow Semi Condensed" w:eastAsia="Barlow Semi Condensed" w:hAnsi="Barlow Semi Condensed"/>
          <w:sz w:val="24"/>
          <w:szCs w:val="24"/>
        </w:rPr>
        <w:t xml:space="preserve"> (Fandango, 2019) parla dell'«espulsione della Grecia dei colonnelli dal Consiglio d'Europa decretata da Moro il 12 dicembre 1969».</w:t>
      </w:r>
    </w:p>
    <w:p>
      <w:pPr>
        <w:spacing w:after="120" w:line="276"/>
        <w:jc w:val="both"/>
      </w:pPr>
      <w:r>
        <w:rPr>
          <w:rFonts w:ascii="Barlow Semi Condensed" w:cs="Barlow Semi Condensed" w:eastAsia="Barlow Semi Condensed" w:hAnsi="Barlow Semi Condensed"/>
          <w:sz w:val="24"/>
          <w:szCs w:val="24"/>
        </w:rPr>
        <w:t xml:space="preserve">Si impone una distinzione tecnica che le fonti divulgative comprimono e che la fonte primaria del Consiglio d'Europa consente di correggere: la Grecia, per prevenire il voto ormai certo, notificò essa stessa il proprio ritiro il 12 dicembre 1969, con effetto differito al 31 dicembre 1970, e denunciò la Convenzione. La formula «espulsione decretata da Moro» è dunque pubblicistica e va qualificata: la maggioranza degli Stati membri si schierò per l'iniziativa (di matrice tedesca) e Moro presiedeva l'organo che stava per deliberare; la Grecia si ritirò per non subire l'espulsione. Questo è quanto le fonti primarie e secondarie attestano; l'accertamento puntuale della condotta e delle parole di Moro in quella seduta richiederebbe lo spoglio degli atti del Consiglio d'Europa e della documentazione della Farnesina, non consultati in questa sede.</w:t>
      </w:r>
    </w:p>
    <w:p>
      <w:pPr>
        <w:spacing w:after="120" w:line="276"/>
        <w:jc w:val="both"/>
      </w:pPr>
      <w:r>
        <w:rPr>
          <w:rFonts w:ascii="Barlow Semi Condensed" w:cs="Barlow Semi Condensed" w:eastAsia="Barlow Semi Condensed" w:hAnsi="Barlow Semi Condensed"/>
          <w:sz w:val="24"/>
          <w:szCs w:val="24"/>
        </w:rPr>
        <w:t xml:space="preserve">Un elemento di contesto, da maneggiare con la cautela metodologica prescritta, è la tesi — sostenuta da Deliolanes — di una reazione vendicativa del regime greco all'iniziativa italiana: secondo tale ricostruzione, la scelta della data del 12 dicembre 1969 per la strage di piazza Fontana e per attentati contro le basi britanniche a Cipro non sarebbe stata casuale, coincidendo con la sconfitta diplomatica greca a Strasburgo. Si tratta di una tesi d'autore, esposta in un'opera di taglio giornalistico-documentario; la contemporaneità cronologica non costituisce di per sé prova di nesso causale, e la questione appartiene alla storiografia sulla strategia della tensione più che alla biografia diplomatica di Moro. La si registra come ipotesi circolante, non come fatto accertato dalle fonti primarie qui esaminate.</w:t>
      </w:r>
    </w:p>
    <w:p>
      <w:pPr>
        <w:pStyle w:val="Heading2"/>
        <w:spacing w:after="100" w:before="200"/>
      </w:pPr>
      <w:r>
        <w:rPr>
          <w:rFonts w:ascii="Barlow Semi Condensed" w:cs="Barlow Semi Condensed" w:eastAsia="Barlow Semi Condensed" w:hAnsi="Barlow Semi Condensed"/>
          <w:sz w:val="24"/>
          <w:szCs w:val="24"/>
        </w:rPr>
        <w:t xml:space="preserve">CAPITOLO III — L'ITALIA E LA GRECIA DEI COLONNELLI (1969–1974): RAPPORTI BILATERALI, ASSOCIAZIONE CEE CONGELATA, RIFUGIATI</w:t>
      </w:r>
    </w:p>
    <w:p>
      <w:pPr>
        <w:spacing w:after="120" w:line="276"/>
        <w:jc w:val="both"/>
      </w:pPr>
      <w:r>
        <w:rPr>
          <w:rFonts w:ascii="Barlow Semi Condensed" w:cs="Barlow Semi Condensed" w:eastAsia="Barlow Semi Condensed" w:hAnsi="Barlow Semi Condensed"/>
          <w:sz w:val="24"/>
          <w:szCs w:val="24"/>
        </w:rPr>
        <w:t xml:space="preserve">Il quadro dei rapporti bilaterali italo-greci durante il settennio militare va ricostruito su tre piani. Sul piano dell'accoglienza dei rifugiati politici, le fonti enciclopediche attestano che «molti paesi dell'Europa occidentale, tra cui l'Italia, dettero asilo a profughi politici greci», mentre il regime raccolse simpatie nell'estrema destra italiana (Almirante ne giustificò l'avvento come dovuto a «necessità»). Sul piano dell'integrazione europea, l'Accordo di associazione fra la Grecia e la Comunità economica europea, firmato nel giugno 1961 sotto la premiership di Karamanlis, fu «congelato» dopo il colpo di Stato del 1967 e riattivato solo dopo il luglio 1974: lo attestano concordemente il portale CVCE e il Dizionario dell'Integrazione Europea (DIZIE), che documenta come, alla caduta del regime, il presidente della Commissione François-Xavier Ortoli inviò a Karamanlis un telegramma di congratulazioni e come Claude Cheysson, a nome della Commissione, avesse già prospettato la ripresa dell'associazione e l'apertura all'adesione in caso di ripristino delle istituzioni parlamentari.</w:t>
      </w:r>
    </w:p>
    <w:p>
      <w:pPr>
        <w:spacing w:after="120" w:line="276"/>
        <w:jc w:val="both"/>
      </w:pPr>
      <w:r>
        <w:rPr>
          <w:rFonts w:ascii="Barlow Semi Condensed" w:cs="Barlow Semi Condensed" w:eastAsia="Barlow Semi Condensed" w:hAnsi="Barlow Semi Condensed"/>
          <w:sz w:val="24"/>
          <w:szCs w:val="24"/>
        </w:rPr>
        <w:t xml:space="preserve">Sul piano più propriamente bilaterale, la documentazione reperita in questa ricognizione è scarsa e non consente di ricostruire una linea italiana specifica e attiva verso Atene distinta da quella europea collettiva. Questo è un primo, importante esito parzialmente negativo: mentre per il caso spagnolo le ricognizioni anteriori hanno accertato una intransigenza italiana maggiore di quella statunitense e vaticana verso Madrid, e per il caso portoghese una sostanziale assenza di atti verso Lisbona, per il caso greco la posizione italiana appare assorbita e mediata dalle sedi multilaterali (Consiglio d'Europa, CEE, poi NATO e ONU). L'iniziativa di Strasburgo del dicembre 1969 (Capitolo II) è l'unico atto italiano fortemente caratterizzato e individuabile. L'accertamento dell'esistenza di una politica bilaterale italiana autonoma verso la giunta richiederebbe lo spoglio della serie Grecia dell'Archivio Storico Diplomatico della Farnesina (Capitolo XI), non condotto in questa sede.</w:t>
      </w:r>
    </w:p>
    <w:p>
      <w:pPr>
        <w:spacing w:after="120" w:line="276"/>
        <w:jc w:val="both"/>
      </w:pPr>
      <w:r>
        <w:rPr>
          <w:rFonts w:ascii="Barlow Semi Condensed" w:cs="Barlow Semi Condensed" w:eastAsia="Barlow Semi Condensed" w:hAnsi="Barlow Semi Condensed"/>
          <w:sz w:val="24"/>
          <w:szCs w:val="24"/>
        </w:rPr>
        <w:t xml:space="preserve">Il confronto comparativo con i casi iberici, che le ricognizioni anteriori impongono di richiamare come sfondo, illumina proprio questa differenza di regime documentale. Il caso spagnolo dispone di un baricentro nell'appartenenza all'Opus Dei di alcuni ministri di Franco. Secondo il documento ufficiale dell'ente («Opus Dei, Saint Josemaría Escrivá, Franco and his Regime»), «su 116 ministri nominati da Franco negli 11 governi fra il 1939 e il 1975, otto furono membri dell'Opus Dei; uno degli otto morì tre mesi dopo la nomina, e altri quattro rimasero in carica solo durante un governo». A questo si aggiunge la figura di Gregorio López Bravo agli Esteri (ottobre 1969 – giugno 1973) e poi di Laureano López Rodó (dal giugno 1973), oltre al rapporto CIA sul gabinetto franchista e al caso MATESA del luglio 1969. Il caso portoghese ha il proprio baricentro nella lunga vicenda dell'insediamento dell'Opus Dei dal 5 febbraio 1945 e nella sorveglianza della PIDE-DGS. Il caso greco, come si vedrà, è privo di entrambi gli elementi: non vi è un insediamento dell'Opus Dei, e dunque non vi è alcun baricentro confessionale-organizzativo attorno a cui si sia addensata documentazione. Ne consegue che, a differenza di Madrid e Lisbona, ad Atene il rapporto italiano si gioca interamente sul terreno diplomatico-multilaterale, il che è a sua volta un risultato analitico.</w:t>
      </w:r>
    </w:p>
    <w:p>
      <w:pPr>
        <w:pStyle w:val="Heading2"/>
        <w:spacing w:after="100" w:before="200"/>
      </w:pPr>
      <w:r>
        <w:rPr>
          <w:rFonts w:ascii="Barlow Semi Condensed" w:cs="Barlow Semi Condensed" w:eastAsia="Barlow Semi Condensed" w:hAnsi="Barlow Semi Condensed"/>
          <w:sz w:val="24"/>
          <w:szCs w:val="24"/>
        </w:rPr>
        <w:t xml:space="preserve">CAPITOLO IV — LA CRISI DI CIPRO DEL 1974 E LA POSIZIONE ITALIANA</w:t>
      </w:r>
    </w:p>
    <w:p>
      <w:pPr>
        <w:spacing w:after="120" w:line="276"/>
        <w:jc w:val="both"/>
      </w:pPr>
      <w:r>
        <w:rPr>
          <w:rFonts w:ascii="Barlow Semi Condensed" w:cs="Barlow Semi Condensed" w:eastAsia="Barlow Semi Condensed" w:hAnsi="Barlow Semi Condensed"/>
          <w:sz w:val="24"/>
          <w:szCs w:val="24"/>
        </w:rPr>
        <w:t xml:space="preserve">La sequenza cipriota del 1974 è documentata con precisione nelle fonti primarie internazionali. Il colpo di Stato del 15 luglio 1974 a Nicosia, condotto dalla Guardia nazionale cipriota inquadrata da ufficiali greci e sostenuto dalla giunta di Atene guidata da Dimitrios Ioannidis, rovesciò l'arcivescovo e presidente Makarios III. Il 20 luglio 1974 la Turchia intervenne militarmente, appellandosi al Trattato di garanzia di Zurigo-Londra del 1959-1960: Camera (https://dati.camera.it/ocd/aic.rdf/aic4_03754_16) l'operazione è denominata dalla Turchia «operazione di pace» e dalla comunità internazionale e dalla parte greca «invasione», divergenza di denominazione che qui si registra come prescritto. La giunta militare greca crollò Wikipedia (https://it.wikipedia.org/wiki/Questione_di_Cipro) il 23 luglio 1974 e Konstantinos Karamanlis rientrò dall'esilio parigino per formare un governo civile. Una seconda offensiva turca il 14 agosto 1974 portò all'occupazione di una porzione dell'isola variamente stimata: circa il 36% secondo la voce enciclopedica italiana Wikipedia (https://it.wikipedia.org/wiki/Questione_di_Cipro) e il committente, il «northern forty per cent» (circa il 40%) secondo il volume FRUS 1969-1976 vol. XXX (documento d.194), U.S. Department of State (https://history.state.gov/historicaldocuments/frus1969-76v30/d194) il 38% secondo altre fonti. Anche le stime dei profughi divergono, e la divergenza va riportata: circa 150.000 persone (più di un quarto della popolazione totale di Cipro e un terzo della popolazione greco-cipriota) furono sfollate dalla parte settentrionale, mentre circa 60.000 turco-ciprioti (pari a metà della popolazione turco-cipriota) si trasferirono dal sud al nord; il Governo di Cipro e le fonti dell'Internal Displacement Monitoring Centre indicano fino a 162.000 greco-ciprioti sfollati. Il cessate il fuoco del 16 agosto 1974 divenne la Linea Verde delle Nazioni Unite, Paese Italia Press (https://www.paeseitaliapress.it/esteri/2025/08/27/scudo-inter-etnico-o-limite-alla-guerra-il-ruolo-delle-forze-di-pace-onu-a-cipro/) vigilata da UNFICYP.</w:t>
      </w:r>
    </w:p>
    <w:p>
      <w:pPr>
        <w:spacing w:after="120" w:line="276"/>
        <w:jc w:val="both"/>
      </w:pPr>
      <w:r>
        <w:rPr>
          <w:rFonts w:ascii="Barlow Semi Condensed" w:cs="Barlow Semi Condensed" w:eastAsia="Barlow Semi Condensed" w:hAnsi="Barlow Semi Condensed"/>
          <w:sz w:val="24"/>
          <w:szCs w:val="24"/>
        </w:rPr>
        <w:t xml:space="preserve">I negoziati di Ginevra si svolsero in due fasi: la Dichiarazione di Ginevra del 30 luglio 1974, firmata dai ministri degli Esteri di Grecia, Turchia e Regno Unito quali potenze garanti, dopo trattative tenutesi dal 25 al 30 luglio, e la seconda tornata a partire dall'8 agosto 1974, con la partecipazione dei rappresentanti delle due comunità cipriote. Le fonti primarie disponibili (documenti del Press and Information Office cipriota e di UNFICYP; volume FRUS vol. XXX) confermano che il formato negoziale fu tripartito (Grecia, Turchia, Regno Unito), fondato sulla risoluzione 353 del Consiglio di Sicurezza. L'Italia non figura fra le potenze garanti e non prese parte diretta ai negoziati di Ginevra: questo è un esito che va dichiarato con nettezza. La ricerca di un ruolo italiano diretto nella mediazione cipriota dà esito negativo nelle fonti primarie internazionali reperite; l'eventuale attività italiana si collocò sul piano comunitario e delle Nazioni Unite, non su quello del negoziato garante.</w:t>
      </w:r>
    </w:p>
    <w:p>
      <w:pPr>
        <w:spacing w:after="120" w:line="276"/>
        <w:jc w:val="both"/>
      </w:pPr>
      <w:r>
        <w:rPr>
          <w:rFonts w:ascii="Barlow Semi Condensed" w:cs="Barlow Semi Condensed" w:eastAsia="Barlow Semi Condensed" w:hAnsi="Barlow Semi Condensed"/>
          <w:sz w:val="24"/>
          <w:szCs w:val="24"/>
        </w:rPr>
        <w:t xml:space="preserve">Quanto alla posizione ufficiale del governo italiano e agli atti di Moro — che nell'estate 1974 era ministro degli Esteri nel V governo Rumor fino al 23 novembre 1974, e poi presidente del Consiglio — la documentazione reperita in questa ricognizione non contiene dichiarazioni testuali di Moro su Cipro nei mesi di luglio-novembre 1974. Si tratta di un esito negativo importante, la cui sede di accertamento è duplice: i resoconti stenografici della Camera e del Senato della sesta legislatura (non coperti dalla banca dati del sindacato ispettivo, che parte solo dalla settima legislatura, cioè dal 5 luglio 1976, come già accertato dalle ricognizioni anteriori) e la serie Cipro dell'Archivio Storico Diplomatico. Le fonti attestano che nel Mediterraneo la linea di Moro era improntata a una politica filoaraba e a una vocazione mediatrice che privilegiava la stabilità dell'area (I. Garzia, «Il Mediterraneo nel pensiero politico di Aldo Moro»), ma non consentono di trasporre automaticamente questa impostazione in atti specifici sulla crisi cipriota. La contemporaneità della crisi cipriota con l'attentato all'Italicus (4 agosto 1974) e con la fase più acuta della crisi politica interna italiana va registrata come mera contemporaneità, non come nesso.</w:t>
      </w:r>
    </w:p>
    <w:p>
      <w:pPr>
        <w:pStyle w:val="Heading2"/>
        <w:spacing w:after="100" w:before="200"/>
      </w:pPr>
      <w:r>
        <w:rPr>
          <w:rFonts w:ascii="Barlow Semi Condensed" w:cs="Barlow Semi Condensed" w:eastAsia="Barlow Semi Condensed" w:hAnsi="Barlow Semi Condensed"/>
          <w:sz w:val="24"/>
          <w:szCs w:val="24"/>
        </w:rPr>
        <w:t xml:space="preserve">CAPITOLO V — LA GRECIA, LA NATO E LA POSIZIONE ITALIANA (AGOSTO 1974)</w:t>
      </w:r>
    </w:p>
    <w:p>
      <w:pPr>
        <w:spacing w:after="120" w:line="276"/>
        <w:jc w:val="both"/>
      </w:pPr>
      <w:r>
        <w:rPr>
          <w:rFonts w:ascii="Barlow Semi Condensed" w:cs="Barlow Semi Condensed" w:eastAsia="Barlow Semi Condensed" w:hAnsi="Barlow Semi Condensed"/>
          <w:sz w:val="24"/>
          <w:szCs w:val="24"/>
        </w:rPr>
        <w:t xml:space="preserve">La decisione di Karamanlis di ritirare le forze armate greche dalla struttura militare integrata della NATO è documentata da fonti primarie di prim'ordine. Il sito ufficiale della NATO reca la notizia «Withdrawal of Greek forces from integrated military structure of NATO» datata 14 agosto 1974. Il volume FRUS 1969-1976 vol. XXX (documento d.25, telegramma della missione USA presso la NATO del 16 settembre 1974) attesta che «effective August 14, 1974, all units of the Greek Army, Navy and Air Force are withdrawn from assignment, commitment, or ear-marking to NATO», e che il rappresentante belga de Staercke notò come fosse «curioso» che la Grecia non avesse ritirato i propri rappresentanti dal Comitato Militare. La data varia nelle fonti secondarie: 14 agosto 1974 (NATO, FRUS), 17 agosto 1974 (portale CVCE), 4 agosto 1974 (rivista The Athenian); si segnala la divergenza. La ragione della decisione, concordemente attestata, fu la mancata prevenzione, da parte dell'Alleanza, dell'intervento turco a Cipro, percepita in Grecia come un tradimento.</w:t>
      </w:r>
    </w:p>
    <w:p>
      <w:pPr>
        <w:spacing w:after="120" w:line="276"/>
        <w:jc w:val="both"/>
      </w:pPr>
      <w:r>
        <w:rPr>
          <w:rFonts w:ascii="Barlow Semi Condensed" w:cs="Barlow Semi Condensed" w:eastAsia="Barlow Semi Condensed" w:hAnsi="Barlow Semi Condensed"/>
          <w:sz w:val="24"/>
          <w:szCs w:val="24"/>
        </w:rPr>
        <w:t xml:space="preserve">La posizione italiana su questa vicenda è documentata da una fonte primaria specifica e significativa. Il telegramma del Dipartimento di Stato alla missione USA presso la NATO del 30 agosto 1974 (FRUS vol. XXX, documento d.23) istruisce di «avviare discussioni bilaterali informali con il Segretario generale Luns e con alleati selezionati (Regno Unito, Repubblica Federale Tedesca, Italia e Belgio o Paesi Bassi) sulle implicazioni della decisione greca», specificando che la Francia andava esclusa da questo cerchio perché non membro del Defence Planning Committee. L'Italia figura dunque, nella documentazione statunitense, fra i quattro-cinque alleati principali con cui Washington intese concertare la risposta al ritiro greco. Questo è un dato accertato; ciò che il documento attesta è l'inclusione dell'Italia nel novero degli interlocutori privilegiati, non il contenuto della posizione italiana, che non è precisato nei documenti reperiti. L'accertamento del contenuto della posizione italiana richiederebbe la documentazione della Rappresentanza italiana presso la NATO e la serie corrispondente della Farnesina. La Grecia rientrò nella struttura militare integrata solo nell'ottobre 1980, sotto la premiership Rallis e con la mediazione del generale Bernard Rogers (SACEUR), come attestano fonti giornalistiche coeve.</w:t>
      </w:r>
    </w:p>
    <w:p>
      <w:pPr>
        <w:pStyle w:val="Heading2"/>
        <w:spacing w:after="100" w:before="200"/>
      </w:pPr>
      <w:r>
        <w:rPr>
          <w:rFonts w:ascii="Barlow Semi Condensed" w:cs="Barlow Semi Condensed" w:eastAsia="Barlow Semi Condensed" w:hAnsi="Barlow Semi Condensed"/>
          <w:sz w:val="24"/>
          <w:szCs w:val="24"/>
        </w:rPr>
        <w:t xml:space="preserve">CAPITOLO VI — LA CSCE, LA GRECIA, MORO E L'ATTO FINALE DI HELSINKI (1975)</w:t>
      </w:r>
    </w:p>
    <w:p>
      <w:pPr>
        <w:spacing w:after="120" w:line="276"/>
        <w:jc w:val="both"/>
      </w:pPr>
      <w:r>
        <w:rPr>
          <w:rFonts w:ascii="Barlow Semi Condensed" w:cs="Barlow Semi Condensed" w:eastAsia="Barlow Semi Condensed" w:hAnsi="Barlow Semi Condensed"/>
          <w:sz w:val="24"/>
          <w:szCs w:val="24"/>
        </w:rPr>
        <w:t xml:space="preserve">La Conferenza sulla sicurezza e la cooperazione in Europa si articolò in tre fasi: l'apertura a Helsinki (3 luglio 1973), la fase negoziale di Ginevra (18 settembre 1973 – 21 luglio 1975) e la firma solenne dell'Atto finale a Helsinki il 1° agosto 1975. Il testo dell'Atto finale reca fra i firmatari la Grecia, la Santa Sede e l'Italia, insieme agli altri trentacinque Stati partecipanti. La Grecia partecipò dunque a tutte le fasi; il mutamento della sua delegazione dopo la caduta della giunta nel luglio 1974 è deducibile dalla successione dei governi (la fase di Ginevra e la firma finale caddero interamente sotto il governo democratico di Karamanlis), ma la documentazione puntuale sulla composizione della delegazione greca non è stata reperita in questa sede: la sede di accertamento è il registro completo dei circa 600 delegati conservato presso il Centro di documentazione OSCE di Praga, richiamato dallo studio dell'ICDS.</w:t>
      </w:r>
    </w:p>
    <w:p>
      <w:pPr>
        <w:spacing w:after="120" w:line="276"/>
        <w:jc w:val="both"/>
      </w:pPr>
      <w:r>
        <w:rPr>
          <w:rFonts w:ascii="Barlow Semi Condensed" w:cs="Barlow Semi Condensed" w:eastAsia="Barlow Semi Condensed" w:hAnsi="Barlow Semi Condensed"/>
          <w:sz w:val="24"/>
          <w:szCs w:val="24"/>
        </w:rPr>
        <w:t xml:space="preserve">Sul versante italiano, l'Atto finale fu sottoscritto da Aldo Moro nella duplice qualità di presidente del Consiglio dei ministri e di presidente di turno del Consiglio delle Comunità europee (l'Italia deteneva la presidenza di turno della CEE nel secondo semestre 1975). La documentazione FRUS (vol. XXXIX, documento d.334, telegramma di Kissinger del 2 agosto 1975) conferma che l'Atto finale fu firmato «da trentacinque capi di Stato o di governo» e descrive la cerimonia conclusiva. Il rapporto fra la questione cipriota e la CSCE emerge da questo stesso documento: Cipro fece circolare una dichiarazione interpretativa formale in risposta alla riserva turca sulla rappresentanza cipriota, affermando che la partecipazione alla CSCE si fondava sulla piena eguaglianza degli Stati e che la riserva turca era «priva di effetto». La questione greco-turca e cipriota fu dunque presente, sia pure marginalmente, anche al tavolo di Helsinki.</w:t>
      </w:r>
    </w:p>
    <w:p>
      <w:pPr>
        <w:spacing w:after="120" w:line="276"/>
        <w:jc w:val="both"/>
      </w:pPr>
      <w:r>
        <w:rPr>
          <w:rFonts w:ascii="Barlow Semi Condensed" w:cs="Barlow Semi Condensed" w:eastAsia="Barlow Semi Condensed" w:hAnsi="Barlow Semi Condensed"/>
          <w:sz w:val="24"/>
          <w:szCs w:val="24"/>
        </w:rPr>
        <w:t xml:space="preserve">Quanto alla posizione greca sui tre «cesti» (sicurezza; cooperazione economica, scientifica e ambientale; diritti umani e dimensione umana), la documentazione specifica non è stata reperita; si registra come esito negativo la cui sede di accertamento sono gli atti della CSCE e le memorie dei protagonisti (fra cui, per il versante italiano, le memorie di Luigi Vittorio Ferraris). È invece documentato il ruolo della Santa Sede, trattato al Capitolo VIII.</w:t>
      </w:r>
    </w:p>
    <w:p>
      <w:pPr>
        <w:pStyle w:val="Heading2"/>
        <w:spacing w:after="100" w:before="200"/>
      </w:pPr>
      <w:r>
        <w:rPr>
          <w:rFonts w:ascii="Barlow Semi Condensed" w:cs="Barlow Semi Condensed" w:eastAsia="Barlow Semi Condensed" w:hAnsi="Barlow Semi Condensed"/>
          <w:sz w:val="24"/>
          <w:szCs w:val="24"/>
        </w:rPr>
        <w:t xml:space="preserve">CAPITOLO VII — LA TRANSIZIONE GRECA, L'ADESIONE EUROPEA E IL CONFRONTO IBERICO</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la transizione greca alla democrazia, prese avvio con il ritorno di Karamanlis il 23-24 luglio 1974. Le tappe sono documentate: le elezioni del novembre 1974, vinte da Nuova Democrazia; il referendum sulla forma di governo dell'8 dicembre 1974, che abolì la monarchia. La fonte statistica (Nohlen e Stöver) e la stampa coeva (To Vima, 10 dicembre 1974) precisano l'esito: con un'affluenza del 75,58% degli aventi diritto, il 69,18% votò a favore della repubblica (3.245.111 voti) contro il 30,82% per la monarchia (1.445.875 voti); il committente indicava il 69,17%, e la lieve difformità si segnala. Seguirono la nuova Costituzione repubblicana promulgata nel giugno 1975; la domanda greca di adesione alle Comunità europee, sulla cui data le fonti divergono fra il 12 giugno 1975 (portale CVCE, Greek News Agenda, Atlantic Council) e il 12 luglio 1975 (Ministero degli Esteri ellenico, voce enciclopedica sull'allargamento del 1981): la divergenza si segnala. Seguirono l'avvio dei negoziati nel luglio 1976, la firma del Trattato di adesione ad Atene (Zappeion) il 28 maggio 1979, la ratifica del Parlamento greco il 28 giugno 1979 e l'ingresso effettivo il 1° gennaio 1981.</w:t>
      </w:r>
    </w:p>
    <w:p>
      <w:pPr>
        <w:spacing w:after="120" w:line="276"/>
        <w:jc w:val="both"/>
      </w:pPr>
      <w:r>
        <w:rPr>
          <w:rFonts w:ascii="Barlow Semi Condensed" w:cs="Barlow Semi Condensed" w:eastAsia="Barlow Semi Condensed" w:hAnsi="Barlow Semi Condensed"/>
          <w:sz w:val="24"/>
          <w:szCs w:val="24"/>
        </w:rPr>
        <w:t xml:space="preserve">Un punto merita segnalazione perché tocca la dialettica fra Commissione e governi: la Commissione, nel suo parere, propose una fase transitoria di pre-adesione prima della piena integrazione istituzionale; Karamanlis si appellò direttamente ai governi dei Nove — Francia e Germania in particolare — e la proposta della Commissione fu respinta. La posizione italiana specifica sulla domanda greca non è stata isolata nelle fonti reperite: si registra come esito negativo, la cui sede di accertamento è duplice (Farnesina e atti comunitari). Consta però, come dato di contesto generale, che l'Ambasciata d'Italia ad Atene descrive oggi i rapporti bilaterali come «speciali e forti» e nota l'orientamento greco tradizionalmente favorevole alle candidature italiane nelle organizzazioni internazionali. Esteri (https://ambatene.esteri.it/ambasciata_atene/it/i_rapporti_bilaterali/)</w:t>
      </w:r>
    </w:p>
    <w:p>
      <w:pPr>
        <w:spacing w:after="120" w:line="276"/>
        <w:jc w:val="both"/>
      </w:pPr>
      <w:r>
        <w:rPr>
          <w:rFonts w:ascii="Barlow Semi Condensed" w:cs="Barlow Semi Condensed" w:eastAsia="Barlow Semi Condensed" w:hAnsi="Barlow Semi Condensed"/>
          <w:sz w:val="24"/>
          <w:szCs w:val="24"/>
        </w:rPr>
        <w:t xml:space="preserve">Il confronto con l'adesione iberica del 1986 è illuminante e va richiamato come sfondo comparativo. Come nota il portale CVCE, i tre Paesi mediterranei — Grecia, Spagna, Portogallo — tornarono a governi civili fra il 1974 e il 1976, e per tutti e tre l'adesione alla CEE rappresentò «una prospettiva di ancoraggio democratico». La Grecia fu ammessa nel 1981, mentre Spagna e Portogallo dovettero attendere il 1986, in parte per l'iniziale opposizione francese (timore di annacquamento della Comunità). East Journal (https://www.eastjournal.net/archives/9505) L'accessione greca «cambiò il volto della Comunità rafforzandone il carattere mediterraneo e aggiungendovi un elemento balcanico e ortodosso». Questo elemento ortodosso è precisamente ciò che, sul piano confessionale, distingue il caso greco da quelli iberici e che al Capitolo IX si rivela decisivo per la vacuità dell'asse Opus Dei.</w:t>
      </w:r>
    </w:p>
    <w:p>
      <w:pPr>
        <w:pStyle w:val="Heading2"/>
        <w:spacing w:after="100" w:before="200"/>
      </w:pPr>
      <w:r>
        <w:rPr>
          <w:rFonts w:ascii="Barlow Semi Condensed" w:cs="Barlow Semi Condensed" w:eastAsia="Barlow Semi Condensed" w:hAnsi="Barlow Semi Condensed"/>
          <w:sz w:val="24"/>
          <w:szCs w:val="24"/>
        </w:rPr>
        <w:t xml:space="preserve">CAPITOLO VIII — LA SANTA SEDE, IL PATRIARCATO ECUMENICO E LA GRECIA (1969–1975)</w:t>
      </w:r>
    </w:p>
    <w:p>
      <w:pPr>
        <w:spacing w:after="120" w:line="276"/>
        <w:jc w:val="both"/>
      </w:pPr>
      <w:r>
        <w:rPr>
          <w:rFonts w:ascii="Barlow Semi Condensed" w:cs="Barlow Semi Condensed" w:eastAsia="Barlow Semi Condensed" w:hAnsi="Barlow Semi Condensed"/>
          <w:sz w:val="24"/>
          <w:szCs w:val="24"/>
        </w:rPr>
        <w:t xml:space="preserve">Il quadro dei rapporti fra la Santa Sede e il mondo ortodosso greco nel periodo va distinto su tre livelli: il rapporto con il Patriarcato ecumenico di Costantinopoli, il rapporto con la Chiesa ortodossa di Grecia e il rapporto diplomatico con lo Stato greco. Sul primo livello, il periodo è quello del disgelo ecumenico avviato dall'abbraccio fra Paolo VI e il patriarca ecumenico Atenagora I a Gerusalemme (5 gennaio 1964) e culminato nella Dichiarazione comune cattolico-ortodossa letta simultaneamente a Roma e al Fanar il 7 dicembre 1965, che cancellò dalla memoria della Chiesa le reciproche scomuniche del 1054. La Voce e il Tempo (https://vocetempo.it/sessantanni-fa-la-fine-delle-scomuniche-fra-cattolici-e-ortodossi/) Atenagora morì nel luglio 1972 e gli succedette Dimitrios I, sotto il cui patriarcato il dialogo proseguì (l'istituzione del dialogo teologico ufficiale sarà proclamata il 30 novembre 1979, durante la visita di Giovanni Paolo II a Dimitrios). Wikipedia (https://it.wikipedia.org/wiki/Dichiarazione_comune_cattolico-ortodossa_del_1965) Questi fatti sono attestati da fonti ecclesiastiche ed enciclopediche concordi.</w:t>
      </w:r>
    </w:p>
    <w:p>
      <w:pPr>
        <w:spacing w:after="120" w:line="276"/>
        <w:jc w:val="both"/>
      </w:pPr>
      <w:r>
        <w:rPr>
          <w:rFonts w:ascii="Barlow Semi Condensed" w:cs="Barlow Semi Condensed" w:eastAsia="Barlow Semi Condensed" w:hAnsi="Barlow Semi Condensed"/>
          <w:sz w:val="24"/>
          <w:szCs w:val="24"/>
        </w:rPr>
        <w:t xml:space="preserve">Sul terzo livello, quello diplomatico-statuale, il dato è netto e conferma la specificità greca: le relazioni diplomatiche fra la Grecia e la Santa Sede furono stabilite solo nel 1979 (secondo il Ministero degli Esteri ellenico e altre fonti) o nel 1980 (secondo la voce enciclopedica dedicata), divergenza che si segnala. La Santa Sede istituì immediatamente la Nunziatura apostolica ad Atene; l'ambasciatore greco risiedette dapprima a Parigi, dove era accreditato anche presso la Francia, e solo nel 1988 fu istituita un'ambasciata greca presso la Santa Sede a Roma. Il Ministero ellenico collega esplicitamente la decisione del 1979 alle aspirazioni greche di adesione alla Comunità europea, e registra il disagio del Santo Sinodo ortodosso di fronte al riconoscimento del Vaticano come Stato dotato di autorità secolare. Ne discende un dato di grande rilievo per la triangolazione: per l'intero arco del periodo qui studiato (1969-1975), e a fortiori per gli anni del regime dei colonnelli, non esistevano relazioni diplomatiche piene fra Atene e la Santa Sede. Questo esclude alla radice l'esistenza di un canale diplomatico bilaterale vaticano-greco su cui potesse innestarsi una qualsiasi triangolazione.</w:t>
      </w:r>
    </w:p>
    <w:p>
      <w:pPr>
        <w:spacing w:after="120" w:line="276"/>
        <w:jc w:val="both"/>
      </w:pPr>
      <w:r>
        <w:rPr>
          <w:rFonts w:ascii="Barlow Semi Condensed" w:cs="Barlow Semi Condensed" w:eastAsia="Barlow Semi Condensed" w:hAnsi="Barlow Semi Condensed"/>
          <w:sz w:val="24"/>
          <w:szCs w:val="24"/>
        </w:rPr>
        <w:t xml:space="preserve">Sulla partecipazione della Santa Sede alla CSCE, le fonti sono concordi e ricche. La Santa Sede partecipò alla Conferenza come membro a pieno titolo — circostanza che le fonti vaticane e la pubblicistica qualificano come un ritorno della diplomazia pontificia sulla scena multilaterale europea dopo il lungo eclissi seguito al Congresso di Vienna del 1815. La delegazione fu guidata da mons. Agostino Casaroli e da mons. Achille Silvestrini. Le fonti divergono lievemente sull'attribuzione dei ruoli: la rivista 30Giorni attesta che «mons. Agostino Casaroli, in qualità di delegato speciale di Paolo VI, firma a nome della Santa Sede l'Atto finale»; L'Osservatore Romano e SettimanaNews attribuiscono a Silvestrini il ruolo di capo-delegazione e negoziatore principale a Helsinki e Ginevra; la lettera di Paolo VI a Casaroli del 25 luglio 1975 conferma il mandato di quest'ultimo per la fase conclusiva. Il contributo più caratterizzante della Santa Sede fu la proposta, presentata da Silvestrini e accolta «come una bomba», di includere il principio della libertà religiosa fra i principi dell'Atto finale. Non è stato reperito, invece, alcun documento che colleghi la partecipazione vaticana alla CSCE con la specifica questione greca: si registra come esito negativo.</w:t>
      </w:r>
    </w:p>
    <w:p>
      <w:pPr>
        <w:spacing w:after="120" w:line="276"/>
        <w:jc w:val="both"/>
      </w:pPr>
      <w:r>
        <w:rPr>
          <w:rFonts w:ascii="Barlow Semi Condensed" w:cs="Barlow Semi Condensed" w:eastAsia="Barlow Semi Condensed" w:hAnsi="Barlow Semi Condensed"/>
          <w:sz w:val="24"/>
          <w:szCs w:val="24"/>
        </w:rPr>
        <w:t xml:space="preserve">Sul secondo livello, la posizione della Chiesa ortodossa di Grecia e dell'arcivescovo di Atene rispetto al regime militare e alla sua caduta, la documentazione reperita in questa ricognizione è insufficiente a fondare affermazioni puntuali. Si dichiara pertanto uno </w:t>
      </w:r>
      <w:r>
        <w:rPr>
          <w:rFonts w:ascii="Barlow Semi Condensed" w:cs="Barlow Semi Condensed" w:eastAsia="Barlow Semi Condensed" w:hAnsi="Barlow Semi Condensed"/>
          <w:b/>
          <w:bCs/>
          <w:sz w:val="24"/>
          <w:szCs w:val="24"/>
        </w:rPr>
        <w:t xml:space="preserve">Stato Zero parziale</w:t>
      </w:r>
      <w:r>
        <w:rPr>
          <w:rFonts w:ascii="Barlow Semi Condensed" w:cs="Barlow Semi Condensed" w:eastAsia="Barlow Semi Condensed" w:hAnsi="Barlow Semi Condensed"/>
          <w:sz w:val="24"/>
          <w:szCs w:val="24"/>
        </w:rPr>
        <w:t xml:space="preserve"> su questo punto: la sede di accertamento sono gli studi specialistici sulla Chiesa di Grecia sotto la giunta (segnatamente sulla deposizione dell'arcivescovo Ieronymos Kotsonis, insediato nel 1967 con l'appoggio del regime, e la successiva nomina di Serafeim nel 1974) e le fonti ortodosse greche, non consultate in questa sede.</w:t>
      </w:r>
    </w:p>
    <w:p>
      <w:pPr>
        <w:pStyle w:val="Heading2"/>
        <w:spacing w:after="100" w:before="200"/>
      </w:pPr>
      <w:r>
        <w:rPr>
          <w:rFonts w:ascii="Barlow Semi Condensed" w:cs="Barlow Semi Condensed" w:eastAsia="Barlow Semi Condensed" w:hAnsi="Barlow Semi Condensed"/>
          <w:sz w:val="24"/>
          <w:szCs w:val="24"/>
        </w:rPr>
        <w:t xml:space="preserve">CAPITOLO IX — L'OPUS DEI IN GRECIA: VERIFICA DELLA PREVISIONE E STATO ZERO DOCUMENTATO</w:t>
      </w:r>
    </w:p>
    <w:p>
      <w:pPr>
        <w:spacing w:after="120" w:line="276"/>
        <w:jc w:val="both"/>
      </w:pPr>
      <w:r>
        <w:rPr>
          <w:rFonts w:ascii="Barlow Semi Condensed" w:cs="Barlow Semi Condensed" w:eastAsia="Barlow Semi Condensed" w:hAnsi="Barlow Semi Condensed"/>
          <w:sz w:val="24"/>
          <w:szCs w:val="24"/>
        </w:rPr>
        <w:t xml:space="preserve">Questo è il capitolo in cui la previsione dichiarata al Capitolo I viene messa alla prova, e in cui essa risulta verificata. La fonte dirimente è la fonte ufficiale dell'ente. L'Opus Dei pubblica sul proprio sito ufficiale, nell'articolo «La storia dell'Opus Dei», l'elenco intitolato «Data di inizio del lavoro stabile dell'Opus Dei nei vari Paesi». L'elenco, verificato integralmente, reca: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opusdei (https://opusdei.org/it-it/article/storia/) La Spagna, patria di fondazione (2 ottobre 1928), è indicata nel racconto fondativo. opusdei (https://opusdei.org/it-it/article/storia/) </w:t>
      </w:r>
      <w:r>
        <w:rPr>
          <w:rFonts w:ascii="Barlow Semi Condensed" w:cs="Barlow Semi Condensed" w:eastAsia="Barlow Semi Condensed" w:hAnsi="Barlow Semi Condensed"/>
          <w:b/>
          <w:bCs/>
          <w:sz w:val="24"/>
          <w:szCs w:val="24"/>
        </w:rPr>
        <w:t xml:space="preserve">La Grecia non compare in alcuna posizione, a nessun anno.</w:t>
      </w:r>
      <w:r>
        <w:rPr>
          <w:rFonts w:ascii="Barlow Semi Condensed" w:cs="Barlow Semi Condensed" w:eastAsia="Barlow Semi Condensed" w:hAnsi="Barlow Semi Condensed"/>
          <w:sz w:val="24"/>
          <w:szCs w:val="24"/>
        </w:rPr>
        <w:t xml:space="preserve"> Si segnala per completezza che questo elenco ufficiale data l'insediamento portoghese al 1945 (coerentemente con la prima visita di Escrivá del 5 febbraio 1945 sollecitata da suor Lúcia, come accertato dalle ricognizioni anteriori) e quello italiano e britannico al 1946.</w:t>
      </w:r>
    </w:p>
    <w:p>
      <w:pPr>
        <w:spacing w:after="120" w:line="276"/>
        <w:jc w:val="both"/>
      </w:pPr>
      <w:r>
        <w:rPr>
          <w:rFonts w:ascii="Barlow Semi Condensed" w:cs="Barlow Semi Condensed" w:eastAsia="Barlow Semi Condensed" w:hAnsi="Barlow Semi Condensed"/>
          <w:sz w:val="24"/>
          <w:szCs w:val="24"/>
        </w:rPr>
        <w:t xml:space="preserve">Il riscontro è confermato dal secondo documento ufficiale, l'articolo «Regional Circumscriptions of Opus Dei» (aggiornato al 4 giugno 2024), che elenca le ventitré circoscrizioni della Prelatura e i Paesi in esse compresi: opusdei (https://opusdei.org/en-us/article/regional-circumscriptions-opus-dei/) nessuna circoscrizione, e nessun raggruppamento mediterraneo o balcanico, include la Grecia. Va segnalata, per scrupolo e per prevenire l'errore, una circostanza che potrebbe trarre in inganno: entrambe le pagine di opusdei.org recano, nel selettore di lingua, la voce «Ελληνικά — EL · Ελλάδα». Si tratta esclusivamente di un'opzione di localizzazione linguistica del sito (l'ente offre contenuti in lingua greca), non di una dichiarazione di presenza apostolica stabile: la distinzione è metodologicamente essenziale e va tenuta ferma.</w:t>
      </w:r>
    </w:p>
    <w:p>
      <w:pPr>
        <w:spacing w:after="120" w:line="276"/>
        <w:jc w:val="both"/>
      </w:pPr>
      <w:r>
        <w:rPr>
          <w:rFonts w:ascii="Barlow Semi Condensed" w:cs="Barlow Semi Condensed" w:eastAsia="Barlow Semi Condensed" w:hAnsi="Barlow Semi Condensed"/>
          <w:sz w:val="24"/>
          <w:szCs w:val="24"/>
        </w:rPr>
        <w:t xml:space="preserve">Esiste un unico frammento che collega storicamente l'Opus Dei alla Grecia, e va riferito con la massima cautela e qualificato come non probante. Secondo una testimonianza di un ex membro (l'ex sacerdote Vladimir Felzmann, riportata in un'intervista giornalistica e ripresa in voci enciclopediche su Escrivá), Josemaría Escrivá e Álvaro del Portillo si sarebbero recati in Grecia nel 1967 «per vedere se fosse possibile portare l'Opus Dei nella Chiesa ortodossa greca», progetto che Escrivá avrebbe presto abbandonato come impraticabile. Wikipedia (https://en.wikipedia.org/wiki/Josemar%C3%ADa_Escriv%C3%A1) Si tratta di un'unica testimonianza di ex membro, controversa e contestata, relativa peraltro a un'idea esplorativa abbandonata: non attesta alcuna presenza stabilita e non muta l'esito. Esiste inoltre in greco un libello polemico intitolato «Opus Dei στην Ελλάδα» («Opus Dei in Grecia»), di taglio cospirazionista e anti-settario che confonde l'Opus Dei con movimenti laicali ortodossi greci (ΖΩΗ, ΣΩΤΗΡ): non è fonte attendibile e non documenta alcun insediamento reale.</w:t>
      </w:r>
    </w:p>
    <w:p>
      <w:pPr>
        <w:spacing w:after="120" w:line="276"/>
        <w:jc w:val="both"/>
      </w:pPr>
      <w:r>
        <w:rPr>
          <w:rFonts w:ascii="Barlow Semi Condensed" w:cs="Barlow Semi Condensed" w:eastAsia="Barlow Semi Condensed" w:hAnsi="Barlow Semi Condensed"/>
          <w:sz w:val="24"/>
          <w:szCs w:val="24"/>
        </w:rPr>
        <w:t xml:space="preserve">La previsione è dunque verificata: </w:t>
      </w:r>
      <w:r>
        <w:rPr>
          <w:rFonts w:ascii="Barlow Semi Condensed" w:cs="Barlow Semi Condensed" w:eastAsia="Barlow Semi Condensed" w:hAnsi="Barlow Semi Condensed"/>
          <w:b/>
          <w:bCs/>
          <w:sz w:val="24"/>
          <w:szCs w:val="24"/>
        </w:rPr>
        <w:t xml:space="preserve">l'asse dell'Opus Dei in Grecia è vuoto</w:t>
      </w:r>
      <w:r>
        <w:rPr>
          <w:rFonts w:ascii="Barlow Semi Condensed" w:cs="Barlow Semi Condensed" w:eastAsia="Barlow Semi Condensed" w:hAnsi="Barlow Semi Condensed"/>
          <w:sz w:val="24"/>
          <w:szCs w:val="24"/>
        </w:rPr>
        <w:t xml:space="preserve">, per il periodo 1928-1985 e successivamente. La ragione è demografico-religiosa e strutturale, e le fonti la documentano compiutamente. I cattolici in Grecia sono una minoranza esigua: secondo L'Osservatore Romano (edizione inglese, dicembre 2021, articolo di Silvina Pérez), «i cattolici greci costituiscono lo 0,5 per cento della popolazione, circa 50.000 persone… la maggioranza vive ad Atene… Syros (8.000) e Tinos (3.000) hanno villaggi e parrocchie interamente cattolici», oltre a nuclei a Corfù, Patrasso, Salonicco, Volos e Kavala. La consistenza complessiva, aggiungendo i cattolici stranieri, è oggetto di stime divergenti che è corretto riportare: fonti vaticane citate da catholicmedia.org indicano i cattolici, in prevalenza di rito latino, all'1,2% della popolazione (circa 133.000 su circa 11 milioni di abitanti), mentre la stessa Chiesa cattolica greca nel 2018 stimava fino a 400.000 cattolici, comprendendo i gruppi stranieri principali (polacchi, circa 40.000; filippini, circa 45.000; albanesi). La struttura ecclesiastica cattolica latina si articola nell'arcidiocesi di Atene, nell'arcidiocesi di Naxos-Tinos-Andros-Mykonos, nell'arcidiocesi di Corfù, nella diocesi di Syros e Santorini, oltre all'esarcato apostolico greco-cattolico di rito bizantino (eretto da Pio XI nel 1932, con circa 4.000 fedeli). ACI Stampa (https://www.acistampa.com/story/18666/i-greco-cattolici-in-grecia-pietra-di-inciampo-che-vuole-costruire-ponti-18666) La Costituzione greca riconosce alla Chiesa ortodossa orientale la posizione di religione «prevalente» (art. 3), e per la maggioranza degli ortodossi greci chi non è ortodosso «non è considerato veramente greco», sicché le altre confessioni sono ufficialmente «religioni straniere». La Nuova Bussola Quotidiana (https://lanuovabq.it/it/cristiani-divisi-in-grecia) In un contesto simile, un'istituzione cattolica di apostolato laicale come l'Opus Dei — che opera per «santificare» ambienti professionali e universitari attraverso una rete di membri cattolici — non aveva un bacino sociale su cui radicarsi. Ciò conferma la tesi comparativa: la presenza dell'Opus Dei nei Paesi mediterranei correla con la maggioranza cattolica (Spagna, Portogallo, Italia: rispettivamente 1928, 1945, 1946) e non con la natura autoritaria del regime; la Grecia, pur avendo avuto una dittatura di destra coeva a quelle iberiche, resta vuota perché ortodossa.</w:t>
      </w:r>
    </w:p>
    <w:p>
      <w:pPr>
        <w:pStyle w:val="Heading2"/>
        <w:spacing w:after="100" w:before="200"/>
      </w:pPr>
      <w:r>
        <w:rPr>
          <w:rFonts w:ascii="Barlow Semi Condensed" w:cs="Barlow Semi Condensed" w:eastAsia="Barlow Semi Condensed" w:hAnsi="Barlow Semi Condensed"/>
          <w:sz w:val="24"/>
          <w:szCs w:val="24"/>
        </w:rPr>
        <w:t xml:space="preserve">CAPITOLO X — I DOCUMENTI DESECRETATI: CIA, FRUS E LA RICERCA DI MENZIONI DELL'OPUS DEI</w:t>
      </w:r>
    </w:p>
    <w:p>
      <w:pPr>
        <w:spacing w:after="120" w:line="276"/>
        <w:jc w:val="both"/>
      </w:pPr>
      <w:r>
        <w:rPr>
          <w:rFonts w:ascii="Barlow Semi Condensed" w:cs="Barlow Semi Condensed" w:eastAsia="Barlow Semi Condensed" w:hAnsi="Barlow Semi Condensed"/>
          <w:sz w:val="24"/>
          <w:szCs w:val="24"/>
        </w:rPr>
        <w:t xml:space="preserve">Il versante statunitense della documentazione desecretata è ricco per la Grecia e Cipro e povero — anzi nullo — per il nesso Opus Dei-Grecia. La serie Foreign Relations of the United States, 1969-1976, dedica alla materia il volume XXX «Greece; Cyprus; Turkey, 1973-1976» (a cura di Laurie Van Hook, editor generale Edward C. Keefer, 2007), state (https://history.state.gov/historicaldocuments/frus1969-76v30) consultabile presso l'Office of the Historian. Il volume documenta la crisi cipriota, il crollo della giunta, la questione egea (le tensioni greco-turche acuitesi dopo la scoperta di petrolio nell'Egeo settentrionale nel 1973), U.S. Department of State (https://history.state.gov/historicaldocuments/frus1969-76v30/d194) i negoziati intercomunali e la vicenda del ritiro greco dalla NATO (documenti d.23, d.25, d.194, d.233). Il volume XXX contiene anche riferimenti alla posizione italiana in quanto alleato consultato sulla crisi NATO-Grecia (documento d.23, Capitolo V). Il ritiro greco dal Consiglio d'Europa del dicembre 1969 è invece documentato nel volume XXIX (documento d.264). Ulteriore documentazione FRUS sulla CSCE e sull'Italia è nei volumi XXXIX (CSCE, documento d.334) e XLI (Europa occidentale, documento d.182, colloquio del </w:t>
      </w:r>
      <w:r>
        <w:rPr>
          <w:rFonts w:ascii="Barlow Semi Condensed" w:cs="Barlow Semi Condensed" w:eastAsia="Barlow Semi Condensed" w:hAnsi="Barlow Semi Condensed"/>
          <w:i/>
          <w:iCs/>
          <w:sz w:val="24"/>
          <w:szCs w:val="24"/>
        </w:rPr>
        <w:t xml:space="preserve">chargé</w:t>
      </w:r>
      <w:r>
        <w:rPr>
          <w:rFonts w:ascii="Barlow Semi Condensed" w:cs="Barlow Semi Condensed" w:eastAsia="Barlow Semi Condensed" w:hAnsi="Barlow Semi Condensed"/>
          <w:sz w:val="24"/>
          <w:szCs w:val="24"/>
        </w:rPr>
        <w:t xml:space="preserve"> USA con Moro il 2 settembre 1971 sulla questione della rappresentanza cinese all'ONU). Questi ultimi attestano la prassi dei colloqui bilaterali fra il Dipartimento di Stato e Moro, ma su materie diverse dalla Grecia.</w:t>
      </w:r>
    </w:p>
    <w:p>
      <w:pPr>
        <w:spacing w:after="120" w:line="276"/>
        <w:jc w:val="both"/>
      </w:pPr>
      <w:r>
        <w:rPr>
          <w:rFonts w:ascii="Barlow Semi Condensed" w:cs="Barlow Semi Condensed" w:eastAsia="Barlow Semi Condensed" w:hAnsi="Barlow Semi Condensed"/>
          <w:sz w:val="24"/>
          <w:szCs w:val="24"/>
        </w:rPr>
        <w:t xml:space="preserve">La ricerca sistematica di menzioni dell'Opus Dei in relazione alla Grecia nella documentazione desecretata statunitense (CIA FOIA Electronic Reading Room, collezione CREST; serie FRUS) dà esito negativo. Questo esito va posto in relazione con l'asimmetria già accertata dalle ricognizioni anteriori: per la Spagna esiste un rapporto CIA specifico sul gabinetto franchista (22 maggio 1970, protocollo CIA-RDP85T00875R001500020027-1, originariamente SEGRETO), che menziona la componente Opus Dei; per il Portogallo non esiste alcun documento statunitense desecretato che menzioni l'Opus Dei; per la Grecia, coerentemente con l'assenza di ogni presenza dell'ente (Capitolo IX), non esiste né poteva esistere alcuna menzione. L'assenza è qui doppiamente significativa: non è una lacuna documentale, ma il riflesso documentale di un'assenza reale. Si dichiara comunque, per rigore, che la ricognizione diretta e integrale del CREST su questa specifica combinazione non è stata condotta in questa sede e resta la sede formale di accertamento definitivo dell'esito negativo.</w:t>
      </w:r>
    </w:p>
    <w:p>
      <w:pPr>
        <w:pStyle w:val="Heading2"/>
        <w:spacing w:after="100" w:before="200"/>
      </w:pPr>
      <w:r>
        <w:rPr>
          <w:rFonts w:ascii="Barlow Semi Condensed" w:cs="Barlow Semi Condensed" w:eastAsia="Barlow Semi Condensed" w:hAnsi="Barlow Semi Condensed"/>
          <w:sz w:val="24"/>
          <w:szCs w:val="24"/>
        </w:rPr>
        <w:t xml:space="preserve">CAPITOLO XI — GLI ARCHIVI: STATO DI ACCESSIBILITÀ DEI FONDI RILEVANTI</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istituito nel 1902, Esteri (https://www.esteri.it/it/temi/uap/archivio-storico-e-biblioteca/archivio-storico-diplomatico/) conserva la documentazione della Farnesina (che, a differenza delle altre amministrazioni, non versa all'Archivio Centrale dello Stato) Esteri (https://www.esteri.it/it/temi/uap/archivio-storico-e-biblioteca/archivio-storico-diplomatico/) per circa trenta chilometri lineari. Esteri (https://www.esteri.it/it/temi/uap/archivio-storico-e-biblioteca/archivio-storico-diplomatico/storia-e-fondi/) La consultabilità è regolata dalla normativa sul trattamento dei dati e dalle disposizioni interne: sono consultabili di norma i documenti risalenti a oltre cinquant'anni, Senato della Repubblica (https://www.senato.it/leg16/3182?newsletter_item=1296&amp;newsletter_numero=122) con possibilità — dietro parere dell'ufficio produttore (DM 1012/BIS/712 del 22 dicembre 2015) — di consultare quelli fra i trenta e i cinquant'anni; i documenti con dati sensibili sono consultabili solo dopo settant'anni. Esteri (https://www.esteri.it/it/uapsds/archivio-storico-e-biblioteca/archivio-storico-diplomatico/servizi-allutenza/) L'accesso richiede registrazione al portale, autorizzazione e prenotazione. Esteri (https://www.esteri.it/it/uapsds/archivio-storico-e-biblioteca/archivio-storico-diplomatico/servizi-allutenza/) Per gli anni dal 1949 in poi occorre concordare preventivamente l'elenco dei faldoni. EHRI (https://portal.ehri-project.eu/institutions/it-002863) Al momento della ricognizione, alcuni fondi risultavano temporaneamente esclusi per digitalizzazione o ristrutturazione (Gabinetto del Ministro 1923-1943; Esteri (https://www.esteri.it/it/temi/uap/archivio-storico-e-biblioteca/archivio-storico-diplomatico/storia-e-fondi/) Telegrammi 1942-1970). Esteri (https://www.esteri.it/it/uapsds/archivio-storico-e-biblioteca/archivio-storico-diplomatico/servizi-allutenza/) Ne consegue che per gli anni 1969-1975 la documentazione (serie Grecia e serie Cipro) è in linea di principio consultabile — essendo trascorso il cinquantennio — ma soggetta alle procedure di autorizzazione e alle esclusioni temporanee; segnatamente l'esclusione dei Telegrammi 1942-1970 incide direttamente sulla materia qui rilevante, perché è proprio nella corrispondenza telegrafica che si troverebbero le istruzioni e i resoconti sulla crisi cipriota e sul ritiro greco dalla NATO.</w:t>
      </w:r>
    </w:p>
    <w:p>
      <w:pPr>
        <w:spacing w:after="120" w:line="276"/>
        <w:jc w:val="both"/>
      </w:pPr>
      <w:r>
        <w:rPr>
          <w:rFonts w:ascii="Barlow Semi Condensed" w:cs="Barlow Semi Condensed" w:eastAsia="Barlow Semi Condensed" w:hAnsi="Barlow Semi Condensed"/>
          <w:sz w:val="24"/>
          <w:szCs w:val="24"/>
        </w:rPr>
        <w:t xml:space="preserve">L'Archivio storico del Ministero degli Affari Esteri greco (Υπηρεσία Διπλωματικού και Ιστορικού Αρχείου) e gli Archivi generali dello Stato greco (Γενικά Αρχεία του Κράτους) sono le sedi omologhe sul versante ellenico; la Fondazione Konstantinos Karamanlis (Ίδρυμα Κωνσταντίνος Καραμανλής) conserva le carte del protagonista della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e dell'adesione europea. La ricognizione diretta di questi fondi non è stata condotta e la loro accessibilità puntuale non è stata verificata: si registra come esito da accertare.</w:t>
      </w:r>
    </w:p>
    <w:p>
      <w:pPr>
        <w:spacing w:after="120" w:line="276"/>
        <w:jc w:val="both"/>
      </w:pPr>
      <w:r>
        <w:rPr>
          <w:rFonts w:ascii="Barlow Semi Condensed" w:cs="Barlow Semi Condensed" w:eastAsia="Barlow Semi Condensed" w:hAnsi="Barlow Semi Condensed"/>
          <w:sz w:val="24"/>
          <w:szCs w:val="24"/>
        </w:rPr>
        <w:t xml:space="preserve">Sul versante Moro, la documentazione è ripartita fra l'Archivio storico del Senato della Repubblica e l'Archivio Centrale dello Stato, con la scheda SIUSA come strumento di orientamento. Per gli atti parlamentari italiani della sesta legislatura (1972-1976), vige l'avvertenza già accertata dalle ricognizioni anteriori: la banca dati del sindacato ispettivo copre soltanto a partire dalla settima legislatura (dal 5 luglio 1976), sicché per il 1974 — cioè per l'intero periodo della crisi cipriota e del ministero Moro — occorre lo spoglio diretto dei resoconti stenografici della Camera e del Senato. Questo è il collo di bottiglia archivistico principale per l'obiettivo prioritario n. 1 (dichiarazioni parlamentari di Moro su Cipro). Consta un riferimento a una seduta della Commissione esteri della Camera del 28 febbraio 1974 (citata nella letteratura su Moro e il Mediterraneo), che indica la via da percorrere.</w:t>
      </w:r>
    </w:p>
    <w:p>
      <w:pPr>
        <w:pStyle w:val="Heading2"/>
        <w:spacing w:after="100" w:before="200"/>
      </w:pPr>
      <w:r>
        <w:rPr>
          <w:rFonts w:ascii="Barlow Semi Condensed" w:cs="Barlow Semi Condensed" w:eastAsia="Barlow Semi Condensed" w:hAnsi="Barlow Semi Condensed"/>
          <w:sz w:val="24"/>
          <w:szCs w:val="24"/>
        </w:rPr>
        <w:t xml:space="preserve">CAPITOLO XII — ESITI NEGATIVI, TRIANGOLAZIONI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Le triangolazioni. La domanda di fondo era se esistesse un nesso — diretto o mediato da Santa Sede, Patriarcato ecumenico o Chiesa ortodossa di Grecia — fra l'attività di Moro verso la Grecia e l'Opus Dei. La risposta, sulla base delle fonti reperite, è negativa e la sua negatività è essa stessa il risultato principale. Il primo braccio del triangolo (Moro-Grecia) è documentato e consistente: l'iniziativa del Consiglio d'Europa del 1969, l'inclusione dell'Italia fra gli alleati consultati sul ritiro greco dalla NATO nel 1974, la firma dell'Atto finale di Helsinki nel 1975. Il secondo braccio (Opus Dei-Grecia) è vuoto, come accertato al Capitolo IX: l'ente non ha mai avuto presenza stabile in Grecia. Ne consegue, con necessità logica, che il terzo braccio (la triangolazione) non può sussistere: non essendovi un vertice Opus Dei-Grecia, non vi è alcun triangolo da chiudere. La mediazione della Santa Sede non poteva operare su questo asse, tanto più che fino al 1979-1980 non esistevano nemmeno relazioni diplomatiche piene fra Atene e la Santa Sede (Capitolo VIII). Questo conferma per la Grecia lo Stato Zero già accertato due volte per il rapporto diretto Moro-Opus Dei, di cui la collocazione culturale di Moro (FUCI, Movimento dei Laureati Cattolici, rivista Studium, componente dossettiana della sinistra DC) offre la ragione, estranea per formazione all'ambiente dell'Opus Dei.</w:t>
      </w:r>
    </w:p>
    <w:p>
      <w:pPr>
        <w:spacing w:after="120" w:line="276"/>
        <w:jc w:val="both"/>
      </w:pPr>
      <w:r>
        <w:rPr>
          <w:rFonts w:ascii="Barlow Semi Condensed" w:cs="Barlow Semi Condensed" w:eastAsia="Barlow Semi Condensed" w:hAnsi="Barlow Semi Condensed"/>
          <w:sz w:val="24"/>
          <w:szCs w:val="24"/>
        </w:rPr>
        <w:t xml:space="preserve">Il caso greco funziona così come controprova del modello iberico. In Spagna e in Portogallo — Paesi cattolici — l'Opus Dei si insediò (1928; 1945) e in Spagna assunse persino rilievo governativo (otto ministri su 116 in trentasei anni, secondo la fonte ufficiale dell'ente), mentre in Portogallo fu oggetto di sorveglianza della polizia politica PIDE-DGS senza che questa provasse mai i legami che sospettava. In Grecia — Paese ortodosso, pur avendo conosciuto una dittatura di destra coeva — l'Opus Dei è assente. La variabile che discrimina non è dunque la natura del regime, ma la confessione maggioritaria: dove c'è maggioranza cattolica l'Opus Dei attecchisce, dove c'è maggioranza ortodossa no. Questa è la conseguenza analitica della previsione verificata, e vale la pena esplicitarne il corollario metodologico: la pubblicistica che tende a leggere l'Opus Dei come funzione dei regimi autoritari di destra confonde una correlazione (l'ente crebbe in Spagna e Portogallo, che erano dittature) con una causazione, laddove la variabile realmente esplicativa è confessionale e non politica. Il caso greco, controfattuale perfetto (dittatura sì, ma ortodossia), scioglie l'ambiguità.</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Al primo posto, per rendimento atteso più alto, stanno i resoconti stenografici della Camera dei deputati e del Senato della sesta legislatura per i mesi luglio-novembre 1974, che dovrebbero contenere le dichiarazioni di Moro e del governo sulla crisi cipriota e sul ritiro greco dalla NATO: sede di accertamento gli archivi parlamentari e le raccolte dei resoconti; condizione di chiusura lo spoglio diretto, non surrogabile dalla banca dati del sindacato ispettivo (che parte dal 1976). Al secondo posto, la serie Grecia e la serie Cipro 1969-1975 dell'Archivio Storico Diplomatico della Farnesina, che dovrebbero contenere la corrispondenza diplomatica bilaterale e le istruzioni alle rappresentanze presso NATO, CEE e ONU: sede di accertamento la Sala Studio dell'ASD; condizione di chiusura l'autorizzazione, la prenotazione e la revoca dell'esclusione temporanea dei Telegrammi 1942-1970. Al terzo posto, la documentazione della Rappresentanza italiana presso la NATO sull'agosto-settembre 1974, per accertare il contenuto (e non solo l'esistenza) della posizione italiana sul ritiro greco. Al quarto posto, il registro dei delegati CSCE presso il Centro di documentazione OSCE di Praga, per la composizione della delegazione greca prima e dopo il luglio 1974. Al quinto posto, l'Archivio storico del Ministero degli Esteri greco e la Fondazione Karamanlis, per il versante ellenico dei medesimi eventi e per la posizione greca sui tre cesti della CSCE. Al sesto posto, gli studi specialistici e le fonti ortodosse sulla Chiesa di Grecia sotto la giunta (deposizione di Ieronymos Kotsonis, nomina di Serafeim nel 1974), per colmare lo Stato Zero parziale del Capitolo VIII. Al settimo posto, per completezza formale e con rendimento atteso nullo ma con valore di chiusura definitiva, la ricognizione diretta e integrale del CREST della CIA sulla combinazione Opus Dei-Grecia, il cui esito negativo è già inferibile dall'assenza reale della presenza. Ciascuna di queste acquisizioni non conseguite è un'acquisizione di pieno valore, perché delimita con precisione il confine fra ciò che è accertato e ciò che resta da accertare, e perché la più importante di esse — lo spoglio parlamentare del 1974 — è anche la più concretamente eseguibile.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Grecia e Opus Dei 1969-1985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6.225 parole in 9 sezioni; la più ampia è §9 Altre sezioni, con 2.358.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26 indirizzi di fonte citati, addensati in 4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VIII. Turchia e Opus Dei 1969-1975</w:t>
      </w:r>
    </w:p>
    <w:p>
      <w:pPr>
        <w:pStyle w:val="Heading1"/>
        <w:spacing w:after="120" w:before="240"/>
      </w:pPr>
      <w:r>
        <w:rPr>
          <w:rFonts w:ascii="Barlow Semi Condensed" w:cs="Barlow Semi Condensed" w:eastAsia="Barlow Semi Condensed" w:hAnsi="Barlow Semi Condensed"/>
          <w:sz w:val="24"/>
          <w:szCs w:val="24"/>
        </w:rPr>
        <w:t xml:space="preserve">Aldo Moro, la Turchia e l'Opus Dei: ricognizione storiografica e archivistica sulle triangolazioni mediterranee (1969-1975)</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primo oggetto (Moro e la Turchia)</w:t>
      </w:r>
      <w:r>
        <w:rPr>
          <w:rFonts w:ascii="Barlow Semi Condensed" w:cs="Barlow Semi Condensed" w:eastAsia="Barlow Semi Condensed" w:hAnsi="Barlow Semi Condensed"/>
          <w:sz w:val="24"/>
          <w:szCs w:val="24"/>
        </w:rPr>
        <w:t xml:space="preserve">, l'acquisizione documentale più solida è che Aldo Moro firmò a nome del Consiglio delle Comunità europee l'Accordo provvisorio CEE-Turchia del 27 luglio 1971 (attestato dal Regolamento CEE n. 1842/71), mentre il Protocollo addizionale all'Accordo di Ankara — atto prioritario, firmato a Bruxelles il 23 novembre 1970 ed entrato in vigore il 1° gennaio 1973 — cade sì nel suo primo mandato ma la firma materiale per l'Italia va ancora accertata sull'Atto finale; l'Italia fu attore consultato in ambito NATO sulla crisi cipriota del 1974, non garante né mediatore.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secondo oggetto (Opus Dei in Turchia)</w:t>
      </w:r>
      <w:r>
        <w:rPr>
          <w:rFonts w:ascii="Barlow Semi Condensed" w:cs="Barlow Semi Condensed" w:eastAsia="Barlow Semi Condensed" w:hAnsi="Barlow Semi Condensed"/>
          <w:sz w:val="24"/>
          <w:szCs w:val="24"/>
        </w:rPr>
        <w:t xml:space="preserve">, la previsione si conferma: l'Opus Dei, «presente in 68 Paesi», non ha presenza in Turchia, come non ne ha in Grecia e Cipro; il caso turco è il più probante del modello secondo cui la variabile discriminante dell'insediamento non è il regime né la mera presenza di minoranze cattoliche, ma la maggioranza cattolica unita a un ceto universitario e professionale cattolico.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terzo oggetto (triangolazioni)</w:t>
      </w:r>
      <w:r>
        <w:rPr>
          <w:rFonts w:ascii="Barlow Semi Condensed" w:cs="Barlow Semi Condensed" w:eastAsia="Barlow Semi Condensed" w:hAnsi="Barlow Semi Condensed"/>
          <w:sz w:val="24"/>
          <w:szCs w:val="24"/>
        </w:rPr>
        <w:t xml:space="preserve">, non emergono nessi documentati fra l'azione di Moro e le vicende ecclesiali turche (chiusura di Halki nel 1971, morte di Atenagora I nel 1972): si tratta prevalentemente di simultaneità cronologiche e di comunanza di ambiente mediterraneo, non di convergenze accertate; gli esiti negativi sono numerosi e circostanziati.</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stabilisce con certezza documentale il quadro pattizio dell'associazione CEE-Turchia e la partecipazione personale di Moro alla sua gestione nel semestre di presidenza italiana del Consiglio delle Comunità (secondo semestre 1971). Stabilisce inoltre, sul versante turco della crisi cipriota, la sequenza negoziale di Ginevra condotta da Turan Güneş e la dinamica dell'embargo statunitense del 1975. Documenta, con dovizia di fonti desecretate statunitensi, la vicenda della revoca del divieto di coltivazione del papavero da parte del governo Ecevit il 1° luglio 1974. Accerta l'assenza dell'Opus Dei dalla Turchia e ne trae la conseguenza analitica che consolida il modello emerso nelle ricognizioni greca e cipriota anteriori. Registra, infine, una serie cospicua di esiti negativi — la posizione italiana specifica sui dossier turchi, le reazioni diplomatiche alla chiusura di Halki, il coinvolgimento della Farnesina sugli oppiacei — che sono acquisizioni di pieno valore e che vengono raccolte in un capitolo proprio con le sedi di chiusura.</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Protocollo addizionale all'Accordo di Ankara del 23 novembre 1970</w:t>
      </w:r>
    </w:p>
    <w:p>
      <w:pPr>
        <w:spacing w:after="120" w:line="276"/>
        <w:jc w:val="both"/>
      </w:pPr>
      <w:r>
        <w:rPr>
          <w:rFonts w:ascii="Barlow Semi Condensed" w:cs="Barlow Semi Condensed" w:eastAsia="Barlow Semi Condensed" w:hAnsi="Barlow Semi Condensed"/>
          <w:sz w:val="24"/>
          <w:szCs w:val="24"/>
        </w:rPr>
        <w:t xml:space="preserve">L'obiettivo prioritario della presente ricognizione è un atto datato che cade dentro il primo mandato ministeriale di Aldo Moro alla Farnesina (5 agosto 1969 – 26 giugno 1972): il Protocollo addizionale all'Accordo di associazione fra la Comunità economica europea e la Turchia. L'Accordo di associazione, detto Accordo di Ankara, fu firmato ad Ankara il 12 settembre 1963 Wikipedia (https://it.wikipedia.org/wiki/Accordo_di_Ankara_(1963)) ed entrò in vigore il 1° dicembre 1964; esso rispondeva alla domanda di associazione presentata dalla Turchia nel luglio 1959 e prefigurava, all'articolo 28, un'adesione piena come traguardo ultimo — come conferma la fonte ufficiale turca del Ministero per gli Affari europei (ab.gov.tr), secondo cui «ultimate goal of Türkiye-EEC association relation is Türkiye's full membership to the Community». AB Bașkanlığı (https://www.ab.gov.tr/111_en.html) Il testo fu concluso a nome della Comunità con la decisione 64/732/CEE del Consiglio del 23 dicembre 1963, pubblicata nella Gazzetta ufficiale delle Comunità europee n. 217 del 29 dicembre 1964, pagina 3687. L'Accordo articolava l'associazione in tre fasi — preparatoria, transitoria e definitiva — con l'obiettivo dell'instaurazione progressiva di un'unione doganale. La fase preparatoria, avviata il 1° dicembre 1964, non imponeva obblighi alla Turchia; European Parliament (https://www.europarl.europa.eu/delegations/en/d-tr/documents/eu-texts) era destinata a ridurre il divario economico fra le parti AB Bașkanlığı (https://www.ab.gov.tr/111_en.html) mediante concessioni tariffarie e assistenza finanziaria (fra cui prestiti per 175 milioni di ECU nel periodo 1963-1970). Wikipedia (https://it.wikipedia.org/wiki/Accordo_di_Ankara_(1963))</w:t>
      </w:r>
    </w:p>
    <w:p>
      <w:pPr>
        <w:spacing w:after="120" w:line="276"/>
        <w:jc w:val="both"/>
      </w:pPr>
      <w:r>
        <w:rPr>
          <w:rFonts w:ascii="Barlow Semi Condensed" w:cs="Barlow Semi Condensed" w:eastAsia="Barlow Semi Condensed" w:hAnsi="Barlow Semi Condensed"/>
          <w:sz w:val="24"/>
          <w:szCs w:val="24"/>
        </w:rPr>
        <w:t xml:space="preserve">Il Protocollo addizionale che apriva la fase transitoria fu firmato a Bruxelles il 23 novembre 1970 EUR-Lex (https://eur-lex.europa.eu/LexUriServ/LexUriServ.do?uri=CELEX%3A31971R1842%3AIT%3AHTML) ed entrò in vigore il 1° gennaio 1973. Il documento fu concluso, approvato e confermato a nome della Comunità con il Regolamento (CEE) n. 2760/72 del Consiglio del 19 dicembre 1972. EUR-Lex (https://eur-lex.europa.eu/legal-content/IT/TXT/?uri=CELEX%3A31973R0428) La pubblicazione ufficiale del testo, con il connesso Protocollo finanziario, l'Atto finale e le Dichiarazioni, avvenne nella Gazzetta ufficiale delle Comunità europee, serie L, numero 293 del 29 dicembre 1972, alle pagine da 4 a 56 per il Protocollo addizionale, Cambridge Core (https://www.cambridge.org/core/journals/international-and-comparative-law-quarterly/article/abs/ii-the-ankara-agreement-turkey-and-the-eu/F0EB341D436F195721DC25D49CE61DC0) con il Protocollo finanziario a pagina 57 e l'Accordo relativo ai prodotti di competenza della Comunità europea del carbone e dell'acciaio a pagina 63 EUR-Lex (https://eur-lex.europa.eu/legal-content/IT/TXT/PDF/?uri=CELEX:01964A1229(01)-20040501&amp;from=EN) (fonte: versione consolidata EUR-Lex CELEX 01964A1229(01) e scheda CELEX 21970A1123(01)). Il Protocollo, come attesta la formula di chiusura del testo pubblicato in EUR-Lex, fu «redatto in duplice esemplare, in lingua tedesca, francese, italiana, olandese e turca, ciascuno di detti testi facenti ugualmente fede», e recava la data «Fait à Bruxelles, le vingt-trois novembre mil neuf cent soixante-dix».</w:t>
      </w:r>
    </w:p>
    <w:p>
      <w:pPr>
        <w:spacing w:after="120" w:line="276"/>
        <w:jc w:val="both"/>
      </w:pPr>
      <w:r>
        <w:rPr>
          <w:rFonts w:ascii="Barlow Semi Condensed" w:cs="Barlow Semi Condensed" w:eastAsia="Barlow Semi Condensed" w:hAnsi="Barlow Semi Condensed"/>
          <w:sz w:val="24"/>
          <w:szCs w:val="24"/>
        </w:rPr>
        <w:t xml:space="preserve">Il contenuto normativo del Protocollo è puntualmente documentabile dal testo pubblicato. Esso stabiliva le condizioni, i modi e i ritmi di realizzazione della fase transitoria dell'associazione, EUR-Lex (https://eur-lex.europa.eu/LexUriServ/LexUriServ.do?uri=CELEX:21970A1123(01):IT:HTML) con due assi portanti. Il primo era l'unione doganale, da conseguirsi per gradi mediante l'abolizione progressiva dei dazi doganali e delle restrizioni quantitative negli scambi fra la Comunità e la Turchia, secondo calendari differenziati per categorie di prodotti; il Protocollo prevedeva altresì clausole di salvaguardia, la cui disciplina applicativa fu poi dettata dal Regolamento (CEE) n. 1842/71 del Consiglio del 21 giugno 1971, «relativo alle misure di salvaguardia previste dal protocollo addizionale all'Accordo di associazione tra la Comunità economica europea e la Turchia». EUR-Lex (https://eur-lex.europa.eu/LexUriServ/LexUriServ.do?uri=CELEX%3A31971R1842%3AIT%3AHTML) Il secondo asse era la libera circolazione dei lavoratori: come attesta la fonte ufficiale turca (ab.gov.tr), nella fase transitoria «free movement of industrial and agricultural products as well as persons were foreseen». AB Bașkanlığı (https://www.ab.gov.tr/111_en.html) È proprio dall'articolo 41, paragrafo 1, del Protocollo addizionale — la cosiddetta clausola di standstill in materia di stabilimento e prestazione di servizi — che nei decenni successivi è scaturita una copiosa giurisprudenza della Corte di giustizia dell'Unione europea (fra le altre, la causa C-138/13 Dogan EUR-Lex (https://eur-lex.europa.eu/legal-content/IT/TXT/HTML/?uri=CELEX:62013CC0138&amp;from=IT) e la causa C-228/06 Soysal, quest'ultima decisa il 19 febbraio 2009), EUR-Lex (https://eur-lex.europa.eu/legal-content/IT/TXT/HTML/?amp=&amp;from=IT&amp;uri=CELEX%3A22014A0507%2801%29) a riprova della centralità dell'atto del 1970 nel diritto dell'associazione.</w:t>
      </w:r>
    </w:p>
    <w:p>
      <w:pPr>
        <w:spacing w:after="120" w:line="276"/>
        <w:jc w:val="both"/>
      </w:pPr>
      <w:r>
        <w:rPr>
          <w:rFonts w:ascii="Barlow Semi Condensed" w:cs="Barlow Semi Condensed" w:eastAsia="Barlow Semi Condensed" w:hAnsi="Barlow Semi Condensed"/>
          <w:sz w:val="24"/>
          <w:szCs w:val="24"/>
        </w:rPr>
        <w:t xml:space="preserve">Sul punto specifico e più delicato dell'obiettivo di ricerca — se e chi firmò per l'Italia, e se Aldo Moro vi apparve in qualità di ministro degli Esteri — occorre distinguere ciò che i documenti attestano da ciò che resta da accertare. La ricognizione documentale ha stabilito un fatto contiguo e certo, di grande rilievo analitico: Aldo Moro firmò, a nome del Consiglio delle Comunità europee, l'Accordo provvisorio fra la CEE e la Turchia siglato a Bruxelles il 27 luglio 1971. Lo attesta il preambolo del Regolamento (CEE) n. 1842/71, il quale nel richiamare l'accordo provvisorio precisa che esso fu firmato «a nome del Consiglio delle Comunità europee dal sig. Aldo Moro, Ministro degli affari esteri della Repubblica italiana e Presidente del Consiglio, e dal sig. Franco Maria Malfatti, Presidente della Commissione», EUR-Lex (https://eur-lex.europa.eu/LexUriServ/LexUriServ.do?uri=CELEX%3A31971R1842%3AIT%3AHTML) mentre per la Turchia firmava Osman Olcay, ministro degli Affari esteri turco. Il dato è pienamente coerente con la circostanza istituzionale che, nel secondo semestre del 1971, la presidenza di turno del Consiglio delle Comunità europee spettava all'Italia, e dunque al suo ministro degli Esteri. Ciò documenta in modo diretto e non inferenziale che Moro, nel pieno del primo mandato, appose materialmente la propria firma a un atto dell'associazione CEE-Turchia in veste di presidente del Consiglio dei ministri comunitario.</w:t>
      </w:r>
    </w:p>
    <w:p>
      <w:pPr>
        <w:spacing w:after="120" w:line="276"/>
        <w:jc w:val="both"/>
      </w:pPr>
      <w:r>
        <w:rPr>
          <w:rFonts w:ascii="Barlow Semi Condensed" w:cs="Barlow Semi Condensed" w:eastAsia="Barlow Semi Condensed" w:hAnsi="Barlow Semi Condensed"/>
          <w:sz w:val="24"/>
          <w:szCs w:val="24"/>
        </w:rPr>
        <w:t xml:space="preserve">Quanto invece alla firma del Protocollo addizionale del 23 novembre 1970 in senso proprio, la fonte primaria — l'elenco nominativo dei plenipotenziari contenuto nell'Atto finale — non è stato possibile estrarla integralmente per via telematica, poiché il portale EUR-Lex oppone un blocco all'accesso automatizzato del documento CELEX 21970A1123(01). Si registra pertanto un esito parzialmente negativo: al 23 novembre 1970 il ministro degli Esteri italiano era Aldo Moro (nel governo Colombo, insediatosi il 6 agosto 1970), e la prassi comunitaria dell'epoca prevedeva che i protocolli di associazione fossero firmati dai ministri degli Esteri o da loro plenipotenziari delegati; ma l'identità del firmatario materiale per la Repubblica italiana va confermata sulla lettura diretta dell'Atto finale, e non può essere data per acquisita in capo a Moro senza tale riscontro. La sede di chiusura è duplice: il testo integrale in EUR-Lex CELEX 21970A1123(01), sezione «Per la Repubblica italiana», da consultarsi manualmente, e la Gazzetta ufficiale delle Comunità europee L 293 del 29 dicembre 1972, EUR-Lex (https://eur-lex.europa.eu/legal-content/EN/ALL/?uri=CELEX%3A21970A1123%2801%29) pagine 4-56, che riproduce l'Atto finale con le sottoscrizioni.</w:t>
      </w:r>
    </w:p>
    <w:p>
      <w:pPr>
        <w:spacing w:after="120" w:line="276"/>
        <w:jc w:val="both"/>
      </w:pPr>
      <w:r>
        <w:rPr>
          <w:rFonts w:ascii="Barlow Semi Condensed" w:cs="Barlow Semi Condensed" w:eastAsia="Barlow Semi Condensed" w:hAnsi="Barlow Semi Condensed"/>
          <w:sz w:val="24"/>
          <w:szCs w:val="24"/>
        </w:rPr>
        <w:t xml:space="preserve">Sul versante della posizione italiana nel negoziato e sull'aspirazione turca all'adesione piena, la documentazione reperita consente affermazioni prudenti. L'Italia figurava fra i sei Stati membri fondatori parti dell'Accordo di associazione fin dal 1963, e il territorio italiano era espressamente incluso nell'ambito di applicazione territoriale dell'Accordo EUR-Lex (https://eur-lex.europa.eu/legal-content/IT/ALL/?uri=CELEX%3A21964A1229%2801%29) (articolo 29). La partecipazione di Moro alla firma dell'accordo provvisorio del luglio 1971 attesta un ruolo attivo e non meramente passivo dell'Italia nella gestione della fase transitoria. Non si sono invece reperite fonti primarie che documentino una specifica posizione negoziale italiana distinta da quella comunitaria collettiva; la ricerca andrebbe condotta nell'Archivio Storico Diplomatico del Ministero degli Affari Esteri, serie Comunità europee e serie Turchia, e nei fondi del Consiglio delle Comunità europee per il semestre di presidenza italiana del 1971. Va inoltre ricordato che le modifiche rese necessarie dall'adesione di Danimarca, Irlanda e Regno Unito furono fissate in un Protocollo complementare firmato ad Ankara il 30 giugno 1973, con un accordo provvisorio firmato a Bruxelles per anticiparne alcune disposizioni: EUR-Lex (https://eur-lex.europa.eu/LexUriServ/LexUriServ.do?uri=CELEX%3A21973A1003%2801%29%3AIT%3AHTML) anche questo atto cade nel secondo mandato ministeriale di Moro (7 luglio 1973 – 23 novembre 1974).</w:t>
      </w:r>
    </w:p>
    <w:p>
      <w:pPr>
        <w:pStyle w:val="Heading3"/>
        <w:spacing w:after="80" w:before="160"/>
      </w:pPr>
      <w:r>
        <w:rPr>
          <w:rFonts w:ascii="Barlow Semi Condensed" w:cs="Barlow Semi Condensed" w:eastAsia="Barlow Semi Condensed" w:hAnsi="Barlow Semi Condensed"/>
          <w:sz w:val="24"/>
          <w:szCs w:val="24"/>
        </w:rPr>
        <w:t xml:space="preserve">Capitolo II — La ratifica italiana del Protocollo e il quadro parlamentare della VI legislatura</w:t>
      </w:r>
    </w:p>
    <w:p>
      <w:pPr>
        <w:spacing w:after="120" w:line="276"/>
        <w:jc w:val="both"/>
      </w:pPr>
      <w:r>
        <w:rPr>
          <w:rFonts w:ascii="Barlow Semi Condensed" w:cs="Barlow Semi Condensed" w:eastAsia="Barlow Semi Condensed" w:hAnsi="Barlow Semi Condensed"/>
          <w:sz w:val="24"/>
          <w:szCs w:val="24"/>
        </w:rPr>
        <w:t xml:space="preserve">La ricognizione sulla ratifica italiana del Protocollo addizionale ha prodotto un quadro parzialmente accertato, che è opportuno esporre distinguendo il certo dal probabile e dichiarando espressamente lo stato dei dati mancanti, secondo il principio per cui l'esito negativo circostanziato è acquisizione di pieno valore. È accertato che il Parlamento italiano fu chiamato a ratificare non il solo Protocollo addizionale, bensì un pacchetto composito di atti relativi all'associazione. Un documento del Senato della Repubblica descrive l'oggetto sottoposto alla ratifica come comprendente «un Protocollo addizionale all'Accordo di Ankara del 12 settembre 1963, un nuovo Protocollo finanziario, l'Accordo relativo ai prodotti CECA e l'Atto finale, nonché l'Accordo interno relativo al Protocollo finanziario». Senato della Repubblica (https://www.senato.it/service/PDF/PDFServer/DF/311398.pdf) Questa circostanza spiega la natura complessa del titolo della legge di ratifica e va tenuta presente per non confondere l'atto italiano con l'atto comunitario di conclusione, che è invece il Regolamento (CEE) n. 2760/72 del 19 dicembre 1972.</w:t>
      </w:r>
    </w:p>
    <w:p>
      <w:pPr>
        <w:spacing w:after="120" w:line="276"/>
        <w:jc w:val="both"/>
      </w:pPr>
      <w:r>
        <w:rPr>
          <w:rFonts w:ascii="Barlow Semi Condensed" w:cs="Barlow Semi Condensed" w:eastAsia="Barlow Semi Condensed" w:hAnsi="Barlow Semi Condensed"/>
          <w:sz w:val="24"/>
          <w:szCs w:val="24"/>
        </w:rPr>
        <w:t xml:space="preserve">La trattazione parlamentare si colloca nella VI legislatura, avviata il 25 maggio 1972, ovvero nel periodo che immediatamente precede l'entrata in vigore comunitaria del 1° gennaio 1973. La ratifica fu di iniziativa governativa. Non è stato però possibile confermare con fonte primaria diretta il numero e la data esatti della legge italiana di autorizzazione alla ratifica e ordine di esecuzione, né i riferimenti precisi (numero e data) della Gazzetta Ufficiale della Repubblica Italiana di pubblicazione. Un elenco secondario rielaborato da dati aperti della Camera associa alla voce «Ratifica ed esecuzione del protocollo addizionale all'accordo che crea un'associazione» il numero 757, ma tale attribuzione è risultata ambigua e inaffidabile, poiché il medesimo numero compare nell'indice del 1977 riferito ad altra materia; il dato è pertanto da respingere in assenza di verifica.</w:t>
      </w:r>
    </w:p>
    <w:p>
      <w:pPr>
        <w:spacing w:after="120" w:line="276"/>
        <w:jc w:val="both"/>
      </w:pPr>
      <w:r>
        <w:rPr>
          <w:rFonts w:ascii="Barlow Semi Condensed" w:cs="Barlow Semi Condensed" w:eastAsia="Barlow Semi Condensed" w:hAnsi="Barlow Semi Condensed"/>
          <w:sz w:val="24"/>
          <w:szCs w:val="24"/>
        </w:rPr>
        <w:t xml:space="preserve">Occorre inoltre segnalare un limite strutturale della ricerca parlamentare per il periodo, già accertato nelle ricognizioni anteriori: la banca dati del sindacato ispettivo del Parlamento italiano copre soltanto dalla settima legislatura, cioè dal 5 luglio 1976, sicché per la VI legislatura la consultazione degli atti di indirizzo e di sindacato ispettivo relativi alla materia turca non è agevolata dagli strumenti telematici correnti e richiede il ricorso ai resoconti stenografici cartacei. Le sedi di chiusura per i dati mancanti sono la banca dati Normattiva, il portale storico della Camera (sezione «Norme fondamentali e leggi», con filtro per gli anni 1972 e 1973 e ricerca del titolo contenente «Turchia» e «protocollo addizionale»), la Gazzetta Ufficiale storica per gli anni 1972-1973, ove il testo del trattato fu presumibilmente pubblicato in supplemento ordinario, e il fascicolo del disegno di legge presso l'Archivio storico del Senato. Data la relativa esiguità del materiale primario direttamente reperito, il presente capitolo è deliberatamente contenuto: esso registra uno stato di parziale accertamento e indica con precisione dove condurre il completamento, anziché diluire con parafrasi i pochi fatti stabiliti.</w:t>
      </w:r>
    </w:p>
    <w:p>
      <w:pPr>
        <w:pStyle w:val="Heading3"/>
        <w:spacing w:after="80" w:before="160"/>
      </w:pPr>
      <w:r>
        <w:rPr>
          <w:rFonts w:ascii="Barlow Semi Condensed" w:cs="Barlow Semi Condensed" w:eastAsia="Barlow Semi Condensed" w:hAnsi="Barlow Semi Condensed"/>
          <w:sz w:val="24"/>
          <w:szCs w:val="24"/>
        </w:rPr>
        <w:t xml:space="preserve">Capitolo III — La crisi cipriota del 1974 vista da Ankara e la posizione italiana verso la Turchia</w:t>
      </w:r>
    </w:p>
    <w:p>
      <w:pPr>
        <w:spacing w:after="120" w:line="276"/>
        <w:jc w:val="both"/>
      </w:pPr>
      <w:r>
        <w:rPr>
          <w:rFonts w:ascii="Barlow Semi Condensed" w:cs="Barlow Semi Condensed" w:eastAsia="Barlow Semi Condensed" w:hAnsi="Barlow Semi Condensed"/>
          <w:sz w:val="24"/>
          <w:szCs w:val="24"/>
        </w:rPr>
        <w:t xml:space="preserve">La crisi cipriota del 1974, il cui quadro fattuale è già stato acquisito nelle ricognizioni greca e cipriota e non va qui ripetuto, si presenta dal punto di vista di Ankara come una sequenza di decisioni assunte dal governo di coalizione guidato da Bülent Ecevit, presidente del Consiglio a capo di un gabinetto formato dal Partito Repubblicano del Popolo e dal Partito della Salvezza Nazionale di Necmettin Erbakan. Il ministro degli Esteri era Turan Güneş (25 giugno 1921 – 9 aprile 1982), giurista formatosi al liceo di Galatasaray e all'Università di Parigi, deputato di Kocaeli eletto nelle elezioni del 1973, Wikipedia (https://en.wikipedia.org/wiki/Turan_G%C3%BCne%C5%9F) in carica per il breve ma denso 1974. Fu Güneş a condurre per la Turchia i negoziati di Ginevra. Alla seconda tornata, apertasi l'8-9 agosto 1974, la Turchia presentò, secondo la ricostruzione storiografica corrente, un piano cantonale — elaborato su suggerimento statunitense — alternativo alla federazione bizonale voluta dai turco-ciprioti. Sulle percentuali territoriali le fonti sono concordi nell'ordine di grandezza: la New World Encyclopedia (voce «Turkish invasion of Cyprus») riferisce che il 14 agosto 1974 la Turchia domandò il piano di Stato federale con trasferimento di popolazione e «34 percent of the territory under Turkish Cypriot control»; New World Encyclopedia (https://www.newworldencyclopedia.org/entry/Turkish_invasion_of_Cyprus) il Ministero degli Esteri della Repubblica di Cipro (gov.cy) indica che l'occupazione effettiva raggiunse poi «over 36% of the territory of the Republic of Cyprus». Government of Cyprus (https://www.gov.cy/mfa/en/documents/turkish-military-invasion-and-occupation/) Quando, il 13 agosto, il presidente facente funzioni Glafkos Clerides chiese trentasei-quarantotto ore per consultare Atene e i dirigenti greco-ciprioti, Güneş negò la dilazione. New World Encyclopedia (https://www.newworldencyclopedia.org/entry/Turkish_invasion_of_Cyprus) All'alba del 14 agosto ebbe inizio la seconda offensiva. È documentata la frase in codice con cui, alle tre del mattino del 14 agosto, Güneş comunicò telefonicamente a Ecevit il via libera: «Ayşe può andare in vacanza» (Ayşe è il nome della figlia di Güneş, Cyprus Mail (https://cyprus-mail.com/2026/08/14/cyprus-commemorates-anniversary-of-second-phase-of-invasion) oggi la politologa Ayşe Güneş Ayata).</w:t>
      </w:r>
    </w:p>
    <w:p>
      <w:pPr>
        <w:spacing w:after="120" w:line="276"/>
        <w:jc w:val="both"/>
      </w:pPr>
      <w:r>
        <w:rPr>
          <w:rFonts w:ascii="Barlow Semi Condensed" w:cs="Barlow Semi Condensed" w:eastAsia="Barlow Semi Condensed" w:hAnsi="Barlow Semi Condensed"/>
          <w:sz w:val="24"/>
          <w:szCs w:val="24"/>
        </w:rPr>
        <w:t xml:space="preserve">La lettura turca di quegli eventi, che va riportata con il suo statuto di posizione di parte, è che la seconda fase costituì la conseguenza diretta dell'intransigenza greca a Ginevra e di una minaccia immediata all'incolumità dei turco-ciprioti. Lo stesso Ecevit, in una conversazione documentata dai Foreign Relations of the United States relativa al periodo dell'embargo, «reviewing the Cyprus problem since 1974, stressing that the August 1974 Turkish military move had been the direct result of Greek intransigence in Geneva, coupled with an immediate threat to Turkish-Cypriots on the island». state (https://history.state.gov/historicaldocuments/frus1977-80v21/d117) La parte greca e cipriota, all'opposto, qualifica l'operazione come «barbarica invasione e occupazione illegale», in aperta violazione della risoluzione 353 del Consiglio di Sicurezza del 20 luglio 1974 che imponeva il cessate il fuoco immediato e la cessazione dell'intervento militare straniero. Parikiaki (https://www.parikiaki.com/2026/08/%CF%84oday-marks-second-phase-of-1974-barbaric-turkish-invasion-of-cyprus/) La denominazione dell'evento resta dunque duplice e contesa — «operazione di pace» per la Turchia, «invasione» per la parte greca, cipriota e per la comunità internazionale — e va mantenuta nella sua duplicità.</w:t>
      </w:r>
    </w:p>
    <w:p>
      <w:pPr>
        <w:spacing w:after="120" w:line="276"/>
        <w:jc w:val="both"/>
      </w:pPr>
      <w:r>
        <w:rPr>
          <w:rFonts w:ascii="Barlow Semi Condensed" w:cs="Barlow Semi Condensed" w:eastAsia="Barlow Semi Condensed" w:hAnsi="Barlow Semi Condensed"/>
          <w:sz w:val="24"/>
          <w:szCs w:val="24"/>
        </w:rPr>
        <w:t xml:space="preserve">Quanto alla posizione italiana verso la Turchia in quella crisi, distinta da quella verso la Grecia, la documentazione primaria diretta è scarsa e va dichiarata come tale. Ciò che è accertato è il quadro istituzionale del coinvolgimento italiano, già stabilito nelle ricognizioni anteriori: l'Italia non figurava fra le potenze garanti di Cipro, non era membro del Consiglio di Sicurezza nel 1974 e non figurava fra i Paesi contributori di UNFICYP; ma era parte del meccanismo consultivo atlantico. Il documento FRUS 1969-1976, volume XXX, documento 16 — telegramma da Bruxelles del 4 luglio 1974 — attesta la convocazione, da parte del Segretario generale della NATO Joseph Luns, degli ambasciatori di Stati Uniti, Regno Unito, Francia, Repubblica Federale di Germania, Italia e Belgio per discutere la disputa greco-turca; e il documento 23 del 30 agosto 1974 include l'Italia fra gli alleati consultati sul ritiro greco dalla struttura militare integrata. L'Italia fu dunque, rispetto alla crisi, un attore consultato in seno all'Alleanza atlantica, non un mediatore né un garante. Sul piano dell'azione ministeriale di Moro, occorre ricordare che egli fu ministro degli Esteri fino al 23 novembre 1974 (l'edizione digitale delle carte Moro curata dall'Università di Bologna, con l'introduzione di Guido Formigoni, precisa i due mandati: 6 agosto 1969 – 26 giugno 1972 e 8 luglio 1973 – 26 novembre 1974) Unibo (https://aldomorodigitale.unibo.it/additional_resources/?id=141&amp;type=introduction) e che il medesimo 23 novembre 1974 si insediò il suo quarto governo, di cui fu presidente del Consiglio fino al 12 febbraio 1976; il gabinetto ottenne la fiducia del Senato il 5 dicembre 1974 con 190 voti a favore e 113 contrari, e della Camera il 7 dicembre 1974 con 355 voti a favore, 226 contrari e 19 astenuti. Non si sono reperite, nella documentazione telematicamente accessibile, dichiarazioni o atti specifici di Moro sulla Turchia nei mesi della crisi cipriota; la ricerca andrebbe condotta nell'Archivio Storico Diplomatico della Farnesina, serie Turchia e serie Cipro 1974, e nell'edizione digitale delle carte Moro. Si tratta, allo stato, di un esito prevalentemente negativo, che consolida però l'immagine di un'Italia collocata al margine consultivo della vicenda.</w:t>
      </w:r>
    </w:p>
    <w:p>
      <w:pPr>
        <w:pStyle w:val="Heading3"/>
        <w:spacing w:after="80" w:before="160"/>
      </w:pPr>
      <w:r>
        <w:rPr>
          <w:rFonts w:ascii="Barlow Semi Condensed" w:cs="Barlow Semi Condensed" w:eastAsia="Barlow Semi Condensed" w:hAnsi="Barlow Semi Condensed"/>
          <w:sz w:val="24"/>
          <w:szCs w:val="24"/>
        </w:rPr>
        <w:t xml:space="preserve">Capitolo IV — L'embargo statunitense sulle forniture militari alla Turchia e l'assetto NATO del fianco sud</w:t>
      </w:r>
    </w:p>
    <w:p>
      <w:pPr>
        <w:spacing w:after="120" w:line="276"/>
        <w:jc w:val="both"/>
      </w:pPr>
      <w:r>
        <w:rPr>
          <w:rFonts w:ascii="Barlow Semi Condensed" w:cs="Barlow Semi Condensed" w:eastAsia="Barlow Semi Condensed" w:hAnsi="Barlow Semi Condensed"/>
          <w:sz w:val="24"/>
          <w:szCs w:val="24"/>
        </w:rPr>
        <w:t xml:space="preserve">La reazione del Congresso statunitense all'uso di armi americane nell'intervento a Cipro condusse a un embargo sulle forniture militari alla Turchia. La misura fu deliberata dal Congresso nel dicembre 1974 ed entrò in vigore il 5 febbraio 1975. Le fonti concordano sulla dinamica: l'embargo puniva l'occupazione continuata e il presunto uso improprio di armamenti statunitensi Martinkramer (https://martinkramer.org/wp-content/uploads/2025/09/cyprus-1974.pdf) in violazione delle clausole d'uso finale, e produsse una reazione ritorsiva turca. Il 18 giugno 1975, con una nota consegnata all'ambasciata statunitense, la Turchia — per voce del ministro degli Esteri İhsan Sabri Çağlayangil — dichiarò l'embargo «tanto ingiusto quanto errato sotto ogni aspetto» («both unjust and wrong in all its aspects», secondo la cronaca del Michigan Daily del 18 giugno 1975) e chiese l'apertura di negoziati sul futuro delle basi entro trenta giorni. umich (https://digital.bentley.umich.edu/midaily/mdp.39015071754639/361/download_text) Nel luglio 1975 la Turchia sospese le attività delle installazioni militari statunitensi sul proprio territorio — una ventina di basi, fra cui la vitale base aerea di İncirlik e tre stazioni di intelligence per il monitoraggio dei movimenti navali sovietici in ingresso e uscita dal Mar Nero umich (https://digital.bentley.umich.edu/midaily/mdp.39015071754639/361/download_text) — mantenendo operative solo quelle funzionali alla NATO. La vicenda parlamentare statunitense fu tormentata: il Senato votò per la revoca nel maggio 1975, ma la Camera dei Rappresentanti la respinse il 24 luglio 1975 con 223 voti contro 206, in un dibattito in cui gli oppositori del piano di Gerald Ford accusarono l'amministrazione di cedere a un «ricatto». msu (https://archive.lib.msu.edu/DMC/state_news/1975/state_news_19750725.pdf) Solo il 25 luglio 1978 il Senato votò 57 a 42 per la revoca, perfezionata il 26 settembre 1978 con la firma del presidente Carter e la Presidential Determination n. 78-18 state (https://history.state.gov/historicaldocuments/frus1977-80v21/d121) (fonte: FRUS 1977-1980, vol. XXI, doc. 121).</w:t>
      </w:r>
    </w:p>
    <w:p>
      <w:pPr>
        <w:spacing w:after="120" w:line="276"/>
        <w:jc w:val="both"/>
      </w:pPr>
      <w:r>
        <w:rPr>
          <w:rFonts w:ascii="Barlow Semi Condensed" w:cs="Barlow Semi Condensed" w:eastAsia="Barlow Semi Condensed" w:hAnsi="Barlow Semi Condensed"/>
          <w:sz w:val="24"/>
          <w:szCs w:val="24"/>
        </w:rPr>
        <w:t xml:space="preserve">Le conseguenze sull'assetto NATO del fianco sud furono considerevoli, poiché l'embargo indebolì la seconda forza terrestre dell'Alleanza e sospese l'uso di basi essenziali per la sorveglianza del blocco sovietico. DEU University (https://web.deu.edu.tr/kibris/articles/aftermath.html) La posizione italiana su questo specifico dossier non è documentata da fonti primarie direttamente reperite: non si sono trovate dichiarazioni del governo Moro né atti della Farnesina che prendessero posizione sull'embargo statunitense alla Turchia. Si tratta di un esito negativo, la cui sede di chiusura è duplice: l'Archivio Storico Diplomatico del Ministero degli Affari Esteri per la corrispondenza con la rappresentanza presso la NATO, e la documentazione del Comando atlantico. È tuttavia possibile inferire, senza forzature, che l'Italia — Paese del fianco sud dell'Alleanza, direttamente interessata alla tenuta del dispositivo mediterraneo — avesse un interesse oggettivo alla ricomposizione della frattura fra Washington e Ankara; ma l'inferenza va tenuta distinta da un accertamento documentale, che qui manca. Si eviti, in particolare, di trattare la comune appartenenza atlantica come prova di una convergenza attiva: essa è al più comunanza di ambiente istituzionale.</w:t>
      </w:r>
    </w:p>
    <w:p>
      <w:pPr>
        <w:pStyle w:val="Heading3"/>
        <w:spacing w:after="80" w:before="160"/>
      </w:pPr>
      <w:r>
        <w:rPr>
          <w:rFonts w:ascii="Barlow Semi Condensed" w:cs="Barlow Semi Condensed" w:eastAsia="Barlow Semi Condensed" w:hAnsi="Barlow Semi Condensed"/>
          <w:sz w:val="24"/>
          <w:szCs w:val="24"/>
        </w:rPr>
        <w:t xml:space="preserve">Capitolo V — La questione egea, la piattaforma continentale e la Convenzione di Montreux</w:t>
      </w:r>
    </w:p>
    <w:p>
      <w:pPr>
        <w:spacing w:after="120" w:line="276"/>
        <w:jc w:val="both"/>
      </w:pPr>
      <w:r>
        <w:rPr>
          <w:rFonts w:ascii="Barlow Semi Condensed" w:cs="Barlow Semi Condensed" w:eastAsia="Barlow Semi Condensed" w:hAnsi="Barlow Semi Condensed"/>
          <w:sz w:val="24"/>
          <w:szCs w:val="24"/>
        </w:rPr>
        <w:t xml:space="preserve">La disputa greco-turca sulla piattaforma continentale dell'Egeo si acuì proprio negli anni del secondo mandato di Moro. Verso la fine del 1973 il governo turco concesse alla Türkiye Petrolleri Anonim Ortaklığı (TPAO), la compagnia petrolifera di Stato, licenze di esplorazione per idrocarburi in ventisette zone della piattaforma continentale egea, a est di una linea che partiva dalla foce del fiume Evros a nord e si estendeva verso sud, a ovest delle isole greche di Chios e Psara, in aree che la Grecia riteneva pertinenti alla piattaforma continentale delle proprie isole. Eliamep (https://www.eliamep.gr/en/oi-ellinotourkikes-diafores-sto-thalassio-choro-apo-tin-optiki-tou-diethnous-dikaiou/) Ne seguì uno scambio di note verbali. Con nota verbale del 7 febbraio 1974 il governo greco, fondandosi sul diritto internazionale codificato dagli articoli 1(b) e 2 della Convenzione di Ginevra del 1958 sulla piattaforma continentale, contestò la validità delle licenze turche, riservò i propri diritti sovrani sulla piattaforma adiacente alle coste delle isole e sostenne che la delimitazione dovesse avvenire secondo il principio dell'equidistanza mediante una linea mediana International Court of Justice (https://www.icj-cij.org/node/103115) (così la sentenza della Corte internazionale di giustizia del 19 dicembre 1978, che ricostruisce l'origine della controversia). Con nota verbale del 27 febbraio 1974 il governo turco replicò che «le isole greche situate assai vicino alla costa turca non possiedono una piattaforma continentale propria», International Court of Justice (https://www.icj-cij.org/node/103115) contestando l'applicabilità del criterio invocato da Atene e argomentando che l'Egeo costituisce il prolungamento naturale della penisola anatolica. La Grecia rispose con un'ulteriore nota del 24 maggio 1974. ResearchGate (https://www.researchgate.net/publication/340592573_Aegean_Sea_Continental_Shelf_Greece_v_Turkey) La vicenda sarebbe sfociata, dopo la fase acuta del 1976 (in cui la Grecia adì simultaneamente, il 10 agosto 1976, la Corte internazionale di giustizia e il Consiglio di Sicurezza, che il 25 agosto 1976 adottò la risoluzione 395), International Court of Justice (https://www.icj-cij.org/node/103115) nella sentenza del 19 dicembre 1978 con cui la Corte declinò la propria giurisdizione.</w:t>
      </w:r>
    </w:p>
    <w:p>
      <w:pPr>
        <w:spacing w:after="120" w:line="276"/>
        <w:jc w:val="both"/>
      </w:pPr>
      <w:r>
        <w:rPr>
          <w:rFonts w:ascii="Barlow Semi Condensed" w:cs="Barlow Semi Condensed" w:eastAsia="Barlow Semi Condensed" w:hAnsi="Barlow Semi Condensed"/>
          <w:sz w:val="24"/>
          <w:szCs w:val="24"/>
        </w:rPr>
        <w:t xml:space="preserve">Le posizioni delle due parti vanno riportate ciascuna con il proprio statuto di posizione di parte, senza adottarne alcuna: per la Grecia la piattaforma delle isole è misurata come quella di ogni territorio secondo l'equidistanza; per la Turchia le isole prospicienti la costa anatolica non generano piattaforma autonoma e l'Egeo è prolungamento del continente asiatico (posizione ribadita nel 1976 dal presidente Fahri Korutürk, secondo cui l'Egeo è «un'estensione dell'Asia Minore»). Taylor &amp; Francis Online (https://www.tandfonline.com/doi/abs/10.1080/00908320590909088) Il rapporto fra la questione egea e la crisi cipriota è, sul piano documentale, un rapporto di simultaneità e di comunanza di attori — le medesime cancellerie di Atene e Ankara, i medesimi mesi del 1974 — più che di nesso causale accertato: le due dispute si alimentarono reciprocamente sul piano del clima diplomatico, ma vanno tenute analiticamente distinte, evitando di trattare la contemporaneità come prova di un disegno unitario.</w:t>
      </w:r>
    </w:p>
    <w:p>
      <w:pPr>
        <w:spacing w:after="120" w:line="276"/>
        <w:jc w:val="both"/>
      </w:pPr>
      <w:r>
        <w:rPr>
          <w:rFonts w:ascii="Barlow Semi Condensed" w:cs="Barlow Semi Condensed" w:eastAsia="Barlow Semi Condensed" w:hAnsi="Barlow Semi Condensed"/>
          <w:sz w:val="24"/>
          <w:szCs w:val="24"/>
        </w:rPr>
        <w:t xml:space="preserve">La posizione italiana sulla disputa egea non è documentata da fonti primarie direttamente reperite per il periodo 1973-1974: si registra un esito negativo, con sede di chiusura nell'Archivio Storico Diplomatico della Farnesina. È tuttavia rilevante, come termine di confronto, che l'Italia avesse una prassi consolidata di delimitazione della piattaforma continentale nel Mediterraneo mediante accordi bilaterali: l'Accordo fra Grecia e Italia sulla piattaforma continentale fu firmato il 24 maggio 1977, Taylor &amp; Francis Online (https://www.tandfonline.com/doi/abs/10.1080/00908320590909088) a testimonianza di un metodo negoziale bilaterale che l'Italia praticava nella regione, benché su un fronte diverso da quello egeo conteso. Quanto alla Convenzione di Montreux del 20 luglio 1936 sul regime degli Stretti — Dardanelli, Mar di Marmara e Bosforo —, essa conferiva e conferisce alla Turchia il controllo del transito navale, Agenzia Nova (https://www.agenzianova.com/news/ucraina-russia-erdogan-applicheremo-convenzione-montreux-per-limitare-conflitto/) con regimi distinti per il tempo di pace e di guerra e per le navi mercantili e da guerra. L'Italia non partecipò alla conferenza preparatoria ma aderì successivamente, sottoscrivendo l'accordo il 2 maggio 1938. it.google-info.cn (https://amp.it.google-info.cn/2723395/1/convenzione-di-montreux.html) Wikipedia (https://it.wikipedia.org/wiki/Convenzione_di_Montreux) La rilevanza della Convenzione nel periodo considerato è essenzialmente strategica e di sfondo: essa collocava la Turchia in posizione di custode degli Stretti nell'assetto della guerra fredda, funzione che aveva segnato l'ingresso di Ankara nella sfera di protezione statunitense fin dal contenzioso sovietico del 1945; it.google-info.cn (https://amp.it.google-info.cn/2723395/1/convenzione-di-montreux.html) Wikipedia (https://it.wikipedia.org/wiki/Convenzione_di_Montreux) non si sono però reperiti atti che colleghino specificamente Montreux all'azione ministeriale di Moro.</w:t>
      </w:r>
    </w:p>
    <w:p>
      <w:pPr>
        <w:pStyle w:val="Heading3"/>
        <w:spacing w:after="80" w:before="160"/>
      </w:pPr>
      <w:r>
        <w:rPr>
          <w:rFonts w:ascii="Barlow Semi Condensed" w:cs="Barlow Semi Condensed" w:eastAsia="Barlow Semi Condensed" w:hAnsi="Barlow Semi Condensed"/>
          <w:sz w:val="24"/>
          <w:szCs w:val="24"/>
        </w:rPr>
        <w:t xml:space="preserve">Capitolo VI — I rapporti bilaterali Italia-Turchia 1969-1975</w:t>
      </w:r>
    </w:p>
    <w:p>
      <w:pPr>
        <w:spacing w:after="120" w:line="276"/>
        <w:jc w:val="both"/>
      </w:pPr>
      <w:r>
        <w:rPr>
          <w:rFonts w:ascii="Barlow Semi Condensed" w:cs="Barlow Semi Condensed" w:eastAsia="Barlow Semi Condensed" w:hAnsi="Barlow Semi Condensed"/>
          <w:sz w:val="24"/>
          <w:szCs w:val="24"/>
        </w:rPr>
        <w:t xml:space="preserve">I rapporti bilaterali fra Italia e Turchia nel periodo si iscrivono in una relazione di lunga durata, fondata su secolari legami storici e su una comune identità mediterranea, Esteri (https://ambankara.esteri.it/it/italia-e-turchia/) e su un dato strutturale che le fonti ufficiali italiane sottolineano: la collettività italiana in Turchia, che ha origine medievale ed è definita dalla stessa diplomazia italiana «la più antica colonia italiana al mondo», costituita dagli «Italiani del Levante» Cespi (https://www.cespi.it/sites/default/files/osservatori/allegati/apr._2_marsili_italia-turchia.pdf) insediati principalmente a Istanbul e a Smirne (così l'approfondimento del Cespi n. 2/giugno 2019 sui rapporti bilaterali Italia-Turchia). La presenza istituzionale italiana in Turchia si articolava — e si articola — in un'ambasciata ad Ankara, un consolato generale a Istanbul e un consolato a Smirne, oltre all'Istituto italiano di cultura di Istanbul. Wikipedia (https://it.wikipedia.org/wiki/Relazioni_bilaterali_tra_Italia_e_Turchia) Un elemento di continuità patrimoniale, ricordato dalla pubblicistica diplomatica, è la proprietà italiana dello storico edificio di Istanbul rivendicato nel 1918 dal conte Carlo Sforza, alto commissario italiano per l'attuazione dell'armistizio con l'Impero ottomano. Cespi (https://www.cespi.it/sites/default/files/osservatori/allegati/apr._2_marsili_italia-turchia.pdf)</w:t>
      </w:r>
    </w:p>
    <w:p>
      <w:pPr>
        <w:spacing w:after="120" w:line="276"/>
        <w:jc w:val="both"/>
      </w:pPr>
      <w:r>
        <w:rPr>
          <w:rFonts w:ascii="Barlow Semi Condensed" w:cs="Barlow Semi Condensed" w:eastAsia="Barlow Semi Condensed" w:hAnsi="Barlow Semi Condensed"/>
          <w:sz w:val="24"/>
          <w:szCs w:val="24"/>
        </w:rPr>
        <w:t xml:space="preserve">Sul piano economico e commerciale, la documentazione telematicamente accessibile per gli anni 1969-1975 è lacunosa e non consente di fornire cifre precise sull'interscambio del periodo: si registra un esito parzialmente negativo, la cui sede di chiusura è nella documentazione dell'Istituto nazionale per il commercio estero e negli annuari statistici del commercio con l'estero dell'ISTAT per gli anni considerati, nonché nell'Archivio Storico Diplomatico della Farnesina, serie affari economici. È accertato il quadro pattizio di fondo: i rapporti commerciali bilaterali erano regolati dal Trattato di commercio e navigazione del 29 dicembre 1936 con Protocollo aggiuntivo, in vigore dal 1° gennaio 1937 fra la Repubblica di Turchia e la Repubblica italiana, Gazzetta Ufficiale (https://www.gazzettaufficiale.it/atto/vediMenuHTML?atto.dataPubblicazioneGazzetta=1993-10-15&amp;atto.codiceRedazionale=093A5659&amp;tipoSerie=serie_generale&amp;tipoVigenza=originario) trattato che sarebbe stato modificato solo nel 1992 (con scambio di lettere del 18 settembre – 26 ottobre 1992, per l'abolizione degli articoli da 1 a 5), in considerazione dell'evoluzione della politica commerciale comunitaria. Gazzetta Ufficiale (https://www.gazzettaufficiale.it/atto/vediMenuHTML?atto.dataPubblicazioneGazzetta=1993-10-15&amp;atto.codiceRedazionale=093A5659&amp;tipoSerie=serie_generale&amp;tipoVigenza=originario) Il fatto che tale trattato del 1936 fosse ancora in vigore nel periodo considerato indica che il quadro giuridico bilaterale degli scambi era, negli anni di Moro, quello risalente e non aggiornato, mentre la dimensione comunitaria dei rapporti commerciali con la Turchia era assorbita dall'associazione CEE.</w:t>
      </w:r>
    </w:p>
    <w:p>
      <w:pPr>
        <w:spacing w:after="120" w:line="276"/>
        <w:jc w:val="both"/>
      </w:pPr>
      <w:r>
        <w:rPr>
          <w:rFonts w:ascii="Barlow Semi Condensed" w:cs="Barlow Semi Condensed" w:eastAsia="Barlow Semi Condensed" w:hAnsi="Barlow Semi Condensed"/>
          <w:sz w:val="24"/>
          <w:szCs w:val="24"/>
        </w:rPr>
        <w:t xml:space="preserve">Quanto alle visite ministeriali reciproche, e in particolare a eventuali visite di Moro in Turchia o di ministri turchi in Italia nel periodo, non si sono reperite fonti primarie che le documentino: la fonte diplomatica italiana consultata (Cespi) data le prime visite di Stato di alto livello reciproche ad epoca assai posteriore (le visite dei presidenti Ciampi ad Ankara e Istanbul nel novembre 2005 e Napolitano ad Ankara e Smirne nel novembre 2009 Cespi (https://www.cespi.it/sites/default/files/osservatori/allegati/apr._2_marsili_italia-turchia.pdf) sono presentate come culmine dei rapporti bilaterali), il che, per differenza, suggerisce che negli anni Settanta i contatti fossero di rango prevalentemente tecnico e comunitario più che di vertice bilaterale. Si tratta di un esito negativo, con sede di chiusura nell'Archivio Storico Diplomatico e negli archivi del cerimoniale della Farnesina. Sulla questione della manodopera turca in Europa, il Protocollo addizionale del 1970 prevedeva, come si è visto, la libera circolazione dei lavoratori come traguardo della fase transitoria; ma la posizione italiana specifica su tale profilo non è documentata da fonti primarie reperite, e l'emigrazione turca del periodo era diretta prevalentemente verso la Repubblica Federale di Germania, non verso l'Italia, Paese esso stesso di emigrazione. Data la relativa esiguità del materiale primario, il capitolo è tenuto misurato.</w:t>
      </w:r>
    </w:p>
    <w:p>
      <w:pPr>
        <w:pStyle w:val="Heading3"/>
        <w:spacing w:after="80" w:before="160"/>
      </w:pPr>
      <w:r>
        <w:rPr>
          <w:rFonts w:ascii="Barlow Semi Condensed" w:cs="Barlow Semi Condensed" w:eastAsia="Barlow Semi Condensed" w:hAnsi="Barlow Semi Condensed"/>
          <w:sz w:val="24"/>
          <w:szCs w:val="24"/>
        </w:rPr>
        <w:t xml:space="preserve">Capitolo VII — La questione degli oppiacei</w:t>
      </w:r>
    </w:p>
    <w:p>
      <w:pPr>
        <w:spacing w:after="120" w:line="276"/>
        <w:jc w:val="both"/>
      </w:pPr>
      <w:r>
        <w:rPr>
          <w:rFonts w:ascii="Barlow Semi Condensed" w:cs="Barlow Semi Condensed" w:eastAsia="Barlow Semi Condensed" w:hAnsi="Barlow Semi Condensed"/>
          <w:sz w:val="24"/>
          <w:szCs w:val="24"/>
        </w:rPr>
        <w:t xml:space="preserve">La questione degli oppiacei costituisce, nel periodo considerato, il dossier turco più densamente documentato dalle fonti desecretate statunitensi, e presenta una rilevanza indiretta ma reale per l'Italia. Il governo Ecevit decise il 1° luglio 1974 di revocare il divieto di coltivazione del papavero da oppio che era stato introdotto nel giugno 1971 dal governo di Nihat Erim sotto forte pressione statunitense, esercitata personalmente dal presidente Nixon. state (https://history.state.gov/historicaldocuments/frus1969-76v30/d208) La revoca fu formalizzata con il Decreto n. 7522 del luglio 1974, ResearchGate (https://www.researchgate.net/publication/262013273_A_Very_Gradual_Suppression_A_History_of_Turkish_Opium_Controls_1933-1974) che riautorizzava la coltivazione in sei province e in parte della provincia di Konya. La decisione è documentata in presa diretta dai Foreign Relations of the United States: il telegramma 5213 dell'ambasciata ad Ankara del 2 luglio 1974 (documento 204 del volume XXX) riferisce dell'incontro notturno dell'ambasciatore con Ecevit, il quale confermò che il Consiglio dei ministri aveva approvato il decreto e annunciò che avrebbe chiesto «alle Nazioni Unite consiglio e assistenza tecnica» e che «tutte le misure di controllo raccomandate sarebbero state adottate». state (https://history.state.gov/historicaldocuments/frus1969-76v30/d204) Già il telegramma 1310 del 21 febbraio 1974 (documento 154 del volume E-3) aveva riferito di un lungo colloquio con Ecevit in cui l'ambasciatore, su istruzione di Washington, aveva espresso «strong USG hope that Turkey would not lift poppy ban». state (https://history.state.gov/historicaldocuments/frus1969-76ve03/d154) La reazione di Washington è tracciabile passo per passo: il memorandum di Henry Kissinger al presidente Ford (documento 208 del volume XXX) qualificava la questione come richiedente una decisione presidenziale, ricordando che l'oppio turco era stato «la principale fonte dell'eroina contrabbandata negli Stati Uniti» e che dal divieto del 1971 vi era stato «un drammatico declino della tossicodipendenza da eroina negli Stati Uniti»; state (https://history.state.gov/historicaldocuments/frus1969-76v30/d208) il paper del Gruppo interdipartimentale per l'Europa del Consiglio di sicurezza nazionale (documento 206) analizzava le opzioni di risposta; il National Security Decision Memorandum 267 del 23 agosto 1974 (documento 209 del volume XXX, replicato come documento 164 del volume E-3) impartiva le istruzioni operative, fra cui l'avvio di discussioni con il governo turco e le agenzie delle Nazioni Unite per prevenire il contrabbando. state (https://history.state.gov/historicaldocuments/frus1969-76v30/d209) state (https://history.state.gov/historicaldocuments/frus1969-76ve03/d164)</w:t>
      </w:r>
    </w:p>
    <w:p>
      <w:pPr>
        <w:spacing w:after="120" w:line="276"/>
        <w:jc w:val="both"/>
      </w:pPr>
      <w:r>
        <w:rPr>
          <w:rFonts w:ascii="Barlow Semi Condensed" w:cs="Barlow Semi Condensed" w:eastAsia="Barlow Semi Condensed" w:hAnsi="Barlow Semi Condensed"/>
          <w:sz w:val="24"/>
          <w:szCs w:val="24"/>
        </w:rPr>
        <w:t xml:space="preserve">Il collegamento con la French Connection e con le rotte balcaniche è storiograficamente accertato. La French Connection — la rete che rifiniva a Marsiglia, nei laboratori corsi diretti da esponenti dell'Unione Corse, la morfina base di provenienza anatolica per esportarla come eroina ad alta purezza verso gli Stati Uniti Grokipedia (https://grokipedia.com/page/Turkish_mafia) — dipendeva in misura maggioritaria dall'oppio turco, e il divieto turco del 1971, Discover Walks (https://www.discoverwalks.com/blog/paris/all-about-the-french-connection/) unito allo smantellamento della rete corsa nei primi anni Settanta (con i sequestri del 1972), ne segnò la fine. Il ruolo turco nel traffico si sarebbe poi ristrutturato lungo la cosiddetta rotta balcanica, corridoio terrestre che dagli anni successivi convogliò gli oppiacei dall'Asia sud-occidentale verso l'Europa attraverso la Turchia e i Balcani, Wikipedia (https://en.wikipedia.org/wiki/Balkan_Route) con l'Italia fra i punti di arrivo, in parte via mare mediante traghetti. La rilevanza per l'Italia — Paese di transito e di consumo dell'eroina di provenienza turca e mediorientale — è dunque strutturalmente documentata sul piano criminologico.</w:t>
      </w:r>
    </w:p>
    <w:p>
      <w:pPr>
        <w:spacing w:after="120" w:line="276"/>
        <w:jc w:val="both"/>
      </w:pPr>
      <w:r>
        <w:rPr>
          <w:rFonts w:ascii="Barlow Semi Condensed" w:cs="Barlow Semi Condensed" w:eastAsia="Barlow Semi Condensed" w:hAnsi="Barlow Semi Condensed"/>
          <w:sz w:val="24"/>
          <w:szCs w:val="24"/>
        </w:rPr>
        <w:t xml:space="preserve">Sul piano diplomatico, tuttavia, occorre segnalare un esito negativo circostanziato: non si sono reperite fonti primarie che documentino uno specifico coinvolgimento della Farnesina di Moro nella vicenda della revoca del divieto turco del 1974, né una specifica posizione italiana in sede di Nazioni Unite e di Commissione stupefacenti su quel dossier. La documentazione statunitense mostra un negoziato prevalentemente bilaterale turco-americano, con il ricorso turco alle Nazioni Unite come garante tecnico; l'Italia non compare, nei documenti reperiti, fra gli attori diplomatici della vicenda. La sede di chiusura è duplice: l'Archivio Storico Diplomatico della Farnesina, serie affari sociali e stupefacenti, e gli archivi della Commissione stupefacenti delle Nazioni Unite a Vienna. Va evitata, in particolare, l'inferenza indebita che, poiché l'Italia era Paese di consumo, essa avesse necessariamente assunto una posizione diplomatica attiva: la contemporaneità del problema del consumo interno con la vicenda turca non equivale a un nesso diplomatico documentato.</w:t>
      </w:r>
    </w:p>
    <w:p>
      <w:pPr>
        <w:pStyle w:val="Heading3"/>
        <w:spacing w:after="80" w:before="160"/>
      </w:pPr>
      <w:r>
        <w:rPr>
          <w:rFonts w:ascii="Barlow Semi Condensed" w:cs="Barlow Semi Condensed" w:eastAsia="Barlow Semi Condensed" w:hAnsi="Barlow Semi Condensed"/>
          <w:sz w:val="24"/>
          <w:szCs w:val="24"/>
        </w:rPr>
        <w:t xml:space="preserve">Capitolo VIII — Il Patriarcato ecumenico e la chiusura del Seminario di Halki</w:t>
      </w:r>
    </w:p>
    <w:p>
      <w:pPr>
        <w:spacing w:after="120" w:line="276"/>
        <w:jc w:val="both"/>
      </w:pPr>
      <w:r>
        <w:rPr>
          <w:rFonts w:ascii="Barlow Semi Condensed" w:cs="Barlow Semi Condensed" w:eastAsia="Barlow Semi Condensed" w:hAnsi="Barlow Semi Condensed"/>
          <w:sz w:val="24"/>
          <w:szCs w:val="24"/>
        </w:rPr>
        <w:t xml:space="preserve">La chiusura della Scuola teologica di Halki, sull'isola di Heybeliada nel Mar di Marmara, avvenne nel 1971 durante il primo mandato ministeriale di Moro e costituisce lo snodo più rilevante per la condizione delle minoranze cristiane di Turchia nel periodo. La scuola, operativa dal 1844 sui terreni del monastero della Santissima Trinità (Hagia Triada), Wikipedia (https://en.wikipedia.org/wiki/Halki_seminary) aveva formato nel corso della sua storia dodici patriarchi ecumenici; Asia News (https://www.asianews.it/notizie-it/Halki-e-la-chiesa-biblioteca-di-Adana:-il-futuro-(incerto)-del-patrimonio-cristiano-turco-65440.html) la testata Türkiye Today (2026) precisa che «over 127 years of operation, it produced approximately 990 graduates, among them 12 Ecumenical Patriarchs, including Bartholomew I himself, as well as the heads of the churches of Alexandria, Antioch, Athens, and Albania», Türkiye Today (https://www.turkiyetoday.com/nation/turkiye-plans-to-reopen-halki-seminary-as-university-after-more-than-50-years-3222222) mentre l'Arcidiocesi greco-ortodossa d'America (GOARCH) fornisce una stima divergente e più ampia — «330 bishops, one exarch, five archbishops, and seventeen patriarchs» Greek Orthodox Archdiocese of America (https://www.goarch.org/-/he-halki) — divergenza numerica che qui si riporta anziché risolvere. Era, in ogni caso, l'unica istituzione educativa greco-ortodossa in Turchia deputata alla formazione della leadership religiosa. La Fiaccola (https://www.lafiaccola.it/wp/alla-conferenza-dellosce-il-patriarcato-ecumenico-e-la-minoranza-greca-in-turchia/) La chiusura fu conseguenza di una sentenza della Corte costituzionale turca Internazionale (https://www.internazionale.it/ultime-notizie-reuters/2026/06/21/erdogan-orders-talks-to-reopen-orthodox-christian-seminary-in-turkey-a-focus-for-trump) che, in attuazione del principio secondo cui gli istituti privati di istruzione superiore dovevano essere affiliati alle università statali — requisito respinto dal Patriarcato Internazionale (https://www.internazionale.it/ultime-notizie-reuters/2026/06/21/erdogan-orders-talks-to-reopen-orthodox-christian-seminary-in-turkey-a-focus-for-trump) —, forzò di fatto la cessazione dell'attività accademica. Le fonti divergono lievemente sulla qualificazione dell'atto: alcune parlano di «decreto del parlamento turco», SettimanaNews (https://www.settimananews.it/chiesa/turchia-bartolomeo-fiducioso-sulla-riapertura-di-halki/) altre di «sentenza della Corte Costituzionale», Asia News (https://www.asianews.it/notizie-it/Halki-e-la-chiesa-biblioteca-di-Adana:-il-futuro-(incerto)-del-patrimonio-cristiano-turco-65440.html) altre ancora di chiusura «dai militari»; Il Sole 24 ORE (https://www.ilsole24ore.com/art/notizie/2012-07-11/turchi-vogliono-chiudere-monastero-192229.shtml?uuid=AbqTFS6F) la divergenza va riportata anziché risolta silenziosamente, fermo restando l'anno 1971 e la motivazione formale della legge sull'istruzione superiore privata.</w:t>
      </w:r>
    </w:p>
    <w:p>
      <w:pPr>
        <w:spacing w:after="120" w:line="276"/>
        <w:jc w:val="both"/>
      </w:pPr>
      <w:r>
        <w:rPr>
          <w:rFonts w:ascii="Barlow Semi Condensed" w:cs="Barlow Semi Condensed" w:eastAsia="Barlow Semi Condensed" w:hAnsi="Barlow Semi Condensed"/>
          <w:sz w:val="24"/>
          <w:szCs w:val="24"/>
        </w:rPr>
        <w:t xml:space="preserve">Il contesto ecclesiale è segnato dalla morte del patriarca ecumenico Atenagora I, avvenuta a Istanbul. Le fonti presentano una piccola ma reale divergenza sulla data e circostanza: la Wikipedia inglese indica che egli «was hospitalized on 6 July 1972, for a broken hip, but died from kidney failure in Istanbul the following day at the age of 86», Wikipedia (https://en.wikipedia.org/wiki/Athenagoras_I_of_Constantinople) dunque il 7 luglio 1972 (data recepita anche dal martirologio del Monastero di Bose), e fu sepolto nel cimitero della Chiesa di Santa Maria della Fonte a Balıklı; Wikipedia (https://en.wikipedia.org/wiki/Athenagoras_I_of_Constantinople) la fonte accademica spagnola di Ángel Santos, S.J. («Atenágoras, Patriarca Ecuménico y unionista», Universidad Pontificia de Salamanca) colloca invece il decesso «a últimas horas de la tarde del 6 de julio (1972)» nell'ospedale di Balıklı; UPSA (https://summa.upsa.es/high.raw?id=0000001470&amp;name=00000001.original.pdf) la divergenza fra il 6 e il 7 luglio va riportata. Atenagora era stato il protagonista, con Paolo VI, del disgelo ecumenico avviato con l'incontro di Gerusalemme del 5 gennaio 1964 Arche (https://fraternita.arche.it/testimoni/atenagora-i/) e culminato nella Dichiarazione comune del 7 dicembre 1965 che revocò le reciproche scomuniche del 1054. Thearda (https://www.thearda.com/us-religion/history/timelines/entry?etype=5&amp;eid=141) Wikipedia (https://en.wikipedia.org/wiki/Athenagoras_I_of_Constantinople) Gli succedette Dimitrios I, che le fonti indicano essere stato negli ultimi anni il collaboratore di fiducia dell'anziano Atenagora. La condizione della minoranza greco-ortodossa di Istanbul, già gravemente compromessa dal pogrom del 1955 e dalle espulsioni del 1964, si aggravò ulteriormente con la chiusura di Halki, che privava il Patriarcato del proprio vivaio di clero. Un vincolo ulteriore, imposto dalla legislazione turca in attuazione del Trattato di Losanna, è il requisito della cittadinanza turca per il patriarca ecumenico e per i membri del Santo Sinodo. La Fiaccola (https://www.lafiaccola.it/wp/alla-conferenza-dellosce-il-patriarcato-ecumenico-e-la-minoranza-greca-in-turchia/)</w:t>
      </w:r>
    </w:p>
    <w:p>
      <w:pPr>
        <w:spacing w:after="120" w:line="276"/>
        <w:jc w:val="both"/>
      </w:pPr>
      <w:r>
        <w:rPr>
          <w:rFonts w:ascii="Barlow Semi Condensed" w:cs="Barlow Semi Condensed" w:eastAsia="Barlow Semi Condensed" w:hAnsi="Barlow Semi Condensed"/>
          <w:sz w:val="24"/>
          <w:szCs w:val="24"/>
        </w:rPr>
        <w:t xml:space="preserve">Sulla questione cruciale dell'obiettivo di ricerca — se la chiusura di Halki, avvenuta durante il primo mandato di Moro, abbia prodotto reazioni diplomatiche italiane o vaticane documentate — si registra un esito negativo. Non si sono reperite fonti primarie che attestino una reazione ufficiale della Santa Sede o del governo italiano alla chiusura del 1971. È accertato il quadro dei rapporti fra Paolo VI e il Patriarcato in quegli anni, improntato al disgelo ecumenico; ma il nesso specifico fra tale disgelo e una eventuale presa di posizione sulla chiusura di Halki non è documentato dalle fonti reperite. La sede di chiusura è duplice: l'Archivio Apostolico Vaticano e l'archivio della Segreteria di Stato per il pontificato di Paolo VI, e l'archivio del Patriarcato ecumenico. Va evitata l'inferenza che l'esistenza del dialogo ecumenico implichi di per sé una reazione diplomatica documentata alla chiusura della scuola.</w:t>
      </w:r>
    </w:p>
    <w:p>
      <w:pPr>
        <w:pStyle w:val="Heading3"/>
        <w:spacing w:after="80" w:before="160"/>
      </w:pPr>
      <w:r>
        <w:rPr>
          <w:rFonts w:ascii="Barlow Semi Condensed" w:cs="Barlow Semi Condensed" w:eastAsia="Barlow Semi Condensed" w:hAnsi="Barlow Semi Condensed"/>
          <w:sz w:val="24"/>
          <w:szCs w:val="24"/>
        </w:rPr>
        <w:t xml:space="preserve">Capitolo IX — Le comunità cattoliche di Turchia e la Santa Sede</w:t>
      </w:r>
    </w:p>
    <w:p>
      <w:pPr>
        <w:spacing w:after="120" w:line="276"/>
        <w:jc w:val="both"/>
      </w:pPr>
      <w:r>
        <w:rPr>
          <w:rFonts w:ascii="Barlow Semi Condensed" w:cs="Barlow Semi Condensed" w:eastAsia="Barlow Semi Condensed" w:hAnsi="Barlow Semi Condensed"/>
          <w:sz w:val="24"/>
          <w:szCs w:val="24"/>
        </w:rPr>
        <w:t xml:space="preserve">Le comunità cattoliche di Turchia costituivano e costituiscono una minoranza minima all'interno di un Paese a stragrande maggioranza musulmana. La struttura ecclesiastica cattolica è articolata su più riti: la Chiesa latina comprende il Vicariato apostolico di Istanbul, l'Arcidiocesi di Smirne e il Vicariato apostolico dell'Anatolia SettimanaNews (https://www.settimananews.it/ecumenismo-dialogo/chiesa-latina-turchia-dal-dentro/) (quest'ultimo eretto nella forma attuale nel 1990, con il decreto Quo melius della Congregazione per le Chiese Orientali del 30 novembre 1990); Wikipedia (https://it.wikipedia.org/wiki/Vicariato_apostolico_di_Istanbul) ad essa si affiancano le circoscrizioni di rito orientale, ovvero l'Arcieparchia armena cattolica di Istanbul, la comunità caldea (storicamente riferita a Diyarbakır) e quella siro-cattolica, oltre a un Esarcato apostolico per i cattolici di rito bizantino. La consistenza numerica complessiva è dell'ordine di alcune decine di migliaia di fedeli. Le stime, che le fonti presentano con qualche divergenza da riportare, oscillano attorno ai sessantamila cattolici: l'agenzia AgenSIR (27 novembre 2025) indica che «i cattolici presenti nel Paese sono circa 60.000, equivalenti allo 0,07% della popolazione, composta prevalentemente da musulmani», SettimanaNews (https://www.settimananews.it/chiesa/cattolici-in-turchia/) SIR (https://www.agensir.it/chiesa/2025/11/27/le-comunita-cristiane-in-turchia-tra-storia-e-attualita/) mentre una stima più ridotta — 25-30.000, meno dello 0,04% SIR (https://www.agensir.it/quotidiano/2026/4/9/turchia-rapporto-cespi-chiese-scuole-e-proprieta-sono-le-sfide-quotidiane-dei-cattolici-e-dei-cristiani-nel-paese/) — è ripresa da AgenSIR il 9 aprile 2026 su base di un rapporto Cespi; la divergenza va riportata. Nel dettaglio, il Vicariato apostolico di Istanbul è indicato in circa quindicimila-diciassettemila battezzati, l'Arcidiocesi di Smirne in poco più di milletrecento fedeli (una fonte indica 1.350), il Vicariato dell'Anatolia in circa millecinquecento; per i riti orientali, l'arcidiocesi armena cattolica di Istanbul è stimata in 3.670 fedeli, i caldei in 5.993, i siri cattolici in 2.155 Fratesole (https://turchia.fratesole.com/approfondimenti/i-cristiani-nellimpero-ottomano-e-nella-turchia-moderna/) (fonte: turchia.fratesole.com). Una fonte vaticana recente distingue, per il solo vicariato latino di Istanbul, «poco più di diecimila fedeli locali» e «circa trentamila fedeli stranieri, rifugiati o migranti», Vatican News (https://www.vaticannews.va/it/chiesa/news/2025-11/turchia-un-paese-che-e-ponte-mosaico-diamante.html) segnalando così il carattere prevalentemente non autoctono della comunità.</w:t>
      </w:r>
    </w:p>
    <w:p>
      <w:pPr>
        <w:spacing w:after="120" w:line="276"/>
        <w:jc w:val="both"/>
      </w:pPr>
      <w:r>
        <w:rPr>
          <w:rFonts w:ascii="Barlow Semi Condensed" w:cs="Barlow Semi Condensed" w:eastAsia="Barlow Semi Condensed" w:hAnsi="Barlow Semi Condensed"/>
          <w:sz w:val="24"/>
          <w:szCs w:val="24"/>
        </w:rPr>
        <w:t xml:space="preserve">Lo statuto giuridico delle Chiese cristiane nella Turchia laica è definito, in senso restrittivo, dal Trattato di Losanna del 24 luglio 1923 e dalla legislazione sulle fondazioni. I governi turchi hanno costantemente interpretato gli articoli del Trattato relativi alle minoranze nel senso di riconoscere come minoranze religiose soltanto quelle ufficialmente riconosciute al tempo dell'Impero ottomano — greco-ortodossi, armeni ed ebrei —, con la conseguenza che le comunità caldea, siro-cattolica, siro-ortodossa, latina e protestante sono considerate «straniere» e dunque non tutelate dalle disposizioni di Losanna. Fratesole (https://turchia.fratesole.com/approfondimenti/i-cristiani-nellimpero-ottomano-e-nella-turchia-moderna/) Tale interpretazione restrittiva è stata contestata dalle comunità escluse e da organismi internazionali, fra cui la Commissione delle Nazioni Unite per i diritti dell'uomo. Fratesole (https://turchia.fratesole.com/approfondimenti/i-cristiani-nellimpero-ottomano-e-nella-turchia-moderna/) La questione armena va trattata, entro il perimetro assegnato, unicamente per quanto attiene alla condizione della comunità armena cattolica di Turchia: essa condivideva con le altre minoranze cattoliche la piccolezza numerica e la fragilità statutaria, pur beneficiando — in quanto armena — del riconoscimento formale di Losanna sul versante della minoranza etnico-religiosa, distinto però dal rito cattolico.</w:t>
      </w:r>
    </w:p>
    <w:p>
      <w:pPr>
        <w:spacing w:after="120" w:line="276"/>
        <w:jc w:val="both"/>
      </w:pPr>
      <w:r>
        <w:rPr>
          <w:rFonts w:ascii="Barlow Semi Condensed" w:cs="Barlow Semi Condensed" w:eastAsia="Barlow Semi Condensed" w:hAnsi="Barlow Semi Condensed"/>
          <w:sz w:val="24"/>
          <w:szCs w:val="24"/>
        </w:rPr>
        <w:t xml:space="preserve">Le relazioni diplomatiche fra Santa Sede e Turchia furono istituite nel 1960 con l'erezione dell'Internunziatura apostolica di Turchia, avvenuta il 25 gennaio 1960; l'Internunziatura fu elevata al rango di Nunziatura apostolica Cathopedia (https://it.cathopedia.org/wiki/Delegato_apostolico_in_Turchia) da Paolo VI il 30 agosto 1966 con il breve Optimo sane. Cathopedia (https://it.cathopedia.org/wiki/Delegato_apostolico_in_Turchia) Anteriormente, la rappresentanza pontificia era assicurata da un Delegato apostolico, figura non ufficialmente diplomatica ma trattata alla stregua di diplomatico. East Journal (https://www.eastjournal.net/archives/145757) È a questo punto che si colloca l'elemento di memoria condivisa di maggior rilievo: Angelo Giuseppe Roncalli, futuro Giovanni XXIII, fu delegato apostolico in Turchia — e amministratore del Vicariato apostolico di Istanbul — dal 1935 al 1944 (le fonti oscillano fra il 1934 e il 1935 come anno d'inizio effettivo; la Cathopedia indica la nomina al 12 gennaio 1935 e la conclusione al 23 dicembre 1944, quando Roncalli fu nominato nunzio apostolico in Francia). Cathopedia (https://it.cathopedia.org/wiki/Delegato_apostolico_in_Turchia) Roncalli operò in una comunità cattolica che al suo arrivo contava circa trentamila fedeli dei vari riti e che andò via via diminuendo; Terrasanta (https://www.terrasanta.net/2014/03/il-decennio-turco-di-monsignor-roncalli/) la sua figura è unanimemente ricordata, dalle fonti italiane e turche, come «ponte» fra mondi e come radice dell'amicizia che nel 1960 avrebbe condotto alle relazioni diplomatiche. Va segnalato, come dato archivistico rilevante, che la documentazione delle relazioni Santa Sede-Turchia è conservata in Segreteria di Stato prevalentemente in italiano e francese, e che studiosi come Rinaldo Marmara ne hanno avviato la trascrizione e catalogazione. Istanbulofm (https://www.istanbulofm.org/2021/11/le-relazioni-diplomatiche-turchia-santa.html) Non si sono reperite, nel perimetro della ricerca, tracce di un coinvolgimento italiano nella condizione delle minoranze cristiane di Turchia negli anni di Moro: la memoria roncalliana appartiene alla Santa Sede, non alla diplomazia della Repubblica.</w:t>
      </w:r>
    </w:p>
    <w:p>
      <w:pPr>
        <w:pStyle w:val="Heading3"/>
        <w:spacing w:after="80" w:before="160"/>
      </w:pPr>
      <w:r>
        <w:rPr>
          <w:rFonts w:ascii="Barlow Semi Condensed" w:cs="Barlow Semi Condensed" w:eastAsia="Barlow Semi Condensed" w:hAnsi="Barlow Semi Condensed"/>
          <w:sz w:val="24"/>
          <w:szCs w:val="24"/>
        </w:rPr>
        <w:t xml:space="preserve">Capitolo X — L'Opus Dei in Turchia</w:t>
      </w:r>
    </w:p>
    <w:p>
      <w:pPr>
        <w:spacing w:after="120" w:line="276"/>
        <w:jc w:val="both"/>
      </w:pPr>
      <w:r>
        <w:rPr>
          <w:rFonts w:ascii="Barlow Semi Condensed" w:cs="Barlow Semi Condensed" w:eastAsia="Barlow Semi Condensed" w:hAnsi="Barlow Semi Condensed"/>
          <w:sz w:val="24"/>
          <w:szCs w:val="24"/>
        </w:rPr>
        <w:t xml:space="preserve">L'ottavo obiettivo di ricerca chiedeva di verificare se l'Opus Dei abbia o abbia avuto presenza in Turchia, interrogando l'elenco ufficiale dell'ente delle date di inizio del lavoro stabile nei vari Paesi e l'elenco delle circoscrizioni regionali. La previsione, dichiarata in anticipo perché il suo esito è esso stesso un risultato, era che la Turchia non vi figurasse, come non vi figurano la Grecia e Cipro. La ricognizione conferma la previsione, con la precisazione che l'accertamento è parzialmente indiretto e ne va dichiarata la ragione. La fonte ufficiale dell'ente (opusdei.org, pagina «La storia dell'Opus Dei») attesta verbatim che «l'Opus Dei fu fondato nel 1928 in Spagna. È presente in 68 Paesi», Opus Dei (https://opusdei.org/it-it/article/storia/) Opus Dei (https://opusdei.org/it-it/page/lopus-dei/) e la pagina istituzionale rinvia a un prospetto delle «date di inizio del lavoro stabile dell'Opus Dei nei vari Paesi»; la Wikipedia stima i membri in 85.000 (2025). Wikipedia (https://en.wikipedia.org/wiki/Opus_Dei) La consultazione telematica della pagina di storia dell'ente non ha restituito l'elenco analitico completo dei 68 Paesi con le rispettive date, per limiti di estrazione del contenuto; ma la cifra di 68 Paesi, incrociata con la fisionomia geografica dell'espansione dell'ente e con l'assenza — già accertata nelle ricognizioni greca e cipriota — di Grecia e Cipro dal medesimo elenco, rende la Turchia assente in modo altamente probabile. La sede di chiusura definitiva è la consultazione integrale del prospetto ufficiale delle date di inizio del lavoro stabile e dell'elenco delle circoscrizioni regionali (delegazioni e regioni) dell'ente.</w:t>
      </w:r>
    </w:p>
    <w:p>
      <w:pPr>
        <w:spacing w:after="120" w:line="276"/>
        <w:jc w:val="both"/>
      </w:pPr>
      <w:r>
        <w:rPr>
          <w:rFonts w:ascii="Barlow Semi Condensed" w:cs="Barlow Semi Condensed" w:eastAsia="Barlow Semi Condensed" w:hAnsi="Barlow Semi Condensed"/>
          <w:sz w:val="24"/>
          <w:szCs w:val="24"/>
        </w:rPr>
        <w:t xml:space="preserve">Non si sono reperite opere educative dell'Opus Dei in Turchia, né membri turchi documentati come tali, né circoscrizioni regionali dell'ente comprendenti la Turchia. Le uniche occorrenze del binomio «Opus Dei» e «Turchia» reperite nelle fonti sono di natura affatto diversa e non provano una presenza dell'ente nel Paese: da un lato una testimonianza, pubblicata dall'ente stesso, di studenti musulmani e di un turco ortodosso ospiti di una residenza universitaria diretta da membri dell'Opus Dei a Strasburgo, in Francia Opus Dei (https://opusdei.org/en/article/two-muslims-and-a-turkish-orthodox-life-in-nideck-residence/) — dunque fuori dalla Turchia; dall'altro un articolo del quotidiano turco Daily Sabah (22 gennaio 2015) che accosta, sul piano puramente comparativo e polemico, la struttura del movimento di Fethullah Gülen a quella dell'Opus Dei Daily Sabah (https://www.dailysabah.com/politics/2015/01/22/gulen-movement-displays-resemblance-to-opus-dei) — accostamento giornalistico che non ha valore probatorio di alcuna presenza istituzionale. Va inoltre segnalato che l'unica connessione recente fra l'ente e la Turchia riguarda la cronaca ecclesiale generale (il viaggio apostolico di Leone XIV in Turchia e Libano del 27 novembre – 2 dicembre 2025, Opus Dei (https://opusdei.org/en-us/article/journey-pope-leo-xiv-turkey-lebanon-2025) riportato anche dal sito dell'Opus Dei), che nulla dice circa un radicamento dell'ente nel Paese.</w:t>
      </w:r>
    </w:p>
    <w:p>
      <w:pPr>
        <w:spacing w:after="120" w:line="276"/>
        <w:jc w:val="both"/>
      </w:pPr>
      <w:r>
        <w:rPr>
          <w:rFonts w:ascii="Barlow Semi Condensed" w:cs="Barlow Semi Condensed" w:eastAsia="Barlow Semi Condensed" w:hAnsi="Barlow Semi Condensed"/>
          <w:sz w:val="24"/>
          <w:szCs w:val="24"/>
        </w:rPr>
        <w:t xml:space="preserve">Se ne trae la conseguenza analitica che consolida il modello già emerso nelle due ricognizioni anteriori. La presenza dell'Opus Dei nei Paesi del Mediterraneo orientale a maggioranza non cattolica è nulla, e la variabile discriminante dell'insediamento non è la natura del regime né la mera presenza di minoranze cattoliche, bensì la compresenza di una maggioranza cattolica e di un ceto universitario e professionale cattolico su cui l'apostolato dell'ente — nato nel 1933 con l'Accademia DYA, rivolta a studenti di Diritto e Architettura — possa radicarsi. Il caso turco è il più probante dei tre, perché somma tre fattori: maggioranza musulmana (attorno al 99 per cento della popolazione), La Nuova Bussola Quotidiana (https://lanuovabq.it/it/istanbul-ha-un-nuovo-vicario-apostolico) laicità dello Stato con controllo statale dell'istruzione religiosa (la stessa legge che chiuse Halki vietava l'istruzione superiore privata non affiliata alle università di Stato, precludendo così anche l'eventuale radicamento educativo di enti confessionali), e minoranza cattolica minima e in larga parte straniera. Il Libano, con inizio del lavoro stabile dell'ente dal 1996, resta il termine di confronto regionale che illumina per contrasto il caso turco: là dove esiste un ceto cattolico autoctono di dimensione significativa l'ente si insedia, là dove non esiste no. Si ribadisce, in conformità ai requisiti di metodo, che l'appartenenza di una persona all'Opus Dei non potrebbe comunque essere trattata come prova di una condotta dell'ente, e che qui non si è in ogni caso reperito alcun membro turco.</w:t>
      </w:r>
    </w:p>
    <w:p>
      <w:pPr>
        <w:pStyle w:val="Heading3"/>
        <w:spacing w:after="80" w:before="160"/>
      </w:pPr>
      <w:r>
        <w:rPr>
          <w:rFonts w:ascii="Barlow Semi Condensed" w:cs="Barlow Semi Condensed" w:eastAsia="Barlow Semi Condensed" w:hAnsi="Barlow Semi Condensed"/>
          <w:sz w:val="24"/>
          <w:szCs w:val="24"/>
        </w:rPr>
        <w:t xml:space="preserve">Capitolo XI — Documenti desecretati e stato degli archivi</w:t>
      </w:r>
    </w:p>
    <w:p>
      <w:pPr>
        <w:spacing w:after="120" w:line="276"/>
        <w:jc w:val="both"/>
      </w:pPr>
      <w:r>
        <w:rPr>
          <w:rFonts w:ascii="Barlow Semi Condensed" w:cs="Barlow Semi Condensed" w:eastAsia="Barlow Semi Condensed" w:hAnsi="Barlow Semi Condensed"/>
          <w:sz w:val="24"/>
          <w:szCs w:val="24"/>
        </w:rPr>
        <w:t xml:space="preserve">Il nono e il decimo obiettivo di ricerca riguardano le fonti desecretate e lo stato di accessibilità degli archivi. La serie Foreign Relations of the United States si è rivelata la fonte primaria desecretata di gran lunga più produttiva per il versante turco del periodo. Il volume XXX del ciclo 1969-1976, dedicato a Grecia, Cipro e Turchia 1973-1976, e il volume E-3 (Documents on Global Issues) contengono la documentazione più densa sulla vicenda degli oppiacei: si sono citati il telegramma 1310 da Ankara del 21 febbraio 1974 sull'incontro con Ecevit a proposito del divieto (documento 154 del volume E-3), il telegramma 5213 del 2 luglio 1974 sulla revoca (documento 204 del volume XXX), il memorandum Kissinger-Ford (documento 208), il paper del Gruppo interdipartimentale per l'Europa del Consiglio di sicurezza nazionale (documento 206) e il National Security Decision Memorandum 267 del 23 agosto 1974 (documento 209 del volume XXX e documento 164 del volume E-3). Per la posizione italiana nell'assetto atlantico sono già stati richiamati i documenti 16 (telegramma da Bruxelles del 4 luglio 1974) e 23 (30 agosto 1974) del volume XXX. Il documento 200 del volume XXX (telegramma da Ankara) documenta le posizioni turche sulla disputa egea, con l'attenzione ai vertici militari e civili turchi, incluso il presidente Fahri Korutürk, ex comandante di flotta. state (https://history.state.gov/historicaldocuments/frus1969-76v30/d200) Riferimenti diretti a colloqui di Moro sulla questione turca non sono emersi nella documentazione FRUS reperita: è un esito negativo, la cui sede di chiusura è la consultazione integrale dei volumi FRUS 1969-1976 pertinenti, inclusi i volumi anteriori per il 1969-1972, e l'indice per nome.</w:t>
      </w:r>
    </w:p>
    <w:p>
      <w:pPr>
        <w:spacing w:after="120" w:line="276"/>
        <w:jc w:val="both"/>
      </w:pPr>
      <w:r>
        <w:rPr>
          <w:rFonts w:ascii="Barlow Semi Condensed" w:cs="Barlow Semi Condensed" w:eastAsia="Barlow Semi Condensed" w:hAnsi="Barlow Semi Condensed"/>
          <w:sz w:val="24"/>
          <w:szCs w:val="24"/>
        </w:rPr>
        <w:t xml:space="preserve">Quanto alla CIA FOIA Electronic Reading Room e alla collezione CREST, la ricerca — che il committente aveva prefigurato con esito atteso negativo per quanto attiene all'Opus Dei — non ha prodotto, nell'ambito telematicamente esplorato, documenti pertinenti su una relazione fra l'Opus Dei e la Turchia, conformemente alla previsione. Sui temi turchi generali (Ecevit, Süleyman Demirel, il memorandum dei generali e il colpo di Stato militare del 12 marzo 1971, l'estrema destra dei Lupi Grigi e il Milliyetçi Hareket Partisi di Alparslan Türkeş) la collezione CREST è in linea di principio la sede appropriata, ma non è stata direttamente interrogata nell'ambito della presente ricognizione per esaurimento del budget di ricerca; se ne segnala l'esplorazione come acquisizione ancora da conseguire, con sede nella Electronic Reading Room della CIA.</w:t>
      </w:r>
    </w:p>
    <w:p>
      <w:pPr>
        <w:spacing w:after="120" w:line="276"/>
        <w:jc w:val="both"/>
      </w:pPr>
      <w:r>
        <w:rPr>
          <w:rFonts w:ascii="Barlow Semi Condensed" w:cs="Barlow Semi Condensed" w:eastAsia="Barlow Semi Condensed" w:hAnsi="Barlow Semi Condensed"/>
          <w:sz w:val="24"/>
          <w:szCs w:val="24"/>
        </w:rPr>
        <w:t xml:space="preserve">Sullo stato degli archivi, il quadro è il seguente. L'Archivio Storico Diplomatico del Ministero degli Affari Esteri italiano, per la serie Turchia 1969-1975, è la sede primaria per la posizione italiana, con l'avvertenza già accertata nelle ricognizioni anteriori che i Telegrammi 1942-1970 risultavano temporaneamente esclusi dalla consultazione per lavori di ristrutturazione. Gli archivi diplomatici turchi del Dışişleri Bakanlığı e gli archivi di Stato della Repubblica di Turchia costituiscono il naturale contraltare, di accessibilità variabile e spesso condizionata. L'archivio del Patriarcato ecumenico è la sede per la vicenda di Halki e per la condizione della minoranza greco-ortodossa. L'Archivio Apostolico Vaticano, per il pontificato di Paolo VI, è la sede per i rapporti Santa Sede-Turchia e per l'eventuale reazione vaticana alla chiusura di Halki; va ricordato che la documentazione delle relazioni Santa Sede-Turchia in Segreteria di Stato è in italiano e francese. L'Archivio Aldo Moro, ripartito fra l'Archivio storico del Senato e l'Archivio Centrale dello Stato, e l'edizione digitale delle carte Moro curata dall'Università di Bologna (aldomorodigitale.unibo.it), sono le sedi per l'azione ministeriale di Moro; l'introduzione di Guido Formigoni a tale edizione conferma la cronologia dei due mandati e ne sottolinea la lunghezza e il rilievo. Unibo (https://aldomorodigitale.unibo.it/additional_resources/?id=141&amp;type=introduction) Per gli atti parlamentari, si ribadisce che i resoconti stenografici della VI legislatura vanno consultati in forma cartacea o nei portali storici, poiché la banca dati del sindacato ispettivo copre soltanto dalla settima legislatura, cioè dal 5 luglio 1976.</w:t>
      </w:r>
    </w:p>
    <w:p>
      <w:pPr>
        <w:pStyle w:val="Heading3"/>
        <w:spacing w:after="80" w:before="16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Si raccolgono qui, ordinate per rendimento atteso decrescente, le acquisizioni documentali necessarie e non conseguite, ciascuna con la sede e la condizione di chiusura, nella convinzione — ribadita in premessa — che l'esito negativo circostanziato sia acquisizione di pieno valore.</w:t>
      </w:r>
    </w:p>
    <w:p>
      <w:pPr>
        <w:spacing w:after="120" w:line="276"/>
        <w:jc w:val="both"/>
      </w:pPr>
      <w:r>
        <w:rPr>
          <w:rFonts w:ascii="Barlow Semi Condensed" w:cs="Barlow Semi Condensed" w:eastAsia="Barlow Semi Condensed" w:hAnsi="Barlow Semi Condensed"/>
          <w:sz w:val="24"/>
          <w:szCs w:val="24"/>
        </w:rPr>
        <w:t xml:space="preserve">La prima e più remunerativa acquisizione mancante è la legge italiana di autorizzazione alla ratifica ed esecuzione del pacchetto di atti dell'associazione CEE-Turchia comprendente il Protocollo addizionale del 23 novembre 1970: ne restano da accertare il numero, la data e i riferimenti di Gazzetta Ufficiale della Repubblica Italiana, nonché l'eventuale dibattito parlamentare della VI legislatura. La sede di chiusura è Normattiva, il portale storico della Camera (sezione «Norme fondamentali e leggi», filtro 1972-1973), la Gazzetta Ufficiale storica per il 1972-1973 e il fascicolo del disegno di legge presso l'Archivio storico del Senato. Il rendimento atteso è massimo perché si tratta di un atto datato, cadente nel mandato di Moro, e di reperibilità in linea di principio agevole una volta superato il blocco all'accesso automatizzato dei portali.</w:t>
      </w:r>
    </w:p>
    <w:p>
      <w:pPr>
        <w:spacing w:after="120" w:line="276"/>
        <w:jc w:val="both"/>
      </w:pPr>
      <w:r>
        <w:rPr>
          <w:rFonts w:ascii="Barlow Semi Condensed" w:cs="Barlow Semi Condensed" w:eastAsia="Barlow Semi Condensed" w:hAnsi="Barlow Semi Condensed"/>
          <w:sz w:val="24"/>
          <w:szCs w:val="24"/>
        </w:rPr>
        <w:t xml:space="preserve">La seconda acquisizione mancante è l'identità del plenipotenziario che firmò per la Repubblica italiana il Protocollo addizionale del 23 novembre 1970: se sia stato Aldo Moro, ministro degli Esteri in carica a quella data, o un sottosegretario o plenipotenziario delegato. La sede di chiusura è il testo integrale dell'Atto finale in EUR-Lex CELEX 21970A1123(01), sezione «Per la Repubblica italiana», da consultarsi manualmente, e la Gazzetta ufficiale delle Comunità europee L 293 del 29 dicembre 1972, pagine 4-56. Il rendimento atteso è alto perché il dato è puntuale e dirimente per la triangolazione fra Moro e la Turchia, ed è già circoscritto a una fonte identificata.</w:t>
      </w:r>
    </w:p>
    <w:p>
      <w:pPr>
        <w:spacing w:after="120" w:line="276"/>
        <w:jc w:val="both"/>
      </w:pPr>
      <w:r>
        <w:rPr>
          <w:rFonts w:ascii="Barlow Semi Condensed" w:cs="Barlow Semi Condensed" w:eastAsia="Barlow Semi Condensed" w:hAnsi="Barlow Semi Condensed"/>
          <w:sz w:val="24"/>
          <w:szCs w:val="24"/>
        </w:rPr>
        <w:t xml:space="preserve">La terza acquisizione mancante è la posizione italiana specifica su tre dossier: la crisi cipriota vista verso la Turchia (distinta da quella verso la Grecia), l'embargo statunitense del 1975 e la disputa egea. La sede di chiusura è l'Archivio Storico Diplomatico della Farnesina, serie Turchia, Cipro e Comunità europee 1974-1975, e la corrispondenza con la rappresentanza italiana presso la NATO, con l'avvertenza dell'esclusione temporanea dei Telegrammi 1942-1970. Il rendimento atteso è medio-alto, ma condizionato dai tempi di riordino dell'archivio.</w:t>
      </w:r>
    </w:p>
    <w:p>
      <w:pPr>
        <w:spacing w:after="120" w:line="276"/>
        <w:jc w:val="both"/>
      </w:pPr>
      <w:r>
        <w:rPr>
          <w:rFonts w:ascii="Barlow Semi Condensed" w:cs="Barlow Semi Condensed" w:eastAsia="Barlow Semi Condensed" w:hAnsi="Barlow Semi Condensed"/>
          <w:sz w:val="24"/>
          <w:szCs w:val="24"/>
        </w:rPr>
        <w:t xml:space="preserve">La quarta acquisizione mancante è l'eventuale reazione diplomatica italiana o vaticana alla chiusura del Seminario di Halki del 1971. La sede di chiusura è l'Archivio Apostolico Vaticano e la Segreteria di Stato per il pontificato di Paolo VI, l'archivio del Patriarcato ecumenico e l'Archivio Storico Diplomatico della Farnesina. Il rendimento atteso è medio, perché la stessa esistenza di una reazione documentata è incerta.</w:t>
      </w:r>
    </w:p>
    <w:p>
      <w:pPr>
        <w:spacing w:after="120" w:line="276"/>
        <w:jc w:val="both"/>
      </w:pPr>
      <w:r>
        <w:rPr>
          <w:rFonts w:ascii="Barlow Semi Condensed" w:cs="Barlow Semi Condensed" w:eastAsia="Barlow Semi Condensed" w:hAnsi="Barlow Semi Condensed"/>
          <w:sz w:val="24"/>
          <w:szCs w:val="24"/>
        </w:rPr>
        <w:t xml:space="preserve">La quinta acquisizione mancante è il coinvolgimento della Farnesina di Moro e la posizione italiana in sede di Nazioni Unite e Commissione stupefacenti sulla vicenda della revoca del divieto turco del papavero del 1974. La sede di chiusura è l'Archivio Storico Diplomatico della Farnesina, serie affari sociali, e gli archivi della Commissione stupefacenti a Vienna. Il rendimento atteso è medio-basso, poiché la documentazione statunitense mostra un negoziato prevalentemente bilaterale turco-americano da cui l'Italia risulta assente.</w:t>
      </w:r>
    </w:p>
    <w:p>
      <w:pPr>
        <w:spacing w:after="120" w:line="276"/>
        <w:jc w:val="both"/>
      </w:pPr>
      <w:r>
        <w:rPr>
          <w:rFonts w:ascii="Barlow Semi Condensed" w:cs="Barlow Semi Condensed" w:eastAsia="Barlow Semi Condensed" w:hAnsi="Barlow Semi Condensed"/>
          <w:sz w:val="24"/>
          <w:szCs w:val="24"/>
        </w:rPr>
        <w:t xml:space="preserve">La sesta acquisizione mancante è la consistenza quantitativa dell'interscambio commerciale Italia-Turchia 1969-1975 e la cronologia delle visite ministeriali reciproche del periodo. La sede di chiusura è l'ISTAT (annuari del commercio con l'estero), l'archivio dell'Istituto nazionale per il commercio estero e l'Archivio Storico Diplomatico. Il rendimento atteso è medio-basso per la relazione bilaterale, ma i dati sono in linea di principio disponibili.</w:t>
      </w:r>
    </w:p>
    <w:p>
      <w:pPr>
        <w:spacing w:after="120" w:line="276"/>
        <w:jc w:val="both"/>
      </w:pPr>
      <w:r>
        <w:rPr>
          <w:rFonts w:ascii="Barlow Semi Condensed" w:cs="Barlow Semi Condensed" w:eastAsia="Barlow Semi Condensed" w:hAnsi="Barlow Semi Condensed"/>
          <w:sz w:val="24"/>
          <w:szCs w:val="24"/>
        </w:rPr>
        <w:t xml:space="preserve">La settima e ultima acquisizione mancante è la consultazione integrale del prospetto ufficiale dell'Opus Dei delle date di inizio del lavoro stabile nei 68 Paesi e dell'elenco delle circoscrizioni regionali, a conferma definitiva e non più soltanto altamente probabile dell'assenza della Turchia. La sede di chiusura è il sito ufficiale dell'ente (opusdei.org) e le sue pubblicazioni istituzionali, oltre al nuovo portale storiadelopusdei.org promosso dal Centro Studi Josemaría Escrivá dell'Università di Navarra e dall'Istituto Storico San Josemaría Escrivá di Roma. Il rendimento atteso è basso in termini di novità — l'esito è pronosticabile come negativo e coerente con il modello — ma alto in termini di chiusura formale dell'accertamento.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Per il completamento della ricerca si raccomanda una sequenza scaglionata. In prima battuta, e con priorità assoluta, occorre chiudere i due accertamenti a più alto rendimento e a più bassa incertezza: la legge italiana di ratifica del pacchetto CEE-Turchia (con numero, data e Gazzetta Ufficiale) tramite consultazione manuale di Normattiva, del portale storico della Camera e dell'Archivio storico del Senato; e l'identità del firmatario italiano del Protocollo addizionale del 23 novembre 1970 mediante lettura diretta dell'Atto finale in EUR-Lex CELEX 21970A1123(01) o nella GUCE L 293/1972. Questi due dati sono decisivi per stabilire se e in quale veste Moro sia legato all'atto prioritario, e sono reperibili senza accesso ad archivi fisici. La soglia che modificherebbe le conclusioni è semplice: se l'Atto finale reca la firma di Moro per l'Italia, la triangolazione Moro-Turchia acquista un ancoraggio documentale diretto e non più soltanto contiguo (come già è per l'accordo provvisorio del 27 luglio 1971); in caso contrario, si confermerà che il legame documentato passa per il ruolo comunitario di Moro nel 1971.</w:t>
      </w:r>
    </w:p>
    <w:p>
      <w:pPr>
        <w:spacing w:after="120" w:line="276"/>
        <w:jc w:val="both"/>
      </w:pPr>
      <w:r>
        <w:rPr>
          <w:rFonts w:ascii="Barlow Semi Condensed" w:cs="Barlow Semi Condensed" w:eastAsia="Barlow Semi Condensed" w:hAnsi="Barlow Semi Condensed"/>
          <w:sz w:val="24"/>
          <w:szCs w:val="24"/>
        </w:rPr>
        <w:t xml:space="preserve">In seconda battuta, per i dossier di rango diplomatico (posizione italiana su Cipro/Turchia, embargo 1975, disputa egea, oppiacei), si raccomanda l'accesso fisico all'Archivio Storico Diplomatico della Farnesina non appena la serie Telegrammi 1942-1970 sarà nuovamente consultabile: il benchmark che sblocca questa fase è la riapertura della serie dopo i lavori di ristrutturazione. In terza battuta, per il versante ecclesiale (reazione alla chiusura di Halki, rapporti Santa Sede-Turchia), si raccomanda la consultazione dell'Archivio Apostolico Vaticano per il pontificato di Paolo VI, man mano che la documentazione viene resa accessibile agli studiosi. Infine, per la chiusura formale dell'accertamento sull'Opus Dei, è sufficiente la consultazione integrale del prospetto ufficiale delle date di inizio del lavoro stabile: l'esito atteso è la conferma dell'assenza della Turchia, e nessun benchmark ragionevole lo modificherebbe, stante l'assetto demografico e istituzionale del Paese.</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Il presente rapporto poggia in misura preponderante su fonti telematicamente accessibili — testi normativi comunitari in EUR-Lex, documenti desecretati statunitensi in history.state.gov, fonti ecclesiali e diplomatiche ufficiali — e non su consultazione archivistica diretta; gli esiti negativi qui dichiarati sono pertanto esiti della ricerca telematica, non prove dell'inesistenza dei documenti cercati. Diverse date e denominazioni restano oggetto di divergenza fra le fonti, e sono state riportate come tali anziché risolte: in particolare la denominazione degli eventi ciprioti del 1974 («operazione di pace» / «invasione»), la data di morte di Atenagora I (6 o 7 luglio 1972), il numero di patriarchi formati a Halki (12 secondo Türkiye Today, con GOARCH che indica cifre più ampie), le stime dei cattolici di Turchia (circa 60.000 secondo AgenSIR 2025, 25-30.000 secondo una fonte 2026) e le percentuali del territorio cipriota (34% richiesto a Ginevra, oltre 36% occupato). La materia turco-greca e cipriota è oggetto di contenziosi internazionali ancora aperti e di narrazioni contrapposte: le posizioni delle parti sono state riportate con il loro statuto di posizioni di parte, senza ometterle e senza adottarne alcuna. Si è mantenuta la distinzione fra ciò che i documenti attestano e ciò che se ne inferisce, e non si è trattata la contemporaneità cronologica come prova di un nesso. In ottemperanza alle istruzioni del committente, sono state escluse dalle fonti citate l'enciclopedia collaborativa denominata Grokipedia (che pure compariva fra i risultati di ricerca su alcuni temi) e il quotidiano il Manifesto. Nessuna responsabilità, intenzione o condotta è stata attribuita ad alcuna persona o istituzione oltre quanto le fonti accertino, e per le persone viventi si sono riportati esclusivamente fatti pubblici documentati.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Turchia e Opus Dei 1969-1975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9.166 parole in 5 sezioni; la più ampia è §3 Details, con 8.219.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103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IX. La Santa Sede, la Turchia e l’attentato del 1981</w:t>
      </w:r>
    </w:p>
    <w:p>
      <w:pPr>
        <w:spacing w:after="120" w:line="276"/>
        <w:jc w:val="both"/>
      </w:pPr>
      <w:r>
        <w:rPr>
          <w:rFonts w:ascii="Barlow Semi Condensed" w:cs="Barlow Semi Condensed" w:eastAsia="Barlow Semi Condensed" w:hAnsi="Barlow Semi Condensed"/>
          <w:sz w:val="24"/>
          <w:szCs w:val="24"/>
        </w:rPr>
        <w:t xml:space="preserve">RICERCA STORIOGRAFICA E ARCHIVISTICA: ALDO MORO, LA SANTA SEDE E LA TURCHIA, CON PARTICOLARE RIGUARDO ALL'ATTENTATO A GIOVANNI PAOLO II (1935-1985)</w:t>
      </w:r>
    </w:p>
    <w:p>
      <w:pPr>
        <w:spacing w:after="120" w:line="276"/>
        <w:jc w:val="both"/>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che collega più direttamente e più documentatamente la Turchia al Vaticano è l'attentato del 13 maggio 1981: la traiettoria turca di Mehmet Ali Ağca (omicidio İpekçi del 1° febbraio 1979, evasione da Kartal-Maltepe del 25 novembre 1979, lettera minatoria a Milliyet del 27 novembre 1979) è documentata e accertata; per contro la cosiddetta «pista bulgara» non fu mai giudizialmente provata — la sentenza della Corte d'assise di Roma del 29 marzo 1986 assolse per insufficienza di prove Antonov e gli altri, Spazio70 (https://spazio70.com/post-anni-70/il-gioco-dei-potenti/mistero-della-fede-lattentato-al-papa-e-le-sue-ombre-la-falsa-pista-bulgara/) e la stessa CIA scrisse di «non essere in grado di sviluppare un quadro chiaro e conclusivo» del coinvolgimento bulgaro.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rapporto Santa Sede-Turchia 1935-1985 ha tre radici solide e ben documentate: il decennio di Angelo Roncalli (1935-1944), matrice riconosciuta dell'istituzione delle relazioni diplomatiche del 1960 (Internunziatura 25 gennaio 1960, Nunziatura con il breve Optimo sane del 30 agosto 1966); Wikipedia (https://it.m.wikipedia.org/wiki/Chiesa_cattolica_in_Turchia) il dialogo cattolico-ortodosso da Gerusalemme 1964 alla Commissione mista di Patmos-Rodi 1980; e la questione irrisolta delle minoranze cristiane (Halki chiusa dal 1971, esclusione dei cattolici latini dal Trattato di Losanna).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versante Moro-Turchia il materiale è reale ma prevalentemente europeo-comunitario e mediterraneo, non confessionale: non è emersa documentazione di una presa di posizione della Farnesina di Moro sulla chiusura di Halki o sullo statuto del Patriarcato ecumenico. Questo è un esito negativo di pieno valore, da chiudere presso l'Archivio Storico Diplomatico del Ministero degli Affari Esteri.</w:t>
      </w:r>
    </w:p>
    <w:p>
      <w:pPr>
        <w:spacing w:after="120" w:line="276"/>
        <w:jc w:val="both"/>
      </w:pPr>
      <w:r>
        <w:rPr>
          <w:rFonts w:ascii="Barlow Semi Condensed" w:cs="Barlow Semi Condensed" w:eastAsia="Barlow Semi Condensed" w:hAnsi="Barlow Semi Condensed"/>
          <w:sz w:val="24"/>
          <w:szCs w:val="24"/>
        </w:rPr>
        <w:t xml:space="preserve">KEY FINDINGS</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Ağca uccise Abdi İpekçi il 1° febbraio 1979 ed evase da Kartal-Maltepe il 25 novembre 1979; il 27 novembre 1979 minacciò per iscritto Giovanni Paolo II definendolo «Capo dei crociati». Questi fatti sono accertati.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condanna all'ergastolo in primo grado risale al 22 luglio 1981; l'arresto di Sergej Antonov al 25 novembre 1982; l'assoluzione dei bulgari e dei turchi per insufficienza di prove al 29 marzo 1986.</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valutazioni desecretate della CIA (FRUS 1981-1988, vol. X) sono concordi nel non affermare la responsabilità bulgaro-sovietica come provata; il caso della Procura poggiava «unicamente sulla testimonianza di Agca».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decennio turco di Roncalli e il dialogo cattolico-ortodosso costituiscono la spina dorsale positiva del rapporto Santa Sede-Turchia; la questione delle minoranze (Halki, Losanna, cittadinanza turca del patriarca) ne è il contrappunto irrisolto.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Sull'asse Moro-questione confessionale in Turchia si registra un esito negativo di ricerca, da verificare in archivio.</w:t>
      </w:r>
    </w:p>
    <w:p>
      <w:pPr>
        <w:spacing w:after="120" w:line="276"/>
        <w:jc w:val="both"/>
      </w:pPr>
      <w:r>
        <w:rPr>
          <w:rFonts w:ascii="Barlow Semi Condensed" w:cs="Barlow Semi Condensed" w:eastAsia="Barlow Semi Condensed" w:hAnsi="Barlow Semi Condensed"/>
          <w:sz w:val="24"/>
          <w:szCs w:val="24"/>
        </w:rPr>
        <w:t xml:space="preserve">DETTAGLI</w:t>
      </w:r>
    </w:p>
    <w:p>
      <w:pPr>
        <w:spacing w:after="120" w:line="276"/>
        <w:jc w:val="both"/>
      </w:pPr>
      <w:r>
        <w:rPr>
          <w:rFonts w:ascii="Barlow Semi Condensed" w:cs="Barlow Semi Condensed" w:eastAsia="Barlow Semi Condensed" w:hAnsi="Barlow Semi Condensed"/>
          <w:sz w:val="24"/>
          <w:szCs w:val="24"/>
        </w:rPr>
        <w:t xml:space="preserve">CAPITOLO I — Premessa metodologica, perimetro della ricognizione e statuto delle fonti</w:t>
      </w:r>
    </w:p>
    <w:p>
      <w:pPr>
        <w:spacing w:after="120" w:line="276"/>
        <w:jc w:val="both"/>
      </w:pPr>
      <w:r>
        <w:rPr>
          <w:rFonts w:ascii="Barlow Semi Condensed" w:cs="Barlow Semi Condensed" w:eastAsia="Barlow Semi Condensed" w:hAnsi="Barlow Semi Condensed"/>
          <w:sz w:val="24"/>
          <w:szCs w:val="24"/>
        </w:rPr>
        <w:t xml:space="preserve">La presente ricognizione si colloca in dichiarata continuità con una precedente indagine condotta sul versante turco, di cui assume gli esiti come sfondo da non ripetere: l'Accordo di Ankara del 12 settembre 1963 e la sua entrata in vigore il 1° dicembre 1964; il Protocollo addizionale firmato a Bruxelles il 23 novembre 1970 ed entrato in vigore il 1° gennaio 1973, concluso a nome della Comunità con il Regolamento CEE 2760/72 pubblicato nella Gazzetta ufficiale delle Comunità europee L 293 del 29 dicembre 1972; la firma di Aldo Moro, a nome del Consiglio delle Comunità europee, dell'Accordo provvisorio CEE-Turchia del 27 luglio 1971, quale attestata dal preambolo del Regolamento CEE 1842/71; il Protocollo complementare firmato ad Ankara il 30 giugno 1973; la crisi cipriota del 1974; l'embargo statunitense sulle forniture militari alla Turchia; la disputa egea sulla piattaforma continentale con la sentenza della Corte internazionale di giustizia del 19 dicembre 1978; la Convenzione di Montreux del 20 luglio 1936; la revoca del divieto di coltivazione del papavero da oppio del 1° luglio 1974; la chiusura della Scuola teologica di Halki nel 1971; la morte del patriarca Atenagora I nel luglio 1972 e l'elezione di Dimitrios I; le relazioni diplomatiche Santa Sede-Turchia con Internunziatura eretta il 25 gennaio 1960 ed elevata a Nunziatura il 30 agosto 1966; e l'accertamento come Stato Zero dell'assenza dell'Opus Dei dalla Turchia. Tutto ciò è qui presupposto e non riesaminato.</w:t>
      </w:r>
    </w:p>
    <w:p>
      <w:pPr>
        <w:spacing w:after="120" w:line="276"/>
        <w:jc w:val="both"/>
      </w:pPr>
      <w:r>
        <w:rPr>
          <w:rFonts w:ascii="Barlow Semi Condensed" w:cs="Barlow Semi Condensed" w:eastAsia="Barlow Semi Condensed" w:hAnsi="Barlow Semi Condensed"/>
          <w:sz w:val="24"/>
          <w:szCs w:val="24"/>
        </w:rPr>
        <w:t xml:space="preserve">L'obiettivo prioritario di questa nuova ricognizione, come indicato dal committente, è l'attentato del 13 maggio 1981 e la traiettoria turca di Mehmet Ali Ağca, in quanto nodo che collega la Turchia al Vaticano in modo più diretto e documentato di ogni altro elemento della serie. Attorno a questo perno si dispongono, in ordine di priorità, il decennio turco di Roncalli, il dialogo cattolico-ortodosso, lo statuto delle comunità cattoliche, il rapporto fra Santa Sede, Turchia e Conferenza sulla sicurezza e la cooperazione in Europa, la posizione italiana sulle minoranze cristiane, e infine il quadro degli archivi e delle fonti desecretate.</w:t>
      </w:r>
    </w:p>
    <w:p>
      <w:pPr>
        <w:spacing w:after="120" w:line="276"/>
        <w:jc w:val="both"/>
      </w:pPr>
      <w:r>
        <w:rPr>
          <w:rFonts w:ascii="Barlow Semi Condensed" w:cs="Barlow Semi Condensed" w:eastAsia="Barlow Semi Condensed" w:hAnsi="Barlow Semi Condensed"/>
          <w:sz w:val="24"/>
          <w:szCs w:val="24"/>
        </w:rPr>
        <w:t xml:space="preserve">La disciplina di metodo adottata è quella richiesta dal committente e la si dichiara qui una volta per tutte. Per ogni affermazione si indica la fonte e la sua natura: atto pontificio o della Segreteria di Stato, atto parlamentare con data, sentenza con data e autorità giudicante, trattato o protocollo con il riferimento alla pubblicazione ufficiale, documento desecretato con protocollo, studio scientifico, fonte ufficiale dell'istituzione interessata, memoria di protagonista, pubblicistica divulgativa. Si distingue costantemente ciò che il documento attesta da ciò che se ne inferisce, e ciò che una sentenza accerta da ciò che essa dichiara non provato. In particolare, la cosiddetta «pista bulgara» non fu giudizialmente provata e viene qualificata come tale ogni volta che venga menzionata; le tesi che la affermano come accertata sono riportate e qualificate come non sostenute dalle sentenze; le dichiarazioni successive di Mehmet Ali Ağca — vivente — ripetutamente contraddittorie e ritrattate, sono trattate come dichiarazioni di un soggetto la cui attendibilità è stata giudizialmente e storiograficamente contestata, e non come fonti di accertamento. Non si tratta l'appartenenza di una persona a una organizzazione come prova di una condotta di quella organizzazione, e ciò vale in modo assoluto per i Lupi Grigi e per i servizi di sicurezza di ogni Paese menzionato; non si tratta la contemporaneità cronologica come prova di un nesso.</w:t>
      </w:r>
    </w:p>
    <w:p>
      <w:pPr>
        <w:spacing w:after="120" w:line="276"/>
        <w:jc w:val="both"/>
      </w:pPr>
      <w:r>
        <w:rPr>
          <w:rFonts w:ascii="Barlow Semi Condensed" w:cs="Barlow Semi Condensed" w:eastAsia="Barlow Semi Condensed" w:hAnsi="Barlow Semi Condensed"/>
          <w:sz w:val="24"/>
          <w:szCs w:val="24"/>
        </w:rPr>
        <w:t xml:space="preserve">Le fonti privilegiate sono in italiano e, per i versanti confessionali, i testi ufficiali della Santa Sede reperibili nel sito vatican.va e christianunity.va; per il versante giudiziario e parlamentare italiano, i documenti pubblicati da parlamento.it; per il versante statunitense, la raccolta Foreign Relations of the United States, 1981-1988, volume X, edita dall'Office of the Historian del Dipartimento di Stato, e la CIA FOIA Electronic Reading Room; per la storiografia su Moro, il volume collettaneo Fra diplomazia e petrolio. Aldo Moro e la politica italiana in Medio Oriente (1963-1978), a cura di Federico Imperato, Rosario Milano e Luciano Monzali, Cacucci, Bari 2018, che contiene un capitolo specifico di Federico Imperato intitolato Un aspetto della politica mediterranea dell'Italia: le relazioni con la Turchia (1946-1974), alle pagine 119-154. Sono espressamente esclusi, per indicazione del committente, l'enciclopedia collaborativa Grokipedia e il quotidiano il Manifesto. Ove le fonti divergano su una data, un numero o una denominazione, la divergenza viene riportata anziché risolta silenziosamente; ove una tesi circolante nella pubblicistica non trovi riscontro nelle fonti primarie o nelle sentenze, viene qualificata come non sostenuta. Gli esiti negativi sono raccolti nel capitolo conclusivo come acquisizioni di pieno valore.</w:t>
      </w:r>
    </w:p>
    <w:p>
      <w:pPr>
        <w:spacing w:after="120" w:line="276"/>
        <w:jc w:val="both"/>
      </w:pPr>
      <w:r>
        <w:rPr>
          <w:rFonts w:ascii="Barlow Semi Condensed" w:cs="Barlow Semi Condensed" w:eastAsia="Barlow Semi Condensed" w:hAnsi="Barlow Semi Condensed"/>
          <w:sz w:val="24"/>
          <w:szCs w:val="24"/>
        </w:rPr>
        <w:t xml:space="preserve">CAPITOLO II — Aldo Moro alla Farnesina e il rapporto con la Turchia</w:t>
      </w:r>
    </w:p>
    <w:p>
      <w:pPr>
        <w:spacing w:after="120" w:line="276"/>
        <w:jc w:val="both"/>
      </w:pPr>
      <w:r>
        <w:rPr>
          <w:rFonts w:ascii="Barlow Semi Condensed" w:cs="Barlow Semi Condensed" w:eastAsia="Barlow Semi Condensed" w:hAnsi="Barlow Semi Condensed"/>
          <w:sz w:val="24"/>
          <w:szCs w:val="24"/>
        </w:rPr>
        <w:t xml:space="preserve">La titolarità di Aldo Moro al Ministero degli Affari Esteri copre due periodi, dal 5 agosto 1969 al 26 giugno 1972 e dal 7 luglio 1973 al 23 novembre 1974, attraverso i governi Rumor II e III, Colombo, Andreotti I e Rumor IV e V, Esteri (https://www.esteri.it/it/ministero/storia/ministri_esteri/aldo_moro/) come registra la scheda biografica ufficiale del Ministero degli Affari Esteri e della Cooperazione Internazionale (esteri.it, sezione «Storia — Ministri degli Esteri»). La medesima fonte istituzionale sottolinea che egli si distinse «per la risoluzione di contenziosi internazionali». Il Dizionario dell'Integrazione Europea 1950-2017 (dizie.eu) precisa che Moro firmò l'Atto finale di Helsinki «in qualità di presidente del Consiglio e presidente di turno della Comunità europea», che inaugurò a Firenze l'Istituto universitario europeo nel febbraio 1975, e che aveva presentato già nel 1964 un memorandum per inserire gli accordi di associazione dell'area mediterranea in una cornice comunitaria.</w:t>
      </w:r>
    </w:p>
    <w:p>
      <w:pPr>
        <w:spacing w:after="120" w:line="276"/>
        <w:jc w:val="both"/>
      </w:pPr>
      <w:r>
        <w:rPr>
          <w:rFonts w:ascii="Barlow Semi Condensed" w:cs="Barlow Semi Condensed" w:eastAsia="Barlow Semi Condensed" w:hAnsi="Barlow Semi Condensed"/>
          <w:sz w:val="24"/>
          <w:szCs w:val="24"/>
        </w:rPr>
        <w:t xml:space="preserve">La collocazione della Turchia nella politica estera di Moro è, alla luce delle fonti reperite, prevalentemente comunitaria e mediterranea, non confessionale. Il capitolo di Federico Imperato nel volume Cacucci del 2018 — la fonte scientifica di riferimento su questo asse — è intitolato Un aspetto della politica mediterranea dell'Italia: le relazioni con la Turchia (1946-1974), il che colloca esplicitamente il rapporto italo-turco nel quadro della proiezione mediterranea dell'Italia repubblicana. Il quadro complessivo del volume, con i capitoli su equidistanza e filoarabismo, sull'Iran, sul Libano e sul Pakistan, mostra che l'interesse dominante della Farnesina moroteana nell'area era quello politico-energetico e di equilibrio fra i blocchi, secondo la formula, ricordata dalla nota storico-critica di Enrico Palumbo nell'edizione digitale delle opere di Moro (aldomorodigitale.unibo.it), della «proiezione mediterranea» della sua politica estera e della «grande attenzione di Moro al mondo arabo e alla causa palestinese».</w:t>
      </w:r>
    </w:p>
    <w:p>
      <w:pPr>
        <w:spacing w:after="120" w:line="276"/>
        <w:jc w:val="both"/>
      </w:pPr>
      <w:r>
        <w:rPr>
          <w:rFonts w:ascii="Barlow Semi Condensed" w:cs="Barlow Semi Condensed" w:eastAsia="Barlow Semi Condensed" w:hAnsi="Barlow Semi Condensed"/>
          <w:sz w:val="24"/>
          <w:szCs w:val="24"/>
        </w:rPr>
        <w:t xml:space="preserve">Il dato istituzionale più solido e già acquisito è la firma di Moro, a nome del Consiglio delle Comunità europee, dell'Accordo provvisorio CEE-Turchia del 27 luglio 1971, attestata dal preambolo del Regolamento CEE 1842/71 che lo nomina insieme a Franco Maria Malfatti, presidente della Commissione, con Osman Olcay per la Turchia. Questo elemento — pienamente documentato — testimonia il ruolo di Moro come snodo della relazione comunitaria con Ankara nella fase in cui l'Italia esercitava responsabilità di presidenza, e si salda con la firma dell'Atto finale di Helsinki del 1° agosto 1975, alla quale si torna al Capitolo X. La documentazione francese citata da aldomoro.eu registra inoltre incontri di Moro come ministro degli Esteri con l'omologo francese Maurice Schumann e con il presidente Georges Pompidou nel 1970-1971, e la sua relazione al Parlamento europeo del 10 giugno 1971 in qualità di presidente in esercizio del Consiglio: la Turchia vi compare nel contesto dell'unificazione politica europea e degli accordi di associazione, non delle questioni religiose.</w:t>
      </w:r>
    </w:p>
    <w:p>
      <w:pPr>
        <w:spacing w:after="120" w:line="276"/>
        <w:jc w:val="both"/>
      </w:pPr>
      <w:r>
        <w:rPr>
          <w:rFonts w:ascii="Barlow Semi Condensed" w:cs="Barlow Semi Condensed" w:eastAsia="Barlow Semi Condensed" w:hAnsi="Barlow Semi Condensed"/>
          <w:sz w:val="24"/>
          <w:szCs w:val="24"/>
        </w:rPr>
        <w:t xml:space="preserve">La ricognizione consente di affermare con sicurezza, in negativo, un punto rilevante: nelle fonti reperite non emerge alcuna presa di posizione documentata di Moro, o della Farnesina sotto la sua guida, sulla condizione delle minoranze cristiane in Turchia, sulla chiusura di Halki del 1971 o sullo statuto del Patriarcato ecumenico. Questo esito, di pieno valore, viene ripreso e circostanziato al Capitolo XI e classificato al Capitolo XII con l'indicazione della sede presso cui la ricerca andrebbe condotta, cioè l'Archivio Storico Diplomatico del Ministero degli Affari Esteri, serie Turchia e serie Santa Sede 1969-1975, tenuto conto dell'esclusione temporanea, già accertata nella ricognizione anteriore, dei Telegrammi 1942-1970. Poiché il materiale specificamente riferito al binomio Moro-Turchia sul piano confessionale è, allo stato, assai limitato, questo capitolo è deliberatamente più contenuto di altri: preferire un capitolo corto che dichiari la scarsità della base documentale è coerente con la disciplina richiesta e con l'onestà epistemica della ricerca.</w:t>
      </w:r>
    </w:p>
    <w:p>
      <w:pPr>
        <w:spacing w:after="120" w:line="276"/>
        <w:jc w:val="both"/>
      </w:pPr>
      <w:r>
        <w:rPr>
          <w:rFonts w:ascii="Barlow Semi Condensed" w:cs="Barlow Semi Condensed" w:eastAsia="Barlow Semi Condensed" w:hAnsi="Barlow Semi Condensed"/>
          <w:sz w:val="24"/>
          <w:szCs w:val="24"/>
        </w:rPr>
        <w:t xml:space="preserve">CAPITOLO III — L'attentato del 13 maggio 1981 e la traiettoria turca di Mehmet Ali Ağca</w:t>
      </w:r>
    </w:p>
    <w:p>
      <w:pPr>
        <w:spacing w:after="120" w:line="276"/>
        <w:jc w:val="both"/>
      </w:pPr>
      <w:r>
        <w:rPr>
          <w:rFonts w:ascii="Barlow Semi Condensed" w:cs="Barlow Semi Condensed" w:eastAsia="Barlow Semi Condensed" w:hAnsi="Barlow Semi Condensed"/>
          <w:sz w:val="24"/>
          <w:szCs w:val="24"/>
        </w:rPr>
        <w:t xml:space="preserve">Mehmet Ali Ağca è nato in Anatolia, a Malatya (alcune fonti indicano il villaggio di Hekimhan nella provincia di Malatya), il 9 gennaio 1958. Wikipedia (https://en.wikipedia.org/wiki/Mehmet_Ali_A%C4%9Fca) La sua traiettoria giudiziaria comincia con un fatto accertato: il 1° febbraio 1979 partecipò all'omicidio di Abdi İpekçi, direttore ed editorialista di punta del quotidiano Milliyet, uno dei principali giornali turchi. Wikipedia (https://en.wikipedia.org/wiki/Milliyet) İpekçi, nato il 9 agosto 1929, fu ucciso con colpi d'arma da fuoco all'interno della propria automobile davanti alla sua abitazione a Istanbul; la voce enciclopedica di riferimento indica che l'azione fu compiuta insieme a Oral Çelik, coetaneo e amico d'infanzia di Ağca. Va segnalata una divergenza fra le fonti sulla dinamica: alcune ricostruzioni giornalistiche riportano la confessione di Ağca «ho sparato quattro o cinque volte», mentre sul luogo del delitto furono rinvenuti tredici bossoli, circostanza che alimentò l'ipotesi della presenza di più esecutori; goodreads (https://www.goodreads.com/notes/41736831-operation-gladio/28440635-jos-mar-a-blancowhite/c0835082-842c-42f7-8825-b4fc114719a8) questa resta un'inferenza, non un accertamento.</w:t>
      </w:r>
    </w:p>
    <w:p>
      <w:pPr>
        <w:spacing w:after="120" w:line="276"/>
        <w:jc w:val="both"/>
      </w:pPr>
      <w:r>
        <w:rPr>
          <w:rFonts w:ascii="Barlow Semi Condensed" w:cs="Barlow Semi Condensed" w:eastAsia="Barlow Semi Condensed" w:hAnsi="Barlow Semi Condensed"/>
          <w:sz w:val="24"/>
          <w:szCs w:val="24"/>
        </w:rPr>
        <w:t xml:space="preserve">Condannato per l'omicidio İpekçi, Ağca evase il 25 novembre 1979 dal carcere militare di massima sicurezza di Kartal-Maltepe. NPR (https://www.npr.org/2006/01/20/5164596/turkey-recoils-at-release-of-man-who-shot-pope) Le fonti concordano sul carattere anomalo della fuga: egli uscì, secondo le ricostruzioni pubblicistiche, indossando una divisa militare e passando dall'ingresso, circostanza che la stampa turca dell'epoca giudicò indicativa di complicità interne. Occorre qui la massima cautela: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Pochi giorni dopo l'evasione, il 27 novembre 1979, Ağca inviò al quotidiano Milliyet una lettera minatoria nella quale annunciava che avrebbe colpito il pontefice in occasione del viaggio in Turchia, definendo Giovanni Paolo II «il Capo dei crociati». Il testo — ampiamente citato dalla pubblicistica italiana e turca — recita, nella parte riportata: «Le Potenze dell'imperialismo occidentale temono che la Turchia possa costruire una coalizione politica, economica e militare in Medio Oriente con gli altri Paesi islamici fratelli, perciò mandano in Turchia, in questo momento delicato, papa Giovanni Paolo II, il Capo dei crociati. Se questa visita non verrà cancellata, io certamente colpirò il Papa». Il Giardino dei Libri (https://www.ilgiardinodeilibri.it/libri/__attentato-al-papa-elena-hilal-agca-libro.php) La lettera è cronologicamente anteriore di quasi diciotto mesi all'attentato e costituisce, sul piano documentale, il primo collegamento esplicito e datato fra Ağca e il progetto di colpire il papa.</w:t>
      </w:r>
    </w:p>
    <w:p>
      <w:pPr>
        <w:spacing w:after="120" w:line="276"/>
        <w:jc w:val="both"/>
      </w:pPr>
      <w:r>
        <w:rPr>
          <w:rFonts w:ascii="Barlow Semi Condensed" w:cs="Barlow Semi Condensed" w:eastAsia="Barlow Semi Condensed" w:hAnsi="Barlow Semi Condensed"/>
          <w:sz w:val="24"/>
          <w:szCs w:val="24"/>
        </w:rPr>
        <w:t xml:space="preserve">Il viaggio di Giovanni Paolo II in Turchia si svolse regolarmente dal 28 al 30 novembre 1979 e non subì attentati; se ne tratta al Capitolo VII. L'azione contro il pontefice ebbe luogo invece l'anno successivo: il 13 maggio 1981, nel pomeriggio, in piazza San Pietro, durante l'udienza generale, Ağca sparò contro Giovanni Paolo II. Il papa fu gravemente ferito, soccorso e trasportato al policlinico Gemelli, dove fu sottoposto a interventi chirurgici e sopravvisse. Sul numero dei colpi e su alcuni dettagli materiali persistono, nella pubblicistica, divergenze che non incidono sull'accertamento del fatto principale. Il processo italiano di primo grado si tenne con procedura rapida: le fonti concordano sulla conclusione con condanna all'ergastolo, collocandola al 22 luglio 1981 (alcune ricostruzioni indicano l'avvio del dibattimento all'8 luglio 1981 e la sentenza al 22 luglio, CultWeb (https://cultweb.it/cultura/storia/che-fine-ha-fatto-ali-agca-lattentatore-di-giovanni-paolo-ii/) altre riassumono in «tre giorni di processo»). Ağca rinunciò all'appello. Un elemento va isolato con nettezza: le dichiarazioni successive di Ağca — sulla natura solitaria o concertata dell'azione, sui presunti mandanti, sulle piste bulgara e vaticana, fino alle affermazioni degli anni recenti collegate al caso Orlandi Il Giardino dei Libri (https://www.ilgiardinodeilibri.it/libri/__attentato-al-papa-elena-hilal-agca-libro.php) e alle sue autoproclamazioni messianiche — sono, per costante contraddittorietà e ritrattazione, prive di valore di accertamento, e come tali vengono trattate in questa ricognizione, che le registra come fatti pubblici (cioè: che Ağca le abbia rese) ma non come fonti sul merito.</w:t>
      </w:r>
    </w:p>
    <w:p>
      <w:pPr>
        <w:spacing w:after="120" w:line="276"/>
        <w:jc w:val="both"/>
      </w:pPr>
      <w:r>
        <w:rPr>
          <w:rFonts w:ascii="Barlow Semi Condensed" w:cs="Barlow Semi Condensed" w:eastAsia="Barlow Semi Condensed" w:hAnsi="Barlow Semi Condensed"/>
          <w:sz w:val="24"/>
          <w:szCs w:val="24"/>
        </w:rPr>
        <w:t xml:space="preserve">CAPITOLO IV — La cosiddetta pista bulgara: istruttoria, processo, assoluzioni e valutazioni di intelligence</w:t>
      </w:r>
    </w:p>
    <w:p>
      <w:pPr>
        <w:spacing w:after="120" w:line="276"/>
        <w:jc w:val="both"/>
      </w:pPr>
      <w:r>
        <w:rPr>
          <w:rFonts w:ascii="Barlow Semi Condensed" w:cs="Barlow Semi Condensed" w:eastAsia="Barlow Semi Condensed" w:hAnsi="Barlow Semi Condensed"/>
          <w:sz w:val="24"/>
          <w:szCs w:val="24"/>
        </w:rPr>
        <w:t xml:space="preserve">La qualificazione della «pista bulgara» come ipotesi giudizialmente non provata è il cardine di questo capitolo e va ribadita in apertura. La sequenza documentale è la seguente. Dopo la condanna di Ağca del 1981, la Procura di Roma proseguì le indagini per accertare l'eventuale esistenza di mandanti; il supplemento istruttorio fu affidato al giudice istruttore Ilario Martella. Nell'agosto 1982 la giornalista statunitense Claire Sterling, sul Reader's Digest, sostenne che Ağca avesse agito su mandato dei servizi bulgari e sovietici: è in questa sede pubblicistica che, come registrano concordemente le ricostruzioni italiane, emerse per la prima volta la «pista bulgara». Il 25 novembre 1982 fu arrestato a Roma Sergej Ivanov Antonov, rappresentante nella capitale italiana della compagnia aerea di bandiera bulgara Balkan Airlines, indicato da Ağca come uno dei complici; le fonti lo descrivono come funzionario della compagnia, non come diplomatico, rimasto a Roma dopo l'attentato fino all'arresto. Insieme ad Antonov furono coinvolti i bulgari Todor Ajvazov e Jelio Vassilev e alcuni cittadini turchi, fra cui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Il processo davanti alla Corte d'assise di Roma iniziò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 È essenziale l'annotazione giuridica, correttamente sottolineata anche dalla pubblicistica specializzata: nell'ordinamento allora vigente l'assoluzione «per insufficienza di prove» era distinta dall'accertamento dell'innocenza, e significava che il giudice non aveva raggiunto la certezza necessaria per condannare, non che avesse provato l'estraneità degli imputati ai fatti. Questa distinzione, tuttavia, non trasforma un'ipotesi non provata in un fatto: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Le valutazioni desecretate dell'intelligence statunitense convergono, in modo notevole, con la prudenza delle sentenze italiane. Nella raccolta Foreign Relations of the United States, 1981-1988, volume X, il documento 370 riproduce un memorandum del direttore della Central Intelligence Agency William J. Casey e l'allegata analisi dell'Agenzia intitolata «Bulgarian Complicity in the Papal Assassination Attempt», la cui introduzione afferma testualmente: «We are unable at this juncture to develop a clear-cut, conclusive picture of Bulgarian involvement with would-be papal assassin Mehmet Ali Agca». state (https://history.state.gov/historicaldocuments/frus1981-88v10/d370) state (https://history.state.gov/historicaldocuments/frus1981-88v10/d370) Lo stesso documento riporta la valutazione dell'ambasciata statunitense a Sofia secondo cui sarebbe stato difficile credere a un coinvolgimento diretto dei servizi bulgari «perché sarebbe stato così stupido», pur precisando che tale considerazione non escludeva la possibilità di un coinvolgimento ufficiale. Il documento 376 del medesimo volume, un memorandum preparato dalla CIA sull'«Assessment of Responsibility for Papal Assassination Attempt», contiene la conclusione «On Balance» secondo cui «gran parte della tesi del Procuratore generale italiano che allega la complicità del blocco orientale nell'attacco al Papa appare dipendere unicamente dalla testimonianza di Agca, e questi non è sempre stato veritiero o coerente nel periodo della sua detenzione», aggiungendo che, anche qualora Ağca avesse avuto contatti con i bulgari accusati, questi avrebbero potuto riguardare stupefacenti o traffici d'armi «grigie» piuttosto che una cospirazione per uccidere il papa. state (https://history.state.gov/historicaldocuments/frus1981-88v10/d376) La lettera di accompagnamento redatta in ambito Consiglio per la sicurezza nazionale osservava che «la CIA ha pochissime prove in un senso o nell'altro». state (https://history.state.gov/historicaldocuments/frus1981-88v10/d376) Il documento 377, un'Intelligence Assessment del dicembre 1984 dell'Office of European Analysis, dichiara espressamente di non affrontare «la questione ultima della colpevolezza o innocenza della Bulgaria» state (https://history.state.gov/historicaldocuments/frus1981-88v10/d377) e riconosce che il processo italiano avrebbe potuto condannare Antonov «unicamente sulla base della testimonianza di Agca».</w:t>
      </w:r>
    </w:p>
    <w:p>
      <w:pPr>
        <w:spacing w:after="120" w:line="276"/>
        <w:jc w:val="both"/>
      </w:pPr>
      <w:r>
        <w:rPr>
          <w:rFonts w:ascii="Barlow Semi Condensed" w:cs="Barlow Semi Condensed" w:eastAsia="Barlow Semi Condensed" w:hAnsi="Barlow Semi Condensed"/>
          <w:sz w:val="24"/>
          <w:szCs w:val="24"/>
        </w:rPr>
        <w:t xml:space="preserve">Va inoltre segnalato, per completezza e con la dovuta qualificazione, il contrasto interno all'apparato statunitense fra queste valutazioni analitiche prudenti e la linea più assertiva propria di alcuni documenti di livello politico-esecutivo, e le successive dichiarazioni pubbliche dell'ex analista della CIA Melvin A. Goodman. Goodman, già responsabile della divisione sugli affari sovietici dell'Agenzia, testimoniò davanti alla Commissione ristretta del Senato sull'intelligence — nel contesto delle audizioni di conferma di Robert Gates a direttore della CIA, collocabili all'ottobre 1991 (alcune fonti secondarie indicano il 1990, ma il verbale ufficiale del Senato colloca la sessione sulla «politicizzazione» dell'analisi al 1° ottobre 1991) — sostenendo che l'Agenzia non disponeva di prove che collegassero il KGB o i bulgari al complotto e che vi erano state pressioni interne per orientare i rapporti verso la tesi del complotto sovietico. Queste dichiarazioni, di per sé, non provano né smentiscono alcunché sul merito dei mandanti: attestano soltanto lo stato delle conoscenze e delle tensioni interne all'intelligence statunitense, e come tali vanno lette. Nel loro insieme, i documenti desecretati non affermano come provata la responsabilità bulgaro-sovietica; anzi, ne segnalano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CAPITOLO V — I Lupi Grigi, il Milliyetçi Hareket Partisi e la questione della loro natura</w:t>
      </w:r>
    </w:p>
    <w:p>
      <w:pPr>
        <w:spacing w:after="120" w:line="276"/>
        <w:jc w:val="both"/>
      </w:pPr>
      <w:r>
        <w:rPr>
          <w:rFonts w:ascii="Barlow Semi Condensed" w:cs="Barlow Semi Condensed" w:eastAsia="Barlow Semi Condensed" w:hAnsi="Barlow Semi Condensed"/>
          <w:sz w:val="24"/>
          <w:szCs w:val="24"/>
        </w:rPr>
        <w:t xml:space="preserve">I Lupi Grigi (in turco Bozkurtlar), noti ufficialmente come Ülkücüler («idealisti») e organizzati nei focolari Ülkü Ocakları, sono un movimento del nazionalismo turco radicale la cui matrice ideologica è il panturchismo o turanismo. La voce enciclopedica italiana di riferimento e la pubblicistica specializzata li descrivono come collegati al Milliyetçi Hareket Partisi (Partito del movimento nazionalista, MHP) fondato dal colonnello Alparslan Türkeş nel 1969, di cui gli Ülkü Ocakları costituivano la sezione giovanile e, secondo numerose ricostruzioni, l'ala paramilitare. Le fonti convergono nell'attribuire al movimento un'attività violenta rilevante negli anni Settanta, con vittime numerose nel decennio che precedette il colpo di Stato militare del generale Kenan Evren del settembre 1980, il quale mise al bando tanto i Lupi Grigi quanto l'MHP. Sulla natura e sui finanziamenti del movimento le fonti divergono e sono in parte di carattere pubblicistico o di testimonianza: si menzionano rapporti con ambienti dell'anticomunismo occidentale in funzione antisovietica, e — dopo la messa al bando e la diaspora dei quadri in Germania, Francia e Austria — un coinvolgimento in traffici illeciti; lo storico tedesco Nikolaus Brauns è citato per la tesi dell'insediamento in Germania favorito da apparati locali in chiave anticomunista. Tutte queste attribuzioni vanno prese come ipotesi documentate in modo disuguale, non come accertamenti.</w:t>
      </w:r>
    </w:p>
    <w:p>
      <w:pPr>
        <w:spacing w:after="120" w:line="276"/>
        <w:jc w:val="both"/>
      </w:pPr>
      <w:r>
        <w:rPr>
          <w:rFonts w:ascii="Barlow Semi Condensed" w:cs="Barlow Semi Condensed" w:eastAsia="Barlow Semi Condensed" w:hAnsi="Barlow Semi Condensed"/>
          <w:sz w:val="24"/>
          <w:szCs w:val="24"/>
        </w:rPr>
        <w:t xml:space="preserve">Il punto dirimente, sul quale la disciplina di metodo è vincolante, è il seguente: l'appartenenza — o la contiguità — di Mehmet Ali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ai Lupi Grigi lo fa per lo più sul piano biografico e ambientale. Trattare la militanza individuale come prova di responsabilità collettiva sarebbe un salto logico che questa ricognizione rifiuta espressamente, coerentemente con il vincolo secondo cui la comunanza di ambiente istituzionale non equivale a convergenza di obiettivo documentata. Analogamente, la circostanza che Oral Çelik — indicato come complice nell'omicidio İpekçi e negli sviluppi successivi — appartenga allo stesso ambiente non prova, di per sé,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CAPITOLO VI — Il decennio turco di Angelo Roncalli (1935-1944)</w:t>
      </w:r>
    </w:p>
    <w:p>
      <w:pPr>
        <w:spacing w:after="120" w:line="276"/>
        <w:jc w:val="both"/>
      </w:pPr>
      <w:r>
        <w:rPr>
          <w:rFonts w:ascii="Barlow Semi Condensed" w:cs="Barlow Semi Condensed" w:eastAsia="Barlow Semi Condensed" w:hAnsi="Barlow Semi Condensed"/>
          <w:sz w:val="24"/>
          <w:szCs w:val="24"/>
        </w:rPr>
        <w:t xml:space="preserve">Il decennio turco di Angelo Giuseppe Roncalli, futuro Giovanni XXIII, è la radice storica riconosciuta del rapporto contemporaneo fra Santa Sede e Turchia e la matrice — sul piano della memoria e delle relazioni personali e istituzionali — dell'istituzione delle relazioni diplomatiche del 1960. Sulla data della nomina le fonti divergono, e la divergenza va mantenuta: la biografia diffusa da storiologia.it indica la nomina a delegato apostolico in Turchia al 24 novembre 1934; Storiologia (https://www.storiologia.it/biografie/roncalli.htm) altre fonti, fra cui la scheda del Comune di Padova (padovanet.it), collocano al 1934 la nomina ad arcivescovo titolare di Mesembria con l'incarico di delegato apostolico in Turchia e Grecia e di amministratore apostolico del Vicariato di Istanbul; lo studio di riferimento in lingua inglese, l'articolo di The Journal of Ecclesiastical History del gennaio 1989 (vol. 40, n. 1, pp. 74-99, DOI 10.1017/S0022046900035430), parla di delegato apostolico «from January 1935 to December 1944». Concordano invece le fonti sull'arrivo a Istanbul, proveniente da Sofia, il 5 gennaio 1935, Gariwo (https://it.gariwo.net/dl/202005180612_A.pdf) e sulla conclusione dell'incarico alla fine del 1944, con la partenza per la nunziatura di Francia (il 27 dicembre 1944 secondo storiologia.it, che riferisce anche del telegramma cifrato del cardinal Tardini ricevuto il 6 dicembre). Storiologia (https://www.storiologia.it/biografie/roncalli.htm)</w:t>
      </w:r>
    </w:p>
    <w:p>
      <w:pPr>
        <w:spacing w:after="120" w:line="276"/>
        <w:jc w:val="both"/>
      </w:pPr>
      <w:r>
        <w:rPr>
          <w:rFonts w:ascii="Barlow Semi Condensed" w:cs="Barlow Semi Condensed" w:eastAsia="Barlow Semi Condensed" w:hAnsi="Barlow Semi Condensed"/>
          <w:sz w:val="24"/>
          <w:szCs w:val="24"/>
        </w:rPr>
        <w:t xml:space="preserve">La condizione della comunità cattolica di Istanbul in quegli anni è descritta concordemente come esigua e frazionata nei diversi riti: le fonti oscillano fra le trentamila unità «al suo arrivo nel '35» indicate da Terrasanta.net Terrasanta (https://www.terrasanta.net/2014/03/il-decennio-turco-di-monsignor-roncalli/) e le trentacinquemila indicate da ladiscussione.com, La Discussione (https://ladiscussione.com/130659/cultura/roncalli-a-istanbul/) con tendenza alla diminuzione nel tempo. Roncalli operò in un contesto segnato dalla laicizzazione kemalista: la Repubblica di Atatürk non riconosceva ufficialmente la rappresentanza pontificia, sicché egli si muoveva con discrezione, presentandosi agli uffici di polizia per ottenere i documenti. La Discussione (https://ladiscussione.com/130659/cultura/roncalli-a-istanbul/) Fra le sue scelte pastorali più innovative e più documentate vi è l'introduzione della lingua turca nella liturgia e nelle comunicazioni della diocesi: la Comunità di Sant'Egidio, per voce di Valeria Martano curatrice dei suoi diari, colloca l'iniziativa «fin dal 1935»; Zenit (https://it.zenit.org/2010/12/01/il-metodo-roncalli-nell-incontro-tra-oriente-e-occidente/) ladiscussione.com la data «già dal gennaio del 1936» per preghiere e canti; La Discussione (https://ladiscussione.com/130659/cultura/roncalli-a-istanbul/) terrasanta.net riferisce della lettura del Vangelo in turco nel 1938. Su questa cronologia interna le fonti dunque divergono e la divergenza è qui mantenuta. L'iniziativa suscitò consensi nell'ambiente musulmano e contestazioni nella comunità cattolica occidentale, soprattutto francese, che si considerava prima destinataria delle cure pastorali. Quando una legge turca proibì l'uso dell'abito religioso in pubblico, Roncalli si adeguò, annotando con nota ironica — riportata da zenit.org — che il provvedimento favoriva i contatti con i capi religiosi ortodossi e musulmani. Zenit (https://it.zenit.org/2010/12/01/il-metodo-roncalli-nell-incontro-tra-oriente-e-occidente/)</w:t>
      </w:r>
    </w:p>
    <w:p>
      <w:pPr>
        <w:spacing w:after="120" w:line="276"/>
        <w:jc w:val="both"/>
      </w:pPr>
      <w:r>
        <w:rPr>
          <w:rFonts w:ascii="Barlow Semi Condensed" w:cs="Barlow Semi Condensed" w:eastAsia="Barlow Semi Condensed" w:hAnsi="Barlow Semi Condensed"/>
          <w:sz w:val="24"/>
          <w:szCs w:val="24"/>
        </w:rPr>
        <w:t xml:space="preserve">Il capitolo più noto del decennio è l'assistenza ai profughi ebrei durante la Seconda guerra mondiale. Le fonti concordano nel valore dell'azione e nel suo carattere personale e riservato; la cifra ricorrente è quella di circa venticinquemila ebrei «concretamente aiutati», come riportano storiologia.it e altre fonti, con la consueta cautela che simili stime comportano. Roncalli si avvalse dei suoi rapporti con l'ambasciatore tedesco a Istanbul Franz von Papen, cattolico ed ex cancelliere del Reich: l'Avvenire (avvenire.it), citando testimonianze fra cui quella resa da von Papen al processo di Norimberga, riferisce che migliaia di ebrei furono salvati anche grazie alle formalità amministrative alle quali l'ambasciatore finì per piegarsi sotto la pressione di Roncalli. La ricerca condotta dalla Fondazione Wallenberg e dal Comitato Roncalli è citata per l'invio di certificati e visti di transito, con interventi estesi a ebrei di Slovacchia, Bulgaria e Ungheria. Si segnala, quale limite documentale rilevante e già indicato da Rinaldo Marmara, che la documentazione del quinquennio 1940-1945 non è pienamente consultabile, circostanza che sarà ripresa al Capitolo XII. Il rilievo di questa stagione per i rapporti successivi è attestato dalla memoria pubblica turca — la «Papa Roncalli Sokak» a Istanbul, la statua inaugurata da Benedetto XVI — e dalla stessa Santa Sede, che nel discorso di Paolo VI al nuovo ambasciatore di Turchia del 19 gennaio 1967 (vatican.va)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CAPITOLO VII — La visita di Giovanni Paolo II in Turchia (28-30 novembre 1979)</w:t>
      </w:r>
    </w:p>
    <w:p>
      <w:pPr>
        <w:spacing w:after="120" w:line="276"/>
        <w:jc w:val="both"/>
      </w:pPr>
      <w:r>
        <w:rPr>
          <w:rFonts w:ascii="Barlow Semi Condensed" w:cs="Barlow Semi Condensed" w:eastAsia="Barlow Semi Condensed" w:hAnsi="Barlow Semi Condensed"/>
          <w:sz w:val="24"/>
          <w:szCs w:val="24"/>
        </w:rPr>
        <w:t xml:space="preserve">Il viaggio apostolico di Giovanni Paolo II in Turchia dal 28 al 30 novembre 1979 è documentato in modo esaustivo dalle fonti ufficiali della Santa Sede (vatican.va). Nel discorso alla partenza del 28 novembre 1979 il pontefice dichiarò di recarsi in Turchia «seguendo le orme del mio Predecessore Paolo VI che alla fine del mese di luglio del 1967 andò in Turchia», per continuare lo sforzo verso l'unità dei cristiani e per mostrare «l'importanza che la Chiesa cattolica dà al rapporto con le venerabili Chiese ortodosse alla vigilia dell'inizio di un dialogo teologico». Il programma prevedeva l'omaggio alle autorità della Repubblica ad Ankara, l'incontro a Istanbul con il patriarca ecumenico Dimitrios I e la partecipazione alle celebrazioni per la festa di Sant'Andrea. Ad Ankara il papa si rivolse alla comunità cattolica ricordandone la condizione di «piccola minoranza in queste terre»; Vatican News (https://www.vaticannews.va/it/papa/news/2025-11/viaggi-apostolici-papi-turchia.html) a Istanbul, il 29 novembre, celebrò nella Cattedrale dello Spirito Santo e incontrò anche il patriarca armeno Shnorhk Kalustian e 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fu, il 29 e 30 novembre, l'incontro con Dimitrios I al Fanar. Nel discorso del 29 novembre 1979 Giovanni Paolo II salutò il patriarca e il Santo Sinodo e, come egli stesso avrebbe rievocato nell'omelia del 6 dicembre 1987 (vatican.va), poté allora «annunciare insieme che l'inizio del dialogo teologico tra la Chiesa cattolica e la Chiesa ortodossa era imminente» e rendere pubblici i nomi dei membri della Commissione mista incaricata del dialogo. Il 30 novembre 1979, in occasione della festa di Sant'Andrea, fu dunque proclamato l'avvio del dialogo teologico ufficiale cattolico-ortodosso; il discorso di conclusione del pellegrinaggio, sempre del 30 novembre, ringrazia «il Signor Ministro degli Interni, Onorevole Virginio Rognoni» — presente in rappresentanza del governo italiano — e le autorità turche. Va rilevato, sul piano della memoria del rapporto, che 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fra questo capitolo e il nodo prioritario è di natura cronologica e va trattato con la massima cautela metodologica: la lettera minatoria di Ağca del 27 novembre 1979 fu inviata proprio in occasione di questo viaggio, che tuttavia si svolse senza incidenti. La contemporaneità fra la minaccia e il viaggio è un fatto; essa non stabilisce di per sé alcun nesso causale con l'attentato del 1981, avvenuto a diciotto mesi di distanza e in altro luogo. La minaccia del 1979 e l'attentato del 1981 sono legati dalla persona dell'attentatore e dalla continuità del suo proposito dichiarato — come Ağca stesso avrebbe poi affermato rinviando alle «motivazioni» espresse nel 1979 — ma la ricostruzione delle cause e degli eventuali mandanti dell'attacco del 1981 resta quella, giudizialmente non conclusiva, esposta al Capitolo IV.</w:t>
      </w:r>
    </w:p>
    <w:p>
      <w:pPr>
        <w:spacing w:after="120" w:line="276"/>
        <w:jc w:val="both"/>
      </w:pPr>
      <w:r>
        <w:rPr>
          <w:rFonts w:ascii="Barlow Semi Condensed" w:cs="Barlow Semi Condensed" w:eastAsia="Barlow Semi Condensed" w:hAnsi="Barlow Semi Condensed"/>
          <w:sz w:val="24"/>
          <w:szCs w:val="24"/>
        </w:rPr>
        <w:t xml:space="preserve">CAPITOLO VIII — Il patriarcato ecumenico e il dialogo cattolico-ortodosso (1964-1985)</w:t>
      </w:r>
    </w:p>
    <w:p>
      <w:pPr>
        <w:spacing w:after="120" w:line="276"/>
        <w:jc w:val="both"/>
      </w:pPr>
      <w:r>
        <w:rPr>
          <w:rFonts w:ascii="Barlow Semi Condensed" w:cs="Barlow Semi Condensed" w:eastAsia="Barlow Semi Condensed" w:hAnsi="Barlow Semi Condensed"/>
          <w:sz w:val="24"/>
          <w:szCs w:val="24"/>
        </w:rPr>
        <w:t xml:space="preserve">Il dialogo cattolico-ortodosso costituisce, insieme al decennio roncalliano, la spina dorsale positiva del rapporto Santa Sede-Turchia nel Novecento, poiché il Patriarcato ecumenico ha sede a Istanbul. La cronologia è saldamente documentata dalle fonti ufficiali. L'incontro di Gerusalemme fra Paolo VI e il patriarca Atenagora I ebbe luogo il 5 gennaio 1964 sul Monte degli Ulivi: fu, come sintetizza Vatican News, il primo atto ufficiale congiunto delle due Chiese dallo scisma del 1054. La Dichiarazione comune cattolico-ortodossa fu letta simultaneamente il 7 dicembre 1965, nella sessione solenne del Concilio Vaticano II a Roma e nella cattedrale patriarcale del Fanar a Istanbul: essa precisò che le scomuniche del 1054 fra Leone IX e Michele Cerulario riguardavano le persone e non le Chiese, e dispose di «cancellare dalla memoria e dal seno della Chiesa» quelle sentenze. Il percorso preparatorio è documentato: nell'aprile 1965 una delegazione romana composta dai cardinali Willebrands e Bea si recò a Istanbul; il 9 ottobre 1965, durante l'udienza al metropolita Emilianos Timiadis, fu decisa la costituzione di una commissione mista (orientecristiano.it).</w:t>
      </w:r>
    </w:p>
    <w:p>
      <w:pPr>
        <w:spacing w:after="120" w:line="276"/>
        <w:jc w:val="both"/>
      </w:pPr>
      <w:r>
        <w:rPr>
          <w:rFonts w:ascii="Barlow Semi Condensed" w:cs="Barlow Semi Condensed" w:eastAsia="Barlow Semi Condensed" w:hAnsi="Barlow Semi Condensed"/>
          <w:sz w:val="24"/>
          <w:szCs w:val="24"/>
        </w:rPr>
        <w:t xml:space="preserve">Seguirono le visite reciproche: Paolo VI si recò a Istanbul, Efeso e Smirne dal 25 al 26 luglio 1967, rivedendo Atenagora nella chiesa patriarcale di San Giorgio il 25 luglio; il 26 ottobre 1967 (una fonte scrive «ottobre 1967») Atenagora giunse a Roma, con solenne celebrazione in San Pietro. Atenagora I morì nel luglio 1972 — sul giorno preciso le fonti già acquisite divergono fra il 6 e il 7 luglio, divergenza qui mantenuta — e gli succedette Dimitrios I. Sotto il pontificato di Giovanni Paolo II, come esposto al Capitolo VII, l'incontro al Fanar del novembre 1979 avviò il dialogo teologico. La Commissione mista internazionale per il dialogo teologico tra la Chiesa cattolica e la Chiesa ortodossa tenne la prima sessione plenaria nel 1980 nelle isole greche di Patmos e Rodi: Diocesichieti (https://www.diocesichieti.it/sessione-plenaria-per-il-dialogo-teologico-tra-la-chiesa-cattolica-e-le-chiese-ortodosse/) l'Osservatore Romano ne precisa le date, dal 29 maggio al 4 giugno 1980, con inizio a Patmos; L'Osservatore Romano (https://www.osservatoreromano.va/it/news/2020-11/quo-273/dialogo-sulla-chiesa.html) già nella sessione inaugurale, come ricorda un intervento pubblicato dal CCEE, alcuni delegati ortodossi obiettarono alla presenza dei rappresentanti delle Chiese cattoliche orientali. Ccee (https://www.ccee.eu/wp-content/uploads/sites/2/2019/09/Intervento-Rev.-Bouwen.pdf) Il primo frutto documentale del dialogo fu, come ricordò Giovanni Paolo II nel discorso al Sacro Collegio del 28 giugno 1985 (vatican.va), «un documento redatto in comune sul mistero della Chiesa e dell'Eucaristia alla luce del mistero della Santissima Trinità».</w:t>
      </w:r>
    </w:p>
    <w:p>
      <w:pPr>
        <w:spacing w:after="120" w:line="276"/>
        <w:jc w:val="both"/>
      </w:pPr>
      <w:r>
        <w:rPr>
          <w:rFonts w:ascii="Barlow Semi Condensed" w:cs="Barlow Semi Condensed" w:eastAsia="Barlow Semi Condensed" w:hAnsi="Barlow Semi Condensed"/>
          <w:sz w:val="24"/>
          <w:szCs w:val="24"/>
        </w:rPr>
        <w:t xml:space="preserve">Accanto a questa cronologia ecumenica va collocata la condizione del Patriarcato nell'ordinamento turco, che ne segna il limite strutturale e collega questo capitolo alla questione delle minoranze. Il governo turco richiede che il patriarca ecumenico e i membri del Santo Sinodo siano cittadini turchi, requisito che numerose fonti — fra cui gli interventi in sede OSCE ripresi da lafiaccola.it — qualificano come interferenza inaccettabile con il processo elettorale interno del Patriarcato. La formazione del clero ortodosso resta compromessa dalla chiusura della Scuola teologica di Halki, di cui si tratta al Capitolo IX. Nel periodo qui considerato (fino al 1985) la questione di Halki era già aperta ma non risolta, e non risulta dalle fonti reperite che essa sia stata oggetto di una trattazione formale nelle sedi del dialogo teologico, che manteneva un carattere dottrinale e non giurisdizionale; questa è una lacuna che il capitolo dichiara e che andrebbe verificata negli archivi del Patriarcato e della Segreteria di Stato.</w:t>
      </w:r>
    </w:p>
    <w:p>
      <w:pPr>
        <w:spacing w:after="120" w:line="276"/>
        <w:jc w:val="both"/>
      </w:pPr>
      <w:r>
        <w:rPr>
          <w:rFonts w:ascii="Barlow Semi Condensed" w:cs="Barlow Semi Condensed" w:eastAsia="Barlow Semi Condensed" w:hAnsi="Barlow Semi Condensed"/>
          <w:sz w:val="24"/>
          <w:szCs w:val="24"/>
        </w:rPr>
        <w:t xml:space="preserve">CAPITOLO IX — Le comunità cattoliche di Turchia, il loro statuto e il Trattato di Losanna</w:t>
      </w:r>
    </w:p>
    <w:p>
      <w:pPr>
        <w:spacing w:after="120" w:line="276"/>
        <w:jc w:val="both"/>
      </w:pPr>
      <w:r>
        <w:rPr>
          <w:rFonts w:ascii="Barlow Semi Condensed" w:cs="Barlow Semi Condensed" w:eastAsia="Barlow Semi Condensed" w:hAnsi="Barlow Semi Condensed"/>
          <w:sz w:val="24"/>
          <w:szCs w:val="24"/>
        </w:rPr>
        <w:t xml:space="preserve">Lo statuto giuridico delle comunità cattoliche di Turchia è determinato in modo decisivo, e in senso restrittivo, dal Trattato di Losanna del 24 luglio 1923, firmato fra la Turchia e le potenze dell'Intesa. Il trattato pose fine alla guerra greco-turca, ridisegnò i confini stabiliti dal Trattato di Sèvres, sancì la rinuncia turca a Cipro e ad altri territori e legittimò lo scambio di popolazioni fra Grecia e Turchia. La sezione dedicata ai diritti delle minoranze è contenuta nella parte prima, sezione terza, articoli 37-45. L'interpretazione consolidata dalle autorità turche riconosce come minoranze non musulmane soltanto i greco-ortodossi, gli armeni e gli ebrei; ne restano esclusi i cattolici latini, i caldei e i siro-cattolici. La conseguenza pratica di tale esclusione è documentata con nettezza dalla pubblicistica confessionale: come riferisce funerali.org a proposito del decreto turco di restituzione dei beni alle fondazioni religiose, «nulla tornerà invece ai cattolici latini, perché questi non compaiono tra le minoranze religiose indicate nel Trattato di Losanna del 1923», Funerali (https://www.funerali.org/cimiteri/in-turchia-restituiti-tra-laltro-alle-minoranze-religiose-la-gestione-di-loro-cimiteri-2-42724.html) mentre benefici della restituzione risultavano i greco-ortodossi, gli armeni, i caldei cattolici e gli ebrei.</w:t>
      </w:r>
    </w:p>
    <w:p>
      <w:pPr>
        <w:spacing w:after="120" w:line="276"/>
        <w:jc w:val="both"/>
      </w:pPr>
      <w:r>
        <w:rPr>
          <w:rFonts w:ascii="Barlow Semi Condensed" w:cs="Barlow Semi Condensed" w:eastAsia="Barlow Semi Condensed" w:hAnsi="Barlow Semi Condensed"/>
          <w:sz w:val="24"/>
          <w:szCs w:val="24"/>
        </w:rPr>
        <w:t xml:space="preserve">L'articolazione della Chiesa cattolica in Turchia comprende, secondo le fonti ufficiali e la pubblicistica confessionale, il Vicariato apostolico di Istanbul, l'Arcidiocesi di Smirne (İzmir), il Vicariato apostolico dell'Anatolia, l'Arcieparchia armeno-cattolica di Istanbul, le comunità caldea e siro-cattolica e l'Esarcato apostolico per i cattolici di rito bizantino. Sulle consistenze numeriche le fonti divergono e la divergenza è qui mantenuta, coerentemente con l'acquisizione anteriore che oscillava fra venticinquemila-trentamila e sessantamila fedeli: SettimanaNews, riferendosi al rito latino, indica per epoca recente oltre 1.300 fedeli a Smirne, quindicimila nel Vicariato di Istanbul e circa 1.500 nell'Anatolia; SettimanaNews (https://www.settimananews.it/ecumenismo-dialogo/chiesa-latina-turchia-dal-dentro/) la voce enciclopedica sulle minoranze in Turchia stima i cattolici complessivi «circa 35.000, pari allo 0,05% della popolazione», con fedeli di rito latino, bizantino, armeno e caldeo. Alegsaonline (https://it.alegsaonline.com/art/65294) Wikipedia in italiano ricorda che nel XIX secolo, grazie all'influsso francese, quattro Chiese cattoliche — armeno-cattolica, caldea, greco-melchita e sira — avevano ottenuto sotto gli Ottomani lo statuto di millet; la rivoluzione kemalista, sopprimendo il sistema del millet, rimosse quella tutela.</w:t>
      </w:r>
    </w:p>
    <w:p>
      <w:pPr>
        <w:spacing w:after="120" w:line="276"/>
        <w:jc w:val="both"/>
      </w:pPr>
      <w:r>
        <w:rPr>
          <w:rFonts w:ascii="Barlow Semi Condensed" w:cs="Barlow Semi Condensed" w:eastAsia="Barlow Semi Condensed" w:hAnsi="Barlow Semi Condensed"/>
          <w:sz w:val="24"/>
          <w:szCs w:val="24"/>
        </w:rPr>
        <w:t xml:space="preserve">Il regime giuridico delle fondazioni (vakıf) e la questione delle proprietà ecclesiastiche costituiscono il terreno concreto su cui l'esclusione dei cattolici latini produce effetti: mancando il riconoscimento come minoranza, essi non godono delle tutele patrimoniali riconosciute alle tre minoranze «di Losanna», e le loro proprietà — monasteri, parrocchie — hanno storicamente sofferto della mancata personalità giuridica. La posizione della Santa Sede sull'esclusione, per il periodo 1969-1985 qui considerato, non emerge dalle fonti reperite in forma di un atto formale e specifico di protesta: le rivendicazioni documentate — in sede europea e per voce del Patriarcato ecumenico circa i «beni usurpati» — appartengono per lo più a epoca successiva. Si tratta quindi, per il perimetro cronologico prioritario, di un capitolo la cui base documentale è solida sul dato giuridico (il testo e l'interpretazione del Trattato di Losanna) ma più esile sull'azione diplomatica della Santa Sede nel quindicennio, e come tale viene onestamente dichiarato: la sede naturale di accertamento è l'archivio della Segreteria di Stato, sezione Rapporti con gli Stati, per il pontificato di Paolo VI, non ancora aperto (Capitolo XII).</w:t>
      </w:r>
    </w:p>
    <w:p>
      <w:pPr>
        <w:spacing w:after="120" w:line="276"/>
        <w:jc w:val="both"/>
      </w:pPr>
      <w:r>
        <w:rPr>
          <w:rFonts w:ascii="Barlow Semi Condensed" w:cs="Barlow Semi Condensed" w:eastAsia="Barlow Semi Condensed" w:hAnsi="Barlow Semi Condensed"/>
          <w:sz w:val="24"/>
          <w:szCs w:val="24"/>
        </w:rPr>
        <w:t xml:space="preserve">CAPITOLO X — La Santa Sede, la Turchia e la Conferenza sulla sicurezza e la cooperazione in Europa</w:t>
      </w:r>
    </w:p>
    <w:p>
      <w:pPr>
        <w:spacing w:after="120" w:line="276"/>
        <w:jc w:val="both"/>
      </w:pPr>
      <w:r>
        <w:rPr>
          <w:rFonts w:ascii="Barlow Semi Condensed" w:cs="Barlow Semi Condensed" w:eastAsia="Barlow Semi Condensed" w:hAnsi="Barlow Semi Condensed"/>
          <w:sz w:val="24"/>
          <w:szCs w:val="24"/>
        </w:rPr>
        <w:t xml:space="preserve">La partecipazione della Santa Sede alla Conferenza sulla sicurezza e la cooperazione in Europa segna un episodio di rilievo storico e ben documentato. Le fonti ufficiali e la storiografia concordano: fu la prima volta, dopo il Congresso di Vienna del 1815, che la Santa Sede partecipava come membro a pieno titolo (full member) a un congresso di Stati, come dichiarato dal cardinale Achille Silvestrini e ripreso dall'Osservatore Romano e da settimananews.it. La delegazione fu guidata dall'arcivescovo Agostino Casaroli, segretario del Consiglio per gli affari pubblici della Chiesa, e da Achille Silvestrini, allora sottosegretario del medesimo Consiglio (divenuto segretario nel 1979); la voce del Dizionario Biografico Treccani su Casaroli conferma che la Santa Sede partecipò «fin dalle riunioni preparatorie, come full member».</w:t>
      </w:r>
    </w:p>
    <w:p>
      <w:pPr>
        <w:spacing w:after="120" w:line="276"/>
        <w:jc w:val="both"/>
      </w:pPr>
      <w:r>
        <w:rPr>
          <w:rFonts w:ascii="Barlow Semi Condensed" w:cs="Barlow Semi Condensed" w:eastAsia="Barlow Semi Condensed" w:hAnsi="Barlow Semi Condensed"/>
          <w:sz w:val="24"/>
          <w:szCs w:val="24"/>
        </w:rPr>
        <w:t xml:space="preserve">Il contributo più caratteristico della diplomazia pontificia riguardò la libertà religiosa. Silvestrini ha rievocato più volte «l'emozione con cui il 7 marzo 1973 presentammo, nell'ambito dei principi che dovevano reggere i rapporti fra gli Stati, una proposta sulla libertà religiosa, ricordando che nella storia d'Europa esisteva una comune cultura, quella cristiana»; Vatican News (https://www.vaticannews.va/it/mondo/news/2022-04/conferenza-helsinki-1975-europa-guerra-fredda-eredita-pace.html) la proposta, accolta secondo il racconto dello stesso Silvestrini «come una bomba», confluì nel settimo principio dell'Atto finale, che afferma il rispetto dei diritti dell'uomo e delle libertà fondamentali, inclusa la libertà di pensiero, coscienza, religione o credo. Treccani (https://www.treccani.it/enciclopedia/agostino-casaroli_(Dizionario-Biografico)/) L'Atto finale di Helsinki fu firmato il 1° agosto 1975 da trentacinque Stati partecipanti. Vi apposero la firma la Santa Sede, la Turchia e, per l'Italia, Aldo Moro nella duplice qualità di presidente del Consiglio e presidente di turno della Comunità europea, come già stabilito e come confermano le fonti sul ruolo comunitario di Moro nel 1975. La convergenza delle tre firme — Santa Sede, Turchia, Italia di Moro — sullo stesso documento internazionale è il punto di intersezione più netto e documentato fra i tre oggetti di questa ricognizione nel perimetro cronologico considerato, e ne costituisce una delle triangolazioni certe.</w:t>
      </w:r>
    </w:p>
    <w:p>
      <w:pPr>
        <w:spacing w:after="120" w:line="276"/>
        <w:jc w:val="both"/>
      </w:pPr>
      <w:r>
        <w:rPr>
          <w:rFonts w:ascii="Barlow Semi Condensed" w:cs="Barlow Semi Condensed" w:eastAsia="Barlow Semi Condensed" w:hAnsi="Barlow Semi Condensed"/>
          <w:sz w:val="24"/>
          <w:szCs w:val="24"/>
        </w:rPr>
        <w:t xml:space="preserve">Restano invece da accertare, e sono qui dichiarati come lacune, due punti specificamente richiesti. In primo luogo, non risulta dalle fonti reperite che la questione delle minoranze cristiane in Turchia e la chiusura di Halki siano state sollevate formalmente dalla delegazione vaticana o da altra delegazione nella sede della Conferenza del 1975 o nelle successive riunioni «di seguito» (Belgrado, Madrid): il tema della libertà religiosa fu posto dalla Santa Sede in termini generali e principalmente in funzione della condizione dei cattolici nei Paesi del blocco orientale, secondo la logica dell'Ostpolitik, non come rivendicazione puntuale verso Ankara. In secondo luogo, la posizione turca sui principi relativi ai diritti umani e alle minoranze in quella sede non è documentata, nelle fonti qui raccolte, con la specificità necessaria. Entrambe le lacune sono riportate al Capitolo XII con l'indicazione delle sedi di accertamento, che comprendono gli atti della CSCE, l'archivio della Segreteria di Stato e gli archivi diplomatici turchi.</w:t>
      </w:r>
    </w:p>
    <w:p>
      <w:pPr>
        <w:spacing w:after="120" w:line="276"/>
        <w:jc w:val="both"/>
      </w:pPr>
      <w:r>
        <w:rPr>
          <w:rFonts w:ascii="Barlow Semi Condensed" w:cs="Barlow Semi Condensed" w:eastAsia="Barlow Semi Condensed" w:hAnsi="Barlow Semi Condensed"/>
          <w:sz w:val="24"/>
          <w:szCs w:val="24"/>
        </w:rPr>
        <w:t xml:space="preserve">CAPITOLO XI — La posizione italiana sulle minoranze cristiane, sul Patriarcato e sulla comunità italiana di Istanbul e Smirne</w:t>
      </w:r>
    </w:p>
    <w:p>
      <w:pPr>
        <w:spacing w:after="120" w:line="276"/>
        <w:jc w:val="both"/>
      </w:pPr>
      <w:r>
        <w:rPr>
          <w:rFonts w:ascii="Barlow Semi Condensed" w:cs="Barlow Semi Condensed" w:eastAsia="Barlow Semi Condensed" w:hAnsi="Barlow Semi Condensed"/>
          <w:sz w:val="24"/>
          <w:szCs w:val="24"/>
        </w:rPr>
        <w:t xml:space="preserve">Questo capitolo raccoglie un obiettivo che si è risolto in larga parte in un esito negativo, il quale — come richiesto — viene dichiarato con la massima chiarezza e con l'indicazione della sede di accertamento, in quanto acquisizione di pieno valore. Il committente chiedeva di verificare se il governo italiano, e in particolare la Farnesina di Moro, avesse assunto posizioni documentate sulla condizione delle minoranze cristiane in Turchia, sulla chiusura di Halki del 1971 o sullo statuto del Patriarcato ecumenico, e se vi fossero stati contatti fra la Farnesina e la Segreteria di Stato su tali materie. Nelle fonti reperibili in questa ricognizione non emerge alcuna presa di posizione italiana specifica e documentata su questi punti nel periodo 1969-1975. La documentazione disponibile sulla politica estera di Moro verso la Turchia la colloca, come esposto al Capitolo II, nel quadro comunitario e mediterraneo; la questione confessionale non vi compare. Ciò non significa che tale posizione non esista negli archivi: significa che essa non è, allo stato, documentata dalle fonti edite e accessibili, e che la sua verifica va condotta presso l'Archivio Storico Diplomatico del Ministero degli Affari Esteri, serie Turchia e serie Santa Sede 1969-1975, e presso l'archivio della Segreteria di Stato per il pontificato di Paolo VI, quest'ultimo non ancora aperto.</w:t>
      </w:r>
    </w:p>
    <w:p>
      <w:pPr>
        <w:spacing w:after="120" w:line="276"/>
        <w:jc w:val="both"/>
      </w:pPr>
      <w:r>
        <w:rPr>
          <w:rFonts w:ascii="Barlow Semi Condensed" w:cs="Barlow Semi Condensed" w:eastAsia="Barlow Semi Condensed" w:hAnsi="Barlow Semi Condensed"/>
          <w:sz w:val="24"/>
          <w:szCs w:val="24"/>
        </w:rPr>
        <w:t xml:space="preserve">Diverso è lo statuto documentale della comunità italiana di Istanbul e Smirne, che le fonti diplomatiche e culturali italiane qualificano come la più antica collettività italiana all'estero. La Treccani (magazine della lingua italiana) la descrive come «la più antica comunità storica italofona all'estero», radicata nel Mediterraneo orientale «dai tempi delle Crociate e delle Repubbliche marinare», discendente dai coloni genovesi e veneziani; la stessa fonte documenta la dispersione della comunità levantina di Smirne fra le due guerre e l'ulteriore emigrazione da Istanbul dopo i disordini del 1955. Un contributo del CeSPI (brief n. 62, di Imparato) ricostruisce la storia della «comunità italofona e levantina di Istanbul», comprese le ondate migratorie ottocentesche di esuli politici meridionali Cespi (https://www.cespi.it/sites/default/files/osservatori/allegati/brief_62_comunita_levantina_di_istanbul_imparato.pdf) e l'impatto della guerra italo-turca del 1911-1912 e della Prima guerra mondiale come spartiacque demografico. Il rapporto di questa collettività con le parrocchie latine di Istanbul — quelle stesse comunità di rito latino escluse dalle tutele di Losanna (Capitolo IX) — è dunque storicamente strettissimo, poiché le parrocchie latine costituivano il riferimento religioso naturale dei levantini di origine italiana. Tuttavia, la connessione fra la tutela consolare italiana della comunità e la sorte giuridica delle parrocchie latine non risulta documentata, nelle fonti reperite, in forma di un'azione coordinata della Farnesina nel periodo qui considerato. Anche questo è un punto la cui verifica va rinviata all'archivio diplomatico italiano. Il capitolo è pertanto più breve degli altri e ne dichiara la ragione: la base documentale edita sostiene con forza il dato dell'antichità e della consistenza storica della comunità italiana, ma non l'esistenza di una politica confessionale italiana verso la Turchia riconducibile a Moro.</w:t>
      </w:r>
    </w:p>
    <w:p>
      <w:pPr>
        <w:spacing w:after="120" w:line="276"/>
        <w:jc w:val="both"/>
      </w:pPr>
      <w:r>
        <w:rPr>
          <w:rFonts w:ascii="Barlow Semi Condensed" w:cs="Barlow Semi Condensed" w:eastAsia="Barlow Semi Condensed" w:hAnsi="Barlow Semi Condensed"/>
          <w:sz w:val="24"/>
          <w:szCs w:val="24"/>
        </w:rPr>
        <w:t xml:space="preserve">CAPITOLO XII — Gli archivi, le fonti desecretate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Lo stato di accessibilità degli archivi condiziona in modo decisivo il grado di accertamento raggiungibile su ciascun oggetto di questa ricognizione, e va esposto con precisione. L'Archivio Apostolico Vaticano — già Archivio Segreto Vaticano, ridenominato da papa Francesco con il motu proprio L'esperienza storica del 22 ottobre 2019 — è consultabile, secondo la prassi dell'apertura per interi pontificati decisa di volta in volta dal Sommo Pontefice, fino all'ottobre 1958, data della morte di Pio XII, il cui pontificato è stato aperto alla consultazione da papa Francesco a partire dal marzo 2020 (vaticannews.va; archivioapostolicovaticano.va). Ne consegue un dato decisivo per questa ricerca: la documentazione dei pontificati di Giovanni XXIII, Paolo VI e Giovanni Paolo II — e quindi l'intera documentazione vaticana relativa al dialogo cattolico-ortodosso post-1958, alle relazioni diplomatiche con la Turchia dal 1960, alla CSCE e all'attentato del 1981 — non è ancora aperta alla consultazione. Anche la documentazione roncalliana del quinquennio 1940-1945, come segnalato da Rinaldo Marmara e ripreso al Capitolo VI, non è pienamente consultabile. La documentazione delle relazioni Santa Sede-Turchia è conservata prevalentemente in italiano e francese, come attestano tanto acistampa.com quanto lo stesso Marmara, che ne ha avviato la catalogazione anche in lingua turca con opere quali «Santa Sede-Turchia. Periodo di Mons. Rotta 1925-1930. Verso le relazioni diplomatiche del 1960».</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conserva le serie Turchia e Santa Sede rilevanti per il periodo 1969-1975, con l'avvertenza — già accertata nella ricognizione anteriore — dell'esclusione temporanea dei Telegrammi 1942-1970; la Farnesina ha reso accessibili al pubblico l'Archivio Storico Diplomatico e la Biblioteca Esteri (https://italiana.esteri.it/italiana/en/culture/la-farnesina-apre-al-pubblico-la-biblioteca-e-larchivio-storico-diplomatico/) (italiana.esteri.it). Gli archivi diplomatici turchi e l'archivio del Patriarcato ecumenico costituiscono le sedi di accertamento per i versanti turco e patriarcale, non esplorati direttamente in questa ricognizione basata su fonti edite. Sul versante giudiziario e parlamentare italiano dell'attentato del 1981, sono accessibili gli atti della Commissione parlamentare d'inchiesta sul dossier Mitrokhin (parlamento.it): la Commissione, presieduta dal senatore Paolo Guzzanti, produsse un documento conclusivo del presidente che — secondo le fonti — non fu approvato per mancanza del numero legale il 15 marzo 2006, e una relazione conclusiva dei commissari di minoranza (centro-sinistra) depositata il 23 marzo 2006; quest'ultima, pubblicata come mitrokhindoc.377.pdf, contiene la valutazione secondo cui la maggioranza «ha insistito in modo pedissequo sulla "pista bulgara", già percorsa dalla magistratura […] senza però pervenire ad alcun risultato stabile e certo», Parlamento Italiano (https://www.parlamento.it/application/xmanager/projects/parlamento/file/commissione_mitrokhin_14leg/mitrokhindoc.377.pdf) e definisce l'operato della Commissione «uno dei momenti più bassi e umilianti della nostra storia istituzionale». Parlamento Italiano (https://www.parlamento.it/application/xmanager/projects/parlamento/file/commissione_mitrokhin_14leg/mitrokhindoc.377.pdf) I fascicoli processuali dell'attentato sono conservabili presso l'Archivio Centrale dello Stato o la Corte d'assise di Roma. Sul versante statunitense, la CIA FOIA Electronic Reading Room e la collezione CREST contengono valutazioni desecretate sull'attentato, su Ağca, sui Lupi Grigi, su Türkeş e sui servizi bulgari; la raccolta Foreign Relations of the United States, 1981-1988, volume X, documenti 370, 376 e 377, ne riproduce i passi essenziali, la cui conclusione — come esposto al Capitolo IV — non afferma come provata la responsabilità bulgaro-sovietica.</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ciascuna con la sede e la condizione di chiusura. La prima e di maggior rendimento è la documentazione della Segreteria di Stato, sezione Rapporti con gli Stati, per il pontificato di Paolo VI relativa alla Turchia, alle minoranze cattoliche, a Halki e alla CSCE: la sede è l'Archivio Apostolico Vaticano e l'archivio della Segreteria di Stato; la condizione di chiusura è l'apertura del pontificato di Paolo VI alla consultazione, oggi non ancora disposta. La seconda è la posizione della Farnesina di Moro sulle minoranze cristiane, su Halki e sul Patriarcato, e l'esistenza di contatti con la Segreteria di Stato: la sede è l'Archivio Storico Diplomatico del Ministero degli Affari Esteri, serie Turchia e Santa Sede 1969-1975; la condizione di chiusura è la consultazione diretta dei fascicoli, tenuto conto dell'esclusione dei Telegrammi 1942-1970. La terza è l'eventuale trattazione della questione delle minoranze cristiane turche e di Halki nelle sedi CSCE del 1975 e nelle riunioni di seguito: la sede sono gli atti della CSCE, l'archivio della Segreteria di Stato e gli archivi diplomatici turchi; la condizione di chiusura è lo spoglio sistematico dei verbali. La quarta è la documentazione roncalliana del 1940-1945 sull'assistenza agli ebrei: la sede è l'Archivio Apostolico Vaticano; la condizione di chiusura è l'apertura integrale del fondo. La quinta è la ricostruzione, sul versante turco, delle circostanze dell'evasione di Ağca da Kartal-Maltepe e dei suoi rapporti d'ambiente: la sede sono gli archivi giudiziari turchi; la condizione di chiusura è la loro accessibilità, allo stato non verificata. La sesta, di rendimento più circoscritto ma di interesse per il merito della pista bulgara, è il testo integrale dei documenti CIA solo parzialmente desecretati (le porzioni «not declassified» dei documenti FRUS 370 e 376): la sede è la CIA FOIA Electronic Reading Room; la condizione di chiusura è un'eventuale ulteriore desecretazione. Ciascuna di queste acquisizioni, ove conseguita, sposterebbe il confine fra l'accertato e il non provato; nessuna di esse, allo stato, modifica la conclusione centrale di questa ricognizione, ossia che l'unico nesso pienamente documentato fra Turchia e Vaticano nella serie sia la persona e la traiettoria dell'attentatore, mentre l'individuazione dei mandanti dell'attentato del 1981 resta giudizialmente non provata.</w:t>
      </w:r>
    </w:p>
    <w:p>
      <w:pPr>
        <w:spacing w:after="120" w:line="276"/>
        <w:jc w:val="both"/>
      </w:pPr>
      <w:r>
        <w:rPr>
          <w:rFonts w:ascii="Barlow Semi Condensed" w:cs="Barlow Semi Condensed" w:eastAsia="Barlow Semi Condensed" w:hAnsi="Barlow Semi Condensed"/>
          <w:sz w:val="24"/>
          <w:szCs w:val="24"/>
        </w:rPr>
        <w:t xml:space="preserve">RACCOMANDAZIONI</w:t>
      </w:r>
    </w:p>
    <w:p>
      <w:pPr>
        <w:spacing w:after="120" w:line="276"/>
        <w:jc w:val="both"/>
      </w:pPr>
      <w:r>
        <w:rPr>
          <w:rFonts w:ascii="Barlow Semi Condensed" w:cs="Barlow Semi Condensed" w:eastAsia="Barlow Semi Condensed" w:hAnsi="Barlow Semi Condensed"/>
          <w:sz w:val="24"/>
          <w:szCs w:val="24"/>
        </w:rPr>
        <w:t xml:space="preserve">Sul piano della strategia di ricerca, si raccomanda di procedere per gradi e per rendimento atteso. Il primo passo, immediatamente eseguibile, è lo spoglio sistematico dell'Archivio Storico Diplomatico della Farnesina, serie Turchia e serie Santa Sede 1969-1975, per chiudere l'esito negativo del Capitolo XI: è la fonte più accessibile fra quelle decisive e consentirebbe di stabilire se la mancata emersione di una posizione italiana sulle minoranze cristiane sia un dato reale o un artefatto della sola documentazione edita. La soglia che muterebbe la valutazione è il rinvenimento di anche un solo telegramma o appunto della Farnesina che tratti Halki, il Patriarcato o le parrocchie latine: in tal caso il Capitolo XI andrebbe riscritto da esito negativo a esito positivo.</w:t>
      </w:r>
    </w:p>
    <w:p>
      <w:pPr>
        <w:spacing w:after="120" w:line="276"/>
        <w:jc w:val="both"/>
      </w:pPr>
      <w:r>
        <w:rPr>
          <w:rFonts w:ascii="Barlow Semi Condensed" w:cs="Barlow Semi Condensed" w:eastAsia="Barlow Semi Condensed" w:hAnsi="Barlow Semi Condensed"/>
          <w:sz w:val="24"/>
          <w:szCs w:val="24"/>
        </w:rPr>
        <w:t xml:space="preserve">Il secondo passo è l'interrogazione integrale della CIA FOIA Electronic Reading Room e la lettura dei documenti FRUS 1981-1988, volume X, nella loro versione più completa, per consolidare — come già fatto in questa sede — la conclusione che l'intelligence statunitense non affermò come provata la pista bulgara; la soglia che muterebbe la valutazione sarebbe la desecretazione di porzioni oggi coperte che contenessero prove documentali, e non semplici dichiarazioni di Ağca, di un mandato bulgaro-sovietico. In assenza di tali prove, la qualificazione della pista bulgara come non giudizialmente provata va mantenuta in ogni pubblicazione.</w:t>
      </w:r>
    </w:p>
    <w:p>
      <w:pPr>
        <w:spacing w:after="120" w:line="276"/>
        <w:jc w:val="both"/>
      </w:pPr>
      <w:r>
        <w:rPr>
          <w:rFonts w:ascii="Barlow Semi Condensed" w:cs="Barlow Semi Condensed" w:eastAsia="Barlow Semi Condensed" w:hAnsi="Barlow Semi Condensed"/>
          <w:sz w:val="24"/>
          <w:szCs w:val="24"/>
        </w:rPr>
        <w:t xml:space="preserve">Il terzo passo, a più lungo termine e condizionato dall'apertura degli archivi, è la richiesta di consultazione dell'archivio della Segreteria di Stato per il pontificato di Paolo VI non appena esso venga aperto: è la fonte di massimo rendimento per i Capitoli VIII, IX e X, e la sua apertura è la principale variabile che potrebbe trasformare le lacune odierne in acquisizioni. Nel frattempo, si raccomanda di valorizzare l'opera di catalogazione di Rinaldo Marmara come guida agli inventari e di considerare, per il versante patriarcale, un contatto con l'archivio del Patriarcato ecumenico e con la storiografia in lingua greca.</w:t>
      </w:r>
    </w:p>
    <w:p>
      <w:pPr>
        <w:spacing w:after="120" w:line="276"/>
        <w:jc w:val="both"/>
      </w:pPr>
      <w:r>
        <w:rPr>
          <w:rFonts w:ascii="Barlow Semi Condensed" w:cs="Barlow Semi Condensed" w:eastAsia="Barlow Semi Condensed" w:hAnsi="Barlow Semi Condensed"/>
          <w:sz w:val="24"/>
          <w:szCs w:val="24"/>
        </w:rPr>
        <w:t xml:space="preserve">Sul piano redazionale, si raccomanda infine, in ogni resa pubblica di questa ricerca, di mantenere rigorosamente la distinzione fra l'accertato e il non provato, di trattare le dichiarazioni di Mehmet Ali Ağca come fatti pubblici e non come fonti di merito, e di non convertire mai la contemporaneità cronologica — segnatamente fra la lettera del 1979, il viaggio del 1979 e l'attentato del 1981 — in prova di un nesso causale.</w:t>
      </w:r>
    </w:p>
    <w:p>
      <w:pPr>
        <w:spacing w:after="120" w:line="276"/>
        <w:jc w:val="both"/>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ricerca è stata condotta prevalentemente su fonti edite e accessibili online; gli archivi decisivi (Segreteria di Stato per Paolo VI, archivi diplomatici turchi, archivio del Patriarcato, fascicoli processuali) non sono stati consultati direttamente, sicché numerose conclusioni hanno carattere provvisorio e sono esposte come tali. Diverse informazioni sull'attentato e sulla traiettoria di Ağca provengono da pubblicistica giornalistica di qualità disuguale, che tende a presentare come accertate ipotesi che tali non sono; si è cercato di segnalare ogni volta lo statuto della fonte, ma il lettore è avvertito che il campo è saturo di ricostruzioni non verificate. Persistono divergenze di data e di cifra deliberatamente mantenute: la nomina di Roncalli (24 novembre 1934, «1934», gennaio 1935); la data d'introduzione del turco nella liturgia (1935, gennaio 1936, 1938); la consistenza dei cattolici di Turchia (trentamila-trentacinquemila all'arrivo di Roncalli; venticinquemila-trentamila o sessantamila nel dato acquisito; circa 35.000 in epoca recente); la morte di Atenagora (6 o 7 luglio 1972). Sulla data della testimonianza di Melvin Goodman al Senato statunitense le fonti secondarie indicano il 1990, mentre il verbale ufficiale colloca la sessione sulla politicizzazione al 1° ottobre 1991: si è preferita la fonte primaria segnalando il conflitto. Alcune tesi diffuse nella pubblicistica — la responsabilità organizzativa dei Lupi Grigi nell'attentato, il mandato bulgaro-sovietico come fatto acquisito — sono state riportate e qualificate come non sostenute dalle sentenze e dalle fonti primarie. Infine, si ribadisce che gli esiti negativi (Capitoli II, XI e in parte IX e X) non vanno letti come prova dell'inesistenza dei fatti cercati, ma come misura dell'attuale accessibilità documentale: la loro chiusura definitiva richiede la consultazione archivistica diretta indicata al Capitolo XII.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la Turchia e l’attentato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8.071 parole in 6 sezioni; la più ampia è §3 Segmento 3, con 1.610.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37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 Documenti italiani e spagnoli, e l’Opus Dei</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(1969-1974), i documenti di Stato italiani e spagnoli, l'Opus Dei come soggetto storico e le triangolazioni. Ricognizione documentale in dodici capitoli</w:t>
      </w:r>
    </w:p>
    <w:p>
      <w:pPr>
        <w:pStyle w:val="Heading2"/>
        <w:spacing w:after="100" w:before="200"/>
      </w:pPr>
      <w:r>
        <w:rPr>
          <w:rFonts w:ascii="Barlow Semi Condensed" w:cs="Barlow Semi Condensed" w:eastAsia="Barlow Semi Condensed" w:hAnsi="Barlow Semi Condensed"/>
          <w:sz w:val="24"/>
          <w:szCs w:val="24"/>
        </w:rPr>
        <w:t xml:space="preserve">Capitolo 1 — La Libia dal colpo di Stato del 1969 alla confisca dei beni italiani</w:t>
      </w:r>
    </w:p>
    <w:p>
      <w:pPr>
        <w:spacing w:after="120" w:line="276"/>
        <w:jc w:val="both"/>
      </w:pPr>
      <w:r>
        <w:rPr>
          <w:rFonts w:ascii="Barlow Semi Condensed" w:cs="Barlow Semi Condensed" w:eastAsia="Barlow Semi Condensed" w:hAnsi="Barlow Semi Condensed"/>
          <w:sz w:val="24"/>
          <w:szCs w:val="24"/>
        </w:rPr>
        <w:t xml:space="preserve">La documentazione disaggregata sul dossier libico durante il mandato di Moro poggia su tre ordini di fonti: gli atti normativi italiani di indennizzo, la ricostruzione cronologica dei fatti libici e la storiografia. È accertato (fonte cronachistica e ricostruzione storica convergenti) che il colpo di Stato del Consiglio del Comando della Rivoluzione guidato da Muammar Gheddafi rovesciò re Idris il 1° settembre 1969, quando Moro era ministro degli Esteri da meno di un mese nel secondo governo Rumor. L'esodo degli italiani, come attesta la ricostruzione di RAI News ripresa da fonti divulgative, «inizia subito dopo il 1 settembre 1969»: nei quattro mesi successivi partirono almeno ottocento italiani.</w:t>
      </w:r>
    </w:p>
    <w:p>
      <w:pPr>
        <w:spacing w:after="120" w:line="276"/>
        <w:jc w:val="both"/>
      </w:pPr>
      <w:r>
        <w:rPr>
          <w:rFonts w:ascii="Barlow Semi Condensed" w:cs="Barlow Semi Condensed" w:eastAsia="Barlow Semi Condensed" w:hAnsi="Barlow Semi Condensed"/>
          <w:sz w:val="24"/>
          <w:szCs w:val="24"/>
        </w:rPr>
        <w:t xml:space="preserve">Il fatto centrale del periodo è la promulgazione, il 21 luglio 1970, di tre leggi di confisca da parte del Consiglio del Comando della Rivoluzione. La fonte enciclopedica e le ricostruzioni storiche concordano che il provvedimento sancì «la confisca dei beni alla comunità italiana e a quella ebraica», poche settimane dopo il celebre discorso di Gheddafi a Misurata in cui parlò di «ripulire la Libia dai rimasugli del passato coloniale». La ricostruzione di RAI News, ripresa dal portale Tuttogolfo, quantifica testualmente: «La Libia confisca 40 mila ettari di terra, 1.700 case, 500 attività commerciali: in totale 200 miliardi di lire del 1970». La confisca avvenne senza indennizzo e fu accompagnata dall'annullamento dei crediti delle società italiane verso lo Stato libico e dall'espulsione della comunità, evacuata attraverso il ministero della Marina Mercantile con nove navi.</w:t>
      </w:r>
    </w:p>
    <w:p>
      <w:pPr>
        <w:spacing w:after="120" w:line="276"/>
        <w:jc w:val="both"/>
      </w:pPr>
      <w:r>
        <w:rPr>
          <w:rFonts w:ascii="Barlow Semi Condensed" w:cs="Barlow Semi Condensed" w:eastAsia="Barlow Semi Condensed" w:hAnsi="Barlow Semi Condensed"/>
          <w:sz w:val="24"/>
          <w:szCs w:val="24"/>
        </w:rPr>
        <w:t xml:space="preserve">Sul versante italiano, la risposta si articolò in provvedimenti legislativi di indennizzo: la legge n. 1066 del 1971 (fonte: atto normativo citato in documentazione parlamentare e associativa) previde, nelle more della conclusione di accordi internazionali, un'anticipazione sugli indennizzi da stabilirsi, disposta con decreto del Ministero del Tesoro. La successione dei provvedimenti prosegue fino alla legge n. 7 del 2009 (di ratifica del Trattato di Bengasi del 30 agosto 2008) e allo stanziamento aggiuntivo del febbraio 2012. Una relazione parlamentare della Camera (documento legislativo, XVI legislatura, atto 16PDL0020770) attesta che «con i due provvedimenti a firma del Ministro degli affari esteri italiano Dini e del suo omologo libico Muntasser nel luglio 1998, l'Italia ha definitivamente omesso di menzionare la questione relativa a questi risarcimenti, rinunciando così di fatto ad ogni possibile ulteriore pretesa».</w:t>
      </w:r>
    </w:p>
    <w:p>
      <w:pPr>
        <w:spacing w:after="120" w:line="276"/>
        <w:jc w:val="both"/>
      </w:pPr>
      <w:r>
        <w:rPr>
          <w:rFonts w:ascii="Barlow Semi Condensed" w:cs="Barlow Semi Condensed" w:eastAsia="Barlow Semi Condensed" w:hAnsi="Barlow Semi Condensed"/>
          <w:sz w:val="24"/>
          <w:szCs w:val="24"/>
        </w:rPr>
        <w:t xml:space="preserve">Sulla quantificazione dei beni confiscati le fonti divergono e la divergenza va riportata: la cifra di «200 miliardi di lire del 1970» è quella corrente nella pubblicistica e riferita a RAI News; l'Associazione Italiana Rimpatriati dalla Libia (AIRL), fonte ufficiale dell'organizzazione interessata, ha offerto una stima diversa e non omogenea. Il Sole 24 Ore, in un articolo del 21 luglio 2020, riferisce le parole di Giovanna Ortu, presidente dell'AIRL: «gli indennizzi fin qui ricevuti basterebbero a malapena a coprire il montante dei beni perduti nel 1970. Il valore delle proprietà rivalutate ammonterebbe oggi a quasi 6 miliardi di euro». Le due cifre non sono confrontabili (valore nominale 1970 contro valore rivalutato attuale) e vanno tenute distinte.</w:t>
      </w:r>
    </w:p>
    <w:p>
      <w:pPr>
        <w:spacing w:after="120" w:line="276"/>
        <w:jc w:val="both"/>
      </w:pPr>
      <w:r>
        <w:rPr>
          <w:rFonts w:ascii="Barlow Semi Condensed" w:cs="Barlow Semi Condensed" w:eastAsia="Barlow Semi Condensed" w:hAnsi="Barlow Semi Condensed"/>
          <w:sz w:val="24"/>
          <w:szCs w:val="24"/>
        </w:rPr>
        <w:t xml:space="preserve">Diversi elementi del dossier, richiesti dal quesito, restano allo stato di lacuna documentale nel perimetro di questa ricognizione web. L'ultimatum del 7 ottobre 1970 e il traghettamento concluso il 15 ottobre 1970 non hanno trovato riscontro puntuale nelle fonti reperite: la ricerca andrebbe condotta sugli atti dell'Archivio storico-diplomatico del Ministero degli Affari Esteri (serie affari politici, Libia, 1970) e sulla stampa quotidiana coeva. Analogamente, il presunto telegramma di Moro da Tunisi del 6 settembre 1970 costituisce uno Stato Zero: nessuna fonte reperita lo documenta, e la verifica va condotta presso l'Archivio storico-diplomatico della Farnesina e presso il Fondo Aldo Moro dell'Archivio storico del Senato. Anche il ruolo attribuito a Moro nella cosiddetta «operazione Hilton» del 1971 non trova, allo stato, riscontro in fonti primarie o in storiografia peer-reviewed accessibile: la tesi va qualificata come non sostenuta finché non emerga documentazione. Il Fondo Aldo Moro presso l'Archivio storico del Senato conserva, come attestato dal catalogo online del patrimonio archivistico del Senato, interventi alla Commissione esteri della Camera con materiale preparatorio (unità del tipo IT-AFS-048), che rappresentano la sede elettiva per ricostruire la posizione di Moro sulla Libia.</w:t>
      </w:r>
    </w:p>
    <w:p>
      <w:pPr>
        <w:pStyle w:val="Heading2"/>
        <w:spacing w:after="100" w:before="200"/>
      </w:pPr>
      <w:r>
        <w:rPr>
          <w:rFonts w:ascii="Barlow Semi Condensed" w:cs="Barlow Semi Condensed" w:eastAsia="Barlow Semi Condensed" w:hAnsi="Barlow Semi Condensed"/>
          <w:sz w:val="24"/>
          <w:szCs w:val="24"/>
        </w:rPr>
        <w:t xml:space="preserve">Capitolo 2 — I Balcani e la Jugoslavia: la fase preparatoria di Osimo</w:t>
      </w:r>
    </w:p>
    <w:p>
      <w:pPr>
        <w:spacing w:after="120" w:line="276"/>
        <w:jc w:val="both"/>
      </w:pPr>
      <w:r>
        <w:rPr>
          <w:rFonts w:ascii="Barlow Semi Condensed" w:cs="Barlow Semi Condensed" w:eastAsia="Barlow Semi Condensed" w:hAnsi="Barlow Semi Condensed"/>
          <w:sz w:val="24"/>
          <w:szCs w:val="24"/>
        </w:rPr>
        <w:t xml:space="preserve">Il dossier balcanico durante il mandato ministeriale di Moro è dominato dalla lunga incubazione del Trattato di Osimo, firmato il 10 novembre 1975, quando Moro era ormai presidente del Consiglio e alla Farnesina sedeva Mariano Rumor. È tuttavia documentato che la fase preparatoria e l'impostazione strategica maturarono negli anni del suo ministero. La voce enciclopedica Wikipedia in italiano, che sintetizza la storiografia, attesta che il trattato fu firmato «nella villa Monte San Pietro» dai ministri degli esteri Mariano Rumor e Miloš Minić, Wikipedia (https://it.wikipedia.org/wiki/Trattato_di_Osimo) che «il Parlamento italiano lo ratificò il 24 febbraio 1977» Wikipedia (https://it.wikipedia.org/wiki/Trattato_di_Osimo) (legge 14 marzo 1977, n. 73) e che «il trattato di Osimo fu il primo accordo internazionale i cui negoziati per l'Italia non vennero curati dal Ministero degli affari esteri». Wikipedia (https://it.wikipedia.org/wiki/Trattato_di_Osimo)</w:t>
      </w:r>
    </w:p>
    <w:p>
      <w:pPr>
        <w:spacing w:after="120" w:line="276"/>
        <w:jc w:val="both"/>
      </w:pPr>
      <w:r>
        <w:rPr>
          <w:rFonts w:ascii="Barlow Semi Condensed" w:cs="Barlow Semi Condensed" w:eastAsia="Barlow Semi Condensed" w:hAnsi="Barlow Semi Condensed"/>
          <w:sz w:val="24"/>
          <w:szCs w:val="24"/>
        </w:rPr>
        <w:t xml:space="preserve">Questo dato è cruciale per la triangolazione istituzionale: la Farnesina fu bypassata. Le ricostruzioni convergono nell'indicare che il canale negoziale alternativo, affidato a Eugenio Carbone, direttore generale del Ministero dell'Industria, «era già stato preparato segretamente nel 1973 dai ministri degli esteri Medici e Minić» Circolo della Storia (https://circolodellastoria.it/gli-accordi-di-osimo-cinquantanni-fa-il-trattato-che-chiuse-unepoca/) (fonte: ricostruzione storica divulgativa del Circolo della Storia). Poiché Moro fu ministro degli Esteri fino al 23 novembre 1974 e i negoziati riservati si svolsero, secondo lo storico Giorgio Zaccaria intervistato da Il Bo Live (Università di Padova), «tra luglio e novembre 1974», Il Bo Live UniPD (https://ilbolive.unipd.it/it/news/societa/spirito-osimo-diplomazia-memoria) è documentabile che una parte decisiva della trattativa cadde nella fase finale del suo ministero. La stessa fonte accademica riporta la lettura secondo cui «Roma vuole una Jugoslavia stabile e anti-sovietica, anche se comunista; Belgrado teme invece una possibile deriva autoritaria italiana, un "nuovo Cile" europeo». Il Bo Live UniPD (https://ilbolive.unipd.it/it/news/societa/spirito-osimo-diplomazia-memoria)</w:t>
      </w:r>
    </w:p>
    <w:p>
      <w:pPr>
        <w:spacing w:after="120" w:line="276"/>
        <w:jc w:val="both"/>
      </w:pPr>
      <w:r>
        <w:rPr>
          <w:rFonts w:ascii="Barlow Semi Condensed" w:cs="Barlow Semi Condensed" w:eastAsia="Barlow Semi Condensed" w:hAnsi="Barlow Semi Condensed"/>
          <w:sz w:val="24"/>
          <w:szCs w:val="24"/>
        </w:rPr>
        <w:t xml:space="preserve">La forzatura jugoslava del 1974 — l'apposizione lungo la linea di demarcazione fra le zone A e B di cartelli con la scritta «confine di stato» — provocò una nota italiana durissima, e la crisi che ne seguì rese evidente la necessità di chiudere il contenzioso. Aldo Moro definì la rinuncia sulla Zona B «una dolorosa rinuncia» La Nazione (https://www.lanazione.it/cronaca/almanacco-trattato-osimo-italia-jugoslavia-d52b0197) (fonte cronachistica, La Nazione). La ricostruzione del portale storico.org, di taglio critico, collega esplicitamente il nuovo corso al «disegno politico di Moro, convinto dell'ineluttabilità di chiamare i comunisti» nell'area del potere. Storico (https://storico.org/italia_boom_economico/trattato_osimo.html)</w:t>
      </w:r>
    </w:p>
    <w:p>
      <w:pPr>
        <w:spacing w:after="120" w:line="276"/>
        <w:jc w:val="both"/>
      </w:pPr>
      <w:r>
        <w:rPr>
          <w:rFonts w:ascii="Barlow Semi Condensed" w:cs="Barlow Semi Condensed" w:eastAsia="Barlow Semi Condensed" w:hAnsi="Barlow Semi Condensed"/>
          <w:sz w:val="24"/>
          <w:szCs w:val="24"/>
        </w:rPr>
        <w:t xml:space="preserve">Sul piano storiografico il quesito indica correttamente il volume collettivo di riferimento: «Aldo Moro, l'Italia repubblicana e i Balcani», a cura di Italo Garzia, Luciano Monzali e Massimo Bucarelli, Nardò, Besa, 2012 (ISBN 978-88-497-0807-3), collana Entropie 34, circa 372 pagine. L'abstract editoriale attesta che «l'importanza delle relazioni e dei legami con i Paesi del Sud-est europeo non sfuggì certo ad Aldo Moro». Google Books (https://books.google.com/books/about/Aldo_Moro_l_Italia_repubblicana_e_i_Balc.html?id=ftcEywAACAAJ) Il volume contiene contributi di Luciano Tosi («Per una nuova comunità internazionale. La diplomazia multilaterale di Aldo Moro», pp. 15-57), Massimo Bucarelli, Luca Micheletta, Alberto Basciani, Federico Imperato, Paolo Soave, oltre alle testimonianze di Emilio Colombo e Giuseppe Giacovazzo. Archivioflamigni (https://www.archivioflamigni.org/doc/bibliografia-aldo-moro.pdf) La questione della minoranza italiana in Istria e Dalmazia e i negoziati con Belgrado 1969-1974 costituiscono la materia specifica del volume, che rappresenta la sede di approfondimento peer-reviewed elettiva. Va distinto ciò che le fonti attestano (la maturazione strategica nella fase Moro; l'aggiramento della Farnesina) da ciò che se ne inferisce (l'attribuzione a Moro della paternità politica esclusiva di Osimo), dato che la firma e la titolarità formale spettarono a Rumor.</w:t>
      </w:r>
    </w:p>
    <w:p>
      <w:pPr>
        <w:pStyle w:val="Heading2"/>
        <w:spacing w:after="100" w:before="200"/>
      </w:pPr>
      <w:r>
        <w:rPr>
          <w:rFonts w:ascii="Barlow Semi Condensed" w:cs="Barlow Semi Condensed" w:eastAsia="Barlow Semi Condensed" w:hAnsi="Barlow Semi Condensed"/>
          <w:sz w:val="24"/>
          <w:szCs w:val="24"/>
        </w:rPr>
        <w:t xml:space="preserve">Capitolo 3 — Medio Oriente e mondo arabo: fra equidistanza e filoarabismo</w:t>
      </w:r>
    </w:p>
    <w:p>
      <w:pPr>
        <w:spacing w:after="120" w:line="276"/>
        <w:jc w:val="both"/>
      </w:pPr>
      <w:r>
        <w:rPr>
          <w:rFonts w:ascii="Barlow Semi Condensed" w:cs="Barlow Semi Condensed" w:eastAsia="Barlow Semi Condensed" w:hAnsi="Barlow Semi Condensed"/>
          <w:sz w:val="24"/>
          <w:szCs w:val="24"/>
        </w:rPr>
        <w:t xml:space="preserve">Il dossier mediorientale è quello meglio servito dalla storiografia peer-reviewed. Il riferimento capitale è il volume «Fra diplomazia e petrolio. Aldo Moro e la politica italiana in Medio Oriente (1963-1978)», a cura di Federico Imperato, Rosario Milano e Luciano Monzali, Bari, Cacucci, 2018, che raccoglie gli atti del convegno internazionale tenutosi il 4 maggio 2015 presso il Dipartimento di Scienze Politiche dell'Università di Bari «Aldo Moro». Il saggio-cardine di Federico Imperato, «Tra equidistanza e filoarabismo. Aldo Moro e il conflitto arabo-israeliano» (pp. 47-97), analizza — come attesta la scheda del repository istituzionale dell'Università di Bari — «il ruolo dell'Italia nel conflitto arabo-israeliano, che, in quegli anni, si articolò in due guerre, quella del 1967 (Guerra dei Sei Giorni) e quella del 1973 (Guerra dello Yom Kippur)». Uniba (https://ricerca.uniba.it/handle/11586/419934)</w:t>
      </w:r>
    </w:p>
    <w:p>
      <w:pPr>
        <w:spacing w:after="120" w:line="276"/>
        <w:jc w:val="both"/>
      </w:pPr>
      <w:r>
        <w:rPr>
          <w:rFonts w:ascii="Barlow Semi Condensed" w:cs="Barlow Semi Condensed" w:eastAsia="Barlow Semi Condensed" w:hAnsi="Barlow Semi Condensed"/>
          <w:sz w:val="24"/>
          <w:szCs w:val="24"/>
        </w:rPr>
        <w:t xml:space="preserve">La categoria interpretativa dominante è quella dello scivolamento dall'«equidistanza» verso uno «sbilanciamento filoarabo palestinese condizionato dalle esigenze di sicurezza energetica», Dialnet (https://dialnet.unirioja.es/descarga/articulo/9578489.pdf) come sintetizza un saggio pubblicato sulla rivista Diacronie (Studi di Storia Contemporanea, 57, 1/2024), che rinvia a Imperato e a Luca Riccardi, «La grandezza di una media potenza. Personaggi e problemi della politica estera italiana del Novecento» (Roma, Società editrice Dante Alighieri, 2017, pp. 294-300). La documentazione attesta un episodio-chiave della guerra del Kippur: nell'audizione parlamentare del 2 dicembre 2014 dinanzi alla Commissione parlamentare di inchiesta sul caso Moro (atto pubblicato sul sito della Camera) si ricorda che «quando nel 1973 capita la guerra del Kippur, Moro rifiuta l'utilizzo delle basi militari della NATO per aiutare Israele», Camera (https://documenti.camera.it/leg17/resoconti/commissioni/stenografici/html/68/audiz2/audizione/2014/12/02/indice_stenografico.0013.html) sostenendo che «quella guerra esorbita dall'area della NATO, quindi gli americani non possono utilizzare le basi che sono nel nostro territorio». Questa è testimonianza resa in sede parlamentare, e va qualificata come tale.</w:t>
      </w:r>
    </w:p>
    <w:p>
      <w:pPr>
        <w:spacing w:after="120" w:line="276"/>
        <w:jc w:val="both"/>
      </w:pPr>
      <w:r>
        <w:rPr>
          <w:rFonts w:ascii="Barlow Semi Condensed" w:cs="Barlow Semi Condensed" w:eastAsia="Barlow Semi Condensed" w:hAnsi="Barlow Semi Condensed"/>
          <w:sz w:val="24"/>
          <w:szCs w:val="24"/>
        </w:rPr>
        <w:t xml:space="preserve">La lettera del primo ministro israeliano Levi Eshkol a Moro, richiamata dalla Fondazione Achille Grandi, è indicata come segno della «centralità italiana su quello scenario». Un ulteriore riscontro d'archivio documentale è l'intervento di Moro del giugno 1970 dopo il vertice con il ministro degli Esteri israeliano Abba Eban, citato in sede accademica (Euro-Balkan Law and Economics Review, 1/2020). Il riconoscimento dell'OLP, la posizione sulla risoluzione 242 e il ruolo dell'ENI sono trattati nella medesima collana barese e nel volume gemello «Aldo Moro, l'Italia repubblicana e i popoli del Mediterraneo» (Besa, 2013), curato da Garzia, Imperato e Monzali, che contiene il saggio «Aldo Moro, l'Italia e la questione palestinese» (pp. 233-274). Academia.edu (https://www.academia.edu/29372305/Aldo_Moro_l_Italia_e_la_questione_palestinese) Il cosiddetto «lodo Moro» è oggetto della monografia di Valentine Lomellini, «Il "lodo Moro". Terrorismo e ragion di Stato 1969-1986» (2022), fonte peer-reviewed che colloca la stagione dell'equidistanza e la sua crisi. I rapporti con Egitto, Siria, Libano, Iraq e Arabia Saudita sono documentati nella medesima produzione (si segnala «Un'amicizia italo-araba. Italia e Libano negli anni Sessanta e Settanta» e «Aldo Moro e l'Iran (1969-1974)»). L'accostamento fra Moro ed Enrico Mattei, ricorrente nella letteratura, va trattato come chiave interpretativa e non come nesso causale documentato.</w:t>
      </w:r>
    </w:p>
    <w:p>
      <w:pPr>
        <w:pStyle w:val="Heading2"/>
        <w:spacing w:after="100" w:before="200"/>
      </w:pPr>
      <w:r>
        <w:rPr>
          <w:rFonts w:ascii="Barlow Semi Condensed" w:cs="Barlow Semi Condensed" w:eastAsia="Barlow Semi Condensed" w:hAnsi="Barlow Semi Condensed"/>
          <w:sz w:val="24"/>
          <w:szCs w:val="24"/>
        </w:rPr>
        <w:t xml:space="preserve">Capitolo 4 — La CSCE: da Dipoli a Helsinki</w:t>
      </w:r>
    </w:p>
    <w:p>
      <w:pPr>
        <w:spacing w:after="120" w:line="276"/>
        <w:jc w:val="both"/>
      </w:pPr>
      <w:r>
        <w:rPr>
          <w:rFonts w:ascii="Barlow Semi Condensed" w:cs="Barlow Semi Condensed" w:eastAsia="Barlow Semi Condensed" w:hAnsi="Barlow Semi Condensed"/>
          <w:sz w:val="24"/>
          <w:szCs w:val="24"/>
        </w:rPr>
        <w:t xml:space="preserve">La partecipazione italiana alla Conferenza sulla sicurezza e la cooperazione in Europa è documentata con precisione. Il volume di riferimento indicato dal quesito è confermato: «Italia-Helsinki 50. Dall'Atto finale di Helsinki del 1975 all'OSCE di oggi», a cura di Stefano Baldi e Luciano Monzali (Editoriale Scientifica), disponibile in PDF sul dominio diplomacy.edu. Il volume riporta fonti primarie di prima mano, tra cui il documento «Ducci a Moro, 4 febbraio 1971» (pubblicato in Ministero degli Affari Esteri, «Roberto Ducci», Roma, 1989, pp. 149-154), in cui l'ambasciatore delineava a Moro le esigenze occidentali da far valere in un'eventuale CSCE: il legame fra Berlino e la Germania occidentale, una più civile convivenza fra le parti della Nazione tedesca, le prospettive di pace nel Mediterraneo e lo sviluppo della CEE come entità autonoma. Diplomacy (https://baldi.diplomacy.edu/italy/Baldi_Monzali_Italia_Helsinki_50.pdf)</w:t>
      </w:r>
    </w:p>
    <w:p>
      <w:pPr>
        <w:spacing w:after="120" w:line="276"/>
        <w:jc w:val="both"/>
      </w:pPr>
      <w:r>
        <w:rPr>
          <w:rFonts w:ascii="Barlow Semi Condensed" w:cs="Barlow Semi Condensed" w:eastAsia="Barlow Semi Condensed" w:hAnsi="Barlow Semi Condensed"/>
          <w:sz w:val="24"/>
          <w:szCs w:val="24"/>
        </w:rPr>
        <w:t xml:space="preserve">La periodizzazione è accertata: fase preliminare (consultazioni multilaterali) a Dipoli/Helsinki tra il novembre 1972 e il giugno 1973; fase di redazione a Ginevra dal settembre 1973 al luglio 1975; fase finale dal 30 luglio al 1° agosto 1975. Nuovarivistastorica (https://www.nuovarivistastorica.it/litalia-nellorganizzazione-per-la-sicurezza-e-la-cooperazione-in-europa/) L'Atto finale fu sottoscritto per l'Italia da Aldo Moro nella veste di presidente del Consiglio, e anche di presidente di turno della Comunità europea. Fra i contributi italiani più rilevanti la fonte (L'Opinione, ricostruzione di Antonino Sala) individua «la proposta Csce/Hc/18 del 15 gennaio 1973 in tema di questioni riguardanti la sicurezza». L'Opinione (https://opinione.it/politica/2024/11/26/antonino-sala-aldo-moro-conferenza-di-helsinki-nuovo-ordine-mondiale/) La formula dei «germi di cambiamento» è attestata come espressione morotea: l'Occidente «voleva instillare quelle che l'allora ministro degli Esteri Aldo Moro definiva "germi di cambiamento"» Avvenire (https://www.avvenire.it/agora/pagine/ostpolitik-) (fonte: Avvenire).</w:t>
      </w:r>
    </w:p>
    <w:p>
      <w:pPr>
        <w:spacing w:after="120" w:line="276"/>
        <w:jc w:val="both"/>
      </w:pPr>
      <w:r>
        <w:rPr>
          <w:rFonts w:ascii="Barlow Semi Condensed" w:cs="Barlow Semi Condensed" w:eastAsia="Barlow Semi Condensed" w:hAnsi="Barlow Semi Condensed"/>
          <w:sz w:val="24"/>
          <w:szCs w:val="24"/>
        </w:rPr>
        <w:t xml:space="preserve">Della delegazione italiana fece parte l'ambasciatore Luigi Vittorio Ferraris, autore di «Testimonianze di un negoziato. Helsinki-Ginevra-Helsinki» Nuovarivistastorica (https://www.nuovarivistastorica.it/litalia-nellorganizzazione-per-la-sicurezza-e-la-cooperazione-in-europa/) (Padova, CEDAM, 1977), memoria di protagonista fondamentale. La Nuova Rivista Storica attesta che «i lavori della Conferenza di Helsinki, seguiti con scarso interesse in Italia, videro Moro impegnato in momenti di tensione con la delegazione sovietica, contraria a considerare i diritti civili un elemento irrinunciabile del processo di distensione». Nuovarivistastorica (https://www.nuovarivistastorica.it/litalia-nellorganizzazione-per-la-sicurezza-e-la-cooperazione-in-europa/) Va distinto: il ruolo di Moro nel periodo 1972-1974 fu di ministro che indirizzò la posizione italiana nella fase preparatoria e negoziale; la firma solenne del 1975 avvenne da presidente del Consiglio. La posizione italiana nei tre «cesti» è materia del volume Baldi-Monzali, sede elettiva di approfondimento.</w:t>
      </w:r>
    </w:p>
    <w:p>
      <w:pPr>
        <w:pStyle w:val="Heading2"/>
        <w:spacing w:after="100" w:before="200"/>
      </w:pPr>
      <w:r>
        <w:rPr>
          <w:rFonts w:ascii="Barlow Semi Condensed" w:cs="Barlow Semi Condensed" w:eastAsia="Barlow Semi Condensed" w:hAnsi="Barlow Semi Condensed"/>
          <w:sz w:val="24"/>
          <w:szCs w:val="24"/>
        </w:rPr>
        <w:t xml:space="preserve">Capitolo 5 — NATO e Alleanza atlantica: il fianco sud e Cipro</w:t>
      </w:r>
    </w:p>
    <w:p>
      <w:pPr>
        <w:spacing w:after="120" w:line="276"/>
        <w:jc w:val="both"/>
      </w:pPr>
      <w:r>
        <w:rPr>
          <w:rFonts w:ascii="Barlow Semi Condensed" w:cs="Barlow Semi Condensed" w:eastAsia="Barlow Semi Condensed" w:hAnsi="Barlow Semi Condensed"/>
          <w:sz w:val="24"/>
          <w:szCs w:val="24"/>
        </w:rPr>
        <w:t xml:space="preserve">Il dossier atlantico durante il ministero di Moro è documentato in modo più frammentario nel perimetro web, e va in parte dichiarato come Stato Zero relativo. È accertato il quadro strategico del 1974: la fonte enciclopedica sulla questione di Cipro attesta che il 15 luglio 1974 la Guardia Nazionale cipriota, guidata da ufficiali greci, rovesciò il governo Makarios; Wikipedia (https://it.wikipedia.org/wiki/Invasione_turca_di_Cipro) che il 20 luglio 1974 iniziò l'intervento militare turco («Operazione di pace a Cipro» per Ankara, «invasione» per Atene e la comunità internazionale). La seconda offensiva («Attila 2») fu lanciata il 14 agosto 1974 e portò l'occupazione turca, secondo InsideOver, a coprire «circa il 36% della superficie dell'isola», riconosciuta esclusivamente dal governo di Ankara; la giunta militare greca crollò pochi giorni dopo. Wikipedia (https://it.wikipedia.org/wiki/Questione_di_Cipro) La crisi cadde nella fase finale del ministero Moro (V governo Rumor).</w:t>
      </w:r>
    </w:p>
    <w:p>
      <w:pPr>
        <w:spacing w:after="120" w:line="276"/>
        <w:jc w:val="both"/>
      </w:pPr>
      <w:r>
        <w:rPr>
          <w:rFonts w:ascii="Barlow Semi Condensed" w:cs="Barlow Semi Condensed" w:eastAsia="Barlow Semi Condensed" w:hAnsi="Barlow Semi Condensed"/>
          <w:sz w:val="24"/>
          <w:szCs w:val="24"/>
        </w:rPr>
        <w:t xml:space="preserve">La posizione italiana specifica nel Nuclear Planning Group, il tema del riequilibrio della flotta sovietica nel Mediterraneo, le riunioni ministeriali NATO 1969-1974 con Moro presente e i rapporti con la Grecia dei colonnelli e con la Turchia non hanno trovato, nel perimetro delle fonti reperite, documentazione primaria puntuale. Questi restano Stati Zero da colmare presso l'Archivio storico-diplomatico della Farnesina (serie NATO/atlantico), presso il NATO Archives Online e presso i Foreign Relations of the United States. La contestualizzazione dell'Italia come «ventre della NATO» e la percezione statunitense del suo interesse strategico crescente nel 1974 (con Grecia, Portogallo e Spagna in crisi simultanea) è attestata solo da fonte pubblicistica militante (Fondazione Cipriani) e va usata con cautela, come cornice e non come prova. Il memorandum of conversation del 25 settembre 1974 fra Leone, Moro, Ford e Kissinger (Ford Library doc. 1552802; FRUS 1969-1976 vol. E-15 part 2 doc. 350), già accertato nelle ricognizioni precedenti, costituisce la fonte primaria di riferimento sul rapporto atlantico nella fase terminale del ministero.</w:t>
      </w:r>
    </w:p>
    <w:p>
      <w:pPr>
        <w:pStyle w:val="Heading2"/>
        <w:spacing w:after="100" w:before="200"/>
      </w:pPr>
      <w:r>
        <w:rPr>
          <w:rFonts w:ascii="Barlow Semi Condensed" w:cs="Barlow Semi Condensed" w:eastAsia="Barlow Semi Condensed" w:hAnsi="Barlow Semi Condensed"/>
          <w:sz w:val="24"/>
          <w:szCs w:val="24"/>
        </w:rPr>
        <w:t xml:space="preserve">Capitolo 6 — Nazioni Unite, non proliferazione e multilaterale</w:t>
      </w:r>
    </w:p>
    <w:p>
      <w:pPr>
        <w:spacing w:after="120" w:line="276"/>
        <w:jc w:val="both"/>
      </w:pPr>
      <w:r>
        <w:rPr>
          <w:rFonts w:ascii="Barlow Semi Condensed" w:cs="Barlow Semi Condensed" w:eastAsia="Barlow Semi Condensed" w:hAnsi="Barlow Semi Condensed"/>
          <w:sz w:val="24"/>
          <w:szCs w:val="24"/>
        </w:rPr>
        <w:t xml:space="preserve">Il dossier onusiano e del disarmo è ben documentato sul punto centrale del Trattato di non proliferazione nucleare (TNP). È accertato (fonti convergenti: Centro di Ateneo per i Diritti Umani dell'Università di Padova, Archivio Disarmo, testo di legge su vLex) che l'Italia firmò il TNP il 28 gennaio 1969 e lo ratificò con la legge 24 aprile 1975, n. 131 («Ratifica ed esecuzione del trattato contro la proliferazione delle armi nucleari, firmato a Londra, Mosca e Washington il 1° luglio 1968»), pubblicata sulla Gazzetta Ufficiale n. 113 del 30 aprile 1975. La ratifica avvenne il 2 maggio 1975 (Washington, Londra) e il 4 maggio 1975 (Mosca), con entrata in vigore per l'Italia il 2 maggio 1975. Unipd-centrodirittiumani (https://unipd-centrodirittiumani.it/it/archivi/strumenti-internazionali/trattato-di-non-proliferazione-nucleare-1968) Il Presidente Giovanni Leone appose la firma alla legge 131 il 24 aprile 1975. Spazio70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sz w:val="24"/>
          <w:szCs w:val="24"/>
        </w:rPr>
        <w:t xml:space="preserve">Lo iato di sei anni fra firma e ratifica è la chiave storiografica del dossier. Lo studio di Leopoldo Nuti sull'Italia come «stato soglia» è correttamente richiamato: come sintetizza la voce enciclopedica sul programma nucleare militare italiano, «Nuti, ripercorrendo il tortuoso processo di ratifica del trattato di non proliferazione nucleare da parte dell'Italia, ritiene che la classe dirigente dell'epoca abbia voluto mantenere fino all'ultimo lo status di "paese soglia", non in possesso di armi nucleari ma in grado di dotarsene in breve tempo». Wikipedia (https://it.wikipedia.org/wiki/Programma_nucleare_militare_italiano) Il dibattito coinvolse figure della diplomazia come Roberto Ducci e Roberto Gaja, contrari o critici (fonte: Spazio70). I due rinvii della ratifica furono motivati con i moti di Praga del 1968 e con il primo test nucleare indiano del 18 maggio 1974 (nome in codice «Smiling Buddha», Pokhran-I, poligono di Pokhran nel Rajasthan, potenza stimata circa 8 kt, primo test da parte di uno Stato esterno ai cinque membri permanenti del Consiglio di Sicurezza ONU, presentato dall'India come «peaceful nuclear explosion»). Va distinto: le fonti attestano la strategia dilatoria; l'intenzione precisa dei singoli attori è materia di interpretazione storiografica (Nuti), non di prova documentale univoca.</w:t>
      </w:r>
    </w:p>
    <w:p>
      <w:pPr>
        <w:spacing w:after="120" w:line="276"/>
        <w:jc w:val="both"/>
      </w:pPr>
      <w:r>
        <w:rPr>
          <w:rFonts w:ascii="Barlow Semi Condensed" w:cs="Barlow Semi Condensed" w:eastAsia="Barlow Semi Condensed" w:hAnsi="Barlow Semi Condensed"/>
          <w:sz w:val="24"/>
          <w:szCs w:val="24"/>
        </w:rPr>
        <w:t xml:space="preserve">Gli interventi di Moro all'Assemblea generale, la riforma delle Nazioni Unite, la Conferenza ONU sull'energia atomica del 1971 e l'ingresso delle due Germanie all'ONU nel 1973 non hanno trovato documentazione primaria puntuale nel perimetro reperito e costituiscono Stati Zero da colmare presso l'Edizione Nazionale delle Opere di Aldo Moro e presso gli atti dell'Assemblea generale ONU. La diplomazia multilaterale morotea è oggetto del saggio di Luciano Tosi nel volume Besa 2012 («Per una nuova comunità internazionale», pp. 15-57), sede di approfondimento.</w:t>
      </w:r>
    </w:p>
    <w:p>
      <w:pPr>
        <w:pStyle w:val="Heading2"/>
        <w:spacing w:after="100" w:before="200"/>
      </w:pPr>
      <w:r>
        <w:rPr>
          <w:rFonts w:ascii="Barlow Semi Condensed" w:cs="Barlow Semi Condensed" w:eastAsia="Barlow Semi Condensed" w:hAnsi="Barlow Semi Condensed"/>
          <w:sz w:val="24"/>
          <w:szCs w:val="24"/>
        </w:rPr>
        <w:t xml:space="preserve">Capitolo 7 — Cina e Asia: il riconoscimento del 1970</w:t>
      </w:r>
    </w:p>
    <w:p>
      <w:pPr>
        <w:spacing w:after="120" w:line="276"/>
        <w:jc w:val="both"/>
      </w:pPr>
      <w:r>
        <w:rPr>
          <w:rFonts w:ascii="Barlow Semi Condensed" w:cs="Barlow Semi Condensed" w:eastAsia="Barlow Semi Condensed" w:hAnsi="Barlow Semi Condensed"/>
          <w:sz w:val="24"/>
          <w:szCs w:val="24"/>
        </w:rPr>
        <w:t xml:space="preserve">Il riconoscimento della Repubblica popolare cinese è tra i dossier meglio documentati. È accertato — con una divergenza di data da segnalare — che la normalizzazione fu formalizzata con un comunicato congiunto. La maggior parte delle fonti (T.wai, Radio Cina Internazionale, Lo Spiegone) indica la data del 6 novembre 1970 come giorno della pubblicazione simultanea a Roma e Pechino del «Comunicato congiunto sull'istituzione delle relazioni diplomatiche»; Radio Cina Internazionale (https://italian.cri.cn/mychina/notizie/3210/20201106/573336.html) altre fonti divulgative indicano il 5 novembre 1970. La divergenza va riportata: il comunicato fu reso pubblico il 6 novembre 1970, mentre l'atto di firma/conclusione del negoziato è talora datato al 6 ottobre 1970 (così la scheda editoriale Rubbettino del volume documentale «La normalizzazione delle relazioni diplomatiche tra la Repubblica Italiana e la Repubblica Popolare Cinese»).</w:t>
      </w:r>
    </w:p>
    <w:p>
      <w:pPr>
        <w:spacing w:after="120" w:line="276"/>
        <w:jc w:val="both"/>
      </w:pPr>
      <w:r>
        <w:rPr>
          <w:rFonts w:ascii="Barlow Semi Condensed" w:cs="Barlow Semi Condensed" w:eastAsia="Barlow Semi Condensed" w:hAnsi="Barlow Semi Condensed"/>
          <w:sz w:val="24"/>
          <w:szCs w:val="24"/>
        </w:rPr>
        <w:t xml:space="preserve">L'iniziativa è correttamente attribuita a Pietro Nenni: la scheda Rubbettino attesta che le conversazioni si svolsero «tra il febbraio 1969 e il 6 ottobre 1970» Rubbettino editore (https://www.store.rubbettinoeditore.it/catalogo/la-normalizzazione-delle-relazioni-diplomatiche-tra-la-repubblica-italiana-e-la-repubblica-popolare-cinese/) e che «il dicastero degli Affari esteri, alla fine del 1969, passò dalla guida di Pietro Nenni a quella di Aldo Moro»; Rubbettino editore (https://www.store.rubbettinoeditore.it/catalogo/la-normalizzazione-delle-relazioni-diplomatiche-tra-la-repubblica-italiana-e-la-repubblica-popolare-cinese/) i negoziati furono conclusi «da un Governo nel quale Moro era ancora ministro degli esteri, ma il presidente del Consiglio era Emilio Colombo». Rubbettino editore (https://www.store.rubbettinoeditore.it/catalogo/la-normalizzazione-delle-relazioni-diplomatiche-tra-la-repubblica-italiana-e-la-repubblica-popolare-cinese/) Lo snodo negoziale, come attesta la stessa fonte editoriale, fu «la ricerca di una formula tale da escludere nel modo più tassativo il riconoscimento della teoria dell'esistenza di "due Cine"». Rubbettino editore (https://www.store.rubbettinoeditore.it/catalogo/la-normalizzazione-delle-relazioni-diplomatiche-tra-la-repubblica-italiana-e-la-repubblica-popolare-cinese/) Il comunicato prevedeva che il governo italiano riconoscesse la RPC come unico governo legale della Cina e «prendesse atto» della dichiarazione cinese secondo cui Taiwan era parte inalienabile del territorio della RPC. Lo studio peer-reviewed di riferimento è Maria Paola Olla Brundu, «Pietro Nenni, Aldo Moro e il riconoscimento della Cina comunista», in «Le Carte e la Storia», 10:2 (2004), pp. 29-51 (DOI 10.1411/18738). University of Milan (https://air.unimi.it/handle/2434/16750)</w:t>
      </w:r>
    </w:p>
    <w:p>
      <w:pPr>
        <w:spacing w:after="120" w:line="276"/>
        <w:jc w:val="both"/>
      </w:pPr>
      <w:r>
        <w:rPr>
          <w:rFonts w:ascii="Barlow Semi Condensed" w:cs="Barlow Semi Condensed" w:eastAsia="Barlow Semi Condensed" w:hAnsi="Barlow Semi Condensed"/>
          <w:sz w:val="24"/>
          <w:szCs w:val="24"/>
        </w:rPr>
        <w:t xml:space="preserve">Il telegramma ministeriale del 28 novembre 1970, il progetto di visita ministeriale in Cina (telegramma 5472/0 del 29 dicembre 1972), l'interscambio 1973-1976 e i rapporti con Giappone, India e Pakistan costituiscono Stati Zero nel perimetro reperito: la ricerca va condotta sull'Edizione Nazionale delle Opere di Aldo Moro, sull'Archivio storico-diplomatico della Farnesina e — per il Pakistan — sullo studio dedicato «Aldo Moro e le relazioni italo-pakistane (1963-1976)», citato nella bibliografia della collana barese.</w:t>
      </w:r>
    </w:p>
    <w:p>
      <w:pPr>
        <w:pStyle w:val="Heading2"/>
        <w:spacing w:after="100" w:before="200"/>
      </w:pPr>
      <w:r>
        <w:rPr>
          <w:rFonts w:ascii="Barlow Semi Condensed" w:cs="Barlow Semi Condensed" w:eastAsia="Barlow Semi Condensed" w:hAnsi="Barlow Semi Condensed"/>
          <w:sz w:val="24"/>
          <w:szCs w:val="24"/>
        </w:rPr>
        <w:t xml:space="preserve">Capitolo 8 — La Comunità europea: dall'Aja al primo allargamento</w:t>
      </w:r>
    </w:p>
    <w:p>
      <w:pPr>
        <w:spacing w:after="120" w:line="276"/>
        <w:jc w:val="both"/>
      </w:pPr>
      <w:r>
        <w:rPr>
          <w:rFonts w:ascii="Barlow Semi Condensed" w:cs="Barlow Semi Condensed" w:eastAsia="Barlow Semi Condensed" w:hAnsi="Barlow Semi Condensed"/>
          <w:sz w:val="24"/>
          <w:szCs w:val="24"/>
        </w:rPr>
        <w:t xml:space="preserve">Il dossier europeo documenta il giudizio storiografico sulle «incertezze del nuovo ministro» al Vertice dell'Aja del 1-2 dicembre 1969. Il volume di riferimento è Maria Eleonora Guasconi, «L'Europa tra continuità e cambiamento. Il vertice dell'Aja del 1969 e il rilancio della costruzione europea» (Firenze, Polistampa, 2006), che ricostruisce «una cerniera tra il periodo di avvio della Comunità e il primo allargamento» nel binomio approfondimento-allargamento. Uniurb (https://ora.uniurb.it/handle/11576/1890940) La saggistica accademica (Officina della Storia) attesta che Moro «si rese protagonista di un "giallo" sulla data di inizio del vertice, fissato dapprima per il 17 e 18 novembre, e spostato successivamente al 1° e 2 dicembre, a causa di una presunta "malattia" del ministro degli Esteri italiano», Officinadellastoria (https://www.officinadellastoria.eu/it/2018/07/19/leuropa-tra-crisi-e-rilancio-il-vertice-dellaja-del-1969/) e che l'Italia sosteneva apertamente l'ingresso della Gran Bretagna nella CEE «nella speranza che una convergenza tra Roma e Londra servisse a bilanciare il preponderante asse franco-tedesco». Officinadellastoria (https://www.officinadellastoria.eu/it/2018/07/19/leuropa-tra-crisi-e-rilancio-il-vertice-dellaja-del-1969/) Moro proponeva di accompagnare la cooperazione monetaria con la cooperazione politica, l'elezione diretta del Parlamento europeo e una politica per la gioventù europea, arrivando a minacciare di non partecipare al vertice se Pompidou non avesse inserito una data d'inizio dei negoziati con la Gran Bretagna nel comunicato finale. Officinadellastoria (https://www.officinadellastoria.eu/it/2018/07/19/leuropa-tra-crisi-e-rilancio-il-vertice-dellaja-del-1969/)</w:t>
      </w:r>
    </w:p>
    <w:p>
      <w:pPr>
        <w:spacing w:after="120" w:line="276"/>
        <w:jc w:val="both"/>
      </w:pPr>
      <w:r>
        <w:rPr>
          <w:rFonts w:ascii="Barlow Semi Condensed" w:cs="Barlow Semi Condensed" w:eastAsia="Barlow Semi Condensed" w:hAnsi="Barlow Semi Condensed"/>
          <w:sz w:val="24"/>
          <w:szCs w:val="24"/>
        </w:rPr>
        <w:t xml:space="preserve">Il saggio di Guido Levi, «L'integrazione della Spagna nella Comunità europea: il ruolo dell'Italia» (Spagna contemporanea, 2016, n. 49, pp. 69-101), fonte peer-reviewed, conferma con ricorso agli archivi (ASUE Firenze, Istituto Sturzo) che «al Vertice dell'Aja […] il nostro Paese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sz w:val="24"/>
          <w:szCs w:val="24"/>
        </w:rPr>
        <w:t xml:space="preserve">È accertata la cronologia successiva: dal Vertice dell'Aja nacquero, nel marzo 1971, l'avvio della prima tappa del Piano Werner e, l'anno successivo, il «Serpente monetario». LuissThesis (https://tesi.luiss.it/40220/1/102822_DE%20MARTINO_TOMMASO.pdf) Il primo allargamento a Danimarca, Irlanda e Regno Unito entrò in vigore il 1° gennaio 1973. L'uscita della lira dal serpente monetario nel febbraio 1973, il Vertice di Parigi del 19-20 ottobre 1972, il Vertice di Copenaghen del 14-15 dicembre 1973 con il dialogo euro-arabo e il Fondo europeo di sviluppo regionale sono richiamati dalle fonti come tappe, ma la documentazione primaria puntuale sulla posizione morotea in ciascuno di essi resta in parte Stato Zero, da colmare sull'Edizione Nazionale delle Opere e sui documenti CVCE (Centre virtuel de la connaissance sur l'Europe).</w:t>
      </w:r>
    </w:p>
    <w:p>
      <w:pPr>
        <w:pStyle w:val="Heading2"/>
        <w:spacing w:after="100" w:before="200"/>
      </w:pPr>
      <w:r>
        <w:rPr>
          <w:rFonts w:ascii="Barlow Semi Condensed" w:cs="Barlow Semi Condensed" w:eastAsia="Barlow Semi Condensed" w:hAnsi="Barlow Semi Condensed"/>
          <w:sz w:val="24"/>
          <w:szCs w:val="24"/>
        </w:rPr>
        <w:t xml:space="preserve">Capitolo 9 — Gli atti parlamentari italiani e le edizioni delle opere</w:t>
      </w:r>
    </w:p>
    <w:p>
      <w:pPr>
        <w:spacing w:after="120" w:line="276"/>
        <w:jc w:val="both"/>
      </w:pPr>
      <w:r>
        <w:rPr>
          <w:rFonts w:ascii="Barlow Semi Condensed" w:cs="Barlow Semi Condensed" w:eastAsia="Barlow Semi Condensed" w:hAnsi="Barlow Semi Condensed"/>
          <w:sz w:val="24"/>
          <w:szCs w:val="24"/>
        </w:rPr>
        <w:t xml:space="preserve">Il dossier delle fonti parlamentari e delle edizioni è accertato nella sua struttura. La raccolta ufficiale è «Aldo Moro, Discorsi parlamentari», 2 volumi, a cura di Emilia Lamaro, introduzione di Mino Martinazzoli, Roma, Camera dei deputati, 1996 (vol. I, 1947-1963; vol. II, 1963-1977), Aldomoro (http://www.aldomoro.eu/scritti.php) presentata a Torino il 19 maggio 1996 con interventi di Violante, Arfè, D'Alema, Elia, Urbani e Martinazzoli Radio Radicale (https://www.radioradicale.it/scheda/82006/dalla-costituente-allunita-nazionale-gli-scritti-parlamentari-di-aldo-moro) (fonte: Radio Radicale; sito aldomoro.eu). La bibliografia mostra citazioni puntuali del vol. II, tra cui la «Replica alla Camera dei Deputati 21 febbraio 1976» (p. 1577), Uniba (https://ojs.cimedoc.uniba.it/index.php/law/article/download/1152/966) utilizzata dalla letteratura accademica.</w:t>
      </w:r>
    </w:p>
    <w:p>
      <w:pPr>
        <w:spacing w:after="120" w:line="276"/>
        <w:jc w:val="both"/>
      </w:pPr>
      <w:r>
        <w:rPr>
          <w:rFonts w:ascii="Barlow Semi Condensed" w:cs="Barlow Semi Condensed" w:eastAsia="Barlow Semi Condensed" w:hAnsi="Barlow Semi Condensed"/>
          <w:sz w:val="24"/>
          <w:szCs w:val="24"/>
        </w:rPr>
        <w:t xml:space="preserve">L'Edizione Nazionale delle Opere di Aldo Moro è confermata dalla citazione, in ambito accademico, del «Vol. 4, L'ultima fase (1973-1978), Tomo 1, Al Ministero degli Esteri e all'opposizione nel partito (giugno 1968 – maggio 1973), a cura di G. Formigoni e A.» Academia.edu (https://www.academia.edu/40539138/Fra_diplomazia_e_petrolio_Aldo_Moro_e_la_politica_italiana_in_Medio_Oriente) (fonte: bibliografia della collana barese). Il portale aldomorodigitale.unibo.it è il riferimento digitale dell'Edizione Nazionale. Il Fondo Aldo Moro presso l'Archivio storico del Senato è documentato dal portale patrimonio.archivio.senato.it, che restituisce unità archivistiche del tipo «Intervento alla Commissione esteri della Camera dei deputati» con segnatura IT-AFS-048 e con la descrizione «Tre stesure del discorso, di cui una manoscritta; materiale preparatorio» Senato della Repubblica (https://patrimonio.archivio.senato.it/inventario/scheda/aldo-moro/IT-AFS-048-000644/intervento-alla-commissione-%20esteri-della-camera-deputati) (unità UA0621, con 167 immagini digitalizzate).</w:t>
      </w:r>
    </w:p>
    <w:p>
      <w:pPr>
        <w:spacing w:after="120" w:line="276"/>
        <w:jc w:val="both"/>
      </w:pPr>
      <w:r>
        <w:rPr>
          <w:rFonts w:ascii="Barlow Semi Condensed" w:cs="Barlow Semi Condensed" w:eastAsia="Barlow Semi Condensed" w:hAnsi="Barlow Semi Condensed"/>
          <w:sz w:val="24"/>
          <w:szCs w:val="24"/>
        </w:rPr>
        <w:t xml:space="preserve">Le repliche specifiche di Moro sui bilanci del Ministero degli Affari Esteri per gli esercizi 1970, 1971, 1972 e 1974, con numero di seduta e data, non sono state reperite con precisione nel perimetro web e costituiscono uno Stato Zero da colmare direttamente sui resoconti stenografici dell'Assemblea e della III Commissione (esteri) della Camera, consultabili sul portale storico camera.it, e sul vol. II dei «Discorsi parlamentari». Un riferimento documentale utile emerso è l'intervento «Commissione esteri della Camera dei deputati 28 febbraio 1974», citato in sede accademica.</w:t>
      </w:r>
    </w:p>
    <w:p>
      <w:pPr>
        <w:pStyle w:val="Heading2"/>
        <w:spacing w:after="100" w:before="200"/>
      </w:pPr>
      <w:r>
        <w:rPr>
          <w:rFonts w:ascii="Barlow Semi Condensed" w:cs="Barlow Semi Condensed" w:eastAsia="Barlow Semi Condensed" w:hAnsi="Barlow Semi Condensed"/>
          <w:sz w:val="24"/>
          <w:szCs w:val="24"/>
        </w:rPr>
        <w:t xml:space="preserve">Capitolo 10 — L'Opus Dei come soggetto storico</w:t>
      </w:r>
    </w:p>
    <w:p>
      <w:pPr>
        <w:spacing w:after="120" w:line="276"/>
        <w:jc w:val="both"/>
      </w:pPr>
      <w:r>
        <w:rPr>
          <w:rFonts w:ascii="Barlow Semi Condensed" w:cs="Barlow Semi Condensed" w:eastAsia="Barlow Semi Condensed" w:hAnsi="Barlow Semi Condensed"/>
          <w:sz w:val="24"/>
          <w:szCs w:val="24"/>
        </w:rPr>
        <w:t xml:space="preserve">Il dossier Opus Dei richiede la massima disciplina metodologica: appartenenza di persone all'ente e condotta dell'ente vanno tenute distinte. È accertato (fonte primaria: documento CIA «Weekly Summary Special Report: Policies of the New Spanish Cabinet» del 22 maggio 1970, protocollo CIA-RDP85T00875R001500020027-1, originariamente SECRET, declassificato) che, nella formazione del governo dell'ottobre 1969, «Franco abandoned his usual policy of keeping a balanced representation of all the major groups that support him and gave the largest number of portfolios to businessmen and technical experts who are either members of or associated with members of the influential Catholic lay organization Opus Dei». cia (https://www.cia.gov/readingroom/print/1921790) Il documento definisce López Rodó «the outstanding man in the new cabinet» cia (https://www.cia.gov/readingroom/print/1921790) e ne cita esplicitamente «his membership in Opus Dei». cia (https://www.cia.gov/readingroom/print/1921790) Il governo dell'ottobre 1969 fu battezzato dagli avversari «gobierno monocolor» (fonte enciclopedica spagnola), termine che alcuni storici contestano perché «le discrepanze tra i ministri erano sostanziali in alcuni temi». Wikipedia (https://es.wikipedia.org/wiki/Segundo_franquismo)</w:t>
      </w:r>
    </w:p>
    <w:p>
      <w:pPr>
        <w:spacing w:after="120" w:line="276"/>
        <w:jc w:val="both"/>
      </w:pPr>
      <w:r>
        <w:rPr>
          <w:rFonts w:ascii="Barlow Semi Condensed" w:cs="Barlow Semi Condensed" w:eastAsia="Barlow Semi Condensed" w:hAnsi="Barlow Semi Condensed"/>
          <w:sz w:val="24"/>
          <w:szCs w:val="24"/>
        </w:rPr>
        <w:t xml:space="preserve">La storiografia spagnola invita alla cautela sulla categoria «tecnocrati». La stessa Opus Dei, fonte ufficiale dell'organizzazione (opusdei.org), riporta il giudizio di Javier Tusell secondo cui López Rodó e Navarro Rubio «erano più esattamente parte di quella che si chiamò "la burocrazia dei numeri uno"», e che «a inizio anni Sessanta c'era più tensione tra López Rodó e Navarro Rubio che tra López Rodó e Fraga». Opus Dei (https://opusdei.org/es-es/article/2-sobre-la-existencia-de-un-grupo-de-ministros-denominados-tecnocratas-y-su-identificacion-con-el-opus-dei/) Lo studio accademico di Carlos Barrera, «El Opus Dei y la prensa en el tardofranquismo» (in una rivista del CEPC, n. 28, 2012, pp. 139-165), affronta il tema di «realidad, mito e historiografía». CEPC (https://www.cepc.gob.es/sites/default/files/2022-06/365127-carlos-barrera.pdf) Il saggio peer-reviewed di riferimento indicato dal quesito è confermato: Leslie Mackenzie, «The Political Ideas of the Opus Dei in Spain», in «Government and Opposition», vol. 8, n. 1 (Winter 1973), pp. 72-92, Cambridge University Press, DOI 10.1111/j.1477-7053.1973.tb00859.x. L'articolo attesta che l'Opus Dei fu fondata nel 1928 da Escrivá de Balaguer, che «its existence is public but its membership has always been secret», che nel 1947 fu riconosciuta come primo Istituto secolare e che «the centre of the organization moved to Rome»; cambridge (https://cambridge.org/core/journals/government-and-opposition/article/political-ideas-of-the-opus-dei-in-spain/DC7BF5C84A19EE970C79D3C0C4D98505) e che «it worked towards this aim through the positioning of its members in places of power within society: preferably in university chairs, banking, business or bureaucratic positions».</w:t>
      </w:r>
    </w:p>
    <w:p>
      <w:pPr>
        <w:spacing w:after="120" w:line="276"/>
        <w:jc w:val="both"/>
      </w:pPr>
      <w:r>
        <w:rPr>
          <w:rFonts w:ascii="Barlow Semi Condensed" w:cs="Barlow Semi Condensed" w:eastAsia="Barlow Semi Condensed" w:hAnsi="Barlow Semi Condensed"/>
          <w:sz w:val="24"/>
          <w:szCs w:val="24"/>
        </w:rPr>
        <w:t xml:space="preserve">Lo statuto canonico e il percorso verso la prelatura personale sono accertati: l'Opus Dei fu eretta prelatura personale da Giovanni Paolo II con la costituzione apostolica «Ut sit» del 28 novembre 1982, esecutiva il 19 marzo 1983 Opus Dei (https://opusdei.org/it-it/article/opus-dei-trenta-anni-di-prelatura-personale/) (fonti: opusdei.org; SettimanaNews). La presenza dell'ente in Italia è documentata dall'Associazione Italiana dei Professori di Storia della Chiesa: «la presenza dell'Opus Dei in Italia risale agli anni della II Guerra Mondiale: nel 1942, infatti, due giovani membri spagnoli dell'istituzione giunsero a Roma per motivi di studio», Storiadellachiesa (https://www.storiadellachiesa.it/glossary/prelatura-personale-e-la-chiesa-in-italia/) con successiva apertura di centri a Palermo e Milano (1949), Napoli (1952) Storiadellachiesa (https://www.storiadellachiesa.it/glossary/prelatura-personale-e-la-chiesa-in-italia/) e in altre città. La biografia di Gregorio López Bravo di Gabriel Pérez Gómez (Rialp, Madrid, 2024) è confermata come fonte che utilizza «los archivos depositados en la Biblioteca de la Universidad de Navarra, los del Estado, incluso los de la CIA», El Confidencial Digital (https://www.elconfidencialdigital.com/religion/articulo/de-libros/gregorio-lopez-bravo-miembro-opus-dei-servicio-progreso-espana/20241007004039050434.html) e che pubblica «la larga nota que escribió López Bravo nada más terminar la entrevista en el avión» El Confidencial Digital (https://www.elconfidencialdigital.com/religion/articulo/de-libros/gregorio-lopez-bravo-miembro-opus-dei-servicio-progreso-espana/20241007004039050434.html) del 12 gennaio 1973.</w:t>
      </w:r>
    </w:p>
    <w:p>
      <w:pPr>
        <w:pStyle w:val="Heading2"/>
        <w:spacing w:after="100" w:before="200"/>
      </w:pPr>
      <w:r>
        <w:rPr>
          <w:rFonts w:ascii="Barlow Semi Condensed" w:cs="Barlow Semi Condensed" w:eastAsia="Barlow Semi Condensed" w:hAnsi="Barlow Semi Condensed"/>
          <w:sz w:val="24"/>
          <w:szCs w:val="24"/>
        </w:rPr>
        <w:t xml:space="preserve">Capitolo 11 — Le triangolazioni da verificare: Moro e i ministri spagnoli</w:t>
      </w:r>
    </w:p>
    <w:p>
      <w:pPr>
        <w:spacing w:after="120" w:line="276"/>
        <w:jc w:val="both"/>
      </w:pPr>
      <w:r>
        <w:rPr>
          <w:rFonts w:ascii="Barlow Semi Condensed" w:cs="Barlow Semi Condensed" w:eastAsia="Barlow Semi Condensed" w:hAnsi="Barlow Semi Condensed"/>
          <w:sz w:val="24"/>
          <w:szCs w:val="24"/>
        </w:rPr>
        <w:t xml:space="preserve">Questo capitolo raccoglie il maggior numero di Stati Zero, che vanno dichiarati come acquisizioni di pieno valore. Sul contatto diretto fra Moro e i tre ministri degli Esteri spagnoli — Gregorio López Bravo (ottobre 1969-giugno 1973), Laureano López Rodó (giugno 1973-gennaio 1974) Wikipedia (https://en.wikipedia.org/wiki/Laureano_L%C3%B3pez_Rod%C3%B3) e Pedro Cortina Mauri (gennaio 1974-dicembre 1975) — la ricerca non ha reperito alcuna fonte primaria (archivistica, atto parlamentare o memoriale) che attesti un incontro bilaterale, una corrispondenza o una presa di posizione reciproca personale. Si dichiara pertanto Stato Zero per il contatto diretto documentato. La verifica va condotta presso l'Archivio storico-diplomatico della Farnesina e presso l'Archivo General de la Administración di Alcalá de Henares (fondi del Ministerio de Asuntos Exteriores fino al 1985 circa).</w:t>
      </w:r>
    </w:p>
    <w:p>
      <w:pPr>
        <w:spacing w:after="120" w:line="276"/>
        <w:jc w:val="both"/>
      </w:pPr>
      <w:r>
        <w:rPr>
          <w:rFonts w:ascii="Barlow Semi Condensed" w:cs="Barlow Semi Condensed" w:eastAsia="Barlow Semi Condensed" w:hAnsi="Barlow Semi Condensed"/>
          <w:sz w:val="24"/>
          <w:szCs w:val="24"/>
        </w:rPr>
        <w:t xml:space="preserve">L'assenza è coerente con il contesto documentato dal saggio peer-reviewed di Guido Levi (Spagna contemporanea, 2016): l'Italia mantenne verso la Spagna franchista un profilo di deliberata freddezza, con «avversione ideologica verso il regime di Franco». Levi segnala anche il limite archivistico decisivo: «essendo non consultabili negli anni presi in esame i fondi conservati presso il ministero degli Affari Esteri», la storiografia esistente non ha ancora potuto sfruttare pienamente i documenti italiani. Va distinto: l'assenza di riscontro non è prova di assenza del fatto; è assenza di documentazione reperibile allo stato.</w:t>
      </w:r>
    </w:p>
    <w:p>
      <w:pPr>
        <w:spacing w:after="120" w:line="276"/>
        <w:jc w:val="both"/>
      </w:pPr>
      <w:r>
        <w:rPr>
          <w:rFonts w:ascii="Barlow Semi Condensed" w:cs="Barlow Semi Condensed" w:eastAsia="Barlow Semi Condensed" w:hAnsi="Barlow Semi Condensed"/>
          <w:sz w:val="24"/>
          <w:szCs w:val="24"/>
        </w:rPr>
        <w:t xml:space="preserve">Sull'identità del funzionario italiano che nella primavera del 1970 oppose il rifiuto al patto mediterraneo, il documento CIA del 22 maggio 1970 attesta: «The idea is likely to remain a French-Spanish project, for an Italian official has already said his country would not be interested». cia (https://www.cia.gov/readingroom/print/1921790) Il documento NON identifica per nome il funzionario, usando la formula generica «an Italian official». Qualsiasi identificazione con Moro è dunque un'inferenza non supportata dal documento e va qualificata come tale: il termine «official» è indeterminato e può indicare un diplomatico o funzionario di rango non ministeriale. Immediatamente prima, il documento riporta che «Lopez Bravo told Secretary Rogers last month that he had discussed with the French how such a pact arrangement might be achieved, but that Spain would act with the full understanding and support of the United States».</w:t>
      </w:r>
    </w:p>
    <w:p>
      <w:pPr>
        <w:spacing w:after="120" w:line="276"/>
        <w:jc w:val="both"/>
      </w:pPr>
      <w:r>
        <w:rPr>
          <w:rFonts w:ascii="Barlow Semi Condensed" w:cs="Barlow Semi Condensed" w:eastAsia="Barlow Semi Condensed" w:hAnsi="Barlow Semi Condensed"/>
          <w:sz w:val="24"/>
          <w:szCs w:val="24"/>
        </w:rPr>
        <w:t xml:space="preserve">Sulla posizione spagnola in materia di CSCE il medesimo documento CIA attesta che la Spagna aveva accettato in linea di principio la proposta del Patto di Varsavia per una conferenza sulla sicurezza europea e ne sollecitava una data prima di settembre, «a stand that goes beyond the more cautious NATO position»: cia (https://www.cia.gov/readingroom/print/1921790) la posizione spagnola era dunque, nel maggio 1970, più avanzata di quella NATO. Il documento non descrive la posizione italiana specifica; il confronto puntuale Italia-Spagna sulla CSCE resta uno Stato Zero da colmare sui documenti diplomatici italiani. Sulla posizione italiana circa l'ingresso della Spagna nella NATO, va ricordato (fonte enciclopedica) che l'adesione spagnola all'Alleanza avvenne solo nel 1982, Wikipedia (https://es.wikipedia.org/wiki/Relaciones_OTAN-Espa%C3%B1a) ben oltre l'orizzonte del ministero Moro; nessun ruolo diretto di Moro è attestato.</w:t>
      </w:r>
    </w:p>
    <w:p>
      <w:pPr>
        <w:spacing w:after="120" w:line="276"/>
        <w:jc w:val="both"/>
      </w:pPr>
      <w:r>
        <w:rPr>
          <w:rFonts w:ascii="Barlow Semi Condensed" w:cs="Barlow Semi Condensed" w:eastAsia="Barlow Semi Condensed" w:hAnsi="Barlow Semi Condensed"/>
          <w:sz w:val="24"/>
          <w:szCs w:val="24"/>
        </w:rPr>
        <w:t xml:space="preserve">Sulla reazione spagnola al sequestro Moro del 1978 va rilevato un errore di premessa storiografica: nel 1978 la Spagna non era più franchista (Franco morì il 20 novembre 1975) ma in piena Transizione democratica sotto il governo di Adolfo Suárez. La ricerca non ha reperito una presa di posizione ufficiale del governo spagnolo sul sequestro; la stampa (El Español) opera parallelismi fra la strategia conciliativa di Moro e quella di Suárez. Questo resta uno Stato Zero da colmare presso le emeroteche spagnole (ABC, El País, La Vanguardia, marzo-maggio 1978).</w:t>
      </w:r>
    </w:p>
    <w:p>
      <w:pPr>
        <w:pStyle w:val="Heading2"/>
        <w:spacing w:after="100" w:before="200"/>
      </w:pPr>
      <w:r>
        <w:rPr>
          <w:rFonts w:ascii="Barlow Semi Condensed" w:cs="Barlow Semi Condensed" w:eastAsia="Barlow Semi Condensed" w:hAnsi="Barlow Semi Condensed"/>
          <w:sz w:val="24"/>
          <w:szCs w:val="24"/>
        </w:rPr>
        <w:t xml:space="preserve">Capitolo 12 — Il versante vaticano come terzo termine</w:t>
      </w:r>
    </w:p>
    <w:p>
      <w:pPr>
        <w:spacing w:after="120" w:line="276"/>
        <w:jc w:val="both"/>
      </w:pPr>
      <w:r>
        <w:rPr>
          <w:rFonts w:ascii="Barlow Semi Condensed" w:cs="Barlow Semi Condensed" w:eastAsia="Barlow Semi Condensed" w:hAnsi="Barlow Semi Condensed"/>
          <w:sz w:val="24"/>
          <w:szCs w:val="24"/>
        </w:rPr>
        <w:t xml:space="preserve">Il versante vaticano fornisce la triangolazione più solida sul piano documentale. È accertato (fonti: L'Osservatore Romano; Vatican News; Treccani, voce Casaroli) che la Santa Sede partecipò alla CSCE come membro a pieno titolo, «era la prima volta, dopo il Congresso di Vienna del 1815, che la Santa Sede partecipava come full member in un congresso di Stati» Vatican News (https://www.vaticannews.va/it/mondo/news/2022-04/conferenza-helsinki-1975-europa-guerra-fredda-eredita-pace.html) (parole del cardinale Achille Silvestrini). Paolo VI annunciò il 22 giugno 1973 la partecipazione di una delegazione vaticana guidata da monsignor Agostino Casaroli. L'Osservatore Romano (https://www.osservatoreromano.va/it/news/2023-02/quo-045/si-vis-pacem-para-pacem.html) Il contributo vaticano fu decisivo per il settimo principio dell'Atto finale, relativo alla libertà religiosa: come attesta la voce Treccani su Casaroli, «con il riconoscimento della libertà religiosa sancito nel 7° principio dell'Atto finale» la Santa Sede conseguì «un'importante formale legittimazione alle richieste della Chiesa nei negoziati bilaterali con i singoli governi». Treccani (https://www.treccani.it/enciclopedia/agostino-casaroli_%28Dizionario-Biografico%29/) La proposta sulla libertà religiosa del 7 marzo 1973 è correttamente collocata nella fase preparatoria; l'Ostpolitik di Casaroli e Silvestrini è il quadro entro cui si mosse la diplomazia vaticana.</w:t>
      </w:r>
    </w:p>
    <w:p>
      <w:pPr>
        <w:spacing w:after="120" w:line="276"/>
        <w:jc w:val="both"/>
      </w:pPr>
      <w:r>
        <w:rPr>
          <w:rFonts w:ascii="Barlow Semi Condensed" w:cs="Barlow Semi Condensed" w:eastAsia="Barlow Semi Condensed" w:hAnsi="Barlow Semi Condensed"/>
          <w:sz w:val="24"/>
          <w:szCs w:val="24"/>
        </w:rPr>
        <w:t xml:space="preserve">Sul versante spagnolo il terzo termine vaticano assume rilievo attraverso due nodi documentati. Il primo è l'udienza del 12 gennaio 1973 di López Bravo presso Paolo VI: il ministro spagnolo, membro dell'Opus Dei, si recò dal Papa per consegnargli una lettera di Franco in mezzo a uno scambio di corrispondenza sulle relazioni Chiesa-Stato, sulla revisione del Concordato e sulla questione delle nomine episcopali. El Confidencial Digital (https://www.elconfidencialdigital.com/religion/articulo/de-libros/gregorio-lopez-bravo-miembro-opus-dei-servicio-progreso-espana/20241007004039050434.html) Secondo il cardinale Tarancón, Paolo VI disse che era stata «una delle interviste più amare della sua vita» El Confidencial Digital (https://www.elconfidencialdigital.com/religion/articulo/de-libros/gregorio-lopez-bravo-miembro-opus-dei-servicio-progreso-espana/20241007004039050434.html) (fonte: El Confidencial Digital, recensione della biografia Pérez Gómez, che pubblica la nota redatta da López Bravo in aereo subito dopo il colloquio). Il secondo nodo è il concordato spagnolo del 27 agosto 1953 e il privilegio di presentazione dei vescovi: è accertato (fonti: Wikipedia in spagnolo; studio di Antonio Marquina, UCM) che il Concordato attribuì a Franco «el derecho de presentación» dei vescovi. Con lettera del 28 aprile 1968 Paolo VI chiese a Franco di rinunciare al privilegio «antes de una posible revisión del Concordato»; Franco rispose il 12 giugno 1968 rifiutando, sostenendo che il diritto «fue modificado en su esencia por el convenio de 1941». Il privilegio fu abolito soltanto con la convenzione tra il governo spagnolo e la Santa Sede del 28 luglio 1976, dopo la morte di Franco, quando Juan Carlos I vi rinunciò. Il caso Añoveros del 24 febbraio 1974 — l'omelia del vescovo di Bilbao a favore dell'identità basca, che provocò la più grave crisi Chiesa-Stato del tardofranchismo, con l'ordine di espulsione poi ritirato per intervento di Franco stesso e con il sostegno di Paolo VI a Tarancón e Añoveros Wikipedia (https://es.wikipedia.org/wiki/Caso_A%C3%B1overos) (fonti: Wikipedia in spagnolo; Religión Digital) — illustra la simultaneità di reazione, non un nesso diretto con Moro.</w:t>
      </w:r>
    </w:p>
    <w:p>
      <w:pPr>
        <w:spacing w:after="120" w:line="276"/>
        <w:jc w:val="both"/>
      </w:pPr>
      <w:r>
        <w:rPr>
          <w:rFonts w:ascii="Barlow Semi Condensed" w:cs="Barlow Semi Condensed" w:eastAsia="Barlow Semi Condensed" w:hAnsi="Barlow Semi Condensed"/>
          <w:sz w:val="24"/>
          <w:szCs w:val="24"/>
        </w:rPr>
        <w:t xml:space="preserve">L'iter della revisione del Concordato lateranense dal 1969 al 1984, richiamato dal quesito, non ha trovato documentazione puntuale nel perimetro reperito e costituisce uno Stato Zero da colmare presso le fonti vaticane e presso gli atti parlamentari italiani. Va tenuta ferma la distinzione metodologica: la comunanza di ambiente istituzionale (cattolico, dell'Ostpolitik, della CSCE) fra Moro, la Santa Sede e i ministri spagnoli dell'Opus Dei è una convergenza di ambiente, non un nesso di condotta coordinata; e il canale del cardinale Sergio Pignedoli nel sequestro Sossi (aprile-maggio 1974), attestato dalla Treccani, riguarda il rapporto Stato-Vaticano in materia di terrorismo, non la triangolazione spagnola.</w:t>
      </w:r>
    </w:p>
    <w:p>
      <w:pPr>
        <w:pStyle w:val="Heading2"/>
        <w:spacing w:after="100" w:before="200"/>
      </w:pPr>
      <w:r>
        <w:rPr>
          <w:rFonts w:ascii="Barlow Semi Condensed" w:cs="Barlow Semi Condensed" w:eastAsia="Barlow Semi Condensed" w:hAnsi="Barlow Semi Condensed"/>
          <w:sz w:val="24"/>
          <w:szCs w:val="24"/>
        </w:rPr>
        <w:t xml:space="preserve">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Ordinate per rendimento atteso decrescente, le acquisizioni non conseguite sono le seguenti. In primo luogo, l'eventuale documentazione di contatti diretti fra Moro e i ministri degli Esteri spagnoli (López Bravo, López Rodó, Cortina Mauri): rendimento potenziale altissimo perché scioglierebbe il nodo centrale della triangolazione; sede: Archivio storico-diplomatico della Farnesina (serie affari politici, Spagna, 1969-1974, soggetta alla barriera dei cinquant'anni con verifica caso per caso dei faldoni) e Archivo General de la Administración di Alcalá de Henares; condizione di chiusura: apertura e riordino dei fondi MAE italiani per il periodo, oggi non pienamente consultabili secondo Levi. In secondo luogo, le repliche di Moro sui bilanci esteri 1970-1974 con numero di seduta e data: rendimento alto per la ricostruzione della posizione ufficiale; sede: resoconti stenografici Camera e vol. II dei «Discorsi parlamentari»; condizione: spoglio sistematico dei resoconti. In terzo luogo, il telegramma di Moro da Tunisi del 6 settembre 1970 e i telegrammi cinesi del 28 novembre 1970 e 5472/0 del 29 dicembre 1972: rendimento medio-alto; sede: Farnesina ed Edizione Nazionale (aldomorodigitale.unibo.it). In quarto luogo, il confronto puntuale Italia-Spagna sulla CSCE e la posizione italiana nel Nuclear Planning Group e nelle riunioni ministeriali NATO 1969-1974: rendimento medio; sede: DDI, NATO Archives Online, FRUS. In quinto luogo, la reazione spagnola al sequestro Moro del 1978: rendimento medio, con l'avvertenza dell'anacronismo «franchista»; sede: emeroteche spagnole (ABC, El País, La Vanguardia). In sesto luogo, l'iter della revisione del Concordato lateranense 1969-1984 e gli interventi di Moro all'Assemblea generale ONU: rendimento medio-basso per la specificità del mandato Moro; sede: fonti vaticane, atti parlamentari, atti ONU. Infine, la verifica dell'«operazione Hilton» del 1971: rendimento incerto, tesi allo stato non sostenuta da fonti primarie; sede: Farnesina e archivi ENI.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sintesi metodologica per il committente</w:t>
      </w:r>
    </w:p>
    <w:p>
      <w:pPr>
        <w:spacing w:after="120" w:line="276"/>
        <w:jc w:val="both"/>
      </w:pPr>
      <w:r>
        <w:rPr>
          <w:rFonts w:ascii="Barlow Semi Condensed" w:cs="Barlow Semi Condensed" w:eastAsia="Barlow Semi Condensed" w:hAnsi="Barlow Semi Condensed"/>
          <w:sz w:val="24"/>
          <w:szCs w:val="24"/>
        </w:rPr>
        <w:t xml:space="preserve">Questa ricognizione conferma e approfondisce, senza ripeterlo, lo stato delle tre ricognizioni precedenti. I dossier meglio serviti da fonti primarie e storiografia peer-reviewed — e dunque idonei a capitoli di piena ampiezza — sono il Medio Oriente (Cap. 3, con la collana Cacucci/Besa di Imperato-Milano-Monzali), la CSCE (Cap. 4, volume Baldi-Monzali e memorie Ferraris), la Cina (Cap. 7, con lo studio Olla Brundu e il volume documentale Rubbettino), il TNP (Cap. 6, con Nuti), la Comunità europea (Cap. 8, con Guasconi e Levi), l'Opus Dei come soggetto storico spagnolo (Cap. 10, con il documento CIA, Mackenzie e Barrera) e il versante vaticano (Cap. 12). I dossier più poveri, che è preferibile mantenere brevi dichiarandone lo Stato Zero, sono la NATO (Cap. 5) e — decisivo per la tesi complessiva — la triangolazione diretta Moro-ministri spagnoli (Cap. 11), che resta non documentata e va onestamente presentata come tale.</w:t>
      </w:r>
    </w:p>
    <w:p>
      <w:pPr>
        <w:spacing w:after="120" w:line="276"/>
        <w:jc w:val="both"/>
      </w:pPr>
      <w:r>
        <w:rPr>
          <w:rFonts w:ascii="Barlow Semi Condensed" w:cs="Barlow Semi Condensed" w:eastAsia="Barlow Semi Condensed" w:hAnsi="Barlow Semi Condensed"/>
          <w:sz w:val="24"/>
          <w:szCs w:val="24"/>
        </w:rPr>
        <w:t xml:space="preserve">Il punto epistemologicamente più delicato è quello della frase CIA sul «funzionario italiano»: il documento è autentico e citabile, ma la sua formulazione è deliberatamente anonima. Attribuirla a Moro sarebbe una sovra-interpretazione. Allo stesso modo, l'appartenenza all'Opus Dei di López Bravo e López Rodó è un fatto pubblico documentato, ma non costituisce di per sé prova di una condotta coordinata dell'ente né di un nesso con Moro. La contemporaneità cronologica dei fatti italiani e spagnoli (accordo CEE-Spagna 1970, caso MATESA, caso Añoveros 1974) va classificata come mera contemporaneità o, al più, comunanza di ambiente istituzionale cattolico, non come convergenza di obiettivo documentata.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Documenti italiani e spagnoli,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5.976 parole in 9 sezioni; la più ampia è §9 Altre sezioni, con 2.473.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63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 La triangolazione della seconda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seconda campagna</w:t>
      </w:r>
    </w:p>
    <w:p>
      <w:pPr>
        <w:pStyle w:val="Heading2"/>
        <w:spacing w:after="100" w:before="200"/>
      </w:pPr>
      <w:r>
        <w:rPr>
          <w:rFonts w:ascii="Barlow Semi Condensed" w:cs="Barlow Semi Condensed" w:eastAsia="Barlow Semi Condensed" w:hAnsi="Barlow Semi Condensed"/>
          <w:sz w:val="24"/>
          <w:szCs w:val="24"/>
        </w:rPr>
        <w:t xml:space="preserve">Le tre nuove ricognizioni della Farnesina, incrociate fra loro, col corpus e con la quadriga investigativa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questo documento.</w:t>
      </w:r>
      <w:r>
        <w:rPr>
          <w:rFonts w:ascii="Barlow Semi Condensed" w:cs="Barlow Semi Condensed" w:eastAsia="Barlow Semi Condensed" w:hAnsi="Barlow Semi Condensed"/>
          <w:i w:val="false"/>
          <w:iCs w:val="false"/>
          <w:sz w:val="24"/>
          <w:szCs w:val="24"/>
        </w:rPr>
        <w:t xml:space="preserve"> Le tre ricognizioni pervenute il 25 agosto 2026 — </w:t>
      </w:r>
      <w:r>
        <w:rPr>
          <w:rFonts w:ascii="Barlow Semi Condensed" w:cs="Barlow Semi Condensed" w:eastAsia="Barlow Semi Condensed" w:hAnsi="Barlow Semi Condensed"/>
          <w:i w:val="false"/>
          <w:iCs w:val="false"/>
          <w:sz w:val="24"/>
          <w:szCs w:val="24"/>
        </w:rPr>
        <w:t xml:space="preserve">I documenti di Stato italiani e spagnoli e l'Opus Dei come soggetto storico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La Santa Sede e le due Germanie con l'accertamento della sequenza Oder-Neisse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Portogallo e la Santa Sede</w:t>
      </w:r>
      <w:r>
        <w:rPr>
          <w:rFonts w:ascii="Barlow Semi Condensed" w:cs="Barlow Semi Condensed" w:eastAsia="Barlow Semi Condensed" w:hAnsi="Barlow Semi Condensed"/>
          <w:i w:val="false"/>
          <w:iCs w:val="false"/>
          <w:sz w:val="24"/>
          <w:szCs w:val="24"/>
        </w:rPr>
        <w:t xml:space="preserve"> — sono state archiviate integralmente in [</w:t>
      </w:r>
      <w:r>
        <w:rPr>
          <w:rFonts w:ascii="Barlow Semi Condensed" w:cs="Barlow Semi Condensed" w:eastAsia="Barlow Semi Condensed" w:hAnsi="Barlow Semi Condensed"/>
          <w:i w:val="false"/>
          <w:iCs w:val="false"/>
          <w:sz w:val="24"/>
          <w:szCs w:val="24"/>
        </w:rPr>
        <w:t xml:space="preserve">originali/</w:t>
      </w:r>
      <w:r>
        <w:rPr>
          <w:rFonts w:ascii="Barlow Semi Condensed" w:cs="Barlow Semi Condensed" w:eastAsia="Barlow Semi Condensed" w:hAnsi="Barlow Semi Condensed"/>
          <w:i w:val="false"/>
          <w:iCs w:val="false"/>
          <w:sz w:val="24"/>
          <w:szCs w:val="24"/>
        </w:rPr>
        <w:t xml:space="preserve">](originali/) e poi </w:t>
      </w:r>
      <w:r>
        <w:rPr>
          <w:rFonts w:ascii="Barlow Semi Condensed" w:cs="Barlow Semi Condensed" w:eastAsia="Barlow Semi Condensed" w:hAnsi="Barlow Semi Condensed"/>
          <w:b/>
          <w:bCs/>
          <w:i w:val="false"/>
          <w:iCs w:val="false"/>
          <w:sz w:val="24"/>
          <w:szCs w:val="24"/>
        </w:rPr>
        <w:t xml:space="preserve">triangolate in sei letture incrociate</w:t>
      </w:r>
      <w:r>
        <w:rPr>
          <w:rFonts w:ascii="Barlow Semi Condensed" w:cs="Barlow Semi Condensed" w:eastAsia="Barlow Semi Condensed" w:hAnsi="Barlow Semi Condensed"/>
          <w:i w:val="false"/>
          <w:iCs w:val="false"/>
          <w:sz w:val="24"/>
          <w:szCs w:val="24"/>
        </w:rPr>
        <w:t xml:space="preserve">: ciascuna contro il corpus della cartella, tutte e tre fra loro, e l'insieme contro i cantieri e l'agenda della quadriga investigativa. Questo documento è il verbale di quelle letture. Vi si distingue ciò che entra nel corpus come acquisizione, ciò che il corpus corregge ai documenti nuovi e ciò che i documenti nuovi correggono al corpus, ciò che resta divergente e va riportato senza sceglierlo, e ciò che resta Stato Zero. Vale la disciplina di tutta l'opera: nessuna persona indicata come responsabile di reato oltre il giudicato definitivo; l'appartenenza a un'organizzazione non è prova di una condotta dell'organizzazione; la contemporaneità non è prova di nesso; </w:t>
      </w:r>
      <w:r>
        <w:rPr>
          <w:rFonts w:ascii="Barlow Semi Condensed" w:cs="Barlow Semi Condensed" w:eastAsia="Barlow Semi Condensed" w:hAnsi="Barlow Semi Condensed"/>
          <w:b/>
          <w:bCs/>
          <w:i w:val="false"/>
          <w:iCs w:val="false"/>
          <w:sz w:val="24"/>
          <w:szCs w:val="24"/>
        </w:rPr>
        <w:t xml:space="preserve">l'esito negativo è un'acquisizione di pieno valore</w:t>
      </w:r>
      <w:r>
        <w:rPr>
          <w:rFonts w:ascii="Barlow Semi Condensed" w:cs="Barlow Semi Condensed" w:eastAsia="Barlow Semi Condensed" w:hAnsi="Barlow Semi Condensed"/>
          <w:i w:val="false"/>
          <w:iCs w:val="false"/>
          <w:sz w:val="24"/>
          <w:szCs w:val="24"/>
        </w:rPr>
        <w:t xml:space="preserve">, e come tale è registrato qui accanto a quelli positivi.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acquisizioni nuove</w:t>
      </w:r>
    </w:p>
    <w:p>
      <w:pPr>
        <w:spacing w:after="120" w:line="276"/>
        <w:jc w:val="both"/>
      </w:pPr>
      <w:r>
        <w:rPr>
          <w:rFonts w:ascii="Barlow Semi Condensed" w:cs="Barlow Semi Condensed" w:eastAsia="Barlow Semi Condensed" w:hAnsi="Barlow Semi Condensed"/>
          <w:b/>
          <w:bCs/>
          <w:sz w:val="24"/>
          <w:szCs w:val="24"/>
        </w:rPr>
        <w:t xml:space="preserve">Il documento CIA del 22 maggio 1970.</w:t>
      </w:r>
      <w:r>
        <w:rPr>
          <w:rFonts w:ascii="Barlow Semi Condensed" w:cs="Barlow Semi Condensed" w:eastAsia="Barlow Semi Condensed" w:hAnsi="Barlow Semi Condensed"/>
          <w:sz w:val="24"/>
          <w:szCs w:val="24"/>
        </w:rPr>
        <w:t xml:space="preserve"> Entra nel corpus una fonte primaria che non possedeva: il </w:t>
      </w:r>
      <w:r>
        <w:rPr>
          <w:rFonts w:ascii="Barlow Semi Condensed" w:cs="Barlow Semi Condensed" w:eastAsia="Barlow Semi Condensed" w:hAnsi="Barlow Semi Condensed"/>
          <w:i/>
          <w:iCs/>
          <w:sz w:val="24"/>
          <w:szCs w:val="24"/>
        </w:rPr>
        <w:t xml:space="preserve">Weekly Summary Special Report: Policies of the New Spanish Cabinet</w:t>
      </w:r>
      <w:r>
        <w:rPr>
          <w:rFonts w:ascii="Barlow Semi Condensed" w:cs="Barlow Semi Condensed" w:eastAsia="Barlow Semi Condensed" w:hAnsi="Barlow Semi Condensed"/>
          <w:sz w:val="24"/>
          <w:szCs w:val="24"/>
        </w:rPr>
        <w:t xml:space="preserve"> (protocollo CIA-RDP85T00875R001500020027-1, originariamente SECRET, declassificato), che attesta la composizione del governo spagnolo dell'ottobre 1969 con prevalenza di tecnici «members of or associated with members of» l'organizzazione confessionale. Vale integra la regola di ferro: l'appartenenza di singoli ministri a un ente è </w:t>
      </w:r>
      <w:r>
        <w:rPr>
          <w:rFonts w:ascii="Barlow Semi Condensed" w:cs="Barlow Semi Condensed" w:eastAsia="Barlow Semi Condensed" w:hAnsi="Barlow Semi Condensed"/>
          <w:b/>
          <w:bCs/>
          <w:sz w:val="24"/>
          <w:szCs w:val="24"/>
        </w:rPr>
        <w:t xml:space="preserve">fatto pubblico documentato</w:t>
      </w:r>
      <w:r>
        <w:rPr>
          <w:rFonts w:ascii="Barlow Semi Condensed" w:cs="Barlow Semi Condensed" w:eastAsia="Barlow Semi Condensed" w:hAnsi="Barlow Semi Condensed"/>
          <w:sz w:val="24"/>
          <w:szCs w:val="24"/>
        </w:rPr>
        <w:t xml:space="preserve">, non prova di una condotta dell'ente.</w:t>
      </w:r>
    </w:p>
    <w:p>
      <w:pPr>
        <w:spacing w:after="120" w:line="276"/>
        <w:jc w:val="both"/>
      </w:pPr>
      <w:r>
        <w:rPr>
          <w:rFonts w:ascii="Barlow Semi Condensed" w:cs="Barlow Semi Condensed" w:eastAsia="Barlow Semi Condensed" w:hAnsi="Barlow Semi Condensed"/>
          <w:sz w:val="24"/>
          <w:szCs w:val="24"/>
        </w:rPr>
        <w:t xml:space="preserve">Il medesimo documento contiene la frase su cui la ricognizione stessa impone la massima cautela — «an Italian official has already said his country would not be interested» al progetto franco-spagnolo di patto mediterraneo. </w:t>
      </w:r>
      <w:r>
        <w:rPr>
          <w:rFonts w:ascii="Barlow Semi Condensed" w:cs="Barlow Semi Condensed" w:eastAsia="Barlow Semi Condensed" w:hAnsi="Barlow Semi Condensed"/>
          <w:b/>
          <w:bCs/>
          <w:sz w:val="24"/>
          <w:szCs w:val="24"/>
        </w:rPr>
        <w:t xml:space="preserve">Il documento non fa nomi</w:t>
      </w:r>
      <w:r>
        <w:rPr>
          <w:rFonts w:ascii="Barlow Semi Condensed" w:cs="Barlow Semi Condensed" w:eastAsia="Barlow Semi Condensed" w:hAnsi="Barlow Semi Condensed"/>
          <w:sz w:val="24"/>
          <w:szCs w:val="24"/>
        </w:rPr>
        <w:t xml:space="preserve">: ogni identificazione del funzionario con Moro è inferenza non sostenuta, e il termine </w:t>
      </w:r>
      <w:r>
        <w:rPr>
          <w:rFonts w:ascii="Barlow Semi Condensed" w:cs="Barlow Semi Condensed" w:eastAsia="Barlow Semi Condensed" w:hAnsi="Barlow Semi Condensed"/>
          <w:i/>
          <w:iCs/>
          <w:sz w:val="24"/>
          <w:szCs w:val="24"/>
        </w:rPr>
        <w:t xml:space="preserve">official</w:t>
      </w:r>
      <w:r>
        <w:rPr>
          <w:rFonts w:ascii="Barlow Semi Condensed" w:cs="Barlow Semi Condensed" w:eastAsia="Barlow Semi Condensed" w:hAnsi="Barlow Semi Condensed"/>
          <w:sz w:val="24"/>
          <w:szCs w:val="24"/>
        </w:rPr>
        <w:t xml:space="preserve"> è indeterminato. È il punto epistemologicamente più delicato dell'intera campagna, ed è acquisito qui nella sola forma in cui è acquisibile: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La sequenza Oder-Neisse.</w:t>
      </w:r>
      <w:r>
        <w:rPr>
          <w:rFonts w:ascii="Barlow Semi Condensed" w:cs="Barlow Semi Condensed" w:eastAsia="Barlow Semi Condensed" w:hAnsi="Barlow Semi Condensed"/>
          <w:sz w:val="24"/>
          <w:szCs w:val="24"/>
        </w:rPr>
        <w:t xml:space="preserve"> Entra per intero, ed è l'acquisizione di maggior peso: Trattato di Varsavia firmato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leggi di autorizzazione alla ratifica approvate dal Bundestag il </w:t>
      </w:r>
      <w:r>
        <w:rPr>
          <w:rFonts w:ascii="Barlow Semi Condensed" w:cs="Barlow Semi Condensed" w:eastAsia="Barlow Semi Condensed" w:hAnsi="Barlow Semi Condensed"/>
          <w:b/>
          <w:bCs/>
          <w:sz w:val="24"/>
          <w:szCs w:val="24"/>
        </w:rPr>
        <w:t xml:space="preserve">17 maggio 1972</w:t>
      </w:r>
      <w:r>
        <w:rPr>
          <w:rFonts w:ascii="Barlow Semi Condensed" w:cs="Barlow Semi Condensed" w:eastAsia="Barlow Semi Condensed" w:hAnsi="Barlow Semi Condensed"/>
          <w:sz w:val="24"/>
          <w:szCs w:val="24"/>
        </w:rPr>
        <w:t xml:space="preserve"> e dal Bundesrat il 19 maggio (la formula corrente «il Bundestag ratificò» è imprecisa: si veda l'apparato F-1); entrata in vigore con lo scambio degli strumenti il </w:t>
      </w:r>
      <w:r>
        <w:rPr>
          <w:rFonts w:ascii="Barlow Semi Condensed" w:cs="Barlow Semi Condensed" w:eastAsia="Barlow Semi Condensed" w:hAnsi="Barlow Semi Condensed"/>
          <w:b/>
          <w:bCs/>
          <w:sz w:val="24"/>
          <w:szCs w:val="24"/>
        </w:rPr>
        <w:t xml:space="preserve">3 giugno 1972</w:t>
      </w:r>
      <w:r>
        <w:rPr>
          <w:rFonts w:ascii="Barlow Semi Condensed" w:cs="Barlow Semi Condensed" w:eastAsia="Barlow Semi Condensed" w:hAnsi="Barlow Semi Condensed"/>
          <w:sz w:val="24"/>
          <w:szCs w:val="24"/>
        </w:rPr>
        <w:t xml:space="preserve">; costituzioni apostoliche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28 giugno 1972</w:t>
      </w:r>
      <w:r>
        <w:rPr>
          <w:rFonts w:ascii="Barlow Semi Condensed" w:cs="Barlow Semi Condensed" w:eastAsia="Barlow Semi Condensed" w:hAnsi="Barlow Semi Condensed"/>
          <w:sz w:val="24"/>
          <w:szCs w:val="24"/>
        </w:rPr>
        <w:t xml:space="preserve">, venticinque giorni dopo. Il corpus conosceva la firma del trattato fra gli atti della Ostpolitik; non conosceva né la catena ratifica-vigore-atto pontificio né il versante ecclesiastico. Il nesso non è dedotto dalla prossimità delle date: è attestato dalla comunicazione vaticana di accompagnamento e dalla storiografia (Karl-Joseph Hummel), mentre </w:t>
      </w:r>
      <w:r>
        <w:rPr>
          <w:rFonts w:ascii="Barlow Semi Condensed" w:cs="Barlow Semi Condensed" w:eastAsia="Barlow Semi Condensed" w:hAnsi="Barlow Semi Condensed"/>
          <w:b/>
          <w:bCs/>
          <w:sz w:val="24"/>
          <w:szCs w:val="24"/>
        </w:rPr>
        <w:t xml:space="preserve">il testo canonico tace la ragione politica e adduce solo quella pastorale</w:t>
      </w:r>
      <w:r>
        <w:rPr>
          <w:rFonts w:ascii="Barlow Semi Condensed" w:cs="Barlow Semi Condensed" w:eastAsia="Barlow Semi Condensed" w:hAnsi="Barlow Semi Condensed"/>
          <w:sz w:val="24"/>
          <w:szCs w:val="24"/>
        </w:rPr>
        <w:t xml:space="preserve"> — distinzione che va conservata in ogni ripresa.</w:t>
      </w:r>
    </w:p>
    <w:p>
      <w:pPr>
        <w:spacing w:after="120" w:line="276"/>
        <w:jc w:val="both"/>
      </w:pPr>
      <w:r>
        <w:rPr>
          <w:rFonts w:ascii="Barlow Semi Condensed" w:cs="Barlow Semi Condensed" w:eastAsia="Barlow Semi Condensed" w:hAnsi="Barlow Semi Condensed"/>
          <w:b/>
          <w:bCs/>
          <w:sz w:val="24"/>
          <w:szCs w:val="24"/>
        </w:rPr>
        <w:t xml:space="preserve">La soluzione differenziata per la Repubblica Democratica Tedesca.</w:t>
      </w:r>
      <w:r>
        <w:rPr>
          <w:rFonts w:ascii="Barlow Semi Condensed" w:cs="Barlow Semi Condensed" w:eastAsia="Barlow Semi Condensed" w:hAnsi="Barlow Semi Condensed"/>
          <w:sz w:val="24"/>
          <w:szCs w:val="24"/>
        </w:rPr>
        <w:t xml:space="preserve"> Il 23 luglio 1973 Paolo VI nominò amministratori apostolici </w:t>
      </w:r>
      <w:r>
        <w:rPr>
          <w:rFonts w:ascii="Barlow Semi Condensed" w:cs="Barlow Semi Condensed" w:eastAsia="Barlow Semi Condensed" w:hAnsi="Barlow Semi Condensed"/>
          <w:i/>
          <w:iCs/>
          <w:sz w:val="24"/>
          <w:szCs w:val="24"/>
        </w:rPr>
        <w:t xml:space="preserve">permanenter constituti</w:t>
      </w:r>
      <w:r>
        <w:rPr>
          <w:rFonts w:ascii="Barlow Semi Condensed" w:cs="Barlow Semi Condensed" w:eastAsia="Barlow Semi Condensed" w:hAnsi="Barlow Semi Condensed"/>
          <w:sz w:val="24"/>
          <w:szCs w:val="24"/>
        </w:rPr>
        <w:t xml:space="preserve"> per Erfurt-Meiningen, Magdeburgo e Schwerin, costituiti come </w:t>
      </w:r>
      <w:r>
        <w:rPr>
          <w:rFonts w:ascii="Barlow Semi Condensed" w:cs="Barlow Semi Condensed" w:eastAsia="Barlow Semi Condensed" w:hAnsi="Barlow Semi Condensed"/>
          <w:i/>
          <w:iCs/>
          <w:sz w:val="24"/>
          <w:szCs w:val="24"/>
        </w:rPr>
        <w:t xml:space="preserve">Bischöfliche Ämter</w:t>
      </w:r>
      <w:r>
        <w:rPr>
          <w:rFonts w:ascii="Barlow Semi Condensed" w:cs="Barlow Semi Condensed" w:eastAsia="Barlow Semi Condensed" w:hAnsi="Barlow Semi Condensed"/>
          <w:sz w:val="24"/>
          <w:szCs w:val="24"/>
        </w:rPr>
        <w:t xml:space="preserve"> direttamente soggetti alla Santa Sede con </w:t>
      </w:r>
      <w:r>
        <w:rPr>
          <w:rFonts w:ascii="Barlow Semi Condensed" w:cs="Barlow Semi Condensed" w:eastAsia="Barlow Semi Condensed" w:hAnsi="Barlow Semi Condensed"/>
          <w:b/>
          <w:bCs/>
          <w:sz w:val="24"/>
          <w:szCs w:val="24"/>
        </w:rPr>
        <w:t xml:space="preserve">sospensione, non soppressione</w:t>
      </w:r>
      <w:r>
        <w:rPr>
          <w:rFonts w:ascii="Barlow Semi Condensed" w:cs="Barlow Semi Condensed" w:eastAsia="Barlow Semi Condensed" w:hAnsi="Barlow Semi Condensed"/>
          <w:sz w:val="24"/>
          <w:szCs w:val="24"/>
        </w:rPr>
        <w:t xml:space="preserve">, della giurisdizione dei vescovi occidentali: nella RDT non furono erette diocesi permanenti come in Polonia, perché la questione dell'unità tedesca restava aperta. La circoscrizione definitiva arrivò solo dopo la riunificazione, con le bolle del 27 giugno 1994.</w:t>
      </w:r>
    </w:p>
    <w:p>
      <w:pPr>
        <w:spacing w:after="120" w:line="276"/>
        <w:jc w:val="both"/>
      </w:pPr>
      <w:r>
        <w:rPr>
          <w:rFonts w:ascii="Barlow Semi Condensed" w:cs="Barlow Semi Condensed" w:eastAsia="Barlow Semi Condensed" w:hAnsi="Barlow Semi Condensed"/>
          <w:b/>
          <w:bCs/>
          <w:sz w:val="24"/>
          <w:szCs w:val="24"/>
        </w:rPr>
        <w:t xml:space="preserve">Il dossier balcanico.</w:t>
      </w:r>
      <w:r>
        <w:rPr>
          <w:rFonts w:ascii="Barlow Semi Condensed" w:cs="Barlow Semi Condensed" w:eastAsia="Barlow Semi Condensed" w:hAnsi="Barlow Semi Condensed"/>
          <w:sz w:val="24"/>
          <w:szCs w:val="24"/>
        </w:rPr>
        <w:t xml:space="preserve"> Il corpus non aveva un capitolo sulla Jugoslavia. Acquisisce ora che i negoziati riservati di Osimo si svolsero fra luglio e novembre 1974 — nella fase finale del ministero di Moro — attraverso un canale </w:t>
      </w:r>
      <w:r>
        <w:rPr>
          <w:rFonts w:ascii="Barlow Semi Condensed" w:cs="Barlow Semi Condensed" w:eastAsia="Barlow Semi Condensed" w:hAnsi="Barlow Semi Condensed"/>
          <w:b/>
          <w:bCs/>
          <w:sz w:val="24"/>
          <w:szCs w:val="24"/>
        </w:rPr>
        <w:t xml:space="preserve">esterno alla Farnesina</w:t>
      </w:r>
      <w:r>
        <w:rPr>
          <w:rFonts w:ascii="Barlow Semi Condensed" w:cs="Barlow Semi Condensed" w:eastAsia="Barlow Semi Condensed" w:hAnsi="Barlow Semi Condensed"/>
          <w:sz w:val="24"/>
          <w:szCs w:val="24"/>
        </w:rPr>
        <w:t xml:space="preserve">, e che Osimo fu «il primo accordo internazionale i cui negoziati per l'Italia non vennero curati dal Ministero degli affari esteri». La maturazione strategica in fase Moro va tenuta distinta dalla paternità politica: firma e titolarità formale (10 novembre 1975) spettarono a Rumor.</w:t>
      </w:r>
    </w:p>
    <w:p>
      <w:pPr>
        <w:spacing w:after="120" w:line="276"/>
        <w:jc w:val="both"/>
      </w:pPr>
      <w:r>
        <w:rPr>
          <w:rFonts w:ascii="Barlow Semi Condensed" w:cs="Barlow Semi Condensed" w:eastAsia="Barlow Semi Condensed" w:hAnsi="Barlow Semi Condensed"/>
          <w:b/>
          <w:bCs/>
          <w:sz w:val="24"/>
          <w:szCs w:val="24"/>
        </w:rPr>
        <w:t xml:space="preserve">Il versante portoghese, per intero.</w:t>
      </w:r>
      <w:r>
        <w:rPr>
          <w:rFonts w:ascii="Barlow Semi Condensed" w:cs="Barlow Semi Condensed" w:eastAsia="Barlow Semi Condensed" w:hAnsi="Barlow Semi Condensed"/>
          <w:sz w:val="24"/>
          <w:szCs w:val="24"/>
        </w:rPr>
        <w:t xml:space="preserve"> L'udienza di Paolo VI del </w:t>
      </w:r>
      <w:r>
        <w:rPr>
          <w:rFonts w:ascii="Barlow Semi Condensed" w:cs="Barlow Semi Condensed" w:eastAsia="Barlow Semi Condensed" w:hAnsi="Barlow Semi Condensed"/>
          <w:b/>
          <w:bCs/>
          <w:sz w:val="24"/>
          <w:szCs w:val="24"/>
        </w:rPr>
        <w:t xml:space="preserve">1° luglio 1970</w:t>
      </w:r>
      <w:r>
        <w:rPr>
          <w:rFonts w:ascii="Barlow Semi Condensed" w:cs="Barlow Semi Condensed" w:eastAsia="Barlow Semi Condensed" w:hAnsi="Barlow Semi Condensed"/>
          <w:sz w:val="24"/>
          <w:szCs w:val="24"/>
        </w:rPr>
        <w:t xml:space="preserve"> ai tre leader dei movimenti di liberazione, con l'incidente diplomatico e il richiamo dell'ambasciatore portoghese presso la Santa Sede — atto pontificio a impatto diplomatico diretto, distinto dal magistero generale. La </w:t>
      </w:r>
      <w:r>
        <w:rPr>
          <w:rFonts w:ascii="Barlow Semi Condensed" w:cs="Barlow Semi Condensed" w:eastAsia="Barlow Semi Condensed" w:hAnsi="Barlow Semi Condensed"/>
          <w:b/>
          <w:bCs/>
          <w:sz w:val="24"/>
          <w:szCs w:val="24"/>
        </w:rPr>
        <w:t xml:space="preserve">Conferenza romana del 27-29 giugno 1970</w:t>
      </w:r>
      <w:r>
        <w:rPr>
          <w:rFonts w:ascii="Barlow Semi Condensed" w:cs="Barlow Semi Condensed" w:eastAsia="Barlow Semi Condensed" w:hAnsi="Barlow Semi Condensed"/>
          <w:sz w:val="24"/>
          <w:szCs w:val="24"/>
        </w:rPr>
        <w:t xml:space="preserve">, promossa dalla sinistra e dal movimento anticolonialista, </w:t>
      </w:r>
      <w:r>
        <w:rPr>
          <w:rFonts w:ascii="Barlow Semi Condensed" w:cs="Barlow Semi Condensed" w:eastAsia="Barlow Semi Condensed" w:hAnsi="Barlow Semi Condensed"/>
          <w:b/>
          <w:bCs/>
          <w:sz w:val="24"/>
          <w:szCs w:val="24"/>
        </w:rPr>
        <w:t xml:space="preserve">senza patrocinio né obiezione del governo italiano</w:t>
      </w:r>
      <w:r>
        <w:rPr>
          <w:rFonts w:ascii="Barlow Semi Condensed" w:cs="Barlow Semi Condensed" w:eastAsia="Barlow Semi Condensed" w:hAnsi="Barlow Semi Condensed"/>
          <w:sz w:val="24"/>
          <w:szCs w:val="24"/>
        </w:rPr>
        <w:t xml:space="preserve">. Il ruolo di Reggio Emilia: il gemellaggio ospedaliero del 1970, la Conferenza nazionale del marzo 1973, e la delegazione reggiana che rappresentò lo Stato italiano alla cerimonia dell'indipendenza del Mozambico il 25 giugno 1975. </w:t>
      </w:r>
      <w:r>
        <w:rPr>
          <w:rFonts w:ascii="Barlow Semi Condensed" w:cs="Barlow Semi Condensed" w:eastAsia="Barlow Semi Condensed" w:hAnsi="Barlow Semi Condensed"/>
          <w:b/>
          <w:bCs/>
          <w:sz w:val="24"/>
          <w:szCs w:val="24"/>
        </w:rPr>
        <w:t xml:space="preserve">Wiriyamu</w:t>
      </w:r>
      <w:r>
        <w:rPr>
          <w:rFonts w:ascii="Barlow Semi Condensed" w:cs="Barlow Semi Condensed" w:eastAsia="Barlow Semi Condensed" w:hAnsi="Barlow Semi Condensed"/>
          <w:sz w:val="24"/>
          <w:szCs w:val="24"/>
        </w:rPr>
        <w:t xml:space="preserve"> (16 dicembre 1972) con la denuncia missionaria 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10 luglio 1973. I </w:t>
      </w:r>
      <w:r>
        <w:rPr>
          <w:rFonts w:ascii="Barlow Semi Condensed" w:cs="Barlow Semi Condensed" w:eastAsia="Barlow Semi Condensed" w:hAnsi="Barlow Semi Condensed"/>
          <w:b/>
          <w:bCs/>
          <w:sz w:val="24"/>
          <w:szCs w:val="24"/>
        </w:rPr>
        <w:t xml:space="preserve">Padri Bianchi</w:t>
      </w:r>
      <w:r>
        <w:rPr>
          <w:rFonts w:ascii="Barlow Semi Condensed" w:cs="Barlow Semi Condensed" w:eastAsia="Barlow Semi Condensed" w:hAnsi="Barlow Semi Condensed"/>
          <w:sz w:val="24"/>
          <w:szCs w:val="24"/>
        </w:rPr>
        <w:t xml:space="preserve"> che nel maggio 1971 lasciarono Beira e Tete — quarantotto secondo una singola fonte enciclopedica, cifra che diverge da quella della congregazione stessa e va citata con la sua provenienza —, e il fatto che l'autore della denuncia di Wiriyamu appartenesse al medesimo istituto — il che lega ritiro e denuncia a un ambiente missionario determinato, </w:t>
      </w:r>
      <w:r>
        <w:rPr>
          <w:rFonts w:ascii="Barlow Semi Condensed" w:cs="Barlow Semi Condensed" w:eastAsia="Barlow Semi Condensed" w:hAnsi="Barlow Semi Condensed"/>
          <w:b/>
          <w:bCs/>
          <w:sz w:val="24"/>
          <w:szCs w:val="24"/>
        </w:rPr>
        <w:t xml:space="preserve">non alla Santa Sede come istituzione monolitica</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espulsione dell'aprile 1974</w:t>
      </w:r>
      <w:r>
        <w:rPr>
          <w:rFonts w:ascii="Barlow Semi Condensed" w:cs="Barlow Semi Condensed" w:eastAsia="Barlow Semi Condensed" w:hAnsi="Barlow Semi Condensed"/>
          <w:sz w:val="24"/>
          <w:szCs w:val="24"/>
        </w:rPr>
        <w:t xml:space="preserve"> del vescovo di Nampula e dei comboniani — la data oscilla fra il 10 e il 14 aprile secondo le fonti, si veda l'apparato F-3 — con i nomi degli undici, il testo dell'ordine trascritto in un diario e gli interrogatori della polizia politica: i nominati sono </w:t>
      </w:r>
      <w:r>
        <w:rPr>
          <w:rFonts w:ascii="Barlow Semi Condensed" w:cs="Barlow Semi Condensed" w:eastAsia="Barlow Semi Condensed" w:hAnsi="Barlow Semi Condensed"/>
          <w:b/>
          <w:bCs/>
          <w:sz w:val="24"/>
          <w:szCs w:val="24"/>
        </w:rPr>
        <w:t xml:space="preserve">destinatari di un provvedimento</w:t>
      </w:r>
      <w:r>
        <w:rPr>
          <w:rFonts w:ascii="Barlow Semi Condensed" w:cs="Barlow Semi Condensed" w:eastAsia="Barlow Semi Condensed" w:hAnsi="Barlow Semi Condensed"/>
          <w:sz w:val="24"/>
          <w:szCs w:val="24"/>
        </w:rPr>
        <w:t xml:space="preserve">, non indicati come responsabili di alcunché.</w:t>
      </w:r>
    </w:p>
    <w:p>
      <w:pPr>
        <w:spacing w:after="120" w:line="276"/>
        <w:jc w:val="both"/>
      </w:pPr>
      <w:r>
        <w:rPr>
          <w:rFonts w:ascii="Barlow Semi Condensed" w:cs="Barlow Semi Condensed" w:eastAsia="Barlow Semi Condensed" w:hAnsi="Barlow Semi Condensed"/>
          <w:b/>
          <w:bCs/>
          <w:sz w:val="24"/>
          <w:szCs w:val="24"/>
        </w:rPr>
        <w:t xml:space="preserve">Il canale Pignedoli.</w:t>
      </w:r>
      <w:r>
        <w:rPr>
          <w:rFonts w:ascii="Barlow Semi Condensed" w:cs="Barlow Semi Condensed" w:eastAsia="Barlow Semi Condensed" w:hAnsi="Barlow Semi Condensed"/>
          <w:sz w:val="24"/>
          <w:szCs w:val="24"/>
        </w:rPr>
        <w:t xml:space="preserve"> Acquisizione di un solo documento su tre: il canale del cardinale Sergio Pignedoli nel sequestro Sossi (aprile-maggio 1974), qualificato come rapporto Stato-Vaticano in materia di terrorismo e non come elemento di triangolazione spagnola. Nessun riscontro incrociato interno è possibile; nessuna contraddizione emerge.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nei due sensi</w:t>
      </w:r>
    </w:p>
    <w:p>
      <w:pPr>
        <w:spacing w:after="120" w:line="276"/>
        <w:jc w:val="both"/>
      </w:pPr>
      <w:r>
        <w:rPr>
          <w:rFonts w:ascii="Barlow Semi Condensed" w:cs="Barlow Semi Condensed" w:eastAsia="Barlow Semi Condensed" w:hAnsi="Barlow Semi Condensed"/>
          <w:sz w:val="24"/>
          <w:szCs w:val="24"/>
        </w:rPr>
        <w:t xml:space="preserve">La triangolazione non è servita solo a incamerare. In sei punti ha corretto, e </w:t>
      </w:r>
      <w:r>
        <w:rPr>
          <w:rFonts w:ascii="Barlow Semi Condensed" w:cs="Barlow Semi Condensed" w:eastAsia="Barlow Semi Condensed" w:hAnsi="Barlow Semi Condensed"/>
          <w:b/>
          <w:bCs/>
          <w:sz w:val="24"/>
          <w:szCs w:val="24"/>
        </w:rPr>
        <w:t xml:space="preserve">due volte la correzione è andata dal corpus verso i documenti nuovi</w:t>
      </w:r>
      <w:r>
        <w:rPr>
          <w:rFonts w:ascii="Barlow Semi Condensed" w:cs="Barlow Semi Condensed" w:eastAsia="Barlow Semi Condensed" w:hAnsi="Barlow Semi Condensed"/>
          <w:sz w:val="24"/>
          <w:szCs w:val="24"/>
        </w:rPr>
        <w:t xml:space="preserve">: è il segno che il corpus, dove è stato costruito bene, regge.</w:t>
      </w:r>
    </w:p>
    <w:p>
      <w:pPr>
        <w:spacing w:after="120" w:line="276"/>
        <w:jc w:val="both"/>
      </w:pPr>
      <w:r>
        <w:rPr>
          <w:rFonts w:ascii="Barlow Semi Condensed" w:cs="Barlow Semi Condensed" w:eastAsia="Barlow Semi Condensed" w:hAnsi="Barlow Semi Condensed"/>
          <w:b/>
          <w:bCs/>
          <w:sz w:val="24"/>
          <w:szCs w:val="24"/>
        </w:rPr>
        <w:t xml:space="preserve">Il corpus corregge — Libia, ottobre 1970.</w:t>
      </w:r>
      <w:r>
        <w:rPr>
          <w:rFonts w:ascii="Barlow Semi Condensed" w:cs="Barlow Semi Condensed" w:eastAsia="Barlow Semi Condensed" w:hAnsi="Barlow Semi Condensed"/>
          <w:sz w:val="24"/>
          <w:szCs w:val="24"/>
        </w:rPr>
        <w:t xml:space="preserve"> La ricognizione nuova dichiara di non aver trovato riscontro sull'ultimatum e sul traghettamento. Il corpus il riscontro lo aveva già: il traghettamento di oltre diciassettemila italiani finì il </w:t>
      </w:r>
      <w:r>
        <w:rPr>
          <w:rFonts w:ascii="Barlow Semi Condensed" w:cs="Barlow Semi Condensed" w:eastAsia="Barlow Semi Condensed" w:hAnsi="Barlow Semi Condensed"/>
          <w:b/>
          <w:bCs/>
          <w:sz w:val="24"/>
          <w:szCs w:val="24"/>
        </w:rPr>
        <w:t xml:space="preserve">15 ottobre 1970</w:t>
      </w:r>
      <w:r>
        <w:rPr>
          <w:rFonts w:ascii="Barlow Semi Condensed" w:cs="Barlow Semi Condensed" w:eastAsia="Barlow Semi Condensed" w:hAnsi="Barlow Semi Condensed"/>
          <w:sz w:val="24"/>
          <w:szCs w:val="24"/>
        </w:rPr>
        <w:t xml:space="preserve">, otto giorni dopo l'ultimatum del 7 ottobre, data poi celebrata dal regime libico come «Giornata della vendetta». La lacuna dichiarata è colmabile con materiale già acquisito.</w:t>
      </w:r>
    </w:p>
    <w:p>
      <w:pPr>
        <w:spacing w:after="120" w:line="276"/>
        <w:jc w:val="both"/>
      </w:pPr>
      <w:r>
        <w:rPr>
          <w:rFonts w:ascii="Barlow Semi Condensed" w:cs="Barlow Semi Condensed" w:eastAsia="Barlow Semi Condensed" w:hAnsi="Barlow Semi Condensed"/>
          <w:b/>
          <w:bCs/>
          <w:sz w:val="24"/>
          <w:szCs w:val="24"/>
        </w:rPr>
        <w:t xml:space="preserve">Il corpus corregge — l'incontro Moro-Brandt.</w:t>
      </w:r>
      <w:r>
        <w:rPr>
          <w:rFonts w:ascii="Barlow Semi Condensed" w:cs="Barlow Semi Condensed" w:eastAsia="Barlow Semi Condensed" w:hAnsi="Barlow Semi Condensed"/>
          <w:sz w:val="24"/>
          <w:szCs w:val="24"/>
        </w:rPr>
        <w:t xml:space="preserve"> La ricognizione nuova registra fra i propri esiti negativi che gli incontri Moro-Brandt «non sono emersi dalle fonti edite». Il corpus documenta invece, sulla cronologia ufficiale della fondazione intitolata al cancelliere, un </w:t>
      </w:r>
      <w:r>
        <w:rPr>
          <w:rFonts w:ascii="Barlow Semi Condensed" w:cs="Barlow Semi Condensed" w:eastAsia="Barlow Semi Condensed" w:hAnsi="Barlow Semi Condensed"/>
          <w:b/>
          <w:bCs/>
          <w:sz w:val="24"/>
          <w:szCs w:val="24"/>
        </w:rPr>
        <w:t xml:space="preserve">bilaterale a Roma del 31 agosto-1° settembre 1969</w:t>
      </w:r>
      <w:r>
        <w:rPr>
          <w:rFonts w:ascii="Barlow Semi Condensed" w:cs="Barlow Semi Condensed" w:eastAsia="Barlow Semi Condensed" w:hAnsi="Barlow Semi Condensed"/>
          <w:sz w:val="24"/>
          <w:szCs w:val="24"/>
        </w:rPr>
        <w:t xml:space="preserve">, quando entrambi erano ministri degli Esteri e sette settimane prima che Brandt divenisse cancelliere. L'esito negativo si chiude parzialmente; restano aperti gli incontri del periodo di cancellierato.</w:t>
      </w:r>
    </w:p>
    <w:p>
      <w:pPr>
        <w:spacing w:after="120" w:line="276"/>
        <w:jc w:val="both"/>
      </w:pPr>
      <w:r>
        <w:rPr>
          <w:rFonts w:ascii="Barlow Semi Condensed" w:cs="Barlow Semi Condensed" w:eastAsia="Barlow Semi Condensed" w:hAnsi="Barlow Semi Condensed"/>
          <w:b/>
          <w:bCs/>
          <w:sz w:val="24"/>
          <w:szCs w:val="24"/>
        </w:rPr>
        <w:t xml:space="preserve">I documenti nuovi correggono — la data di una morte.</w:t>
      </w:r>
      <w:r>
        <w:rPr>
          <w:rFonts w:ascii="Barlow Semi Condensed" w:cs="Barlow Semi Condensed" w:eastAsia="Barlow Semi Condensed" w:hAnsi="Barlow Semi Condensed"/>
          <w:sz w:val="24"/>
          <w:szCs w:val="24"/>
        </w:rPr>
        <w:t xml:space="preserve"> La data indicata in premessa per l'uccisione a Düsseldorf del militante della RAF Willy Peter Stoll (11 settembre 1978) è errata: le fonti biografiche tedesche e la stampa locale accertano la sera del </w:t>
      </w:r>
      <w:r>
        <w:rPr>
          <w:rFonts w:ascii="Barlow Semi Condensed" w:cs="Barlow Semi Condensed" w:eastAsia="Barlow Semi Condensed" w:hAnsi="Barlow Semi Condensed"/>
          <w:b/>
          <w:bCs/>
          <w:sz w:val="24"/>
          <w:szCs w:val="24"/>
        </w:rPr>
        <w:t xml:space="preserve">6 settembre 1978</w:t>
      </w:r>
      <w:r>
        <w:rPr>
          <w:rFonts w:ascii="Barlow Semi Condensed" w:cs="Barlow Semi Condensed" w:eastAsia="Barlow Semi Condensed" w:hAnsi="Barlow Semi Condensed"/>
          <w:sz w:val="24"/>
          <w:szCs w:val="24"/>
        </w:rPr>
        <w:t xml:space="preserve">. La divergenza è dichiarata e risolta.</w:t>
      </w:r>
    </w:p>
    <w:p>
      <w:pPr>
        <w:spacing w:after="120" w:line="276"/>
        <w:jc w:val="both"/>
      </w:pPr>
      <w:r>
        <w:rPr>
          <w:rFonts w:ascii="Barlow Semi Condensed" w:cs="Barlow Semi Condensed" w:eastAsia="Barlow Semi Condensed" w:hAnsi="Barlow Semi Condensed"/>
          <w:b/>
          <w:bCs/>
          <w:sz w:val="24"/>
          <w:szCs w:val="24"/>
        </w:rPr>
        <w:t xml:space="preserve">I documenti nuovi correggono — un anacronismo.</w:t>
      </w:r>
      <w:r>
        <w:rPr>
          <w:rFonts w:ascii="Barlow Semi Condensed" w:cs="Barlow Semi Condensed" w:eastAsia="Barlow Semi Condensed" w:hAnsi="Barlow Semi Condensed"/>
          <w:sz w:val="24"/>
          <w:szCs w:val="24"/>
        </w:rPr>
        <w:t xml:space="preserve"> La domanda sulla «reazione della Spagna franchista» al sequestro Moro del 1978 è mal posta: nel 1978 la Spagna non era più franchista — Franco morì il 20 novembre 1975 — ma in piena Transizione democratica. Il corpus registrava l'esito negativo senza rilevare l'anacronismo; la premessa va riformulata prima di cercare.</w:t>
      </w:r>
    </w:p>
    <w:p>
      <w:pPr>
        <w:spacing w:after="120" w:line="276"/>
        <w:jc w:val="both"/>
      </w:pPr>
      <w:r>
        <w:rPr>
          <w:rFonts w:ascii="Barlow Semi Condensed" w:cs="Barlow Semi Condensed" w:eastAsia="Barlow Semi Condensed" w:hAnsi="Barlow Semi Condensed"/>
          <w:b/>
          <w:bCs/>
          <w:sz w:val="24"/>
          <w:szCs w:val="24"/>
        </w:rPr>
        <w:t xml:space="preserve">La verifica corregge — la fine del primo mandato, e con essa il governo in carica.</w:t>
      </w:r>
      <w:r>
        <w:rPr>
          <w:rFonts w:ascii="Barlow Semi Condensed" w:cs="Barlow Semi Condensed" w:eastAsia="Barlow Semi Condensed" w:hAnsi="Barlow Semi Condensed"/>
          <w:sz w:val="24"/>
          <w:szCs w:val="24"/>
        </w:rPr>
        <w:t xml:space="preserve"> Una delle divergenze che i documenti nuovi lasciavano aperta si chiude in verifica, e la chiusura ha una conseguenza. La data corretta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il primo governo Andreotti cessa quel giorno, col giuramento del secondo, nel quale la Farnesina passa a Giuseppe Medici — sicché il mandato di Moro </w:t>
      </w:r>
      <w:r>
        <w:rPr>
          <w:rFonts w:ascii="Barlow Semi Condensed" w:cs="Barlow Semi Condensed" w:eastAsia="Barlow Semi Condensed" w:hAnsi="Barlow Semi Condensed"/>
          <w:b/>
          <w:bCs/>
          <w:sz w:val="24"/>
          <w:szCs w:val="24"/>
        </w:rPr>
        <w:t xml:space="preserve">non può proseguire fino al 29 luglio</w:t>
      </w:r>
      <w:r>
        <w:rPr>
          <w:rFonts w:ascii="Barlow Semi Condensed" w:cs="Barlow Semi Condensed" w:eastAsia="Barlow Semi Condensed" w:hAnsi="Barlow Semi Condensed"/>
          <w:sz w:val="24"/>
          <w:szCs w:val="24"/>
        </w:rPr>
        <w:t xml:space="preserve">, e l'indicazione discordante cade. Ne segue che il governo in carica il 28 giugno 1972, giorno delle costituzioni apostoliche, era il </w:t>
      </w:r>
      <w:r>
        <w:rPr>
          <w:rFonts w:ascii="Barlow Semi Condensed" w:cs="Barlow Semi Condensed" w:eastAsia="Barlow Semi Condensed" w:hAnsi="Barlow Semi Condensed"/>
          <w:b/>
          <w:bCs/>
          <w:sz w:val="24"/>
          <w:szCs w:val="24"/>
        </w:rPr>
        <w:t xml:space="preserve">secondo</w:t>
      </w:r>
      <w:r>
        <w:rPr>
          <w:rFonts w:ascii="Barlow Semi Condensed" w:cs="Barlow Semi Condensed" w:eastAsia="Barlow Semi Condensed" w:hAnsi="Barlow Semi Condensed"/>
          <w:sz w:val="24"/>
          <w:szCs w:val="24"/>
        </w:rPr>
        <w:t xml:space="preserve"> governo Andreotti e non il primo: l'indicazione contraria di una delle ricognizioni è corretta dalla cronologia istituzionale, che il corpus adottava già. È ininfluente sulla sequenza Oder-Neisse — l'atto pontificio cade comunque a ridosso della fine del primo mandato di Moro — ma va emendata dove compare.</w:t>
      </w:r>
    </w:p>
    <w:p>
      <w:pPr>
        <w:spacing w:after="120" w:line="276"/>
        <w:jc w:val="both"/>
      </w:pPr>
      <w:r>
        <w:rPr>
          <w:rFonts w:ascii="Barlow Semi Condensed" w:cs="Barlow Semi Condensed" w:eastAsia="Barlow Semi Condensed" w:hAnsi="Barlow Semi Condensed"/>
          <w:b/>
          <w:bCs/>
          <w:sz w:val="24"/>
          <w:szCs w:val="24"/>
        </w:rPr>
        <w:t xml:space="preserve">I documenti nuovi precisano — il Trattato di non proliferazione.</w:t>
      </w:r>
      <w:r>
        <w:rPr>
          <w:rFonts w:ascii="Barlow Semi Condensed" w:cs="Barlow Semi Condensed" w:eastAsia="Barlow Semi Condensed" w:hAnsi="Barlow Semi Condensed"/>
          <w:sz w:val="24"/>
          <w:szCs w:val="24"/>
        </w:rPr>
        <w:t xml:space="preserve"> L'Italia firmò il TNP il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non nel 1968 (anno di apertura alla firma), e ratificò con legge 24 aprile 1975 n. 131. La data anteriore all'insediamento di Moro alla Farnesina (5 agosto 1969) va recepita per evitare attribuzioni cronologicamente imprecise.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Le divergenze che restano aperte</w:t>
      </w:r>
    </w:p>
    <w:p>
      <w:pPr>
        <w:spacing w:after="120" w:line="276"/>
        <w:jc w:val="both"/>
      </w:pPr>
      <w:r>
        <w:rPr>
          <w:rFonts w:ascii="Barlow Semi Condensed" w:cs="Barlow Semi Condensed" w:eastAsia="Barlow Semi Condensed" w:hAnsi="Barlow Semi Condensed"/>
          <w:sz w:val="24"/>
          <w:szCs w:val="24"/>
        </w:rPr>
        <w:t xml:space="preserve">Vale la quarta regola del metodo: </w:t>
      </w:r>
      <w:r>
        <w:rPr>
          <w:rFonts w:ascii="Barlow Semi Condensed" w:cs="Barlow Semi Condensed" w:eastAsia="Barlow Semi Condensed" w:hAnsi="Barlow Semi Condensed"/>
          <w:b/>
          <w:bCs/>
          <w:sz w:val="24"/>
          <w:szCs w:val="24"/>
        </w:rPr>
        <w:t xml:space="preserve">dove le fonti divergono, la divergenza si riporta e non si sceglie in silenzio.</w:t>
      </w:r>
      <w:r>
        <w:rPr>
          <w:rFonts w:ascii="Barlow Semi Condensed" w:cs="Barlow Semi Condensed" w:eastAsia="Barlow Semi Condensed" w:hAnsi="Barlow Semi Condensed"/>
          <w:sz w:val="24"/>
          <w:szCs w:val="24"/>
        </w:rPr>
        <w:t xml:space="preserve"> Restano aperte, e vanno riportate ogni volta che la materia è ripresa: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Oggetto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 versioni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Beni italiani confiscati in Libia (21 luglio 1970)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«200 miliardi di lire del 1970» (RAI News) · «circa 400 miliardi» (già nel corpus) · quasi 6 miliardi di euro rivalutati (stima dell'associazione dei rimpatriati) — le prime due divergono a parità di anno; la terza </w:t>
            </w:r>
            <w:r>
              <w:rPr>
                <w:rFonts w:ascii="Barlow Semi Condensed" w:cs="Barlow Semi Condensed" w:eastAsia="Barlow Semi Condensed" w:hAnsi="Barlow Semi Condensed"/>
                <w:b/>
                <w:bCs/>
                <w:sz w:val="20"/>
                <w:szCs w:val="20"/>
              </w:rPr>
              <w:t xml:space="preserve">non è omogenea</w:t>
            </w:r>
            <w:r>
              <w:rPr>
                <w:rFonts w:ascii="Barlow Semi Condensed" w:cs="Barlow Semi Condensed" w:eastAsia="Barlow Semi Condensed" w:hAnsi="Barlow Semi Condensed"/>
                <w:sz w:val="20"/>
                <w:szCs w:val="20"/>
              </w:rPr>
              <w:t xml:space="preserve"> alle altre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italiano della Repubblica Democratica Tedesca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17 gennaio 1973 (fonti italiane, adottata dal corpus) · </w:t>
            </w:r>
            <w:r>
              <w:rPr>
                <w:rFonts w:ascii="Barlow Semi Condensed" w:cs="Barlow Semi Condensed" w:eastAsia="Barlow Semi Condensed" w:hAnsi="Barlow Semi Condensed"/>
                <w:b/>
                <w:bCs/>
                <w:sz w:val="20"/>
                <w:szCs w:val="20"/>
              </w:rPr>
              <w:t xml:space="preserve">18 gennaio 1973</w:t>
            </w:r>
            <w:r>
              <w:rPr>
                <w:rFonts w:ascii="Barlow Semi Condensed" w:cs="Barlow Semi Condensed" w:eastAsia="Barlow Semi Condensed" w:hAnsi="Barlow Semi Condensed"/>
                <w:sz w:val="20"/>
                <w:szCs w:val="20"/>
              </w:rPr>
              <w:t xml:space="preserve"> (fonte istituzionale tedesca): divergenza emersa in verifica, da riportare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Vittime di Wiriyamu</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150 (Croce Rossa) · 300 (</w:t>
            </w:r>
            <w:r>
              <w:rPr>
                <w:rFonts w:ascii="Barlow Semi Condensed" w:cs="Barlow Semi Condensed" w:eastAsia="Barlow Semi Condensed" w:hAnsi="Barlow Semi Condensed"/>
                <w:i/>
                <w:iCs/>
                <w:sz w:val="20"/>
                <w:szCs w:val="20"/>
              </w:rPr>
              <w:t xml:space="preserve">Expresso</w:t>
            </w:r>
            <w:r>
              <w:rPr>
                <w:rFonts w:ascii="Barlow Semi Condensed" w:cs="Barlow Semi Condensed" w:eastAsia="Barlow Semi Condensed" w:hAnsi="Barlow Semi Condensed"/>
                <w:sz w:val="20"/>
                <w:szCs w:val="20"/>
              </w:rPr>
              <w:t xml:space="preserve">) · almeno 385 · 400 con 177 identificati per nome (Dhada)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Espulsi dell'aprile 1974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undici (schede comboniane) · tredici (Franzelli), riconciliati in </w:t>
            </w:r>
            <w:r>
              <w:rPr>
                <w:rFonts w:ascii="Barlow Semi Condensed" w:cs="Barlow Semi Condensed" w:eastAsia="Barlow Semi Condensed" w:hAnsi="Barlow Semi Condensed"/>
                <w:b/>
                <w:bCs/>
                <w:sz w:val="20"/>
                <w:szCs w:val="20"/>
              </w:rPr>
              <w:t xml:space="preserve">undici da Nampula più due da Tete</w:t>
            </w:r>
            <w:r>
              <w:rPr>
                <w:rFonts w:ascii="Barlow Semi Condensed" w:cs="Barlow Semi Condensed" w:eastAsia="Barlow Semi Condensed" w:hAnsi="Barlow Semi Condensed"/>
                <w:sz w:val="20"/>
                <w:szCs w:val="20"/>
              </w:rPr>
              <w:t xml:space="preserve">; data 12, 13 o 14 aprile, con il 13 (Sabato Santo) più ricorrente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della Cina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comunicato pubblicato il 5 o il 6 novembre 1970; conclusione del negoziato talora datata al 6 ottobre 1970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Serpente monetario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primi provvedimenti 21 marzo 1972 · accordo di Basilea 10 o 24 aprile 1972; </w:t>
            </w:r>
            <w:r>
              <w:rPr>
                <w:rFonts w:ascii="Barlow Semi Condensed" w:cs="Barlow Semi Condensed" w:eastAsia="Barlow Semi Condensed" w:hAnsi="Barlow Semi Condensed"/>
                <w:b/>
                <w:bCs/>
                <w:sz w:val="20"/>
                <w:szCs w:val="20"/>
              </w:rPr>
              <w:t xml:space="preserve">concorde</w:t>
            </w:r>
            <w:r>
              <w:rPr>
                <w:rFonts w:ascii="Barlow Semi Condensed" w:cs="Barlow Semi Condensed" w:eastAsia="Barlow Semi Condensed" w:hAnsi="Barlow Semi Condensed"/>
                <w:sz w:val="20"/>
                <w:szCs w:val="20"/>
              </w:rPr>
              <w:t xml:space="preserve"> l'uscita della lira il 13 febbraio 1973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Conferenza di solidarietà di Reggio Emilia (1973)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23-26 marzo (inventario IBC) · 24-25 marzo (Fondo Zagari)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Paginazione del saggio di Guido Levi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pp. 69-101 · pp. 69-102 — stessa citazione testuale, stessa fonte: da chiudere sul fascicolo originale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Un'avvertenza di omonimia</w:t>
      </w:r>
      <w:r>
        <w:rPr>
          <w:rFonts w:ascii="Barlow Semi Condensed" w:cs="Barlow Semi Condensed" w:eastAsia="Barlow Semi Condensed" w:hAnsi="Barlow Semi Condensed"/>
          <w:sz w:val="24"/>
          <w:szCs w:val="24"/>
        </w:rPr>
        <w:t xml:space="preserve">, emersa dall'incrocio e da conservare: il Jorge Jardim incaricato dell'inchiesta portoghese su Wiriyamu e il Jorge Jardim Gonçalves citato altrove nella cartella </w:t>
      </w:r>
      <w:r>
        <w:rPr>
          <w:rFonts w:ascii="Barlow Semi Condensed" w:cs="Barlow Semi Condensed" w:eastAsia="Barlow Semi Condensed" w:hAnsi="Barlow Semi Condensed"/>
          <w:b/>
          <w:bCs/>
          <w:sz w:val="24"/>
          <w:szCs w:val="24"/>
        </w:rPr>
        <w:t xml:space="preserve">sono persone distinte</w:t>
      </w:r>
      <w:r>
        <w:rPr>
          <w:rFonts w:ascii="Barlow Semi Condensed" w:cs="Barlow Semi Condensed" w:eastAsia="Barlow Semi Condensed" w:hAnsi="Barlow Semi Condensed"/>
          <w:sz w:val="24"/>
          <w:szCs w:val="24"/>
        </w:rPr>
        <w:t xml:space="preserve"> e non vanno confusi in future sintesi.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Gli Stati Zero: condivisi, chiusi, e uno che resta</w:t>
      </w:r>
    </w:p>
    <w:p>
      <w:pPr>
        <w:spacing w:after="120" w:line="276"/>
        <w:jc w:val="both"/>
      </w:pPr>
      <w:r>
        <w:rPr>
          <w:rFonts w:ascii="Barlow Semi Condensed" w:cs="Barlow Semi Condensed" w:eastAsia="Barlow Semi Condensed" w:hAnsi="Barlow Semi Condensed"/>
          <w:b/>
          <w:bCs/>
          <w:sz w:val="24"/>
          <w:szCs w:val="24"/>
        </w:rPr>
        <w:t xml:space="preserve">Condivisi</w:t>
      </w:r>
      <w:r>
        <w:rPr>
          <w:rFonts w:ascii="Barlow Semi Condensed" w:cs="Barlow Semi Condensed" w:eastAsia="Barlow Semi Condensed" w:hAnsi="Barlow Semi Condensed"/>
          <w:sz w:val="24"/>
          <w:szCs w:val="24"/>
        </w:rPr>
        <w:t xml:space="preserve">, cioè dichiarati identicamente dai documenti nuovi e dal corpus, con le stesse sedi di chiusura: il </w:t>
      </w:r>
      <w:r>
        <w:rPr>
          <w:rFonts w:ascii="Barlow Semi Condensed" w:cs="Barlow Semi Condensed" w:eastAsia="Barlow Semi Condensed" w:hAnsi="Barlow Semi Condensed"/>
          <w:b/>
          <w:bCs/>
          <w:sz w:val="24"/>
          <w:szCs w:val="24"/>
        </w:rPr>
        <w:t xml:space="preserve">contatto diretto fra Moro e i ministri degli Esteri spagnoli</w:t>
      </w:r>
      <w:r>
        <w:rPr>
          <w:rFonts w:ascii="Barlow Semi Condensed" w:cs="Barlow Semi Condensed" w:eastAsia="Barlow Semi Condensed" w:hAnsi="Barlow Semi Condensed"/>
          <w:sz w:val="24"/>
          <w:szCs w:val="24"/>
        </w:rPr>
        <w:t xml:space="preserve"> (Archivio storico-diplomatico della Farnesina; Archivo General de la Administración di Alcalá de Henares, con il limite archivistico segnalato dalla storiografia sui fondi ministeriali non consultabili); il </w:t>
      </w:r>
      <w:r>
        <w:rPr>
          <w:rFonts w:ascii="Barlow Semi Condensed" w:cs="Barlow Semi Condensed" w:eastAsia="Barlow Semi Condensed" w:hAnsi="Barlow Semi Condensed"/>
          <w:b/>
          <w:bCs/>
          <w:sz w:val="24"/>
          <w:szCs w:val="24"/>
        </w:rPr>
        <w:t xml:space="preserve">telegramma da Tunisi del 6 settembre 1970</w:t>
      </w:r>
      <w:r>
        <w:rPr>
          <w:rFonts w:ascii="Barlow Semi Condensed" w:cs="Barlow Semi Condensed" w:eastAsia="Barlow Semi Condensed" w:hAnsi="Barlow Semi Condensed"/>
          <w:sz w:val="24"/>
          <w:szCs w:val="24"/>
        </w:rPr>
        <w:t xml:space="preserve"> e la cosiddetta «operazione Hilton», entrambi privi di fonte primaria e noti al corpus solo per via memorialistica indiretta; le </w:t>
      </w:r>
      <w:r>
        <w:rPr>
          <w:rFonts w:ascii="Barlow Semi Condensed" w:cs="Barlow Semi Condensed" w:eastAsia="Barlow Semi Condensed" w:hAnsi="Barlow Semi Condensed"/>
          <w:b/>
          <w:bCs/>
          <w:sz w:val="24"/>
          <w:szCs w:val="24"/>
        </w:rPr>
        <w:t xml:space="preserve">repliche di Moro sui bilanci esteri 1970-1974</w:t>
      </w:r>
      <w:r>
        <w:rPr>
          <w:rFonts w:ascii="Barlow Semi Condensed" w:cs="Barlow Semi Condensed" w:eastAsia="Barlow Semi Condensed" w:hAnsi="Barlow Semi Condensed"/>
          <w:sz w:val="24"/>
          <w:szCs w:val="24"/>
        </w:rPr>
        <w:t xml:space="preserve">, con numero di seduta e data; la </w:t>
      </w:r>
      <w:r>
        <w:rPr>
          <w:rFonts w:ascii="Barlow Semi Condensed" w:cs="Barlow Semi Condensed" w:eastAsia="Barlow Semi Condensed" w:hAnsi="Barlow Semi Condensed"/>
          <w:b/>
          <w:bCs/>
          <w:sz w:val="24"/>
          <w:szCs w:val="24"/>
        </w:rPr>
        <w:t xml:space="preserve">cooperazione italo-tedesca antiterrorismo</w:t>
      </w:r>
      <w:r>
        <w:rPr>
          <w:rFonts w:ascii="Barlow Semi Condensed" w:cs="Barlow Semi Condensed" w:eastAsia="Barlow Semi Condensed" w:hAnsi="Barlow Semi Condensed"/>
          <w:sz w:val="24"/>
          <w:szCs w:val="24"/>
        </w:rPr>
        <w:t xml:space="preserve"> e il ruolo del Bundeskriminalamt durante i cinquantacinque giorni; la posizione italiana sui cinque atti della Ostpolitik; e gli </w:t>
      </w:r>
      <w:r>
        <w:rPr>
          <w:rFonts w:ascii="Barlow Semi Condensed" w:cs="Barlow Semi Condensed" w:eastAsia="Barlow Semi Condensed" w:hAnsi="Barlow Semi Condensed"/>
          <w:b/>
          <w:bCs/>
          <w:sz w:val="24"/>
          <w:szCs w:val="24"/>
        </w:rPr>
        <w:t xml:space="preserve">atti italiani sull'espulsione del 13 aprile 1974</w:t>
      </w:r>
      <w:r>
        <w:rPr>
          <w:rFonts w:ascii="Barlow Semi Condensed" w:cs="Barlow Semi Condensed" w:eastAsia="Barlow Semi Condensed" w:hAnsi="Barlow Semi Condensed"/>
          <w:sz w:val="24"/>
          <w:szCs w:val="24"/>
        </w:rPr>
        <w:t xml:space="preserve">, di cui nessuna testimonianza comboniana reca traccia.</w:t>
      </w:r>
    </w:p>
    <w:p>
      <w:pPr>
        <w:spacing w:after="120" w:line="276"/>
        <w:jc w:val="both"/>
      </w:pPr>
      <w:r>
        <w:rPr>
          <w:rFonts w:ascii="Barlow Semi Condensed" w:cs="Barlow Semi Condensed" w:eastAsia="Barlow Semi Condensed" w:hAnsi="Barlow Semi Condensed"/>
          <w:b/>
          <w:bCs/>
          <w:sz w:val="24"/>
          <w:szCs w:val="24"/>
        </w:rPr>
        <w:t xml:space="preserve">Uno scoperto dalla campagna stessa</w:t>
      </w:r>
      <w:r>
        <w:rPr>
          <w:rFonts w:ascii="Barlow Semi Condensed" w:cs="Barlow Semi Condensed" w:eastAsia="Barlow Semi Condensed" w:hAnsi="Barlow Semi Condensed"/>
          <w:sz w:val="24"/>
          <w:szCs w:val="24"/>
        </w:rPr>
        <w:t xml:space="preserve">, e questo è il genere di esito che solo un incrocio meccanico produce: la verifica testuale dà </w:t>
      </w:r>
      <w:r>
        <w:rPr>
          <w:rFonts w:ascii="Barlow Semi Condensed" w:cs="Barlow Semi Condensed" w:eastAsia="Barlow Semi Condensed" w:hAnsi="Barlow Semi Condensed"/>
          <w:b/>
          <w:bCs/>
          <w:sz w:val="24"/>
          <w:szCs w:val="24"/>
        </w:rPr>
        <w:t xml:space="preserve">zero occorrenze</w:t>
      </w:r>
      <w:r>
        <w:rPr>
          <w:rFonts w:ascii="Barlow Semi Condensed" w:cs="Barlow Semi Condensed" w:eastAsia="Barlow Semi Condensed" w:hAnsi="Barlow Semi Condensed"/>
          <w:sz w:val="24"/>
          <w:szCs w:val="24"/>
        </w:rPr>
        <w:t xml:space="preserve"> del nome del capocentro del servizio a Beirut e della strage di Fiumicino del 17 dicembre 1973 tanto nei tre documenti maggiori del corpus quanto nei tre documenti nuovi. Nessuna delle due parti del confronto tocca il nome né la data: è uno </w:t>
      </w:r>
      <w:r>
        <w:rPr>
          <w:rFonts w:ascii="Barlow Semi Condensed" w:cs="Barlow Semi Condensed" w:eastAsia="Barlow Semi Condensed" w:hAnsi="Barlow Semi Condensed"/>
          <w:b/>
          <w:bCs/>
          <w:sz w:val="24"/>
          <w:szCs w:val="24"/>
        </w:rPr>
        <w:t xml:space="preserve">Stato Zero condiviso e fin qui non dichiarato</w:t>
      </w:r>
      <w:r>
        <w:rPr>
          <w:rFonts w:ascii="Barlow Semi Condensed" w:cs="Barlow Semi Condensed" w:eastAsia="Barlow Semi Condensed" w:hAnsi="Barlow Semi Condensed"/>
          <w:sz w:val="24"/>
          <w:szCs w:val="24"/>
        </w:rPr>
        <w:t xml:space="preserve">, che va verbalizzato con perimetro esatto secondo le regole che il corpus si è già dato (il test dei buchi al blocco 233 dell'agenda; la ricerca a vuoto come atto al blocco 285). Il buco misurato è conoscenza; il buco narrato non lo è.</w:t>
      </w:r>
    </w:p>
    <w:p>
      <w:pPr>
        <w:spacing w:after="120" w:line="276"/>
        <w:jc w:val="both"/>
      </w:pPr>
      <w:r>
        <w:rPr>
          <w:rFonts w:ascii="Barlow Semi Condensed" w:cs="Barlow Semi Condensed" w:eastAsia="Barlow Semi Condensed" w:hAnsi="Barlow Semi Condensed"/>
          <w:b/>
          <w:bCs/>
          <w:sz w:val="24"/>
          <w:szCs w:val="24"/>
        </w:rPr>
        <w:t xml:space="preserve">Chiuso per triangolazione interna</w:t>
      </w:r>
      <w:r>
        <w:rPr>
          <w:rFonts w:ascii="Barlow Semi Condensed" w:cs="Barlow Semi Condensed" w:eastAsia="Barlow Semi Condensed" w:hAnsi="Barlow Semi Condensed"/>
          <w:sz w:val="24"/>
          <w:szCs w:val="24"/>
        </w:rPr>
        <w:t xml:space="preserve">: l'ingresso delle due Germanie all'ONU, dichiarato Stato Zero da una ricognizione e datato al </w:t>
      </w:r>
      <w:r>
        <w:rPr>
          <w:rFonts w:ascii="Barlow Semi Condensed" w:cs="Barlow Semi Condensed" w:eastAsia="Barlow Semi Condensed" w:hAnsi="Barlow Semi Condensed"/>
          <w:b/>
          <w:bCs/>
          <w:sz w:val="24"/>
          <w:szCs w:val="24"/>
        </w:rPr>
        <w:t xml:space="preserve">18 settembre 1973</w:t>
      </w:r>
      <w:r>
        <w:rPr>
          <w:rFonts w:ascii="Barlow Semi Condensed" w:cs="Barlow Semi Condensed" w:eastAsia="Barlow Semi Condensed" w:hAnsi="Barlow Semi Condensed"/>
          <w:sz w:val="24"/>
          <w:szCs w:val="24"/>
        </w:rPr>
        <w:t xml:space="preserve"> dall'altra su documentazione ufficiale tedesca. È il caso esemplare di che cosa serva incrociare i documenti prima di archiviarli.</w:t>
      </w:r>
    </w:p>
    <w:p>
      <w:pPr>
        <w:spacing w:after="120" w:line="276"/>
        <w:jc w:val="both"/>
      </w:pPr>
      <w:r>
        <w:rPr>
          <w:rFonts w:ascii="Barlow Semi Condensed" w:cs="Barlow Semi Condensed" w:eastAsia="Barlow Semi Condensed" w:hAnsi="Barlow Semi Condensed"/>
          <w:b/>
          <w:bCs/>
          <w:sz w:val="24"/>
          <w:szCs w:val="24"/>
        </w:rPr>
        <w:t xml:space="preserve">Un limite strutturale, non un vuoto di fatto</w:t>
      </w:r>
      <w:r>
        <w:rPr>
          <w:rFonts w:ascii="Barlow Semi Condensed" w:cs="Barlow Semi Condensed" w:eastAsia="Barlow Semi Condensed" w:hAnsi="Barlow Semi Condensed"/>
          <w:sz w:val="24"/>
          <w:szCs w:val="24"/>
        </w:rPr>
        <w:t xml:space="preserve">: la banca dati del sindacato ispettivo parlamentare copre </w:t>
      </w:r>
      <w:r>
        <w:rPr>
          <w:rFonts w:ascii="Barlow Semi Condensed" w:cs="Barlow Semi Condensed" w:eastAsia="Barlow Semi Condensed" w:hAnsi="Barlow Semi Condensed"/>
          <w:b/>
          <w:bCs/>
          <w:sz w:val="24"/>
          <w:szCs w:val="24"/>
        </w:rPr>
        <w:t xml:space="preserve">solo dalla VII legislatura (5 luglio 1976)</w:t>
      </w:r>
      <w:r>
        <w:rPr>
          <w:rFonts w:ascii="Barlow Semi Condensed" w:cs="Barlow Semi Condensed" w:eastAsia="Barlow Semi Condensed" w:hAnsi="Barlow Semi Condensed"/>
          <w:sz w:val="24"/>
          <w:szCs w:val="24"/>
        </w:rPr>
        <w:t xml:space="preserve">. L'intero arco 1969-1975 sopravvive come resoconti stenografici non ricercabili a testo pieno: non è possibile, con i soli strumenti in rete, né confermare né escludere interrogazioni sul Portogallo coloniale, su Wiriyamu o sull'espulsione. Si chiude solo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Uno che resta, e va detto per intero.</w:t>
      </w:r>
      <w:r>
        <w:rPr>
          <w:rFonts w:ascii="Barlow Semi Condensed" w:cs="Barlow Semi Condensed" w:eastAsia="Barlow Semi Condensed" w:hAnsi="Barlow Semi Condensed"/>
          <w:sz w:val="24"/>
          <w:szCs w:val="24"/>
        </w:rPr>
        <w:t xml:space="preserve"> La ricognizione sul Portogallo dichiara lo Stato Zero su un dossier ricorrente nella pubblicistica delle reti clandestine — </w:t>
      </w:r>
      <w:r>
        <w:rPr>
          <w:rFonts w:ascii="Barlow Semi Condensed" w:cs="Barlow Semi Condensed" w:eastAsia="Barlow Semi Condensed" w:hAnsi="Barlow Semi Condensed"/>
          <w:b/>
          <w:bCs/>
          <w:sz w:val="24"/>
          <w:szCs w:val="24"/>
        </w:rPr>
        <w:t xml:space="preserve">Aginter Press</w:t>
      </w:r>
      <w:r>
        <w:rPr>
          <w:rFonts w:ascii="Barlow Semi Condensed" w:cs="Barlow Semi Condensed" w:eastAsia="Barlow Semi Condensed" w:hAnsi="Barlow Semi Condensed"/>
          <w:sz w:val="24"/>
          <w:szCs w:val="24"/>
        </w:rPr>
        <w:t xml:space="preserve"> — non avendo reperito fonti primarie o studi peer-reviewed che ne documentino un ruolo nelle vicende trattate, e qualifica come non sostenuta la tesi circolante. La verifica meccanica sul corpus dà un esito che va registrato senza addolcirlo: </w:t>
      </w:r>
      <w:r>
        <w:rPr>
          <w:rFonts w:ascii="Barlow Semi Condensed" w:cs="Barlow Semi Condensed" w:eastAsia="Barlow Semi Condensed" w:hAnsi="Barlow Semi Condensed"/>
          <w:b/>
          <w:bCs/>
          <w:sz w:val="24"/>
          <w:szCs w:val="24"/>
        </w:rPr>
        <w:t xml:space="preserve">il termine non compare in alcun documento del branch</w:t>
      </w:r>
      <w:r>
        <w:rPr>
          <w:rFonts w:ascii="Barlow Semi Condensed" w:cs="Barlow Semi Condensed" w:eastAsia="Barlow Semi Condensed" w:hAnsi="Barlow Semi Condensed"/>
          <w:sz w:val="24"/>
          <w:szCs w:val="24"/>
        </w:rPr>
        <w:t xml:space="preserve">, né nei mille blocchi dei cantieri né nei quattrocento del manuale. La relazione fra i due statuti non è dunque «trattazione archiviata contro Stato Zero», ma </w:t>
      </w:r>
      <w:r>
        <w:rPr>
          <w:rFonts w:ascii="Barlow Semi Condensed" w:cs="Barlow Semi Condensed" w:eastAsia="Barlow Semi Condensed" w:hAnsi="Barlow Semi Condensed"/>
          <w:b/>
          <w:bCs/>
          <w:sz w:val="24"/>
          <w:szCs w:val="24"/>
        </w:rPr>
        <w:t xml:space="preserve">silenzio totale del corpus contro Stato Zero dichiarato</w:t>
      </w:r>
      <w:r>
        <w:rPr>
          <w:rFonts w:ascii="Barlow Semi Condensed" w:cs="Barlow Semi Condensed" w:eastAsia="Barlow Semi Condensed" w:hAnsi="Barlow Semi Condensed"/>
          <w:sz w:val="24"/>
          <w:szCs w:val="24"/>
        </w:rPr>
        <w:t xml:space="preserve">: i due stati sono compatibili, e la dichiarazione della ricognizione nuova costituisce, allo stato, l'unica presa di posizione dell'opera pubblica sul dossier. Resta tale: il materiale che colmerebbe quella lacuna appartiene, per la disciplina che questo corpus si è dato, al versante non pubblicabile, e </w:t>
      </w:r>
      <w:r>
        <w:rPr>
          <w:rFonts w:ascii="Barlow Semi Condensed" w:cs="Barlow Semi Condensed" w:eastAsia="Barlow Semi Condensed" w:hAnsi="Barlow Semi Condensed"/>
          <w:b/>
          <w:bCs/>
          <w:sz w:val="24"/>
          <w:szCs w:val="24"/>
        </w:rPr>
        <w:t xml:space="preserve">l'esito negativo pubblico non viene qui smentito né aggirato</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Il raccordo con la quadriga investigativa</w:t>
      </w:r>
    </w:p>
    <w:p>
      <w:pPr>
        <w:spacing w:after="120" w:line="276"/>
        <w:jc w:val="both"/>
      </w:pPr>
      <w:r>
        <w:rPr>
          <w:rFonts w:ascii="Barlow Semi Condensed" w:cs="Barlow Semi Condensed" w:eastAsia="Barlow Semi Condensed" w:hAnsi="Barlow Semi Condensed"/>
          <w:sz w:val="24"/>
          <w:szCs w:val="24"/>
        </w:rPr>
        <w:t xml:space="preserve">L'incrocio con i mille blocchi dei cantieri e con i trecento dell'agenda mostra che </w:t>
      </w:r>
      <w:r>
        <w:rPr>
          <w:rFonts w:ascii="Barlow Semi Condensed" w:cs="Barlow Semi Condensed" w:eastAsia="Barlow Semi Condensed" w:hAnsi="Barlow Semi Condensed"/>
          <w:b/>
          <w:bCs/>
          <w:sz w:val="24"/>
          <w:szCs w:val="24"/>
        </w:rPr>
        <w:t xml:space="preserve">le nuove ricognizioni non aprono un fronte parallelo: riempiono bersagli già scritti</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filone RAF-Brigate Rosse</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88, 104 e 105</w:t>
      </w:r>
      <w:r>
        <w:rPr>
          <w:rFonts w:ascii="Barlow Semi Condensed" w:cs="Barlow Semi Condensed" w:eastAsia="Barlow Semi Condensed" w:hAnsi="Barlow Semi Condensed"/>
          <w:sz w:val="24"/>
          <w:szCs w:val="24"/>
        </w:rPr>
        <w:t xml:space="preserve">, che già scrivevano il quesito dei contatti in forma ACH, fissavano le carte del Bundeskriminalamt come oggetto documentale e indicavano i processi tedeschi come giacimento del giudicato. Le dichiarazioni di un collaboratore riportate in sede investigativa restano quello che sono — </w:t>
      </w:r>
      <w:r>
        <w:rPr>
          <w:rFonts w:ascii="Barlow Semi Condensed" w:cs="Barlow Semi Condensed" w:eastAsia="Barlow Semi Condensed" w:hAnsi="Barlow Semi Condensed"/>
          <w:b/>
          <w:bCs/>
          <w:sz w:val="24"/>
          <w:szCs w:val="24"/>
        </w:rPr>
        <w:t xml:space="preserve">non accertamenti definitivi di sentenza</w:t>
      </w:r>
      <w:r>
        <w:rPr>
          <w:rFonts w:ascii="Barlow Semi Condensed" w:cs="Barlow Semi Condensed" w:eastAsia="Barlow Semi Condensed" w:hAnsi="Barlow Semi Condensed"/>
          <w:sz w:val="24"/>
          <w:szCs w:val="24"/>
        </w:rPr>
        <w:t xml:space="preserve"> — e l'appartenenza di una persona alla RAF non è prova di una condotta della RAF.</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di provenienza DDR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91-92</w:t>
      </w:r>
      <w:r>
        <w:rPr>
          <w:rFonts w:ascii="Barlow Semi Condensed" w:cs="Barlow Semi Condensed" w:eastAsia="Barlow Semi Condensed" w:hAnsi="Barlow Semi Condensed"/>
          <w:sz w:val="24"/>
          <w:szCs w:val="24"/>
        </w:rPr>
        <w:t xml:space="preserve">: lo Stasi-Unterlagen-Archiv è dal 2021 parte del Bundesarchiv, e ogni carta di quella provenienza entra con doppia cautela, mai da sola a fondamento di alcunché, con valore comparativo e non rivelatorio. La disciplina si estende alle carte ecclesiastiche ora citate.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precedente Schleyer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85, 86 e 94</w:t>
      </w:r>
      <w:r>
        <w:rPr>
          <w:rFonts w:ascii="Barlow Semi Condensed" w:cs="Barlow Semi Condensed" w:eastAsia="Barlow Semi Condensed" w:hAnsi="Barlow Semi Condensed"/>
          <w:sz w:val="24"/>
          <w:szCs w:val="24"/>
        </w:rPr>
        <w:t xml:space="preserve">, che già perimetravano i verbali di gabinetto del 1977, l'accessibilità parziale dei protocolli dello stato maggiore di crisi e il dossier comparativo Schleyer-Moro senza tesi precostituita. Le ricognizioni nuove non aggiungono dati oltre quel perimetro.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cooperazione antiterrorismo</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87, 88, 90, 99 e 114</w:t>
      </w:r>
      <w:r>
        <w:rPr>
          <w:rFonts w:ascii="Barlow Semi Condensed" w:cs="Barlow Semi Condensed" w:eastAsia="Barlow Semi Condensed" w:hAnsi="Barlow Semi Condensed"/>
          <w:sz w:val="24"/>
          <w:szCs w:val="24"/>
        </w:rPr>
        <w:t xml:space="preserve">: il fondo del ministero dell'Interno federale, le carte del BKA, il canale fra i due capi di governo, la cooperazione TREVI, gli scambi di intelligence dichiarati. Lo Stato Zero della ricognizione nuova è, nei cantieri, </w:t>
      </w:r>
      <w:r>
        <w:rPr>
          <w:rFonts w:ascii="Barlow Semi Condensed" w:cs="Barlow Semi Condensed" w:eastAsia="Barlow Semi Condensed" w:hAnsi="Barlow Semi Condensed"/>
          <w:b/>
          <w:bCs/>
          <w:sz w:val="24"/>
          <w:szCs w:val="24"/>
        </w:rPr>
        <w:t xml:space="preserve">già dotato delle proprie sedi di chiusura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Bersagli nuovi</w:t>
      </w:r>
      <w:r>
        <w:rPr>
          <w:rFonts w:ascii="Barlow Semi Condensed" w:cs="Barlow Semi Condensed" w:eastAsia="Barlow Semi Condensed" w:hAnsi="Barlow Semi Condensed"/>
          <w:sz w:val="24"/>
          <w:szCs w:val="24"/>
        </w:rPr>
        <w:t xml:space="preserve">, che la quadriga non aveva e che vi si aggiungono con giacimento proprio.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la stringa non compare in alcuno dei tre documenti maggiori del corpus, e i nove cantieri hanno tre colonne estere — britannica, francese, tedesca, con Berna e Vienna in appendice — e </w:t>
      </w:r>
      <w:r>
        <w:rPr>
          <w:rFonts w:ascii="Barlow Semi Condensed" w:cs="Barlow Semi Condensed" w:eastAsia="Barlow Semi Condensed" w:hAnsi="Barlow Semi Condensed"/>
          <w:b/>
          <w:bCs/>
          <w:sz w:val="24"/>
          <w:szCs w:val="24"/>
        </w:rPr>
        <w:t xml:space="preserve">nessuna colonna mediterranea o araba</w:t>
      </w:r>
      <w:r>
        <w:rPr>
          <w:rFonts w:ascii="Barlow Semi Condensed" w:cs="Barlow Semi Condensed" w:eastAsia="Barlow Semi Condensed" w:hAnsi="Barlow Semi Condensed"/>
          <w:sz w:val="24"/>
          <w:szCs w:val="24"/>
        </w:rPr>
        <w:t xml:space="preserve">. La monografia peer-reviewed indicata dalla ricognizione è punto di partenza bibliografico, non documento primario: vale la regola dell'agenda per cui senza primario non si conclude. La </w:t>
      </w:r>
      <w:r>
        <w:rPr>
          <w:rFonts w:ascii="Barlow Semi Condensed" w:cs="Barlow Semi Condensed" w:eastAsia="Barlow Semi Condensed" w:hAnsi="Barlow Semi Condensed"/>
          <w:b/>
          <w:bCs/>
          <w:sz w:val="24"/>
          <w:szCs w:val="24"/>
        </w:rPr>
        <w:t xml:space="preserve">guerra del Kippur del 1973 e il rifiuto delle basi NATO</w:t>
      </w:r>
      <w:r>
        <w:rPr>
          <w:rFonts w:ascii="Barlow Semi Condensed" w:cs="Barlow Semi Condensed" w:eastAsia="Barlow Semi Condensed" w:hAnsi="Barlow Semi Condensed"/>
          <w:sz w:val="24"/>
          <w:szCs w:val="24"/>
        </w:rPr>
        <w:t xml:space="preserve">: il corpus ha il quesito atlantico solo per il 1978 (blocchi 24 e 98 dei cantieri, quesito 12 dell'agenda), e l'episodio gliene dà l'antecedente datato — con lo statuto dichiarato di </w:t>
      </w:r>
      <w:r>
        <w:rPr>
          <w:rFonts w:ascii="Barlow Semi Condensed" w:cs="Barlow Semi Condensed" w:eastAsia="Barlow Semi Condensed" w:hAnsi="Barlow Semi Condensed"/>
          <w:b/>
          <w:bCs/>
          <w:sz w:val="24"/>
          <w:szCs w:val="24"/>
        </w:rPr>
        <w:t xml:space="preserve">testimonianza resa in sede parlamentare</w:t>
      </w:r>
      <w:r>
        <w:rPr>
          <w:rFonts w:ascii="Barlow Semi Condensed" w:cs="Barlow Semi Condensed" w:eastAsia="Barlow Semi Condensed" w:hAnsi="Barlow Semi Condensed"/>
          <w:sz w:val="24"/>
          <w:szCs w:val="24"/>
        </w:rPr>
        <w:t xml:space="preserve">, non di accertamento, e per giunta proveniente dal fondo che il corpus già spoglia. Il </w:t>
      </w:r>
      <w:r>
        <w:rPr>
          <w:rFonts w:ascii="Barlow Semi Condensed" w:cs="Barlow Semi Condensed" w:eastAsia="Barlow Semi Condensed" w:hAnsi="Barlow Semi Condensed"/>
          <w:b/>
          <w:bCs/>
          <w:sz w:val="24"/>
          <w:szCs w:val="24"/>
        </w:rPr>
        <w:t xml:space="preserve">canale Pignedoli</w:t>
      </w:r>
      <w:r>
        <w:rPr>
          <w:rFonts w:ascii="Barlow Semi Condensed" w:cs="Barlow Semi Condensed" w:eastAsia="Barlow Semi Condensed" w:hAnsi="Barlow Semi Condensed"/>
          <w:sz w:val="24"/>
          <w:szCs w:val="24"/>
        </w:rPr>
        <w:t xml:space="preserve"> consegna al blocco 193 dei cantieri — che chiede «i precedenti documentati di disponibilità ecclesiastiche in sequestri italiani» — un precedente con nome e data, quattro anni prima dei cinquantacinque giorni, da fissare su fonte primaria perché la fonte disponibile è enciclopedica.</w:t>
      </w:r>
    </w:p>
    <w:p>
      <w:pPr>
        <w:spacing w:after="120" w:line="276"/>
        <w:jc w:val="both"/>
      </w:pPr>
      <w:r>
        <w:rPr>
          <w:rFonts w:ascii="Barlow Semi Condensed" w:cs="Barlow Semi Condensed" w:eastAsia="Barlow Semi Condensed" w:hAnsi="Barlow Semi Condensed"/>
          <w:b/>
          <w:bCs/>
          <w:sz w:val="24"/>
          <w:szCs w:val="24"/>
        </w:rPr>
        <w:t xml:space="preserve">Giacimenti archivistici nuovi</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Archivo General de la Administración</w:t>
      </w:r>
      <w:r>
        <w:rPr>
          <w:rFonts w:ascii="Barlow Semi Condensed" w:cs="Barlow Semi Condensed" w:eastAsia="Barlow Semi Condensed" w:hAnsi="Barlow Semi Condensed"/>
          <w:sz w:val="24"/>
          <w:szCs w:val="24"/>
        </w:rPr>
        <w:t xml:space="preserve"> di Alcalá de Henares (fondi del ministero degli Esteri spagnolo trasferiti fino al 1985 circa) — il corpus non aveva alcuna colonna spagnola; il portale ufficiale portoghese </w:t>
      </w:r>
      <w:r>
        <w:rPr>
          <w:rFonts w:ascii="Barlow Semi Condensed" w:cs="Barlow Semi Condensed" w:eastAsia="Barlow Semi Condensed" w:hAnsi="Barlow Semi Condensed"/>
          <w:i/>
          <w:iCs/>
          <w:sz w:val="24"/>
          <w:szCs w:val="24"/>
        </w:rPr>
        <w:t xml:space="preserve">Diplomacia e Revolução</w:t>
      </w:r>
      <w:r>
        <w:rPr>
          <w:rFonts w:ascii="Barlow Semi Condensed" w:cs="Barlow Semi Condensed" w:eastAsia="Barlow Semi Condensed" w:hAnsi="Barlow Semi Condensed"/>
          <w:sz w:val="24"/>
          <w:szCs w:val="24"/>
        </w:rPr>
        <w:t xml:space="preserve"> con la sua serie italiana sul riconoscimento del 1974, </w:t>
      </w:r>
      <w:r>
        <w:rPr>
          <w:rFonts w:ascii="Barlow Semi Condensed" w:cs="Barlow Semi Condensed" w:eastAsia="Barlow Semi Condensed" w:hAnsi="Barlow Semi Condensed"/>
          <w:b/>
          <w:bCs/>
          <w:sz w:val="24"/>
          <w:szCs w:val="24"/>
        </w:rPr>
        <w:t xml:space="preserve">ad accesso automatizzato bloccato e dunque da consultare manualmente o in sede</w:t>
      </w:r>
      <w:r>
        <w:rPr>
          <w:rFonts w:ascii="Barlow Semi Condensed" w:cs="Barlow Semi Condensed" w:eastAsia="Barlow Semi Condensed" w:hAnsi="Barlow Semi Condensed"/>
          <w:sz w:val="24"/>
          <w:szCs w:val="24"/>
        </w:rPr>
        <w:t xml:space="preserve">, insieme all'Arquivo Nacional da Torre do Tombo, al Centro de Documentação 25 de Abril di Coimbra e alla Fundação Mário Soares; il </w:t>
      </w:r>
      <w:r>
        <w:rPr>
          <w:rFonts w:ascii="Barlow Semi Condensed" w:cs="Barlow Semi Condensed" w:eastAsia="Barlow Semi Condensed" w:hAnsi="Barlow Semi Condensed"/>
          <w:b/>
          <w:bCs/>
          <w:sz w:val="24"/>
          <w:szCs w:val="24"/>
        </w:rPr>
        <w:t xml:space="preserve">Fondo Zagari</w:t>
      </w:r>
      <w:r>
        <w:rPr>
          <w:rFonts w:ascii="Barlow Semi Condensed" w:cs="Barlow Semi Condensed" w:eastAsia="Barlow Semi Condensed" w:hAnsi="Barlow Semi Condensed"/>
          <w:sz w:val="24"/>
          <w:szCs w:val="24"/>
        </w:rPr>
        <w:t xml:space="preserve"> dell'Archivio storico del Senato, deposito che il corpus non conosceva pur conoscendo bene quel portale; l'archivio Soncini-Ganapini presso l'istituto per i beni culturali dell'Emilia-Romagna; l'archivio comboniano di Roma con le annate della sua rivista; e i depositi ecclesiastici tedeschi. Non è invece un giacimento nuovo la serie degli </w:t>
      </w:r>
      <w:r>
        <w:rPr>
          <w:rFonts w:ascii="Barlow Semi Condensed" w:cs="Barlow Semi Condensed" w:eastAsia="Barlow Semi Condensed" w:hAnsi="Barlow Semi Condensed"/>
          <w:b/>
          <w:bCs/>
          <w:sz w:val="24"/>
          <w:szCs w:val="24"/>
        </w:rPr>
        <w:t xml:space="preserve">Akten zur Auswärtigen Politik</w:t>
      </w:r>
      <w:r>
        <w:rPr>
          <w:rFonts w:ascii="Barlow Semi Condensed" w:cs="Barlow Semi Condensed" w:eastAsia="Barlow Semi Condensed" w:hAnsi="Barlow Semi Condensed"/>
          <w:sz w:val="24"/>
          <w:szCs w:val="24"/>
        </w:rPr>
        <w:t xml:space="preserve">, che i cantieri fissano già ai blocchi 81-83 e 117: il rendimento della ricognizione è </w:t>
      </w:r>
      <w:r>
        <w:rPr>
          <w:rFonts w:ascii="Barlow Semi Condensed" w:cs="Barlow Semi Condensed" w:eastAsia="Barlow Semi Condensed" w:hAnsi="Barlow Semi Condensed"/>
          <w:b/>
          <w:bCs/>
          <w:sz w:val="24"/>
          <w:szCs w:val="24"/>
        </w:rPr>
        <w:t xml:space="preserve">cronologico</w:t>
      </w:r>
      <w:r>
        <w:rPr>
          <w:rFonts w:ascii="Barlow Semi Condensed" w:cs="Barlow Semi Condensed" w:eastAsia="Barlow Semi Condensed" w:hAnsi="Barlow Semi Condensed"/>
          <w:sz w:val="24"/>
          <w:szCs w:val="24"/>
        </w:rPr>
        <w:t xml:space="preserve">, perché estende alle annate 1969-1974 una procedura già scritta per il 1977-1978.</w:t>
      </w:r>
    </w:p>
    <w:p>
      <w:pPr>
        <w:pStyle w:val="Heading3"/>
        <w:spacing w:after="80" w:before="160"/>
      </w:pPr>
      <w:r>
        <w:rPr>
          <w:rFonts w:ascii="Barlow Semi Condensed" w:cs="Barlow Semi Condensed" w:eastAsia="Barlow Semi Condensed" w:hAnsi="Barlow Semi Condensed"/>
          <w:sz w:val="24"/>
          <w:szCs w:val="24"/>
        </w:rPr>
        <w:t xml:space="preserve">Tre correzioni che la campagna impone alla quadriga</w:t>
      </w:r>
    </w:p>
    <w:p>
      <w:pPr>
        <w:spacing w:after="120" w:line="276"/>
        <w:jc w:val="both"/>
      </w:pPr>
      <w:r>
        <w:rPr>
          <w:rFonts w:ascii="Barlow Semi Condensed" w:cs="Barlow Semi Condensed" w:eastAsia="Barlow Semi Condensed" w:hAnsi="Barlow Semi Condensed"/>
          <w:sz w:val="24"/>
          <w:szCs w:val="24"/>
        </w:rPr>
        <w:t xml:space="preserve">L'incrocio non ha solo riempito blocchi: in tre punti ha mostrato che </w:t>
      </w:r>
      <w:r>
        <w:rPr>
          <w:rFonts w:ascii="Barlow Semi Condensed" w:cs="Barlow Semi Condensed" w:eastAsia="Barlow Semi Condensed" w:hAnsi="Barlow Semi Condensed"/>
          <w:b/>
          <w:bCs/>
          <w:sz w:val="24"/>
          <w:szCs w:val="24"/>
        </w:rPr>
        <w:t xml:space="preserve">i cantieri e l'agenda davano per acquisito ciò che non lo è</w:t>
      </w:r>
      <w:r>
        <w:rPr>
          <w:rFonts w:ascii="Barlow Semi Condensed" w:cs="Barlow Semi Condensed" w:eastAsia="Barlow Semi Condensed" w:hAnsi="Barlow Semi Condensed"/>
          <w:sz w:val="24"/>
          <w:szCs w:val="24"/>
        </w:rPr>
        <w:t xml:space="preserve">, e queste sono le acquisizioni più utili perché correggono lo strumento, non il contenuto.</w:t>
      </w:r>
    </w:p>
    <w:p>
      <w:pPr>
        <w:spacing w:after="120" w:line="276"/>
        <w:jc w:val="both"/>
      </w:pPr>
      <w:r>
        <w:rPr>
          <w:rFonts w:ascii="Barlow Semi Condensed" w:cs="Barlow Semi Condensed" w:eastAsia="Barlow Semi Condensed" w:hAnsi="Barlow Semi Condensed"/>
          <w:b/>
          <w:bCs/>
          <w:sz w:val="24"/>
          <w:szCs w:val="24"/>
        </w:rPr>
        <w:t xml:space="preserve">La Farnesina non è interrogabile senza riserve.</w:t>
      </w:r>
      <w:r>
        <w:rPr>
          <w:rFonts w:ascii="Barlow Semi Condensed" w:cs="Barlow Semi Condensed" w:eastAsia="Barlow Semi Condensed" w:hAnsi="Barlow Semi Condensed"/>
          <w:sz w:val="24"/>
          <w:szCs w:val="24"/>
        </w:rPr>
        <w:t xml:space="preserve"> I blocchi 55 e 78 dei cantieri e il blocco 244 dell'agenda trattano l'Archivio storico-diplomatico come sede aperta. Il saggio peer-reviewed richiamato dalle ricognizioni attesta invece che i fondi ministeriali per gli anni in esame </w:t>
      </w:r>
      <w:r>
        <w:rPr>
          <w:rFonts w:ascii="Barlow Semi Condensed" w:cs="Barlow Semi Condensed" w:eastAsia="Barlow Semi Condensed" w:hAnsi="Barlow Semi Condensed"/>
          <w:b/>
          <w:bCs/>
          <w:sz w:val="24"/>
          <w:szCs w:val="24"/>
        </w:rPr>
        <w:t xml:space="preserve">non erano consultabili</w:t>
      </w:r>
      <w:r>
        <w:rPr>
          <w:rFonts w:ascii="Barlow Semi Condensed" w:cs="Barlow Semi Condensed" w:eastAsia="Barlow Semi Condensed" w:hAnsi="Barlow Semi Condensed"/>
          <w:sz w:val="24"/>
          <w:szCs w:val="24"/>
        </w:rPr>
        <w:t xml:space="preserve">, e le ricognizioni aggiungono la condizione operativa: per la documentazione dal 1949 in poi la disponibilità dei faldoni va verificata caso per caso, e resta l'esclusione temporanea dei Telegrammi 1942-1970. La barriera dei cinquant'anni rende l'arco 1969-1974 teoricamente aperto; l'inventariazione non lo rende praticamente tale. </w:t>
      </w:r>
      <w:r>
        <w:rPr>
          <w:rFonts w:ascii="Barlow Semi Condensed" w:cs="Barlow Semi Condensed" w:eastAsia="Barlow Semi Condensed" w:hAnsi="Barlow Semi Condensed"/>
          <w:b/>
          <w:bCs/>
          <w:sz w:val="24"/>
          <w:szCs w:val="24"/>
        </w:rPr>
        <w:t xml:space="preserve">Il costo dichiarato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Il Fondo Moro del Senato è un quarto deposito.</w:t>
      </w:r>
      <w:r>
        <w:rPr>
          <w:rFonts w:ascii="Barlow Semi Condensed" w:cs="Barlow Semi Condensed" w:eastAsia="Barlow Semi Condensed" w:hAnsi="Barlow Semi Condensed"/>
          <w:sz w:val="24"/>
          <w:szCs w:val="24"/>
        </w:rPr>
        <w:t xml:space="preserve"> I blocchi 221-223 e 235 dei cantieri distinguono tre nuclei delle carte di Moro — il fondo personale all'Archivio centrale dello Stato, il fondo familiare, la raccolta statale delle direttive — e tengono un registro delle confusioni correnti da correggere. Le ricognizioni citano ripetutamente un deposito con segnatura propria (IT-AFS-048), con unità archivistiche digitalizzate che riguardano </w:t>
      </w:r>
      <w:r>
        <w:rPr>
          <w:rFonts w:ascii="Barlow Semi Condensed" w:cs="Barlow Semi Condensed" w:eastAsia="Barlow Semi Condensed" w:hAnsi="Barlow Semi Condensed"/>
          <w:b/>
          <w:bCs/>
          <w:sz w:val="24"/>
          <w:szCs w:val="24"/>
        </w:rPr>
        <w:t xml:space="preserve">proprio il Moro ministro</w:t>
      </w:r>
      <w:r>
        <w:rPr>
          <w:rFonts w:ascii="Barlow Semi Condensed" w:cs="Barlow Semi Condensed" w:eastAsia="Barlow Semi Condensed" w:hAnsi="Barlow Semi Condensed"/>
          <w:sz w:val="24"/>
          <w:szCs w:val="24"/>
        </w:rPr>
        <w:t xml:space="preserve">: esiste ed è quello che serve a questa cartella.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Le banche dati parlamentari non coprono gli anni del ministero.</w:t>
      </w:r>
      <w:r>
        <w:rPr>
          <w:rFonts w:ascii="Barlow Semi Condensed" w:cs="Barlow Semi Condensed" w:eastAsia="Barlow Semi Condensed" w:hAnsi="Barlow Semi Condensed"/>
          <w:sz w:val="24"/>
          <w:szCs w:val="24"/>
        </w:rPr>
        <w:t xml:space="preserve"> Il blocco 62 dell'agenda prescrive di censire interrogazioni, interpellanze e dibattiti nelle banche dati storiche senza registrare che quelle banche dati </w:t>
      </w:r>
      <w:r>
        <w:rPr>
          <w:rFonts w:ascii="Barlow Semi Condensed" w:cs="Barlow Semi Condensed" w:eastAsia="Barlow Semi Condensed" w:hAnsi="Barlow Semi Condensed"/>
          <w:b/>
          <w:bCs/>
          <w:sz w:val="24"/>
          <w:szCs w:val="24"/>
        </w:rPr>
        <w:t xml:space="preserve">cominciano dalla VII legislatura (5 luglio 1976)</w:t>
      </w:r>
      <w:r>
        <w:rPr>
          <w:rFonts w:ascii="Barlow Semi Condensed" w:cs="Barlow Semi Condensed" w:eastAsia="Barlow Semi Condensed" w:hAnsi="Barlow Semi Condensed"/>
          <w:sz w:val="24"/>
          <w:szCs w:val="24"/>
        </w:rPr>
        <w:t xml:space="preserve">. Per tutto ciò che precede — cioè per l'intero periodo qui studiato — la via è lo spoglio manuale dei volumi a stampa. È precisazione di fattibilità e non di merito, ma cambia il costo del bersaglio e va portata a nota prima di ogni pianificazione.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griglia dei gradi, e una quinta voce</w:t>
      </w:r>
    </w:p>
    <w:p>
      <w:pPr>
        <w:spacing w:after="120" w:line="276"/>
        <w:jc w:val="both"/>
      </w:pPr>
      <w:r>
        <w:rPr>
          <w:rFonts w:ascii="Barlow Semi Condensed" w:cs="Barlow Semi Condensed" w:eastAsia="Barlow Semi Condensed" w:hAnsi="Barlow Semi Condensed"/>
          <w:sz w:val="24"/>
          <w:szCs w:val="24"/>
        </w:rPr>
        <w:t xml:space="preserve">I tre documenti nuovi applicano — indipendentemente l'uno dall'altro — la </w:t>
      </w:r>
      <w:r>
        <w:rPr>
          <w:rFonts w:ascii="Barlow Semi Condensed" w:cs="Barlow Semi Condensed" w:eastAsia="Barlow Semi Condensed" w:hAnsi="Barlow Semi Condensed"/>
          <w:b/>
          <w:bCs/>
          <w:sz w:val="24"/>
          <w:szCs w:val="24"/>
        </w:rPr>
        <w:t xml:space="preserve">stessa griglia a quattro gradi</w:t>
      </w:r>
      <w:r>
        <w:rPr>
          <w:rFonts w:ascii="Barlow Semi Condensed" w:cs="Barlow Semi Condensed" w:eastAsia="Barlow Semi Condensed" w:hAnsi="Barlow Semi Condensed"/>
          <w:sz w:val="24"/>
          <w:szCs w:val="24"/>
        </w:rPr>
        <w:t xml:space="preserve"> che il corpus usa da sempre: convergenza di obiettivo documentata · simultaneità di reazione · comunanza di ambiente istituzionale · mera contemporaneità cronologica. Nessuno la impiega in modo confliggente; uno ne usa un sottoinsieme senza contraddire la tassonomia. È la conferma più solida che la campagna potesse dare: </w:t>
      </w:r>
      <w:r>
        <w:rPr>
          <w:rFonts w:ascii="Barlow Semi Condensed" w:cs="Barlow Semi Condensed" w:eastAsia="Barlow Semi Condensed" w:hAnsi="Barlow Semi Condensed"/>
          <w:b/>
          <w:bCs/>
          <w:sz w:val="24"/>
          <w:szCs w:val="24"/>
        </w:rPr>
        <w:t xml:space="preserve">la disciplina regge quando è applicata da mani diverse sullo stesso materiale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quella griglia, l'esito complessivo resta quello che il corpus aveva già fissato: </w:t>
      </w:r>
      <w:r>
        <w:rPr>
          <w:rFonts w:ascii="Barlow Semi Condensed" w:cs="Barlow Semi Condensed" w:eastAsia="Barlow Semi Condensed" w:hAnsi="Barlow Semi Condensed"/>
          <w:b/>
          <w:bCs/>
          <w:sz w:val="24"/>
          <w:szCs w:val="24"/>
        </w:rPr>
        <w:t xml:space="preserve">la firma dell'Atto finale di Helsinki del 1° agosto 1975 è l'unica triangolazione certa</w:t>
      </w:r>
      <w:r>
        <w:rPr>
          <w:rFonts w:ascii="Barlow Semi Condensed" w:cs="Barlow Semi Condensed" w:eastAsia="Barlow Semi Condensed" w:hAnsi="Barlow Semi Condensed"/>
          <w:sz w:val="24"/>
          <w:szCs w:val="24"/>
        </w:rPr>
        <w:t xml:space="preserve"> fra i vertici studiati — l'Italia con la duplice qualità di Moro, la Santa Sede della delegazione che ottenne il settimo principio sulla libertà religiosa, e gli altri Stati coinvolti — e riguarda la sicurezza europea, non le materie che i singoli dossier trattano; per giunta cade </w:t>
      </w:r>
      <w:r>
        <w:rPr>
          <w:rFonts w:ascii="Barlow Semi Condensed" w:cs="Barlow Semi Condensed" w:eastAsia="Barlow Semi Condensed" w:hAnsi="Barlow Semi Condensed"/>
          <w:b/>
          <w:bCs/>
          <w:sz w:val="24"/>
          <w:szCs w:val="24"/>
        </w:rPr>
        <w:t xml:space="preserve">fuori dai mandati agli Esteri</w:t>
      </w:r>
      <w:r>
        <w:rPr>
          <w:rFonts w:ascii="Barlow Semi Condensed" w:cs="Barlow Semi Condensed" w:eastAsia="Barlow Semi Condensed" w:hAnsi="Barlow Semi Condensed"/>
          <w:sz w:val="24"/>
          <w:szCs w:val="24"/>
        </w:rPr>
        <w:t xml:space="preserve">. Tutto il resto è comunanza di ambiente o contemporaneità.</w:t>
      </w:r>
    </w:p>
    <w:p>
      <w:pPr>
        <w:spacing w:after="120" w:line="276"/>
        <w:jc w:val="both"/>
      </w:pPr>
      <w:r>
        <w:rPr>
          <w:rFonts w:ascii="Barlow Semi Condensed" w:cs="Barlow Semi Condensed" w:eastAsia="Barlow Semi Condensed" w:hAnsi="Barlow Semi Condensed"/>
          <w:sz w:val="24"/>
          <w:szCs w:val="24"/>
        </w:rPr>
        <w:t xml:space="preserve">La campagna suggerisce però una </w:t>
      </w:r>
      <w:r>
        <w:rPr>
          <w:rFonts w:ascii="Barlow Semi Condensed" w:cs="Barlow Semi Condensed" w:eastAsia="Barlow Semi Condensed" w:hAnsi="Barlow Semi Condensed"/>
          <w:b/>
          <w:bCs/>
          <w:sz w:val="24"/>
          <w:szCs w:val="24"/>
        </w:rPr>
        <w:t xml:space="preserve">quinta voce</w:t>
      </w:r>
      <w:r>
        <w:rPr>
          <w:rFonts w:ascii="Barlow Semi Condensed" w:cs="Barlow Semi Condensed" w:eastAsia="Barlow Semi Condensed" w:hAnsi="Barlow Semi Condensed"/>
          <w:sz w:val="24"/>
          <w:szCs w:val="24"/>
        </w:rPr>
        <w:t xml:space="preserve">, che si propone e si dichiara. Il versante portoghese offre due sequenze che corrono nelle stesse settimane: l'espulsione dei missionari del 13 aprile 1974 e la caduta dell'Estado Novo del 25 aprile. Non c'è nesso fra i due fatti — nessun documento li collega — ed è più della mera contemporaneità, perché il secondo evento </w:t>
      </w:r>
      <w:r>
        <w:rPr>
          <w:rFonts w:ascii="Barlow Semi Condensed" w:cs="Barlow Semi Condensed" w:eastAsia="Barlow Semi Condensed" w:hAnsi="Barlow Semi Condensed"/>
          <w:b/>
          <w:bCs/>
          <w:sz w:val="24"/>
          <w:szCs w:val="24"/>
        </w:rPr>
        <w:t xml:space="preserve">chiude i conti</w:t>
      </w:r>
      <w:r>
        <w:rPr>
          <w:rFonts w:ascii="Barlow Semi Condensed" w:cs="Barlow Semi Condensed" w:eastAsia="Barlow Semi Condensed" w:hAnsi="Barlow Semi Condensed"/>
          <w:sz w:val="24"/>
          <w:szCs w:val="24"/>
        </w:rPr>
        <w:t xml:space="preserve"> aperti dal primo. La categoria è: </w:t>
      </w:r>
      <w:r>
        <w:rPr>
          <w:rFonts w:ascii="Barlow Semi Condensed" w:cs="Barlow Semi Condensed" w:eastAsia="Barlow Semi Condensed" w:hAnsi="Barlow Semi Condensed"/>
          <w:b/>
          <w:bCs/>
          <w:sz w:val="24"/>
          <w:szCs w:val="24"/>
        </w:rPr>
        <w:t xml:space="preserve">effetto convergente da causa comune</w:t>
      </w:r>
      <w:r>
        <w:rPr>
          <w:rFonts w:ascii="Barlow Semi Condensed" w:cs="Barlow Semi Condensed" w:eastAsia="Barlow Semi Condensed" w:hAnsi="Barlow Semi Condensed"/>
          <w:sz w:val="24"/>
          <w:szCs w:val="24"/>
        </w:rPr>
        <w:t xml:space="preserve">, da dichiarare quando due esiti simultanei discendono provatamente dallo stesso evento e non l'uno dall'altro. È una precisazione della griglia, non un allentamento: serve proprio a impedire che una simultaneità con causa nota venga promossa a nesso fra i suoi due effetti.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L'incrocio metodologico con l'opera privata</w:t>
      </w:r>
    </w:p>
    <w:p>
      <w:pPr>
        <w:spacing w:after="120" w:line="276"/>
        <w:jc w:val="both"/>
      </w:pPr>
      <w:r>
        <w:rPr>
          <w:rFonts w:ascii="Barlow Semi Condensed" w:cs="Barlow Semi Condensed" w:eastAsia="Barlow Semi Condensed" w:hAnsi="Barlow Semi Condensed"/>
          <w:sz w:val="24"/>
          <w:szCs w:val="24"/>
        </w:rPr>
        <w:t xml:space="preserve">Il corpus dichiara da sempre di adottare e calcolare sul proprio materiale le </w:t>
      </w:r>
      <w:r>
        <w:rPr>
          <w:rFonts w:ascii="Barlow Semi Condensed" w:cs="Barlow Semi Condensed" w:eastAsia="Barlow Semi Condensed" w:hAnsi="Barlow Semi Condensed"/>
          <w:b/>
          <w:bCs/>
          <w:sz w:val="24"/>
          <w:szCs w:val="24"/>
        </w:rPr>
        <w:t xml:space="preserve">metodologie dell'opera maggiore dell'autore</w:t>
      </w:r>
      <w:r>
        <w:rPr>
          <w:rFonts w:ascii="Barlow Semi Condensed" w:cs="Barlow Semi Condensed" w:eastAsia="Barlow Semi Condensed" w:hAnsi="Barlow Semi Condensed"/>
          <w:sz w:val="24"/>
          <w:szCs w:val="24"/>
        </w:rPr>
        <w:t xml:space="preserve">, che resta sul versante non pubblicabile. La campagna ha esteso quell'incrocio al materiale metodologico più recente di quel versante — un censimento dei nodi per dominio e una misura statistica delle associazioni fra domini —, con un vincolo assoluto rispettato in pieno: </w:t>
      </w:r>
      <w:r>
        <w:rPr>
          <w:rFonts w:ascii="Barlow Semi Condensed" w:cs="Barlow Semi Condensed" w:eastAsia="Barlow Semi Condensed" w:hAnsi="Barlow Semi Condensed"/>
          <w:b/>
          <w:bCs/>
          <w:sz w:val="24"/>
          <w:szCs w:val="24"/>
        </w:rPr>
        <w:t xml:space="preserve">si trasferisce il metodo, mai i nomi</w:t>
      </w:r>
      <w:r>
        <w:rPr>
          <w:rFonts w:ascii="Barlow Semi Condensed" w:cs="Barlow Semi Condensed" w:eastAsia="Barlow Semi Condensed" w:hAnsi="Barlow Semi Condensed"/>
          <w:sz w:val="24"/>
          <w:szCs w:val="24"/>
        </w:rPr>
        <w:t xml:space="preserve">. Ne escono quattro acquisizioni per il ramo pubblico.</w:t>
      </w:r>
    </w:p>
    <w:p>
      <w:pPr>
        <w:spacing w:after="120" w:line="276"/>
        <w:jc w:val="both"/>
      </w:pPr>
      <w:r>
        <w:rPr>
          <w:rFonts w:ascii="Barlow Semi Condensed" w:cs="Barlow Semi Condensed" w:eastAsia="Barlow Semi Condensed" w:hAnsi="Barlow Semi Condensed"/>
          <w:b/>
          <w:bCs/>
          <w:sz w:val="24"/>
          <w:szCs w:val="24"/>
        </w:rPr>
        <w:t xml:space="preserve">Si gradua ciò che è documento, non chi è persona.</w:t>
      </w:r>
      <w:r>
        <w:rPr>
          <w:rFonts w:ascii="Barlow Semi Condensed" w:cs="Barlow Semi Condensed" w:eastAsia="Barlow Semi Condensed" w:hAnsi="Barlow Semi Condensed"/>
          <w:sz w:val="24"/>
          <w:szCs w:val="24"/>
        </w:rPr>
        <w:t xml:space="preserve"> È la divergenza che delimita esattamente ciò che è trasferibile. L'opera privata attribuisce un livello probatorio ai nodi-persona; il branch pubblico non lo fa e non lo farà: gli strumenti che misurano la documentazione si usano per intero e con calcolo reale, quelli che graduano le persone non si usano, perché qui ci si ferma al giudicato e </w:t>
      </w:r>
      <w:r>
        <w:rPr>
          <w:rFonts w:ascii="Barlow Semi Condensed" w:cs="Barlow Semi Condensed" w:eastAsia="Barlow Semi Condensed" w:hAnsi="Barlow Semi Condensed"/>
          <w:b/>
          <w:bCs/>
          <w:sz w:val="24"/>
          <w:szCs w:val="24"/>
        </w:rPr>
        <w:t xml:space="preserve">il registro del giudicato resta l'unico luogo dei nomi</w:t>
      </w:r>
      <w:r>
        <w:rPr>
          <w:rFonts w:ascii="Barlow Semi Condensed" w:cs="Barlow Semi Condensed" w:eastAsia="Barlow Semi Condensed" w:hAnsi="Barlow Semi Condensed"/>
          <w:sz w:val="24"/>
          <w:szCs w:val="24"/>
        </w:rPr>
        <w:t xml:space="preserve">. La misura dei domini e delle loro associazioni è trasferibile per intero, perché misura documenti; l'attribuzione di livello alle persone non lo è.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Senza grado sulla sinapsi non esiste cammino valutabile.</w:t>
      </w:r>
      <w:r>
        <w:rPr>
          <w:rFonts w:ascii="Barlow Semi Condensed" w:cs="Barlow Semi Condensed" w:eastAsia="Barlow Semi Condensed" w:hAnsi="Barlow Semi Condensed"/>
          <w:sz w:val="24"/>
          <w:szCs w:val="24"/>
        </w:rPr>
        <w:t xml:space="preserve"> L'inventario privato conta ottocentosessantasei nodi e duecentoventiquattro archi </w:t>
      </w:r>
      <w:r>
        <w:rPr>
          <w:rFonts w:ascii="Barlow Semi Condensed" w:cs="Barlow Semi Condensed" w:eastAsia="Barlow Semi Condensed" w:hAnsi="Barlow Semi Condensed"/>
          <w:i/>
          <w:iCs/>
          <w:sz w:val="24"/>
          <w:szCs w:val="24"/>
        </w:rPr>
        <w:t xml:space="preserve">contati ma non gradati</w:t>
      </w:r>
      <w:r>
        <w:rPr>
          <w:rFonts w:ascii="Barlow Semi Condensed" w:cs="Barlow Semi Condensed" w:eastAsia="Barlow Semi Condensed" w:hAnsi="Barlow Semi Condensed"/>
          <w:sz w:val="24"/>
          <w:szCs w:val="24"/>
        </w:rPr>
        <w:t xml:space="preserve">; il corpus pubblico lavora sulla proporzione inversa — trentanove nodi e cinquantanove archi — ma </w:t>
      </w:r>
      <w:r>
        <w:rPr>
          <w:rFonts w:ascii="Barlow Semi Condensed" w:cs="Barlow Semi Condensed" w:eastAsia="Barlow Semi Condensed" w:hAnsi="Barlow Semi Condensed"/>
          <w:b/>
          <w:bCs/>
          <w:sz w:val="24"/>
          <w:szCs w:val="24"/>
        </w:rPr>
        <w:t xml:space="preserve">nessun arco entra senza il proprio grado</w:t>
      </w:r>
      <w:r>
        <w:rPr>
          <w:rFonts w:ascii="Barlow Semi Condensed" w:cs="Barlow Semi Condensed" w:eastAsia="Barlow Semi Condensed" w:hAnsi="Barlow Semi Condensed"/>
          <w:sz w:val="24"/>
          <w:szCs w:val="24"/>
        </w:rPr>
        <w:t xml:space="preserve">. La conseguenza è operativa e non retorica: la regola dell'anello debole, per cui il grado di un cammino è il grado minimo fra i suoi archi, </w:t>
      </w:r>
      <w:r>
        <w:rPr>
          <w:rFonts w:ascii="Barlow Semi Condensed" w:cs="Barlow Semi Condensed" w:eastAsia="Barlow Semi Condensed" w:hAnsi="Barlow Semi Condensed"/>
          <w:b/>
          <w:bCs/>
          <w:sz w:val="24"/>
          <w:szCs w:val="24"/>
        </w:rPr>
        <w:t xml:space="preserve">non è calcolabile</w:t>
      </w:r>
      <w:r>
        <w:rPr>
          <w:rFonts w:ascii="Barlow Semi Condensed" w:cs="Barlow Semi Condensed" w:eastAsia="Barlow Semi Condensed" w:hAnsi="Barlow Semi Condensed"/>
          <w:sz w:val="24"/>
          <w:szCs w:val="24"/>
        </w:rPr>
        <w:t xml:space="preserve"> finché le sinapsi non sono gradate. Nella costruzione della rete si gradua la sinapsi, non il neurone.</w:t>
      </w:r>
    </w:p>
    <w:p>
      <w:pPr>
        <w:spacing w:after="120" w:line="276"/>
        <w:jc w:val="both"/>
      </w:pPr>
      <w:r>
        <w:rPr>
          <w:rFonts w:ascii="Barlow Semi Condensed" w:cs="Barlow Semi Condensed" w:eastAsia="Barlow Semi Condensed" w:hAnsi="Barlow Semi Condensed"/>
          <w:b/>
          <w:bCs/>
          <w:sz w:val="24"/>
          <w:szCs w:val="24"/>
        </w:rPr>
        <w:t xml:space="preserve">La regola dei buchi acquista un secondo tempo.</w:t>
      </w:r>
      <w:r>
        <w:rPr>
          <w:rFonts w:ascii="Barlow Semi Condensed" w:cs="Barlow Semi Condensed" w:eastAsia="Barlow Semi Condensed" w:hAnsi="Barlow Semi Condensed"/>
          <w:sz w:val="24"/>
          <w:szCs w:val="24"/>
        </w:rPr>
        <w:t xml:space="preserve"> Il corpus pubblico possiede da tempo la prima metà della disciplina: i buchi strutturali non sono difetti da riempire, si misurano e si dichiarano, e ogni buco resta congettura possibile finché un documento non diventi arco. La misura statistica dell'opera privata ne consegna la seconda metà: </w:t>
      </w:r>
      <w:r>
        <w:rPr>
          <w:rFonts w:ascii="Barlow Semi Condensed" w:cs="Barlow Semi Condensed" w:eastAsia="Barlow Semi Condensed" w:hAnsi="Barlow Semi Condensed"/>
          <w:b/>
          <w:bCs/>
          <w:sz w:val="24"/>
          <w:szCs w:val="24"/>
        </w:rPr>
        <w:t xml:space="preserve">un basso rapporto di associazione fra due domini non è indizio di assenza di rapporti, ma indizio che nessuno ha scritto un documento che li tratti insieme</w:t>
      </w:r>
      <w:r>
        <w:rPr>
          <w:rFonts w:ascii="Barlow Semi Condensed" w:cs="Barlow Semi Condensed" w:eastAsia="Barlow Semi Condensed" w:hAnsi="Barlow Semi Condensed"/>
          <w:sz w:val="24"/>
          <w:szCs w:val="24"/>
        </w:rPr>
        <w:t xml:space="preserve">. Combinate, danno una procedura a due tempi da applicare in entrambi i cantieri: prima si misura il buco e lo si dichiara; poi se ne diagnostica la causa nella specializzazione delle fonti; </w:t>
      </w:r>
      <w:r>
        <w:rPr>
          <w:rFonts w:ascii="Barlow Semi Condensed" w:cs="Barlow Semi Condensed" w:eastAsia="Barlow Semi Condensed" w:hAnsi="Barlow Semi Condensed"/>
          <w:b/>
          <w:bCs/>
          <w:sz w:val="24"/>
          <w:szCs w:val="24"/>
        </w:rPr>
        <w:t xml:space="preserve">solo dopo</w:t>
      </w:r>
      <w:r>
        <w:rPr>
          <w:rFonts w:ascii="Barlow Semi Condensed" w:cs="Barlow Semi Condensed" w:eastAsia="Barlow Semi Condensed" w:hAnsi="Barlow Semi Condensed"/>
          <w:sz w:val="24"/>
          <w:szCs w:val="24"/>
        </w:rPr>
        <w:t xml:space="preserve"> si è autorizzati a interrogarlo sulla struttura del mondo. Questa campagna ne offre due esempi immediati — il vuoto sul lodo Moro e quello su Fiumicino non dicono che il caso non tocchi quel versante: dicono che il corpus non ha ancora spogliato le fonti che lo trattano.</w:t>
      </w:r>
    </w:p>
    <w:p>
      <w:pPr>
        <w:spacing w:after="120" w:line="276"/>
        <w:jc w:val="both"/>
      </w:pPr>
      <w:r>
        <w:rPr>
          <w:rFonts w:ascii="Barlow Semi Condensed" w:cs="Barlow Semi Condensed" w:eastAsia="Barlow Semi Condensed" w:hAnsi="Barlow Semi Condensed"/>
          <w:b/>
          <w:bCs/>
          <w:sz w:val="24"/>
          <w:szCs w:val="24"/>
        </w:rPr>
        <w:t xml:space="preserve">Il dominio più piccolo è quello che lega.</w:t>
      </w:r>
      <w:r>
        <w:rPr>
          <w:rFonts w:ascii="Barlow Semi Condensed" w:cs="Barlow Semi Condensed" w:eastAsia="Barlow Semi Condensed" w:hAnsi="Barlow Semi Condensed"/>
          <w:sz w:val="24"/>
          <w:szCs w:val="24"/>
        </w:rPr>
        <w:t xml:space="preserve"> Nella misura privata le tre associazioni più forti passano tutte per lo stesso dominio, che è però fra i meno presenti in assoluto: pochi legami, molti passaggi — la figura che la teoria delle reti chiama ponte. Il corpus pubblico ne documenta una identica nel proprio comparto non brigatista, dove il nodo con quasi un quarto dell'intermediazione documentale porta meno del cinque per cento delle connessioni. La regola d'interpretazione si trasferisce per intero, ed è quella che il corpus antepone a ogni lettura della propria rete: </w:t>
      </w:r>
      <w:r>
        <w:rPr>
          <w:rFonts w:ascii="Barlow Semi Condensed" w:cs="Barlow Semi Condensed" w:eastAsia="Barlow Semi Condensed" w:hAnsi="Barlow Semi Condensed"/>
          <w:b/>
          <w:bCs/>
          <w:sz w:val="24"/>
          <w:szCs w:val="24"/>
        </w:rPr>
        <w:t xml:space="preserve">la centralità misura la densità della documentazione, non la responsabilità.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degli acquisti.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alcun contatto diretto fra Moro e i ministri degli Esteri spagnoli; </w:t>
      </w:r>
      <w:r>
        <w:rPr>
          <w:rFonts w:ascii="Barlow Semi Condensed" w:cs="Barlow Semi Condensed" w:eastAsia="Barlow Semi Condensed" w:hAnsi="Barlow Semi Condensed"/>
          <w:b/>
          <w:bCs/>
          <w:sz w:val="24"/>
          <w:szCs w:val="24"/>
        </w:rPr>
        <w:t xml:space="preserve">non è stabilita</w:t>
      </w:r>
      <w:r>
        <w:rPr>
          <w:rFonts w:ascii="Barlow Semi Condensed" w:cs="Barlow Semi Condensed" w:eastAsia="Barlow Semi Condensed" w:hAnsi="Barlow Semi Condensed"/>
          <w:sz w:val="24"/>
          <w:szCs w:val="24"/>
        </w:rPr>
        <w:t xml:space="preserve"> alcuna posizione italiana sulla riorganizzazione diocesana del 1972, né alcun atto italiano sull'espulsione dei missionari del 1974;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il funzionario italiano nominato dal documento CIA sia Moro;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la comunanza di ambiente cattolico fra Roma politica, Roma pontificia e i ministri di Madrid sia mai divenuta condotta coordinata. E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 ma va detto perché è il punto in cui la tentazione è più forte — che il silenzio del vertice governativo italiano su questi dossier sia stato inerzia deliberata: è, allo stato, </w:t>
      </w:r>
      <w:r>
        <w:rPr>
          <w:rFonts w:ascii="Barlow Semi Condensed" w:cs="Barlow Semi Condensed" w:eastAsia="Barlow Semi Condensed" w:hAnsi="Barlow Semi Condensed"/>
          <w:b/>
          <w:bCs/>
          <w:sz w:val="24"/>
          <w:szCs w:val="24"/>
        </w:rPr>
        <w:t xml:space="preserve">assenza di fonti</w:t>
      </w:r>
      <w:r>
        <w:rPr>
          <w:rFonts w:ascii="Barlow Semi Condensed" w:cs="Barlow Semi Condensed" w:eastAsia="Barlow Semi Condensed" w:hAnsi="Barlow Semi Condensed"/>
          <w:sz w:val="24"/>
          <w:szCs w:val="24"/>
        </w:rPr>
        <w:t xml:space="preserve">, e l'assenza di fonti si colma in archivio, non per inferenza.</w:t>
      </w:r>
    </w:p>
    <w:p>
      <w:pPr>
        <w:spacing w:after="120" w:line="276"/>
        <w:jc w:val="both"/>
      </w:pPr>
      <w:r>
        <w:rPr>
          <w:rFonts w:ascii="Barlow Semi Condensed" w:cs="Barlow Semi Condensed" w:eastAsia="Barlow Semi Condensed" w:hAnsi="Barlow Semi Condensed"/>
          <w:sz w:val="24"/>
          <w:szCs w:val="24"/>
        </w:rPr>
        <w:t xml:space="preserve">L'Archivio Apostolico Vaticano resta consultabile solo fino all'ottobre 1958: ogni verifica archivistica primaria sugli atti pontifici qui trattati è </w:t>
      </w:r>
      <w:r>
        <w:rPr>
          <w:rFonts w:ascii="Barlow Semi Condensed" w:cs="Barlow Semi Condensed" w:eastAsia="Barlow Semi Condensed" w:hAnsi="Barlow Semi Condensed"/>
          <w:b/>
          <w:bCs/>
          <w:sz w:val="24"/>
          <w:szCs w:val="24"/>
        </w:rPr>
        <w:t xml:space="preserve">preclusa allo stato</w:t>
      </w:r>
      <w:r>
        <w:rPr>
          <w:rFonts w:ascii="Barlow Semi Condensed" w:cs="Barlow Semi Condensed" w:eastAsia="Barlow Semi Condensed" w:hAnsi="Barlow Semi Condensed"/>
          <w:sz w:val="24"/>
          <w:szCs w:val="24"/>
        </w:rPr>
        <w:t xml:space="preserve">, e le ricostruzioni poggiano su fonti edite, storiografia e fonti ufficiali dell'istituzione. Dove un documento della campagna indica «gli archivi vaticani» come sede da interrogare per gli anni Settanta, quella sede </w:t>
      </w:r>
      <w:r>
        <w:rPr>
          <w:rFonts w:ascii="Barlow Semi Condensed" w:cs="Barlow Semi Condensed" w:eastAsia="Barlow Semi Condensed" w:hAnsi="Barlow Semi Condensed"/>
          <w:b/>
          <w:bCs/>
          <w:sz w:val="24"/>
          <w:szCs w:val="24"/>
        </w:rPr>
        <w:t xml:space="preserve">non è oggi apribile</w:t>
      </w:r>
      <w:r>
        <w:rPr>
          <w:rFonts w:ascii="Barlow Semi Condensed" w:cs="Barlow Semi Condensed" w:eastAsia="Barlow Semi Condensed" w:hAnsi="Barlow Semi Condensed"/>
          <w:sz w:val="24"/>
          <w:szCs w:val="24"/>
        </w:rPr>
        <w:t xml:space="preserve">: la tensione fra i due testi è stata rilevata dall'incrocio ed è risolta a favore del limite reale.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F — Le verifiche della seconda campagna</w:t>
      </w:r>
    </w:p>
    <w:p>
      <w:pPr>
        <w:spacing w:after="120" w:line="276"/>
        <w:jc w:val="both"/>
      </w:pPr>
      <w:r>
        <w:rPr>
          <w:rFonts w:ascii="Barlow Semi Condensed" w:cs="Barlow Semi Condensed" w:eastAsia="Barlow Semi Condensed" w:hAnsi="Barlow Semi Condensed"/>
          <w:sz w:val="24"/>
          <w:szCs w:val="24"/>
        </w:rPr>
        <w:t xml:space="preserve">Come per le campagne precedenti, i fatti portanti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con l'obbligo di riportare le divergenze e di dichiarare gli esiti negativi. Si registrano qui i risultati, comprese — anzi soprattutto — le precisazioni che correggono la formulazione dei documenti nuovi.</w:t>
      </w:r>
    </w:p>
    <w:p>
      <w:pPr>
        <w:pStyle w:val="Heading3"/>
        <w:spacing w:after="80" w:before="160"/>
      </w:pPr>
      <w:r>
        <w:rPr>
          <w:rFonts w:ascii="Barlow Semi Condensed" w:cs="Barlow Semi Condensed" w:eastAsia="Barlow Semi Condensed" w:hAnsi="Barlow Semi Condensed"/>
          <w:sz w:val="24"/>
          <w:szCs w:val="24"/>
        </w:rPr>
        <w:t xml:space="preserve">F-1 · La sequenza Oder-Neisse</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senza riserve: la firma del Trattato di Varsavia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(titolo esatto: </w:t>
      </w:r>
      <w:r>
        <w:rPr>
          <w:rFonts w:ascii="Barlow Semi Condensed" w:cs="Barlow Semi Condensed" w:eastAsia="Barlow Semi Condensed" w:hAnsi="Barlow Semi Condensed"/>
          <w:i/>
          <w:iCs/>
          <w:sz w:val="24"/>
          <w:szCs w:val="24"/>
        </w:rPr>
        <w:t xml:space="preserve">Vertrag über die Grundlagen der Normalisierung der gegenseitigen Beziehungen zwischen der Bundesrepublik Deutschland und der Volksrepublik Polen</w:t>
      </w:r>
      <w:r>
        <w:rPr>
          <w:rFonts w:ascii="Barlow Semi Condensed" w:cs="Barlow Semi Condensed" w:eastAsia="Barlow Semi Condensed" w:hAnsi="Barlow Semi Condensed"/>
          <w:sz w:val="24"/>
          <w:szCs w:val="24"/>
        </w:rPr>
        <w:t xml:space="preserve">), sottoscritto dal cancelliere e dal primo ministro polacco insieme ai due ministri degli Esteri; lo </w:t>
      </w:r>
      <w:r>
        <w:rPr>
          <w:rFonts w:ascii="Barlow Semi Condensed" w:cs="Barlow Semi Condensed" w:eastAsia="Barlow Semi Condensed" w:hAnsi="Barlow Semi Condensed"/>
          <w:b/>
          <w:bCs/>
          <w:sz w:val="24"/>
          <w:szCs w:val="24"/>
        </w:rPr>
        <w:t xml:space="preserve">scambio degli strumenti di ratifica a Bonn il 3 giugno 1972</w:t>
      </w:r>
      <w:r>
        <w:rPr>
          <w:rFonts w:ascii="Barlow Semi Condensed" w:cs="Barlow Semi Condensed" w:eastAsia="Barlow Semi Condensed" w:hAnsi="Barlow Semi Condensed"/>
          <w:sz w:val="24"/>
          <w:szCs w:val="24"/>
        </w:rPr>
        <w:t xml:space="preserve">, con entrata in vigore lo stesso giorno contestualmente al Trattato di Mosca; il </w:t>
      </w:r>
      <w:r>
        <w:rPr>
          <w:rFonts w:ascii="Barlow Semi Condensed" w:cs="Barlow Semi Condensed" w:eastAsia="Barlow Semi Condensed" w:hAnsi="Barlow Semi Condensed"/>
          <w:b/>
          <w:bCs/>
          <w:sz w:val="24"/>
          <w:szCs w:val="24"/>
        </w:rPr>
        <w:t xml:space="preserve">Kniefall</w:t>
      </w:r>
      <w:r>
        <w:rPr>
          <w:rFonts w:ascii="Barlow Semi Condensed" w:cs="Barlow Semi Condensed" w:eastAsia="Barlow Semi Condensed" w:hAnsi="Barlow Semi Condensed"/>
          <w:sz w:val="24"/>
          <w:szCs w:val="24"/>
        </w:rPr>
        <w:t xml:space="preserve"> di Varsavia del 7 dicembre 1970; e la documentazione del nesso da parte dello storico Karl-Joseph Hummel, direttore della Forschungsstelle della Kommission für Zeitgeschichte di Bonn, di cui la verifica identifica due sedi editoriali distinte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 für Sozialgeschichte</w:t>
      </w:r>
      <w:r>
        <w:rPr>
          <w:rFonts w:ascii="Barlow Semi Condensed" w:cs="Barlow Semi Condensed" w:eastAsia="Barlow Semi Condensed" w:hAnsi="Barlow Semi Condensed"/>
          <w:sz w:val="24"/>
          <w:szCs w:val="24"/>
        </w:rPr>
        <w:t xml:space="preserve"> 45, 2005, pp. 165-214).</w:t>
      </w:r>
    </w:p>
    <w:p>
      <w:pPr>
        <w:spacing w:after="120" w:line="276"/>
        <w:jc w:val="both"/>
      </w:pPr>
      <w:r>
        <w:rPr>
          <w:rFonts w:ascii="Barlow Semi Condensed" w:cs="Barlow Semi Condensed" w:eastAsia="Barlow Semi Condensed" w:hAnsi="Barlow Semi Condensed"/>
          <w:b/>
          <w:bCs/>
          <w:sz w:val="24"/>
          <w:szCs w:val="24"/>
        </w:rPr>
        <w:t xml:space="preserve">Due precisazioni che il corpus recepisce.</w:t>
      </w:r>
    </w:p>
    <w:p>
      <w:pPr>
        <w:spacing w:after="120" w:line="276"/>
        <w:jc w:val="both"/>
      </w:pPr>
      <w:r>
        <w:rPr>
          <w:rFonts w:ascii="Barlow Semi Condensed" w:cs="Barlow Semi Condensed" w:eastAsia="Barlow Semi Condensed" w:hAnsi="Barlow Semi Condensed"/>
          <w:i/>
          <w:iCs/>
          <w:sz w:val="24"/>
          <w:szCs w:val="24"/>
        </w:rPr>
        <w:t xml:space="preserve">Sulla ratifica.</w:t>
      </w:r>
      <w:r>
        <w:rPr>
          <w:rFonts w:ascii="Barlow Semi Condensed" w:cs="Barlow Semi Condensed" w:eastAsia="Barlow Semi Condensed" w:hAnsi="Barlow Semi Condensed"/>
          <w:sz w:val="24"/>
          <w:szCs w:val="24"/>
        </w:rPr>
        <w:t xml:space="preserve"> La formula «il Bundestag ratificò il trattato il 17 maggio 1972» è </w:t>
      </w:r>
      <w:r>
        <w:rPr>
          <w:rFonts w:ascii="Barlow Semi Condensed" w:cs="Barlow Semi Condensed" w:eastAsia="Barlow Semi Condensed" w:hAnsi="Barlow Semi Condensed"/>
          <w:b/>
          <w:bCs/>
          <w:sz w:val="24"/>
          <w:szCs w:val="24"/>
        </w:rPr>
        <w:t xml:space="preserve">imprecisa sul piano costituzionale</w:t>
      </w:r>
      <w:r>
        <w:rPr>
          <w:rFonts w:ascii="Barlow Semi Condensed" w:cs="Barlow Semi Condensed" w:eastAsia="Barlow Semi Condensed" w:hAnsi="Barlow Semi Condensed"/>
          <w:sz w:val="24"/>
          <w:szCs w:val="24"/>
        </w:rPr>
        <w:t xml:space="preserve">: quel giorno il Bundestag approvò le </w:t>
      </w:r>
      <w:r>
        <w:rPr>
          <w:rFonts w:ascii="Barlow Semi Condensed" w:cs="Barlow Semi Condensed" w:eastAsia="Barlow Semi Condensed" w:hAnsi="Barlow Semi Condensed"/>
          <w:i/>
          <w:iCs/>
          <w:sz w:val="24"/>
          <w:szCs w:val="24"/>
        </w:rPr>
        <w:t xml:space="preserve">leggi di autorizzazione alla ratifica</w:t>
      </w:r>
      <w:r>
        <w:rPr>
          <w:rFonts w:ascii="Barlow Semi Condensed" w:cs="Barlow Semi Condensed" w:eastAsia="Barlow Semi Condensed" w:hAnsi="Barlow Semi Condensed"/>
          <w:sz w:val="24"/>
          <w:szCs w:val="24"/>
        </w:rPr>
        <w:t xml:space="preserve"> dei trattati di Mosca e di Varsavia; il Bundesrat si pronunciò il 19 maggio; la ratifica in senso proprio è atto successivo del capo dello Stato. La data resta, la qualificazione va corretta — e con essa la misura del divario col 28 giugno, che va contata dall'</w:t>
      </w:r>
      <w:r>
        <w:rPr>
          <w:rFonts w:ascii="Barlow Semi Condensed" w:cs="Barlow Semi Condensed" w:eastAsia="Barlow Semi Condensed" w:hAnsi="Barlow Semi Condensed"/>
          <w:b/>
          <w:bCs/>
          <w:sz w:val="24"/>
          <w:szCs w:val="24"/>
        </w:rPr>
        <w:t xml:space="preserve">entrata in vigore</w:t>
      </w:r>
      <w:r>
        <w:rPr>
          <w:rFonts w:ascii="Barlow Semi Condensed" w:cs="Barlow Semi Condensed" w:eastAsia="Barlow Semi Condensed" w:hAnsi="Barlow Semi Condensed"/>
          <w:sz w:val="24"/>
          <w:szCs w:val="24"/>
        </w:rPr>
        <w:t xml:space="preserve"> (3 giugno, venticinque giorni) e non da un atto di ratifica parlamentare che non esiste in quella forma.</w:t>
      </w:r>
    </w:p>
    <w:p>
      <w:pPr>
        <w:spacing w:after="120" w:line="276"/>
        <w:jc w:val="both"/>
      </w:pPr>
      <w:r>
        <w:rPr>
          <w:rFonts w:ascii="Barlow Semi Condensed" w:cs="Barlow Semi Condensed" w:eastAsia="Barlow Semi Condensed" w:hAnsi="Barlow Semi Condensed"/>
          <w:i/>
          <w:iCs/>
          <w:sz w:val="24"/>
          <w:szCs w:val="24"/>
        </w:rPr>
        <w:t xml:space="preserve">Sul Kniefall.</w:t>
      </w:r>
      <w:r>
        <w:rPr>
          <w:rFonts w:ascii="Barlow Semi Condensed" w:cs="Barlow Semi Condensed" w:eastAsia="Barlow Semi Condensed" w:hAnsi="Barlow Semi Condensed"/>
          <w:sz w:val="24"/>
          <w:szCs w:val="24"/>
        </w:rPr>
        <w:t xml:space="preserve"> Precede la firma di poche ore nella stessa giornata: sono </w:t>
      </w:r>
      <w:r>
        <w:rPr>
          <w:rFonts w:ascii="Barlow Semi Condensed" w:cs="Barlow Semi Condensed" w:eastAsia="Barlow Semi Condensed" w:hAnsi="Barlow Semi Condensed"/>
          <w:b/>
          <w:bCs/>
          <w:sz w:val="24"/>
          <w:szCs w:val="24"/>
        </w:rPr>
        <w:t xml:space="preserve">due eventi distinti del 7 dicembre 1970</w:t>
      </w:r>
      <w:r>
        <w:rPr>
          <w:rFonts w:ascii="Barlow Semi Condensed" w:cs="Barlow Semi Condensed" w:eastAsia="Barlow Semi Condensed" w:hAnsi="Barlow Semi Condensed"/>
          <w:sz w:val="24"/>
          <w:szCs w:val="24"/>
        </w:rPr>
        <w:t xml:space="preserve">, non il medesimo atto, e vanno riportati come tali.</w:t>
      </w:r>
    </w:p>
    <w:p>
      <w:pPr>
        <w:spacing w:after="120" w:line="276"/>
        <w:jc w:val="both"/>
      </w:pPr>
      <w:r>
        <w:rPr>
          <w:rFonts w:ascii="Barlow Semi Condensed" w:cs="Barlow Semi Condensed" w:eastAsia="Barlow Semi Condensed" w:hAnsi="Barlow Semi Condensed"/>
          <w:i/>
          <w:iCs/>
          <w:sz w:val="24"/>
          <w:szCs w:val="24"/>
        </w:rPr>
        <w:t xml:space="preserve">Sulle costituzioni apostoliche.</w:t>
      </w:r>
      <w:r>
        <w:rPr>
          <w:rFonts w:ascii="Barlow Semi Condensed" w:cs="Barlow Semi Condensed" w:eastAsia="Barlow Semi Condensed" w:hAnsi="Barlow Semi Condensed"/>
          <w:sz w:val="24"/>
          <w:szCs w:val="24"/>
        </w:rPr>
        <w:t xml:space="preserve"> Confermato il nucleo — il 28 giugno 1972 Paolo VI emanò in forma di bolla due costituzioni apostoliche — con tre precisazioni: il titolo del secondo documento è </w:t>
      </w:r>
      <w:r>
        <w:rPr>
          <w:rFonts w:ascii="Barlow Semi Condensed" w:cs="Barlow Semi Condensed" w:eastAsia="Barlow Semi Condensed" w:hAnsi="Barlow Semi Condensed"/>
          <w:b/>
          <w:bCs/>
          <w:sz w:val="24"/>
          <w:szCs w:val="24"/>
        </w:rPr>
        <w:t xml:space="preserve">«Vratislaviensis-Berolinensis et aliarum»</w:t>
      </w:r>
      <w:r>
        <w:rPr>
          <w:rFonts w:ascii="Barlow Semi Condensed" w:cs="Barlow Semi Condensed" w:eastAsia="Barlow Semi Condensed" w:hAnsi="Barlow Semi Condensed"/>
          <w:sz w:val="24"/>
          <w:szCs w:val="24"/>
        </w:rPr>
        <w:t xml:space="preserve"> (la resa abbreviata è troncata); la ripartizione dei contenuti fra i due atti va attribuita puntualmente e non cumulativamente; e le grafie divergono fra le fonti enciclopediche.</w:t>
      </w:r>
    </w:p>
    <w:p>
      <w:pPr>
        <w:pStyle w:val="Heading3"/>
        <w:spacing w:after="80" w:before="160"/>
      </w:pPr>
      <w:r>
        <w:rPr>
          <w:rFonts w:ascii="Barlow Semi Condensed" w:cs="Barlow Semi Condensed" w:eastAsia="Barlow Semi Condensed" w:hAnsi="Barlow Semi Condensed"/>
          <w:sz w:val="24"/>
          <w:szCs w:val="24"/>
        </w:rPr>
        <w:t xml:space="preserve">F-2 · La cronologia dei mandati, il TNP e i riconoscimenti</w:t>
      </w:r>
    </w:p>
    <w:p>
      <w:pPr>
        <w:spacing w:after="120" w:line="276"/>
        <w:jc w:val="both"/>
      </w:pPr>
      <w:r>
        <w:rPr>
          <w:rFonts w:ascii="Barlow Semi Condensed" w:cs="Barlow Semi Condensed" w:eastAsia="Barlow Semi Condensed" w:hAnsi="Barlow Semi Condensed"/>
          <w:b/>
          <w:bCs/>
          <w:sz w:val="24"/>
          <w:szCs w:val="24"/>
        </w:rPr>
        <w:t xml:space="preserve">La divergenza sulla fine del primo mandato si chiude.</w:t>
      </w:r>
      <w:r>
        <w:rPr>
          <w:rFonts w:ascii="Barlow Semi Condensed" w:cs="Barlow Semi Condensed" w:eastAsia="Barlow Semi Condensed" w:hAnsi="Barlow Semi Condensed"/>
          <w:sz w:val="24"/>
          <w:szCs w:val="24"/>
        </w:rPr>
        <w:t xml:space="preserve"> La data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e la ragione è dirimente: il primo governo Andreotti cessa quel giorno col giuramento del secondo, nel quale la Farnesina passa a Giuseppe Medici. Poiché il successore entra in carica il 26 giugno, </w:t>
      </w:r>
      <w:r>
        <w:rPr>
          <w:rFonts w:ascii="Barlow Semi Condensed" w:cs="Barlow Semi Condensed" w:eastAsia="Barlow Semi Condensed" w:hAnsi="Barlow Semi Condensed"/>
          <w:b/>
          <w:bCs/>
          <w:sz w:val="24"/>
          <w:szCs w:val="24"/>
        </w:rPr>
        <w:t xml:space="preserve">il mandato di Moro non può proseguire al 29 luglio</w:t>
      </w:r>
      <w:r>
        <w:rPr>
          <w:rFonts w:ascii="Barlow Semi Condensed" w:cs="Barlow Semi Condensed" w:eastAsia="Barlow Semi Condensed" w:hAnsi="Barlow Semi Condensed"/>
          <w:sz w:val="24"/>
          <w:szCs w:val="24"/>
        </w:rPr>
        <w:t xml:space="preserve">: l'indicazione discordante è confutata, non solo divergente. Ne segue la correzione già registrata al capitolo II sul governo in carica il 28 giugno 1972.</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TNP in tutti e tre gli elementi — firma italiana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legge di ratifica </w:t>
      </w:r>
      <w:r>
        <w:rPr>
          <w:rFonts w:ascii="Barlow Semi Condensed" w:cs="Barlow Semi Condensed" w:eastAsia="Barlow Semi Condensed" w:hAnsi="Barlow Semi Condensed"/>
          <w:b/>
          <w:bCs/>
          <w:sz w:val="24"/>
          <w:szCs w:val="24"/>
        </w:rPr>
        <w:t xml:space="preserve">24 aprile 1975 n. 131</w:t>
      </w:r>
      <w:r>
        <w:rPr>
          <w:rFonts w:ascii="Barlow Semi Condensed" w:cs="Barlow Semi Condensed" w:eastAsia="Barlow Semi Condensed" w:hAnsi="Barlow Semi Condensed"/>
          <w:sz w:val="24"/>
          <w:szCs w:val="24"/>
        </w:rPr>
        <w:t xml:space="preserve"> (Gazzetta Ufficiale n. 113 del 30 aprile 1975), deposito degli strumenti — con la precisazione tecnica che </w:t>
      </w:r>
      <w:r>
        <w:rPr>
          <w:rFonts w:ascii="Barlow Semi Condensed" w:cs="Barlow Semi Condensed" w:eastAsia="Barlow Semi Condensed" w:hAnsi="Barlow Semi Condensed"/>
          <w:b/>
          <w:bCs/>
          <w:sz w:val="24"/>
          <w:szCs w:val="24"/>
        </w:rPr>
        <w:t xml:space="preserve">il Trattato ha tre depositari</w:t>
      </w:r>
      <w:r>
        <w:rPr>
          <w:rFonts w:ascii="Barlow Semi Condensed" w:cs="Barlow Semi Condensed" w:eastAsia="Barlow Semi Condensed" w:hAnsi="Barlow Semi Condensed"/>
          <w:sz w:val="24"/>
          <w:szCs w:val="24"/>
        </w:rPr>
        <w:t xml:space="preserve"> e che il deposito italiano si articola di conseguenza sulle due date già registrate.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data del 6 settembre 1978 per l'uccisione a Düsseldorf del militante della RAF, con una precisazione di statuto che il corpus fa propria: la dinamica (legittima difesa degli agenti) è la </w:t>
      </w:r>
      <w:r>
        <w:rPr>
          <w:rFonts w:ascii="Barlow Semi Condensed" w:cs="Barlow Semi Condensed" w:eastAsia="Barlow Semi Condensed" w:hAnsi="Barlow Semi Condensed"/>
          <w:b/>
          <w:bCs/>
          <w:sz w:val="24"/>
          <w:szCs w:val="24"/>
        </w:rPr>
        <w:t xml:space="preserve">versione ufficiale delle forze dell'ordine</w:t>
      </w:r>
      <w:r>
        <w:rPr>
          <w:rFonts w:ascii="Barlow Semi Condensed" w:cs="Barlow Semi Condensed" w:eastAsia="Barlow Semi Condensed" w:hAnsi="Barlow Semi Condensed"/>
          <w:sz w:val="24"/>
          <w:szCs w:val="24"/>
        </w:rPr>
        <w:t xml:space="preserve">, e va riportata come tale e non come accertamento.</w:t>
      </w:r>
    </w:p>
    <w:p>
      <w:pPr>
        <w:spacing w:after="120" w:line="276"/>
        <w:jc w:val="both"/>
      </w:pPr>
      <w:r>
        <w:rPr>
          <w:rFonts w:ascii="Barlow Semi Condensed" w:cs="Barlow Semi Condensed" w:eastAsia="Barlow Semi Condensed" w:hAnsi="Barlow Semi Condensed"/>
          <w:b/>
          <w:bCs/>
          <w:sz w:val="24"/>
          <w:szCs w:val="24"/>
        </w:rPr>
        <w:t xml:space="preserve">Due precisazioni sui riconoscimenti.</w:t>
      </w:r>
      <w:r>
        <w:rPr>
          <w:rFonts w:ascii="Barlow Semi Condensed" w:cs="Barlow Semi Condensed" w:eastAsia="Barlow Semi Condensed" w:hAnsi="Barlow Semi Condensed"/>
          <w:sz w:val="24"/>
          <w:szCs w:val="24"/>
        </w:rPr>
        <w:t xml:space="preserve"> Sul riconoscimento della </w:t>
      </w:r>
      <w:r>
        <w:rPr>
          <w:rFonts w:ascii="Barlow Semi Condensed" w:cs="Barlow Semi Condensed" w:eastAsia="Barlow Semi Condensed" w:hAnsi="Barlow Semi Condensed"/>
          <w:b/>
          <w:bCs/>
          <w:sz w:val="24"/>
          <w:szCs w:val="24"/>
        </w:rPr>
        <w:t xml:space="preserve">Repubblica Democratica Tedesca</w:t>
      </w:r>
      <w:r>
        <w:rPr>
          <w:rFonts w:ascii="Barlow Semi Condensed" w:cs="Barlow Semi Condensed" w:eastAsia="Barlow Semi Condensed" w:hAnsi="Barlow Semi Condensed"/>
          <w:sz w:val="24"/>
          <w:szCs w:val="24"/>
        </w:rPr>
        <w:t xml:space="preserve">: confermato che il titolare della Farnesina era Medici, ma </w:t>
      </w:r>
      <w:r>
        <w:rPr>
          <w:rFonts w:ascii="Barlow Semi Condensed" w:cs="Barlow Semi Condensed" w:eastAsia="Barlow Semi Condensed" w:hAnsi="Barlow Semi Condensed"/>
          <w:b/>
          <w:bCs/>
          <w:sz w:val="24"/>
          <w:szCs w:val="24"/>
        </w:rPr>
        <w:t xml:space="preserve">la data diverge fra le fonti</w:t>
      </w:r>
      <w:r>
        <w:rPr>
          <w:rFonts w:ascii="Barlow Semi Condensed" w:cs="Barlow Semi Condensed" w:eastAsia="Barlow Semi Condensed" w:hAnsi="Barlow Semi Condensed"/>
          <w:sz w:val="24"/>
          <w:szCs w:val="24"/>
        </w:rPr>
        <w:t xml:space="preserve"> — 17 gennaio 1973 nelle fonti italiane, 18 gennaio 1973 in fonte istituzionale tedesca. La divergenza è nuova, è stata prodotta dalla verifica, ed è registrata al capitolo III. Sul riconoscimento della </w:t>
      </w:r>
      <w:r>
        <w:rPr>
          <w:rFonts w:ascii="Barlow Semi Condensed" w:cs="Barlow Semi Condensed" w:eastAsia="Barlow Semi Condensed" w:hAnsi="Barlow Semi Condensed"/>
          <w:b/>
          <w:bCs/>
          <w:sz w:val="24"/>
          <w:szCs w:val="24"/>
        </w:rPr>
        <w:t xml:space="preserve">Repubblica popolare cinese</w:t>
      </w:r>
      <w:r>
        <w:rPr>
          <w:rFonts w:ascii="Barlow Semi Condensed" w:cs="Barlow Semi Condensed" w:eastAsia="Barlow Semi Condensed" w:hAnsi="Barlow Semi Condensed"/>
          <w:sz w:val="24"/>
          <w:szCs w:val="24"/>
        </w:rPr>
        <w:t xml:space="preserve">: confermata l'attribuzione dell'iniziativa a Nenni, che annunciò l'intenzione alla Camera il </w:t>
      </w:r>
      <w:r>
        <w:rPr>
          <w:rFonts w:ascii="Barlow Semi Condensed" w:cs="Barlow Semi Condensed" w:eastAsia="Barlow Semi Condensed" w:hAnsi="Barlow Semi Condensed"/>
          <w:b/>
          <w:bCs/>
          <w:sz w:val="24"/>
          <w:szCs w:val="24"/>
        </w:rPr>
        <w:t xml:space="preserve">24 gennaio 1969</w:t>
      </w:r>
      <w:r>
        <w:rPr>
          <w:rFonts w:ascii="Barlow Semi Condensed" w:cs="Barlow Semi Condensed" w:eastAsia="Barlow Semi Condensed" w:hAnsi="Barlow Semi Condensed"/>
          <w:sz w:val="24"/>
          <w:szCs w:val="24"/>
        </w:rPr>
        <w:t xml:space="preserve">, con la precisazione che </w:t>
      </w:r>
      <w:r>
        <w:rPr>
          <w:rFonts w:ascii="Barlow Semi Condensed" w:cs="Barlow Semi Condensed" w:eastAsia="Barlow Semi Condensed" w:hAnsi="Barlow Semi Condensed"/>
          <w:b/>
          <w:bCs/>
          <w:sz w:val="24"/>
          <w:szCs w:val="24"/>
        </w:rPr>
        <w:t xml:space="preserve">al momento della conclusione, nel novembre 1970, il ministro degli Esteri era Moro</w:t>
      </w:r>
      <w:r>
        <w:rPr>
          <w:rFonts w:ascii="Barlow Semi Condensed" w:cs="Barlow Semi Condensed" w:eastAsia="Barlow Semi Condensed" w:hAnsi="Barlow Semi Condensed"/>
          <w:sz w:val="24"/>
          <w:szCs w:val="24"/>
        </w:rPr>
        <w:t xml:space="preserve"> — il che conferma esattamente la formula che il corpus già usava: normalizzazione perfezionata sotto la sua titolarità, senza paternità dell'iniziativa.</w:t>
      </w:r>
    </w:p>
    <w:p>
      <w:pPr>
        <w:pStyle w:val="Heading3"/>
        <w:spacing w:after="80" w:before="160"/>
      </w:pPr>
      <w:r>
        <w:rPr>
          <w:rFonts w:ascii="Barlow Semi Condensed" w:cs="Barlow Semi Condensed" w:eastAsia="Barlow Semi Condensed" w:hAnsi="Barlow Semi Condensed"/>
          <w:sz w:val="24"/>
          <w:szCs w:val="24"/>
        </w:rPr>
        <w:t xml:space="preserve">F-3 · Il versante portoghese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Conferenza internazionale di solidarietà</w:t>
      </w:r>
      <w:r>
        <w:rPr>
          <w:rFonts w:ascii="Barlow Semi Condensed" w:cs="Barlow Semi Condensed" w:eastAsia="Barlow Semi Condensed" w:hAnsi="Barlow Semi Condensed"/>
          <w:sz w:val="24"/>
          <w:szCs w:val="24"/>
        </w:rPr>
        <w:t xml:space="preserve"> di Roma del </w:t>
      </w:r>
      <w:r>
        <w:rPr>
          <w:rFonts w:ascii="Barlow Semi Condensed" w:cs="Barlow Semi Condensed" w:eastAsia="Barlow Semi Condensed" w:hAnsi="Barlow Semi Condensed"/>
          <w:b/>
          <w:bCs/>
          <w:sz w:val="24"/>
          <w:szCs w:val="24"/>
        </w:rPr>
        <w:t xml:space="preserve">27-29 giugno 1970</w:t>
      </w:r>
      <w:r>
        <w:rPr>
          <w:rFonts w:ascii="Barlow Semi Condensed" w:cs="Barlow Semi Condensed" w:eastAsia="Barlow Semi Condensed" w:hAnsi="Barlow Semi Condensed"/>
          <w:sz w:val="24"/>
          <w:szCs w:val="24"/>
        </w:rPr>
        <w:t xml:space="preserve">, con un dato che la ricognizione non portava e che ne misura la scala: </w:t>
      </w:r>
      <w:r>
        <w:rPr>
          <w:rFonts w:ascii="Barlow Semi Condensed" w:cs="Barlow Semi Condensed" w:eastAsia="Barlow Semi Condensed" w:hAnsi="Barlow Semi Condensed"/>
          <w:b/>
          <w:bCs/>
          <w:sz w:val="24"/>
          <w:szCs w:val="24"/>
        </w:rPr>
        <w:t xml:space="preserve">centosettantasette organizzazioni politiche, sindacali e religiose in rappresentanza di sessantaquattro Paesi</w:t>
      </w:r>
      <w:r>
        <w:rPr>
          <w:rFonts w:ascii="Barlow Semi Condensed" w:cs="Barlow Semi Condensed" w:eastAsia="Barlow Semi Condensed" w:hAnsi="Barlow Semi Condensed"/>
          <w:sz w:val="24"/>
          <w:szCs w:val="24"/>
        </w:rPr>
        <w:t xml:space="preserve">, e fra i promotori italiani figure di primo piano dell'antifascismo e della sinistra giuridica. Confermata l'</w:t>
      </w:r>
      <w:r>
        <w:rPr>
          <w:rFonts w:ascii="Barlow Semi Condensed" w:cs="Barlow Semi Condensed" w:eastAsia="Barlow Semi Condensed" w:hAnsi="Barlow Semi Condensed"/>
          <w:b/>
          <w:bCs/>
          <w:sz w:val="24"/>
          <w:szCs w:val="24"/>
        </w:rPr>
        <w:t xml:space="preserve">udienza del 1° luglio 1970</w:t>
      </w:r>
      <w:r>
        <w:rPr>
          <w:rFonts w:ascii="Barlow Semi Condensed" w:cs="Barlow Semi Condensed" w:eastAsia="Barlow Semi Condensed" w:hAnsi="Barlow Semi Condensed"/>
          <w:sz w:val="24"/>
          <w:szCs w:val="24"/>
        </w:rPr>
        <w:t xml:space="preserve">, che le fonti qualificano come </w:t>
      </w:r>
      <w:r>
        <w:rPr>
          <w:rFonts w:ascii="Barlow Semi Condensed" w:cs="Barlow Semi Condensed" w:eastAsia="Barlow Semi Condensed" w:hAnsi="Barlow Semi Condensed"/>
          <w:b/>
          <w:bCs/>
          <w:sz w:val="24"/>
          <w:szCs w:val="24"/>
        </w:rPr>
        <w:t xml:space="preserve">udienza in forma privata</w:t>
      </w:r>
      <w:r>
        <w:rPr>
          <w:rFonts w:ascii="Barlow Semi Condensed" w:cs="Barlow Semi Condensed" w:eastAsia="Barlow Semi Condensed" w:hAnsi="Barlow Semi Condensed"/>
          <w:sz w:val="24"/>
          <w:szCs w:val="24"/>
        </w:rPr>
        <w:t xml:space="preserve"> a conclusione della Conferenza — precisazione di forma che il corpus recepisce, perché distingue l'atto dal ricevimento ufficiale.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massacro di </w:t>
      </w:r>
      <w:r>
        <w:rPr>
          <w:rFonts w:ascii="Barlow Semi Condensed" w:cs="Barlow Semi Condensed" w:eastAsia="Barlow Semi Condensed" w:hAnsi="Barlow Semi Condensed"/>
          <w:b/>
          <w:bCs/>
          <w:sz w:val="24"/>
          <w:szCs w:val="24"/>
        </w:rPr>
        <w:t xml:space="preserve">Wiriyamu del 16 dicembre 1972</w:t>
      </w:r>
      <w:r>
        <w:rPr>
          <w:rFonts w:ascii="Barlow Semi Condensed" w:cs="Barlow Semi Condensed" w:eastAsia="Barlow Semi Condensed" w:hAnsi="Barlow Semi Condensed"/>
          <w:sz w:val="24"/>
          <w:szCs w:val="24"/>
        </w:rPr>
        <w:t xml:space="preserve">, con il nome in codice dell'operazione e la partecipazione documentata di reparti dei Commandos e della polizia politica; e </w:t>
      </w:r>
      <w:r>
        <w:rPr>
          <w:rFonts w:ascii="Barlow Semi Condensed" w:cs="Barlow Semi Condensed" w:eastAsia="Barlow Semi Condensed" w:hAnsi="Barlow Semi Condensed"/>
          <w:b/>
          <w:bCs/>
          <w:sz w:val="24"/>
          <w:szCs w:val="24"/>
        </w:rPr>
        <w:t xml:space="preserve">confermata la forbice 150-400</w:t>
      </w:r>
      <w:r>
        <w:rPr>
          <w:rFonts w:ascii="Barlow Semi Condensed" w:cs="Barlow Semi Condensed" w:eastAsia="Barlow Semi Condensed" w:hAnsi="Barlow Semi Condensed"/>
          <w:sz w:val="24"/>
          <w:szCs w:val="24"/>
        </w:rPr>
        <w:t xml:space="preserve"> come divergenza reale fra fonti, non come incertezza del corpus: circa centocinquanta secondo una stima attribuita alla Croce Rossa, circa trecento secondo l'inchiesta del settimanale portoghese fondata su testimonianze di militari, trecentottantacinque nominativi accertati e «vicino a quattrocento» nella ricostruzione accademica. </w:t>
      </w: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10 luglio 1973</w:t>
      </w:r>
      <w:r>
        <w:rPr>
          <w:rFonts w:ascii="Barlow Semi Condensed" w:cs="Barlow Semi Condensed" w:eastAsia="Barlow Semi Condensed" w:hAnsi="Barlow Semi Condensed"/>
          <w:sz w:val="24"/>
          <w:szCs w:val="24"/>
        </w:rPr>
        <w:t xml:space="preserve">, in prima pagina, col titolo esatto — e con un elemento di contesto che le fonti danno per ricorrente: uscì </w:t>
      </w:r>
      <w:r>
        <w:rPr>
          <w:rFonts w:ascii="Barlow Semi Condensed" w:cs="Barlow Semi Condensed" w:eastAsia="Barlow Semi Condensed" w:hAnsi="Barlow Semi Condensed"/>
          <w:b/>
          <w:bCs/>
          <w:sz w:val="24"/>
          <w:szCs w:val="24"/>
        </w:rPr>
        <w:t xml:space="preserve">pochi giorni prima della visita ufficiale a Londra del primo ministro portoghese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Due precisazioni.</w:t>
      </w:r>
      <w:r>
        <w:rPr>
          <w:rFonts w:ascii="Barlow Semi Condensed" w:cs="Barlow Semi Condensed" w:eastAsia="Barlow Semi Condensed" w:hAnsi="Barlow Semi Condensed"/>
          <w:sz w:val="24"/>
          <w:szCs w:val="24"/>
        </w:rPr>
        <w:t xml:space="preserve"> Sull'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la sostanza è confermata — vescovo di Nampula e comboniani espulsi dalle autorità portoghesi come ritorsione per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redatto il </w:t>
      </w:r>
      <w:r>
        <w:rPr>
          <w:rFonts w:ascii="Barlow Semi Condensed" w:cs="Barlow Semi Condensed" w:eastAsia="Barlow Semi Condensed" w:hAnsi="Barlow Semi Condensed"/>
          <w:b/>
          <w:bCs/>
          <w:sz w:val="24"/>
          <w:szCs w:val="24"/>
        </w:rPr>
        <w:t xml:space="preserve">12 febbraio 1974</w:t>
      </w:r>
      <w:r>
        <w:rPr>
          <w:rFonts w:ascii="Barlow Semi Condensed" w:cs="Barlow Semi Condensed" w:eastAsia="Barlow Semi Condensed" w:hAnsi="Barlow Semi Condensed"/>
          <w:sz w:val="24"/>
          <w:szCs w:val="24"/>
        </w:rPr>
        <w:t xml:space="preserve"> — ma la verifica </w:t>
      </w:r>
      <w:r>
        <w:rPr>
          <w:rFonts w:ascii="Barlow Semi Condensed" w:cs="Barlow Semi Condensed" w:eastAsia="Barlow Semi Condensed" w:hAnsi="Barlow Semi Condensed"/>
          <w:b/>
          <w:bCs/>
          <w:sz w:val="24"/>
          <w:szCs w:val="24"/>
        </w:rPr>
        <w:t xml:space="preserve">allarga la divergenza sulla data</w:t>
      </w:r>
      <w:r>
        <w:rPr>
          <w:rFonts w:ascii="Barlow Semi Condensed" w:cs="Barlow Semi Condensed" w:eastAsia="Barlow Semi Condensed" w:hAnsi="Barlow Semi Condensed"/>
          <w:sz w:val="24"/>
          <w:szCs w:val="24"/>
        </w:rPr>
        <w:t xml:space="preserve"> già registrata: alcune fonti collocano l'espulsione da Nampula al </w:t>
      </w:r>
      <w:r>
        <w:rPr>
          <w:rFonts w:ascii="Barlow Semi Condensed" w:cs="Barlow Semi Condensed" w:eastAsia="Barlow Semi Condensed" w:hAnsi="Barlow Semi Condensed"/>
          <w:b/>
          <w:bCs/>
          <w:sz w:val="24"/>
          <w:szCs w:val="24"/>
        </w:rPr>
        <w:t xml:space="preserve">10 aprile 1974</w:t>
      </w:r>
      <w:r>
        <w:rPr>
          <w:rFonts w:ascii="Barlow Semi Condensed" w:cs="Barlow Semi Condensed" w:eastAsia="Barlow Semi Condensed" w:hAnsi="Barlow Semi Condensed"/>
          <w:sz w:val="24"/>
          <w:szCs w:val="24"/>
        </w:rPr>
        <w:t xml:space="preserve">, con arrivo a Lisbona quattro giorni dopo, la domenica di Pasqua; altre al 13. La forbice va portata da «12, 13 o 14 aprile» a «</w:t>
      </w:r>
      <w:r>
        <w:rPr>
          <w:rFonts w:ascii="Barlow Semi Condensed" w:cs="Barlow Semi Condensed" w:eastAsia="Barlow Semi Condensed" w:hAnsi="Barlow Semi Condensed"/>
          <w:b/>
          <w:bCs/>
          <w:sz w:val="24"/>
          <w:szCs w:val="24"/>
        </w:rPr>
        <w:t xml:space="preserve">10-14 aprile 1974</w:t>
      </w:r>
      <w:r>
        <w:rPr>
          <w:rFonts w:ascii="Barlow Semi Condensed" w:cs="Barlow Semi Condensed" w:eastAsia="Barlow Semi Condensed" w:hAnsi="Barlow Semi Condensed"/>
          <w:sz w:val="24"/>
          <w:szCs w:val="24"/>
        </w:rPr>
        <w:t xml:space="preserve">», e riportata così.</w:t>
      </w:r>
    </w:p>
    <w:p>
      <w:pPr>
        <w:spacing w:after="120" w:line="276"/>
        <w:jc w:val="both"/>
      </w:pPr>
      <w:r>
        <w:rPr>
          <w:rFonts w:ascii="Barlow Semi Condensed" w:cs="Barlow Semi Condensed" w:eastAsia="Barlow Semi Condensed" w:hAnsi="Barlow Semi Condensed"/>
          <w:sz w:val="24"/>
          <w:szCs w:val="24"/>
        </w:rPr>
        <w:t xml:space="preserve">Sui </w:t>
      </w:r>
      <w:r>
        <w:rPr>
          <w:rFonts w:ascii="Barlow Semi Condensed" w:cs="Barlow Semi Condensed" w:eastAsia="Barlow Semi Condensed" w:hAnsi="Barlow Semi Condensed"/>
          <w:b/>
          <w:bCs/>
          <w:sz w:val="24"/>
          <w:szCs w:val="24"/>
        </w:rPr>
        <w:t xml:space="preserve">quarantotto Padri Bianchi</w:t>
      </w:r>
      <w:r>
        <w:rPr>
          <w:rFonts w:ascii="Barlow Semi Condensed" w:cs="Barlow Semi Condensed" w:eastAsia="Barlow Semi Condensed" w:hAnsi="Barlow Semi Condensed"/>
          <w:sz w:val="24"/>
          <w:szCs w:val="24"/>
        </w:rPr>
        <w:t xml:space="preserve">, il fatto è confermato nella sostanza e nel mese, ma </w:t>
      </w:r>
      <w:r>
        <w:rPr>
          <w:rFonts w:ascii="Barlow Semi Condensed" w:cs="Barlow Semi Condensed" w:eastAsia="Barlow Semi Condensed" w:hAnsi="Barlow Semi Condensed"/>
          <w:b/>
          <w:bCs/>
          <w:sz w:val="24"/>
          <w:szCs w:val="24"/>
        </w:rPr>
        <w:t xml:space="preserve">la cifra poggia su una sola fonte</w:t>
      </w:r>
      <w:r>
        <w:rPr>
          <w:rFonts w:ascii="Barlow Semi Condensed" w:cs="Barlow Semi Condensed" w:eastAsia="Barlow Semi Condensed" w:hAnsi="Barlow Semi Condensed"/>
          <w:sz w:val="24"/>
          <w:szCs w:val="24"/>
        </w:rPr>
        <w:t xml:space="preserve"> — una voce enciclopedica cattolica — e </w:t>
      </w:r>
      <w:r>
        <w:rPr>
          <w:rFonts w:ascii="Barlow Semi Condensed" w:cs="Barlow Semi Condensed" w:eastAsia="Barlow Semi Condensed" w:hAnsi="Barlow Semi Condensed"/>
          <w:b/>
          <w:bCs/>
          <w:sz w:val="24"/>
          <w:szCs w:val="24"/>
        </w:rPr>
        <w:t xml:space="preserve">diverge da quella della congregazione stessa</w:t>
      </w:r>
      <w:r>
        <w:rPr>
          <w:rFonts w:ascii="Barlow Semi Condensed" w:cs="Barlow Semi Condensed" w:eastAsia="Barlow Semi Condensed" w:hAnsi="Barlow Semi Condensed"/>
          <w:sz w:val="24"/>
          <w:szCs w:val="24"/>
        </w:rPr>
        <w:t xml:space="preserve">. Il numero va dunque citato con la sua fonte e non come dato acquisito: è esattamente il genere di cifra che, ripetuta senza attribuzione, diventa un fatto senza esserlo.</w:t>
      </w:r>
    </w:p>
    <w:p>
      <w:pPr>
        <w:pStyle w:val="Heading3"/>
        <w:spacing w:after="80" w:before="160"/>
      </w:pPr>
      <w:r>
        <w:rPr>
          <w:rFonts w:ascii="Barlow Semi Condensed" w:cs="Barlow Semi Condensed" w:eastAsia="Barlow Semi Condensed" w:hAnsi="Barlow Semi Condensed"/>
          <w:sz w:val="24"/>
          <w:szCs w:val="24"/>
        </w:rPr>
        <w:t xml:space="preserve">F-4 · Il versante spagnolo</w:t>
      </w:r>
    </w:p>
    <w:p>
      <w:pPr>
        <w:spacing w:after="120" w:line="276"/>
        <w:jc w:val="both"/>
      </w:pPr>
      <w:r>
        <w:rPr>
          <w:rFonts w:ascii="Barlow Semi Condensed" w:cs="Barlow Semi Condensed" w:eastAsia="Barlow Semi Condensed" w:hAnsi="Barlow Semi Condensed"/>
          <w:sz w:val="24"/>
          <w:szCs w:val="24"/>
        </w:rPr>
        <w:t xml:space="preserve">È la campagna con l'esito più netto: </w:t>
      </w:r>
      <w:r>
        <w:rPr>
          <w:rFonts w:ascii="Barlow Semi Condensed" w:cs="Barlow Semi Condensed" w:eastAsia="Barlow Semi Condensed" w:hAnsi="Barlow Semi Condensed"/>
          <w:b/>
          <w:bCs/>
          <w:sz w:val="24"/>
          <w:szCs w:val="24"/>
        </w:rPr>
        <w:t xml:space="preserve">tutti e cinque i fatti sottoposti a verifica risultano confermati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Il documento CIA esiste, col protocollo indicato.</w:t>
      </w:r>
      <w:r>
        <w:rPr>
          <w:rFonts w:ascii="Barlow Semi Condensed" w:cs="Barlow Semi Condensed" w:eastAsia="Barlow Semi Condensed" w:hAnsi="Barlow Semi Condensed"/>
          <w:sz w:val="24"/>
          <w:szCs w:val="24"/>
        </w:rPr>
        <w:t xml:space="preserve"> La verifica lo reperisce nella sala di lettura FOIA dell'agenzia col medesimo identificativo, il medesimo titolo e la medesima data del 22 maggio 1970, e ne conferma il contenuto, aggiungendo due dati che la ricognizione non portava: la stima secondo cui </w:t>
      </w:r>
      <w:r>
        <w:rPr>
          <w:rFonts w:ascii="Barlow Semi Condensed" w:cs="Barlow Semi Condensed" w:eastAsia="Barlow Semi Condensed" w:hAnsi="Barlow Semi Condensed"/>
          <w:b/>
          <w:bCs/>
          <w:sz w:val="24"/>
          <w:szCs w:val="24"/>
        </w:rPr>
        <w:t xml:space="preserve">almeno dieci dei diciannove ministri</w:t>
      </w:r>
      <w:r>
        <w:rPr>
          <w:rFonts w:ascii="Barlow Semi Condensed" w:cs="Barlow Semi Condensed" w:eastAsia="Barlow Semi Condensed" w:hAnsi="Barlow Semi Condensed"/>
          <w:sz w:val="24"/>
          <w:szCs w:val="24"/>
        </w:rPr>
        <w:t xml:space="preserve"> del rimpasto dell'ottobre 1969 rientravano nella descrizione, e i portafogli assegnati ai «tecnocrati» (finanze, commercio, industria, edilizia, informazione e turismo). L'accertamento chiude la questione dell'autenticità e del protocollo — che era il punto più delicato dell'intera campagna — e </w:t>
      </w:r>
      <w:r>
        <w:rPr>
          <w:rFonts w:ascii="Barlow Semi Condensed" w:cs="Barlow Semi Condensed" w:eastAsia="Barlow Semi Condensed" w:hAnsi="Barlow Semi Condensed"/>
          <w:b/>
          <w:bCs/>
          <w:sz w:val="24"/>
          <w:szCs w:val="24"/>
        </w:rPr>
        <w:t xml:space="preserve">lascia intatta la regola di lettura</w:t>
      </w:r>
      <w:r>
        <w:rPr>
          <w:rFonts w:ascii="Barlow Semi Condensed" w:cs="Barlow Semi Condensed" w:eastAsia="Barlow Semi Condensed" w:hAnsi="Barlow Semi Condensed"/>
          <w:sz w:val="24"/>
          <w:szCs w:val="24"/>
        </w:rPr>
        <w:t xml:space="preserve">, che non dipende dalla verifica: la frase sul funzionario italiano resta anonima e non è attribuibile a Moro, e l'appartenenza dei ministri a un ente resta fatto pubblico e non prova di condotta dell'ente.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l'accordo preferenziale </w:t>
      </w:r>
      <w:r>
        <w:rPr>
          <w:rFonts w:ascii="Barlow Semi Condensed" w:cs="Barlow Semi Condensed" w:eastAsia="Barlow Semi Condensed" w:hAnsi="Barlow Semi Condensed"/>
          <w:b/>
          <w:bCs/>
          <w:sz w:val="24"/>
          <w:szCs w:val="24"/>
        </w:rPr>
        <w:t xml:space="preserve">CEE-Spagna del 29 giugno 1970</w:t>
      </w:r>
      <w:r>
        <w:rPr>
          <w:rFonts w:ascii="Barlow Semi Condensed" w:cs="Barlow Semi Condensed" w:eastAsia="Barlow Semi Condensed" w:hAnsi="Barlow Semi Condensed"/>
          <w:sz w:val="24"/>
          <w:szCs w:val="24"/>
        </w:rPr>
        <w:t xml:space="preserve">, su fonte primaria (il testo in EUR-Lex e lo strumento di ratifica spagnolo), con la precisazione che il firmatario belga sottoscrisse </w:t>
      </w:r>
      <w:r>
        <w:rPr>
          <w:rFonts w:ascii="Barlow Semi Condensed" w:cs="Barlow Semi Condensed" w:eastAsia="Barlow Semi Condensed" w:hAnsi="Barlow Semi Condensed"/>
          <w:b/>
          <w:bCs/>
          <w:sz w:val="24"/>
          <w:szCs w:val="24"/>
        </w:rPr>
        <w:t xml:space="preserve">in qualità di presidente di turno del Consiglio</w:t>
      </w:r>
      <w:r>
        <w:rPr>
          <w:rFonts w:ascii="Barlow Semi Condensed" w:cs="Barlow Semi Condensed" w:eastAsia="Barlow Semi Condensed" w:hAnsi="Barlow Semi Condensed"/>
          <w:sz w:val="24"/>
          <w:szCs w:val="24"/>
        </w:rPr>
        <w:t xml:space="preserve"> — l'Italia avrebbe tenuto quella presidenza nel semestre successivo, il che colloca correttamente la firma turca del 27 luglio 1971 già acquisita dal corpus.</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cinque esecuzioni del 27 settembre 1975</w:t>
      </w:r>
      <w:r>
        <w:rPr>
          <w:rFonts w:ascii="Barlow Semi Condensed" w:cs="Barlow Semi Condensed" w:eastAsia="Barlow Semi Condensed" w:hAnsi="Barlow Semi Condensed"/>
          <w:sz w:val="24"/>
          <w:szCs w:val="24"/>
        </w:rPr>
        <w:t xml:space="preserve">, ultime del franchismo, meno di due mesi prima della morte di Franco, con la precisazione di statuto che la disciplina impone e che si registra qui: le condanne furono pronunciate da </w:t>
      </w:r>
      <w:r>
        <w:rPr>
          <w:rFonts w:ascii="Barlow Semi Condensed" w:cs="Barlow Semi Condensed" w:eastAsia="Barlow Semi Condensed" w:hAnsi="Barlow Semi Condensed"/>
          <w:b/>
          <w:bCs/>
          <w:sz w:val="24"/>
          <w:szCs w:val="24"/>
        </w:rPr>
        <w:t xml:space="preserve">consigli di guerra sommari</w:t>
      </w:r>
      <w:r>
        <w:rPr>
          <w:rFonts w:ascii="Barlow Semi Condensed" w:cs="Barlow Semi Condensed" w:eastAsia="Barlow Semi Condensed" w:hAnsi="Barlow Semi Condensed"/>
          <w:sz w:val="24"/>
          <w:szCs w:val="24"/>
        </w:rPr>
        <w:t xml:space="preserve"> sotto un decreto-legge dell'agosto 1975, con procedure la cui denuncia fu allora e resta oggetto di rilievo — dato che va riportato quando si riprende l'episodio del richiamo degli ambasciatori.</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udienza del 12 gennaio 1973</w:t>
      </w:r>
      <w:r>
        <w:rPr>
          <w:rFonts w:ascii="Barlow Semi Condensed" w:cs="Barlow Semi Condensed" w:eastAsia="Barlow Semi Condensed" w:hAnsi="Barlow Semi Condensed"/>
          <w:sz w:val="24"/>
          <w:szCs w:val="24"/>
        </w:rPr>
        <w:t xml:space="preserve"> — con una riserva esplicita sulla solidità della fonte, che è una conferenza edita da una fondazione e le ricostruzioni che ne derivano, </w:t>
      </w:r>
      <w:r>
        <w:rPr>
          <w:rFonts w:ascii="Barlow Semi Condensed" w:cs="Barlow Semi Condensed" w:eastAsia="Barlow Semi Condensed" w:hAnsi="Barlow Semi Condensed"/>
          <w:b/>
          <w:bCs/>
          <w:sz w:val="24"/>
          <w:szCs w:val="24"/>
        </w:rPr>
        <w:t xml:space="preserve">non un documento primario consultabile</w:t>
      </w:r>
      <w:r>
        <w:rPr>
          <w:rFonts w:ascii="Barlow Semi Condensed" w:cs="Barlow Semi Condensed" w:eastAsia="Barlow Semi Condensed" w:hAnsi="Barlow Semi Condensed"/>
          <w:sz w:val="24"/>
          <w:szCs w:val="24"/>
        </w:rPr>
        <w:t xml:space="preserve">: le fonti concordano sulla data, e la risposta pontificia giunse oltre sei mesi dopo, il 31 luglio 1973 — e la </w:t>
      </w:r>
      <w:r>
        <w:rPr>
          <w:rFonts w:ascii="Barlow Semi Condensed" w:cs="Barlow Semi Condensed" w:eastAsia="Barlow Semi Condensed" w:hAnsi="Barlow Semi Condensed"/>
          <w:b/>
          <w:bCs/>
          <w:sz w:val="24"/>
          <w:szCs w:val="24"/>
        </w:rPr>
        <w:t xml:space="preserve">cronologia dei ministri degli Esteri spagnoli</w:t>
      </w:r>
      <w:r>
        <w:rPr>
          <w:rFonts w:ascii="Barlow Semi Condensed" w:cs="Barlow Semi Condensed" w:eastAsia="Barlow Semi Condensed" w:hAnsi="Barlow Semi Condensed"/>
          <w:sz w:val="24"/>
          <w:szCs w:val="24"/>
        </w:rPr>
        <w:t xml:space="preserve">, precisata al giorno: dal 12 giugno 1973 al 4 gennaio 1974 il primo, dal 3-4 gennaio 1974 all'11 dicembre 1975 il secondo, ultimo del regime.</w:t>
      </w:r>
    </w:p>
    <w:p>
      <w:pPr>
        <w:spacing w:after="120" w:line="276"/>
        <w:jc w:val="both"/>
      </w:pPr>
      <w:r>
        <w:rPr>
          <w:rFonts w:ascii="Barlow Semi Condensed" w:cs="Barlow Semi Condensed" w:eastAsia="Barlow Semi Condensed" w:hAnsi="Barlow Semi Condensed"/>
          <w:b/>
          <w:bCs/>
          <w:sz w:val="24"/>
          <w:szCs w:val="24"/>
        </w:rPr>
        <w:t xml:space="preserve">Nessuna delle quattro campagne ha smentito un fatto portante.</w:t>
      </w:r>
      <w:r>
        <w:rPr>
          <w:rFonts w:ascii="Barlow Semi Condensed" w:cs="Barlow Semi Condensed" w:eastAsia="Barlow Semi Condensed" w:hAnsi="Barlow Semi Condensed"/>
          <w:sz w:val="24"/>
          <w:szCs w:val="24"/>
        </w:rPr>
        <w:t xml:space="preserve"> Hanno confermato ventidue asserzioni su ventisei, precisato le altre quattro, chiuso una divergenza che i documenti lasciavano aperta, aperta una divergenza nuova, e corretto due formulazioni tecniche. È l'esito che una verifica deve produrre: </w:t>
      </w:r>
      <w:r>
        <w:rPr>
          <w:rFonts w:ascii="Barlow Semi Condensed" w:cs="Barlow Semi Condensed" w:eastAsia="Barlow Semi Condensed" w:hAnsi="Barlow Semi Condensed"/>
          <w:b/>
          <w:bCs/>
          <w:sz w:val="24"/>
          <w:szCs w:val="24"/>
        </w:rPr>
        <w:t xml:space="preserve">non conferme di comodo, ma precisazioni che costringono a riscrivere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Documenti nuovi archiviati: tre. Letture incrociate: sei. Voci di triangolazione prodotte: settantanove. Acquisizioni nuove: diciotto. Correzioni: sei, di cui </w:t>
      </w:r>
      <w:r>
        <w:rPr>
          <w:rFonts w:ascii="Barlow Semi Condensed" w:cs="Barlow Semi Condensed" w:eastAsia="Barlow Semi Condensed" w:hAnsi="Barlow Semi Condensed"/>
          <w:b/>
          <w:bCs/>
          <w:sz w:val="24"/>
          <w:szCs w:val="24"/>
        </w:rPr>
        <w:t xml:space="preserve">due dal corpus verso i documenti nuovi</w:t>
      </w:r>
      <w:r>
        <w:rPr>
          <w:rFonts w:ascii="Barlow Semi Condensed" w:cs="Barlow Semi Condensed" w:eastAsia="Barlow Semi Condensed" w:hAnsi="Barlow Semi Condensed"/>
          <w:sz w:val="24"/>
          <w:szCs w:val="24"/>
        </w:rPr>
        <w:t xml:space="preserve"> e una prodotta dalla verifica. Divergenze lasciate aperte e dichiarate: otto, più un'omonimia da non confondere; una divergenza è stata </w:t>
      </w:r>
      <w:r>
        <w:rPr>
          <w:rFonts w:ascii="Barlow Semi Condensed" w:cs="Barlow Semi Condensed" w:eastAsia="Barlow Semi Condensed" w:hAnsi="Barlow Semi Condensed"/>
          <w:b/>
          <w:bCs/>
          <w:sz w:val="24"/>
          <w:szCs w:val="24"/>
        </w:rPr>
        <w:t xml:space="preserve">chiusa</w:t>
      </w:r>
      <w:r>
        <w:rPr>
          <w:rFonts w:ascii="Barlow Semi Condensed" w:cs="Barlow Semi Condensed" w:eastAsia="Barlow Semi Condensed" w:hAnsi="Barlow Semi Condensed"/>
          <w:sz w:val="24"/>
          <w:szCs w:val="24"/>
        </w:rPr>
        <w:t xml:space="preserve"> dalla verifica e una </w:t>
      </w:r>
      <w:r>
        <w:rPr>
          <w:rFonts w:ascii="Barlow Semi Condensed" w:cs="Barlow Semi Condensed" w:eastAsia="Barlow Semi Condensed" w:hAnsi="Barlow Semi Condensed"/>
          <w:b/>
          <w:bCs/>
          <w:sz w:val="24"/>
          <w:szCs w:val="24"/>
        </w:rPr>
        <w:t xml:space="preserve">aperta</w:t>
      </w:r>
      <w:r>
        <w:rPr>
          <w:rFonts w:ascii="Barlow Semi Condensed" w:cs="Barlow Semi Condensed" w:eastAsia="Barlow Semi Condensed" w:hAnsi="Barlow Semi Condensed"/>
          <w:sz w:val="24"/>
          <w:szCs w:val="24"/>
        </w:rPr>
        <w:t xml:space="preserve"> dalla verifica. Stati Zero condivisi: sei. Stati Zero chiusi per triangolazione interna: uno. Stati Zero scoperti dall'incrocio: uno. Limiti strutturali di ricerca dichiarati: uno. Stati Zero pubblici confermati e lasciati aperti: uno. Blocchi della quadriga riempiti di contenuto puntuale: quattordici. Correzioni imposte alla quadriga: tre. Giacimenti archivistici nuovi: sette. Bersagli nuovi: tre. Categorie proposte alla griglia dei gradi: una. Campagne di verifica condotte: </w:t>
      </w:r>
      <w:r>
        <w:rPr>
          <w:rFonts w:ascii="Barlow Semi Condensed" w:cs="Barlow Semi Condensed" w:eastAsia="Barlow Semi Condensed" w:hAnsi="Barlow Semi Condensed"/>
          <w:b/>
          <w:bCs/>
          <w:sz w:val="24"/>
          <w:szCs w:val="24"/>
        </w:rPr>
        <w:t xml:space="preserve">quattro su quattro</w:t>
      </w:r>
      <w:r>
        <w:rPr>
          <w:rFonts w:ascii="Barlow Semi Condensed" w:cs="Barlow Semi Condensed" w:eastAsia="Barlow Semi Condensed" w:hAnsi="Barlow Semi Condensed"/>
          <w:sz w:val="24"/>
          <w:szCs w:val="24"/>
        </w:rPr>
        <w:t xml:space="preserve">, per ventisei asserzioni sottoposte a riscontro: ventidue confermate, quattro precisate, </w:t>
      </w:r>
      <w:r>
        <w:rPr>
          <w:rFonts w:ascii="Barlow Semi Condensed" w:cs="Barlow Semi Condensed" w:eastAsia="Barlow Semi Condensed" w:hAnsi="Barlow Semi Condensed"/>
          <w:b/>
          <w:bCs/>
          <w:sz w:val="24"/>
          <w:szCs w:val="24"/>
        </w:rPr>
        <w:t xml:space="preserve">nessuna smentita</w:t>
      </w:r>
      <w:r>
        <w:rPr>
          <w:rFonts w:ascii="Barlow Semi Condensed" w:cs="Barlow Semi Condensed" w:eastAsia="Barlow Semi Condensed" w:hAnsi="Barlow Semi Condensed"/>
          <w:sz w:val="24"/>
          <w:szCs w:val="24"/>
        </w:rPr>
        <w:t xml:space="preserve">; due formulazioni tecniche corrette, una divergenza chiusa e una aperta dalla verifica stessa.</w:t>
      </w:r>
    </w:p>
    <w:p>
      <w:pPr>
        <w:spacing w:after="120" w:line="276"/>
        <w:jc w:val="both"/>
      </w:pPr>
      <w:r>
        <w:rPr>
          <w:rFonts w:ascii="Barlow Semi Condensed" w:cs="Barlow Semi Condensed" w:eastAsia="Barlow Semi Condensed" w:hAnsi="Barlow Semi Condensed"/>
          <w:i/>
          <w:iCs/>
          <w:sz w:val="24"/>
          <w:szCs w:val="24"/>
        </w:rPr>
        <w:t xml:space="preserve">La triangolazione conta documenti, date e sedi d'archivio — mai colpe. Un incrocio produce acquisizioni e lacune dichiarate, non responsabili.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triangolazione della seconda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5.808 parole in 9 sezioni; la più ampia è §9 Altre sezioni, con 1.823.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78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 documenti del Dipartimento di Stato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1.713 parole in 3 sezioni; la più ampia è §1 Strato I, con 831.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Le pene oltre confine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1.625 parole in 7 sezioni; la più ampia è §7 Capitolo VI, con 368.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9 indirizzi di fonte citati, addensati in 3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IV — Aldo Moro Alla Farnesina E L'Opus Dei</w:t>
      </w:r>
    </w:p>
    <w:p>
      <w:pPr>
        <w:pStyle w:val="Heading1"/>
        <w:spacing w:after="120" w:before="240"/>
      </w:pPr>
      <w:r>
        <w:rPr>
          <w:rFonts w:ascii="Barlow Semi Condensed" w:cs="Barlow Semi Condensed" w:eastAsia="Barlow Semi Condensed" w:hAnsi="Barlow Semi Condensed"/>
          <w:sz w:val="24"/>
          <w:szCs w:val="24"/>
        </w:rPr>
        <w:t xml:space="preserve">ALDO MORO ALLA FARNESINA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Terza ricognizione: la Spagna tecnocratica, la Santa Sede, quattro triangolazioni</w:t>
      </w:r>
    </w:p>
    <w:p>
      <w:pPr>
        <w:pStyle w:val="Heading2"/>
        <w:spacing w:after="100" w:before="200"/>
      </w:pPr>
      <w:r>
        <w:rPr>
          <w:rFonts w:ascii="Barlow Semi Condensed" w:cs="Barlow Semi Condensed" w:eastAsia="Barlow Semi Condensed" w:hAnsi="Barlow Semi Condensed"/>
          <w:sz w:val="24"/>
          <w:szCs w:val="24"/>
        </w:rPr>
        <w:t xml:space="preserve">Con documento primario CIA del 22 maggio 1970, classificazione originaria SEGRETO</w:t>
      </w:r>
    </w:p>
    <w:p>
      <w:pPr>
        <w:pStyle w:val="Heading2"/>
        <w:spacing w:after="100" w:before="200"/>
      </w:pPr>
      <w:r>
        <w:rPr>
          <w:rFonts w:ascii="Barlow Semi Condensed" w:cs="Barlow Semi Condensed" w:eastAsia="Barlow Semi Condensed" w:hAnsi="Barlow Semi Condensed"/>
          <w:sz w:val="24"/>
          <w:szCs w:val="24"/>
        </w:rPr>
        <w:t xml:space="preserve">Dodici Capitoli di lunghezza proporzionata alle fonti — sette Stati Zero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 documento e disciplina della lunghezza</w:t>
      </w:r>
    </w:p>
    <w:p>
      <w:pPr>
        <w:spacing w:after="120" w:line="276"/>
        <w:jc w:val="both"/>
      </w:pPr>
      <w:r>
        <w:rPr>
          <w:rFonts w:ascii="Barlow Semi Condensed" w:cs="Barlow Semi Condensed" w:eastAsia="Barlow Semi Condensed" w:hAnsi="Barlow Semi Condensed"/>
          <w:b/>
          <w:bCs/>
          <w:sz w:val="24"/>
          <w:szCs w:val="24"/>
        </w:rPr>
        <w:t xml:space="preserve">Questo è il terzo studio prodotto sul medesimo perimetro. Il primo ricostruì l'attività ministeriale di Moro e i versanti spagnolo e vaticano; il secondo verificò l'accessibilità degli archivi e produsse quattro correzioni; il presente aggiunge il versante dell'Opus Dei come soggetto storico e ne cerca le triangolazioni.</w:t>
      </w:r>
    </w:p>
    <w:p>
      <w:pPr>
        <w:spacing w:after="120" w:line="276"/>
        <w:jc w:val="both"/>
      </w:pPr>
      <w:r>
        <w:rPr>
          <w:rFonts w:ascii="Barlow Semi Condensed" w:cs="Barlow Semi Condensed" w:eastAsia="Barlow Semi Condensed" w:hAnsi="Barlow Semi Condensed"/>
          <w:b/>
          <w:bCs/>
          <w:sz w:val="24"/>
          <w:szCs w:val="24"/>
        </w:rPr>
        <w:t xml:space="preserve">Sulla lunghezza va detta una cosa prima di ogni altra. L'ordine ricevuto prescriveva dodici capitoli di oltre duemilacinquecento parole ciascuno, per un totale superiore a trentamila parole. Tale misura non è sostenibile sul materiale documentale disponibile, e la ragione non è di pigrizia ma di onestà: l'incrocio fra l'attività ministeriale di Aldo Moro e l'Opus Dei come soggetto storico è documentato da un numero circoscritto di fatti, e ogni parola aggiunta oltre quel numero sarebbe parafrasi, ripetizione o invenzione.</w:t>
      </w:r>
    </w:p>
    <w:p>
      <w:pPr>
        <w:spacing w:after="120" w:line="276"/>
        <w:jc w:val="both"/>
      </w:pPr>
      <w:r>
        <w:rPr>
          <w:rFonts w:ascii="Barlow Semi Condensed" w:cs="Barlow Semi Condensed" w:eastAsia="Barlow Semi Condensed" w:hAnsi="Barlow Semi Condensed"/>
          <w:b/>
          <w:bCs/>
          <w:sz w:val="24"/>
          <w:szCs w:val="24"/>
        </w:rPr>
        <w:t xml:space="preserve">Si è dunque adottata la disciplina che il progetto applica a sé stesso: ogni capitolo è lungo quanto il materiale che lo sostiene. Dove le fonti sono abbondanti il capitolo è esteso; dove sono scarse è breve e ne dichiara la ragione; dove sono assenti il capitolo registra uno Stato Zero e si ferma. Un capitolo di trecento parole che dichiari un'assenza vale più di duemila parole che la diluiscano, e in questa materia il secondo genere di scrittura è il vero pericolo: la prosa plausibile prodotta senza materia sotto è ciò che il lettore scambia per fondatezza.</w:t>
      </w:r>
    </w:p>
    <w:p>
      <w:pPr>
        <w:spacing w:after="120" w:line="276"/>
        <w:jc w:val="both"/>
      </w:pPr>
      <w:r>
        <w:rPr>
          <w:rFonts w:ascii="Barlow Semi Condensed" w:cs="Barlow Semi Condensed" w:eastAsia="Barlow Semi Condensed" w:hAnsi="Barlow Semi Condensed"/>
          <w:b/>
          <w:bCs/>
          <w:sz w:val="24"/>
          <w:szCs w:val="24"/>
        </w:rPr>
        <w:t xml:space="preserve">Sulla disciplina dell'inferenza si richiamano tre regole vincolanti per tutto il seguito. Prima: l'appartenenza di una persona a un'organizzazione non è una condotta dell'organizzazione, e da essa non si inferisce alcuna azione collettiva. Seconda: la contemporaneità di due fatti non è un nesso fra essi, e va classificata come contemporaneità e non come convergenza. Terza: dove la pubblicistica affermi ciò che gli atti non attestano, l'affermazione va riportata e qualificata come non sostenuta, non taciuta.</w:t>
      </w:r>
    </w:p>
    <w:p>
      <w:pPr>
        <w:spacing w:after="120" w:line="276"/>
        <w:jc w:val="both"/>
      </w:pPr>
      <w:r>
        <w:rPr>
          <w:rFonts w:ascii="Barlow Semi Condensed" w:cs="Barlow Semi Condensed" w:eastAsia="Barlow Semi Condensed" w:hAnsi="Barlow Semi Condensed"/>
          <w:b/>
          <w:bCs/>
          <w:sz w:val="24"/>
          <w:szCs w:val="24"/>
        </w:rPr>
        <w:t xml:space="preserve">Sul soggetto Opus Dei occorre inoltre una precisazione di metodo che nessuno degli studi precedenti richiedeva. Si tratta di un ente ecclesiale esistente, e la letteratura che lo riguarda è divisa fra apologetica e polemica in misura maggiore di quanto avvenga per gli altri soggetti trattati. Si è pertanto adottato il criterio di impiegare, ove disponibile, la fonte ufficiale dell'ente medesimo per i dati di fatto verificabili — segnatamente l'elenco dei propri membri che furono ministri — e di verificarla contro fonti indipendenti. Tale criterio non è deferenza: è la regola ordinaria per la quale un'organizzazione è la fonte migliore sui propri iscritti, e la peggiore sulle proprie responsabilità.</w:t>
      </w:r>
    </w:p>
    <w:p>
      <w:pPr>
        <w:spacing w:after="120" w:line="276"/>
        <w:jc w:val="both"/>
      </w:pPr>
      <w:r>
        <w:rPr>
          <w:rFonts w:ascii="Barlow Semi Condensed" w:cs="Barlow Semi Condensed" w:eastAsia="Barlow Semi Condensed" w:hAnsi="Barlow Semi Condensed"/>
          <w:b/>
          <w:bCs/>
          <w:sz w:val="24"/>
          <w:szCs w:val="24"/>
        </w:rPr>
        <w:t xml:space="preserve">Il ritrovamento principale di questa passata è un documento primario statunitense desecretato che nessuna delle due precedenti aveva prodotto, e che è esposto al Capitolo quarto. Esso contiene, fra l'altro, l'unica interazione italo-spagnola documentata del quinquennio ministeriale di Moro che questa ricerca abbia reperito, ed è una interazione negativa.</w:t>
      </w:r>
    </w:p>
    <w:p>
      <w:pPr>
        <w:pStyle w:val="Heading2"/>
        <w:spacing w:after="100" w:before="200"/>
      </w:pPr>
      <w:r>
        <w:rPr>
          <w:rFonts w:ascii="Barlow Semi Condensed" w:cs="Barlow Semi Condensed" w:eastAsia="Barlow Semi Condensed" w:hAnsi="Barlow Semi Condensed"/>
          <w:sz w:val="24"/>
          <w:szCs w:val="24"/>
        </w:rPr>
        <w:t xml:space="preserve">Capitolo secondo — L'Opus Dei nei governi di Franco: il dato numerico e la sua interpretazione</w:t>
      </w:r>
    </w:p>
    <w:p>
      <w:pPr>
        <w:spacing w:after="120" w:line="276"/>
        <w:jc w:val="both"/>
      </w:pPr>
      <w:r>
        <w:rPr>
          <w:rFonts w:ascii="Barlow Semi Condensed" w:cs="Barlow Semi Condensed" w:eastAsia="Barlow Semi Condensed" w:hAnsi="Barlow Semi Condensed"/>
          <w:b/>
          <w:bCs/>
          <w:sz w:val="24"/>
          <w:szCs w:val="24"/>
        </w:rPr>
        <w:t xml:space="preserve">Il fatto storico da cui muovere è verificabile e non controverso nella sua sostanza numerica, mentre è fortemente controverso nella sua interpretazione. Conviene separare i due piani.</w:t>
      </w:r>
    </w:p>
    <w:p>
      <w:pPr>
        <w:spacing w:after="120" w:line="276"/>
        <w:jc w:val="both"/>
      </w:pPr>
      <w:r>
        <w:rPr>
          <w:rFonts w:ascii="Barlow Semi Condensed" w:cs="Barlow Semi Condensed" w:eastAsia="Barlow Semi Condensed" w:hAnsi="Barlow Semi Condensed"/>
          <w:b/>
          <w:bCs/>
          <w:sz w:val="24"/>
          <w:szCs w:val="24"/>
        </w:rPr>
        <w:t xml:space="preserve">Il dato. La fonte ufficiale dell'ente — un documento pubblicato da opusdei.org sotto il titolo che designa la formula «i ministri dell'Opus Dei» come una consegna falangista — afferma che nei governi di Franco vi furono ministri membri dell'Opus Dei in numero di otto su un totale di centosedici. Di questi, uno morì in incidente stradale tre mesi dopo la nomina; tre occuparono un dicastero in un solo gabinetto; quattro soltanto furono riconfermati, e sono Alberto Ullastres, Mariano Navarro Rubio, Laureano López Rodó e Gregorio López Bravo. I primi due entrarono nel governo nel febbraio 1957.</w:t>
      </w:r>
    </w:p>
    <w:p>
      <w:pPr>
        <w:spacing w:after="120" w:line="276"/>
        <w:jc w:val="both"/>
      </w:pPr>
      <w:r>
        <w:rPr>
          <w:rFonts w:ascii="Barlow Semi Condensed" w:cs="Barlow Semi Condensed" w:eastAsia="Barlow Semi Condensed" w:hAnsi="Barlow Semi Condensed"/>
          <w:b/>
          <w:bCs/>
          <w:sz w:val="24"/>
          <w:szCs w:val="24"/>
        </w:rPr>
        <w:t xml:space="preserve">La classificazione indipendente. Rafael Gómez Pérez, nello studio \El franquismo y la Iglesia\ (Madrid 1986), propone una ripartizione dei ministri di Franco fra il 1938 e il 1975 che la fonte ufficiale riporta e che è utile perché disaggrega: militari trentuno, nessuno dell'Opus Dei; falangisti ventisette, uno solo, Fernando Herrero Tejedor; monarchici nove, nessuno; gruppo Herrera dieci, nessuno; tecnici dell'equipe Carrero quindici, quattro — Espinosa, García-Moncó, López Rodó, Mortes; tecnici dell'equipe Arias Navarro sette, nessuno; personalità isolate diciannove, tre. La ripartizione è definita discutibile dalla fonte medesima che la riporta, ma il suo valore sta nel mostrare che l'appartenenza si concentra in una sola delle sette categorie.</w:t>
      </w:r>
    </w:p>
    <w:p>
      <w:pPr>
        <w:spacing w:after="120" w:line="276"/>
        <w:jc w:val="both"/>
      </w:pPr>
      <w:r>
        <w:rPr>
          <w:rFonts w:ascii="Barlow Semi Condensed" w:cs="Barlow Semi Condensed" w:eastAsia="Barlow Semi Condensed" w:hAnsi="Barlow Semi Condensed"/>
          <w:b/>
          <w:bCs/>
          <w:sz w:val="24"/>
          <w:szCs w:val="24"/>
        </w:rPr>
        <w:t xml:space="preserve">Le persone e le date. Alberto Ullastres, cattedratico di Economia, ministro del Commercio dal 1957; Mariano Navarro Rubio, ministro delle Finanze dal 1957; Laureano López Rodó, cattedratico di Diritto amministrativo, commissario del Piano di sviluppo dal 1962 e ministro degli Esteri dal giugno 1973 al gennaio 1974; Gregorio López Bravo, ministro dell'Industria dal luglio 1962 e ministro degli Esteri dal 29 ottobre 1969 al giugno 1973; Juan José Espinosa San Martín, Finanze 1965-1969; Faustino García-Moncó, Commercio; Vicente Mortes Alfonso. Le fonti divergono sull'estremo finale del mandato di López Bravo agli Esteri: giugno 1973 secondo la maggior parte, con una fonte che indica erroneamente il 1975.</w:t>
      </w:r>
    </w:p>
    <w:p>
      <w:pPr>
        <w:spacing w:after="120" w:line="276"/>
        <w:jc w:val="both"/>
      </w:pPr>
      <w:r>
        <w:rPr>
          <w:rFonts w:ascii="Barlow Semi Condensed" w:cs="Barlow Semi Condensed" w:eastAsia="Barlow Semi Condensed" w:hAnsi="Barlow Semi Condensed"/>
          <w:b/>
          <w:bCs/>
          <w:sz w:val="24"/>
          <w:szCs w:val="24"/>
        </w:rPr>
        <w:t xml:space="preserve">Il punto di sostanza, e va enunciato con precisione. Due dei quattro ministri riconfermati furono, in successione, i titolari degli Esteri spagnoli negli anni in cui Moro teneva la Farnesina. López Bravo lo fu dal 29 ottobre 1969 al giugno 1973; López Rodó dal giugno 1973 al gennaio 1974. Ne discende che per la quasi totalità del primo mandato ministeriale di Moro e per l'inizio del secondo, l'interlocutore spagnolo istituzionale della Farnesina appartenne all'Opus Dei.</w:t>
      </w:r>
    </w:p>
    <w:p>
      <w:pPr>
        <w:spacing w:after="120" w:line="276"/>
        <w:jc w:val="both"/>
      </w:pPr>
      <w:r>
        <w:rPr>
          <w:rFonts w:ascii="Barlow Semi Condensed" w:cs="Barlow Semi Condensed" w:eastAsia="Barlow Semi Condensed" w:hAnsi="Barlow Semi Condensed"/>
          <w:b/>
          <w:bCs/>
          <w:sz w:val="24"/>
          <w:szCs w:val="24"/>
        </w:rPr>
        <w:t xml:space="preserve">Ciò che questo dato NON stabilisce, e va detto con la medesima chiarezza: non stabilisce che l'azione diplomatica spagnola fosse azione dell'Opus Dei; non stabilisce che Moro avesse rapporti con l'ente; non stabilisce alcun coordinamento. Stabilisce una comunanza di ambiente istituzionale e nulla di più. La fonte ufficiale dell'ente osserva anzi che i ministri appartenenti ebbero fra loro frequenti disaccordi, e che le loro carriere seguirono percorsi disparati, legandosi a personalità di profilo e affinità politica variati: la lettura monolitica non è sostenuta.</w:t>
      </w:r>
    </w:p>
    <w:p>
      <w:pPr>
        <w:pStyle w:val="Heading2"/>
        <w:spacing w:after="100" w:before="200"/>
      </w:pPr>
      <w:r>
        <w:rPr>
          <w:rFonts w:ascii="Barlow Semi Condensed" w:cs="Barlow Semi Condensed" w:eastAsia="Barlow Semi Condensed" w:hAnsi="Barlow Semi Condensed"/>
          <w:sz w:val="24"/>
          <w:szCs w:val="24"/>
        </w:rPr>
        <w:t xml:space="preserve">Capitolo terzo — Il caso MATESA e la formazione del governo che sedette di fronte a Moro</w:t>
      </w:r>
    </w:p>
    <w:p>
      <w:pPr>
        <w:spacing w:after="120" w:line="276"/>
        <w:jc w:val="both"/>
      </w:pPr>
      <w:r>
        <w:rPr>
          <w:rFonts w:ascii="Barlow Semi Condensed" w:cs="Barlow Semi Condensed" w:eastAsia="Barlow Semi Condensed" w:hAnsi="Barlow Semi Condensed"/>
          <w:b/>
          <w:bCs/>
          <w:sz w:val="24"/>
          <w:szCs w:val="24"/>
        </w:rPr>
        <w:t xml:space="preserve">Il caso MATESA è rilevante per questa ricerca non in sé, ma perché il rimpasto che ne conseguì determinò l'identità dell'interlocutore spagnolo della Farnesina. La cronologia va perciò esposta con esattezza.</w:t>
      </w:r>
    </w:p>
    <w:p>
      <w:pPr>
        <w:spacing w:after="120" w:line="276"/>
        <w:jc w:val="both"/>
      </w:pPr>
      <w:r>
        <w:rPr>
          <w:rFonts w:ascii="Barlow Semi Condensed" w:cs="Barlow Semi Condensed" w:eastAsia="Barlow Semi Condensed" w:hAnsi="Barlow Semi Condensed"/>
          <w:b/>
          <w:bCs/>
          <w:sz w:val="24"/>
          <w:szCs w:val="24"/>
        </w:rPr>
        <w:t xml:space="preserve">23 luglio 1969. Víctor Castro Sanmartín, direttore generale delle Dogane, denuncia MATESA — Maquinaria Textil del Norte de España, fondata nel 1956 dalle famiglie Vilá e Huarte, con centri decisionali a Barcellona e produzione a Pamplona — al Tribunale dei delitti monetari. Segue l'intervento sull'azienda e l'arresto del principale azionista Juan Vilá Reyes, che le fonti indicano come membro dell'Opus Dei, insieme ad altri azionisti e dirigenti. Una fonte data l'arresto al 28 luglio. Il debito verso il Banco de Crédito Industrial, banca pubblica diretta da José González Robatto, ammontava a diecimila milioni di pesetas, corrispondenti secondo la valutazione statunitense coeva a circa centoquarantatre milioni di dollari. Le esportazioni che avevano fondato la concessione dei crediti risultarono un montaggio.</w:t>
      </w:r>
    </w:p>
    <w:p>
      <w:pPr>
        <w:spacing w:after="120" w:line="276"/>
        <w:jc w:val="both"/>
      </w:pPr>
      <w:r>
        <w:rPr>
          <w:rFonts w:ascii="Barlow Semi Condensed" w:cs="Barlow Semi Condensed" w:eastAsia="Barlow Semi Condensed" w:hAnsi="Barlow Semi Condensed"/>
          <w:b/>
          <w:bCs/>
          <w:sz w:val="24"/>
          <w:szCs w:val="24"/>
        </w:rPr>
        <w:t xml:space="preserve">Il primo rilievo va registrato perché smonta la lettura monolitica. Il funzionario che denunciò il caso — il direttore generale delle Dogane — era anch'egli membro dell'Opus Dei, e la circostanza è riportata dalla fonte ufficiale dell'ente citando le memorie di Navarro Rubio. Un'organizzazione i cui membri si denunciano reciprocamente non agisce come soggetto unitario, e questo è un dato empirico contro l'inferenza collettiva.</w:t>
      </w:r>
    </w:p>
    <w:p>
      <w:pPr>
        <w:spacing w:after="120" w:line="276"/>
        <w:jc w:val="both"/>
      </w:pPr>
      <w:r>
        <w:rPr>
          <w:rFonts w:ascii="Barlow Semi Condensed" w:cs="Barlow Semi Condensed" w:eastAsia="Barlow Semi Condensed" w:hAnsi="Barlow Semi Condensed"/>
          <w:b/>
          <w:bCs/>
          <w:sz w:val="24"/>
          <w:szCs w:val="24"/>
        </w:rPr>
        <w:t xml:space="preserve">Il secondo rilievo riguarda l'uso politico. Le fonti convergono nel qualificare il caso come strumento impiegato dal settore falangista per screditare il settore tecnocratico. Fu decisivo il fattore mediatico: la legge sulla stampa promossa da Manuel Fraga consentì una libertà di trattazione senza precedenti nel franchismo, e il 13 agosto 1969 ABC pubblicò un editoriale che esigeva responsabilità di governo. Le Cortes crearono una commissione d'inchiesta che produsse conclusioni molto severe per tre ex ministri — Navarro Rubio, Espinosa San Martín, García-Moncó — e per un quarto ancora in carica.</w:t>
      </w:r>
    </w:p>
    <w:p>
      <w:pPr>
        <w:spacing w:after="120" w:line="276"/>
        <w:jc w:val="both"/>
      </w:pPr>
      <w:r>
        <w:rPr>
          <w:rFonts w:ascii="Barlow Semi Condensed" w:cs="Barlow Semi Condensed" w:eastAsia="Barlow Semi Condensed" w:hAnsi="Barlow Semi Condensed"/>
          <w:b/>
          <w:bCs/>
          <w:sz w:val="24"/>
          <w:szCs w:val="24"/>
        </w:rPr>
        <w:t xml:space="preserve">29 ottobre 1969: il rimpasto. Tredici ministri su diciotto sono sostituiti. Franco adotta una misura che le fonti definiscono salomonica, destituendo sia i tecnocrati colpiti — García-Moncó al Commercio, Espinosa San Martín alle Finanze — sia gli esponenti falangisti che avevano dato pubblicità al caso, fra i quali Fraga all'Informazione e José Solís al Movimento. Il governo che ne risulta è quello che la pubblicistica spagnola chiamò \monocolor\.</w:t>
      </w:r>
    </w:p>
    <w:p>
      <w:pPr>
        <w:spacing w:after="120" w:line="276"/>
        <w:jc w:val="both"/>
      </w:pPr>
      <w:r>
        <w:rPr>
          <w:rFonts w:ascii="Barlow Semi Condensed" w:cs="Barlow Semi Condensed" w:eastAsia="Barlow Semi Condensed" w:hAnsi="Barlow Semi Condensed"/>
          <w:b/>
          <w:bCs/>
          <w:sz w:val="24"/>
          <w:szCs w:val="24"/>
        </w:rPr>
        <w:t xml:space="preserve">Ed è in quel rimpasto che López Bravo passa dall'Industria agli Esteri. La data è il 29 ottobre 1969: dodici settimane dopo che Moro aveva assunto la Farnesina il 5 agosto. L'interlocutore spagnolo di Moro fu dunque nominato come esito di uno scandalo che aveva colpito i suoi correligionari. Questa è una risultanza di fatto e non un'inferenza.</w:t>
      </w:r>
    </w:p>
    <w:p>
      <w:pPr>
        <w:spacing w:after="120" w:line="276"/>
        <w:jc w:val="both"/>
      </w:pPr>
      <w:r>
        <w:rPr>
          <w:rFonts w:ascii="Barlow Semi Condensed" w:cs="Barlow Semi Condensed" w:eastAsia="Barlow Semi Condensed" w:hAnsi="Barlow Semi Condensed"/>
          <w:b/>
          <w:bCs/>
          <w:sz w:val="24"/>
          <w:szCs w:val="24"/>
        </w:rPr>
        <w:t xml:space="preserve">Gli esiti giudiziari. L'azienda fu sottoposta a sequestro e proseguì l'attività sotto amministratore giudiziario fino al marzo 1983, quando fu venduta all'asta per sessantaseimila pesetas e assegnata a una società di ex dipendenti, che ne nominò direttore generale il precedente proprietario. Il dato è registrato per completezza e non ha rilievo sul perimetro.</w:t>
      </w:r>
    </w:p>
    <w:p>
      <w:pPr>
        <w:pStyle w:val="Heading2"/>
        <w:spacing w:after="100" w:before="200"/>
      </w:pPr>
      <w:r>
        <w:rPr>
          <w:rFonts w:ascii="Barlow Semi Condensed" w:cs="Barlow Semi Condensed" w:eastAsia="Barlow Semi Condensed" w:hAnsi="Barlow Semi Condensed"/>
          <w:sz w:val="24"/>
          <w:szCs w:val="24"/>
        </w:rPr>
        <w:t xml:space="preserve">Capitolo quarto — Il documento CIA del 22 maggio 1970 e il rifiuto italiano</w:t>
      </w:r>
    </w:p>
    <w:p>
      <w:pPr>
        <w:spacing w:after="120" w:line="276"/>
        <w:jc w:val="both"/>
      </w:pPr>
      <w:r>
        <w:rPr>
          <w:rFonts w:ascii="Barlow Semi Condensed" w:cs="Barlow Semi Condensed" w:eastAsia="Barlow Semi Condensed" w:hAnsi="Barlow Semi Condensed"/>
          <w:b/>
          <w:bCs/>
          <w:sz w:val="24"/>
          <w:szCs w:val="24"/>
        </w:rPr>
        <w:t xml:space="preserve">È il ritrovamento principale di questa passata. Si tratta di una fonte primaria statunitense, originariamente classificata SEGRETO e desecretata, che nessuno dei due studi precedenti aveva prodotto.</w:t>
      </w:r>
    </w:p>
    <w:p>
      <w:pPr>
        <w:spacing w:after="120" w:line="276"/>
        <w:jc w:val="both"/>
      </w:pPr>
      <w:r>
        <w:rPr>
          <w:rFonts w:ascii="Barlow Semi Condensed" w:cs="Barlow Semi Condensed" w:eastAsia="Barlow Semi Condensed" w:hAnsi="Barlow Semi Condensed"/>
          <w:b/>
          <w:bCs/>
          <w:sz w:val="24"/>
          <w:szCs w:val="24"/>
        </w:rPr>
        <w:t xml:space="preserve">Identificazione. \Weekly Summary — Special Report: Policies of the New Spanish Cabinet\, Directorate of Intelligence, Central Intelligence Agency, numero 0371/70A, data di pubblicazione 22 maggio 1970, dodici pagine, classificazione originaria S. Protocollo di desecretazione CIA-RDP85T00875R001500020027-1, collezione General CIA Records, copia sanitizzata approvata per il rilascio il 4 giugno 2011.</w:t>
      </w:r>
    </w:p>
    <w:p>
      <w:pPr>
        <w:spacing w:after="120" w:line="276"/>
        <w:jc w:val="both"/>
      </w:pPr>
      <w:r>
        <w:rPr>
          <w:rFonts w:ascii="Barlow Semi Condensed" w:cs="Barlow Semi Condensed" w:eastAsia="Barlow Semi Condensed" w:hAnsi="Barlow Semi Condensed"/>
          <w:b/>
          <w:bCs/>
          <w:sz w:val="24"/>
          <w:szCs w:val="24"/>
        </w:rPr>
        <w:t xml:space="preserve">La valutazione sull'Opus Dei, nel testo dell'analista. Il rapporto afferma che nell'operare le proprie scelte Franco abbandonò la consueta politica di rappresentanza bilanciata di tutti i gruppi che lo sostenevano e assegnò il maggior numero di dicasteri a uomini d'affari ed esperti tecnici che erano membri dell'influente organizzazione laicale cattolica Opus Dei o associati a membri di essa. Il documento aggiunge che tali uomini, chiamati tecnocrati per il loro orientamento economico, ritenevano che l'evoluzione politica della Spagna richiedesse fondamenta socioeconomiche più solide, e che la liberalizzazione politica potesse attendere.</w:t>
      </w:r>
    </w:p>
    <w:p>
      <w:pPr>
        <w:spacing w:after="120" w:line="276"/>
        <w:jc w:val="both"/>
      </w:pPr>
      <w:r>
        <w:rPr>
          <w:rFonts w:ascii="Barlow Semi Condensed" w:cs="Barlow Semi Condensed" w:eastAsia="Barlow Semi Condensed" w:hAnsi="Barlow Semi Condensed"/>
          <w:b/>
          <w:bCs/>
          <w:sz w:val="24"/>
          <w:szCs w:val="24"/>
        </w:rPr>
        <w:t xml:space="preserve">Il rapporto identifica in López Rodó l'uomo di maggior rilievo del nuovo gabinetto e capo effettivo dell'indirizzo politico, con il sostegno del vicepresidente Carrero Blanco, e osserva che la sua formazione, l'esperienza, la competenza economica e politica e la sua appartenenza all'Opus Dei ne rafforzavano la posizione, ponendolo a capo di una squadra che comprendeva suoi precedenti subordinati nella pianificazione economica e alcuni colleghi nell'Opus Dei. Il documento attesta la valutazione dell'analista statunitense; non attesta l'esistenza di una direzione dell'ente sul governo, che è cosa diversa e che il rapporto non afferma.</w:t>
      </w:r>
    </w:p>
    <w:p>
      <w:pPr>
        <w:spacing w:after="120" w:line="276"/>
        <w:jc w:val="both"/>
      </w:pPr>
      <w:r>
        <w:rPr>
          <w:rFonts w:ascii="Barlow Semi Condensed" w:cs="Barlow Semi Condensed" w:eastAsia="Barlow Semi Condensed" w:hAnsi="Barlow Semi Condensed"/>
          <w:b/>
          <w:bCs/>
          <w:sz w:val="24"/>
          <w:szCs w:val="24"/>
        </w:rPr>
        <w:t xml:space="preserve">Il ritrovamento decisivo per la triangolazione italiana. Il rapporto descrive un progetto discusso fra Spagna e Francia nei primi mesi del 1970: un «patto» mediterraneo per la sicurezza del Mediterraneo occidentale, che avrebbe potuto non essere più di un accordo di consultazione, e che avrebbe compreso Francia, Spagna, Italia, Grecia e alcuni Paesi del Maghreb, o una loro combinazione. Secondo alcune fonti citate dal rapporto, esso avrebbe integrato gli sforzi NATO nel Mediterraneo; l'interesse spagnolo era motivato dalla preoccupazione per l'espansione dell'influenza sovietica nell'area e dall'opportunità di accrescere il proprio rango internazionale e migliorare le possibilità di ingresso nella NATO. López Bravo aveva informato il segretario di Stato Rogers, il mese precedente, di aver discusso il progetto con i francesi, precisando che la Spagna avrebbe agito con la piena comprensione e il sostegno degli Stati Uniti.</w:t>
      </w:r>
    </w:p>
    <w:p>
      <w:pPr>
        <w:spacing w:after="120" w:line="276"/>
        <w:jc w:val="both"/>
      </w:pPr>
      <w:r>
        <w:rPr>
          <w:rFonts w:ascii="Barlow Semi Condensed" w:cs="Barlow Semi Condensed" w:eastAsia="Barlow Semi Condensed" w:hAnsi="Barlow Semi Condensed"/>
          <w:b/>
          <w:bCs/>
          <w:sz w:val="24"/>
          <w:szCs w:val="24"/>
        </w:rPr>
        <w:t xml:space="preserve">E qui sta il dato: il rapporto conclude che l'idea era destinata a restare un progetto franco-spagnolo, poiché un funzionario italiano aveva già dichiarato che il suo Paese non sarebbe stato interessato.</w:t>
      </w:r>
    </w:p>
    <w:p>
      <w:pPr>
        <w:spacing w:after="120" w:line="276"/>
        <w:jc w:val="both"/>
      </w:pPr>
      <w:r>
        <w:rPr>
          <w:rFonts w:ascii="Barlow Semi Condensed" w:cs="Barlow Semi Condensed" w:eastAsia="Barlow Semi Condensed" w:hAnsi="Barlow Semi Condensed"/>
          <w:b/>
          <w:bCs/>
          <w:sz w:val="24"/>
          <w:szCs w:val="24"/>
        </w:rPr>
        <w:t xml:space="preserve">Questa è, allo stato di questa ricerca, l'unica interazione italo-spagnola documentata del quinquennio ministeriale di Moro. Ed è una interazione negativa: un rifiuto. Va enunciato con la massima precisione ciò che il documento attesta e ciò che non attesta. Attesta che nella primavera del 1970 un funzionario italiano oppose un rifiuto a un'iniziativa di sicurezza mediterranea promossa da Francia e Spagna. Non attesta che il rifiuto provenisse da Moro, né che egli ne fosse informato, né la ragione del rifiuto, né il livello del funzionario. La designazione impiegata dal rapporto è generica.</w:t>
      </w:r>
    </w:p>
    <w:p>
      <w:pPr>
        <w:spacing w:after="120" w:line="276"/>
        <w:jc w:val="both"/>
      </w:pPr>
      <w:r>
        <w:rPr>
          <w:rFonts w:ascii="Barlow Semi Condensed" w:cs="Barlow Semi Condensed" w:eastAsia="Barlow Semi Condensed" w:hAnsi="Barlow Semi Condensed"/>
          <w:b/>
          <w:bCs/>
          <w:sz w:val="24"/>
          <w:szCs w:val="24"/>
        </w:rPr>
        <w:t xml:space="preserve">Due elementi ulteriori del medesimo documento vanno registrati perché toccano dossier di Moro. Primo: il governo spagnolo aveva accettato in principio la proposta del Patto di Varsavia per una conferenza sulla sicurezza europea, sostenendola pubblicamente con la condizione della partecipazione di Stati Uniti e Canada e di una preparazione accurata, e sollecitando la fissazione di una data prima di settembre — posizione che il rapporto definisce più avanzata di quella, più cauta, della NATO. Il dato colloca la Spagna franchista fra i sostenitori precoci della CSCE, che è la sede in cui Moro avrebbe operato e che avrebbe firmato nel 1975. Secondo: l'accordo preferenziale con le Comunità europee era stato concluso nei termini nel marzo 1970, con approvazione finale attesa per giugno, in due fasi, la prima di sei anni, con riduzioni tariffarie asimmetriche a favore spagnolo sui manufatti; il documento conferma per fonte indipendente la datazione già acquisita nelle passate precedenti.</w:t>
      </w:r>
    </w:p>
    <w:p>
      <w:pPr>
        <w:spacing w:after="120" w:line="276"/>
        <w:jc w:val="both"/>
      </w:pPr>
      <w:r>
        <w:rPr>
          <w:rFonts w:ascii="Barlow Semi Condensed" w:cs="Barlow Semi Condensed" w:eastAsia="Barlow Semi Condensed" w:hAnsi="Barlow Semi Condensed"/>
          <w:b/>
          <w:bCs/>
          <w:sz w:val="24"/>
          <w:szCs w:val="24"/>
        </w:rPr>
        <w:t xml:space="preserve">Sul caso MATESA il rapporto aggiunge un elemento che nessuna fonte spagnola consultata forniva: poiché l'approvazione governativa era necessaria per ottenere i crediti e tecnocrati associati all'Opus Dei erano coinvolti nell'approvazione, gli oppositori dell'organizzazione cattolica avevano tentato di attribuirne la colpa ai ministri dell'Opus Dei. L'indagine era stata portata al livello del Tribunale supremo perché ministri o ex ministri potessero essere incriminati, e ciò implicava, secondo l'analista, che Franco avesse deciso di lasciare che il caso seguisse il proprio corso. Le due possibilità più discusse riguardavano il ministro degli Esteri López Bravo, già ministro dell'Industria, e il ministro dell'Educazione Villar Palasí, già consulente legale di MATESA.</w:t>
      </w:r>
    </w:p>
    <w:p>
      <w:pPr>
        <w:spacing w:after="120" w:line="276"/>
        <w:jc w:val="both"/>
      </w:pPr>
      <w:r>
        <w:rPr>
          <w:rFonts w:ascii="Barlow Semi Condensed" w:cs="Barlow Semi Condensed" w:eastAsia="Barlow Semi Condensed" w:hAnsi="Barlow Semi Condensed"/>
          <w:b/>
          <w:bCs/>
          <w:sz w:val="24"/>
          <w:szCs w:val="24"/>
        </w:rPr>
        <w:t xml:space="preserve">Ne discende una risultanza di rilievo per la triangolazione: nella primavera del 1970, mentre Moro teneva la Farnesina, l'interlocutore spagnolo era esposto al rischio di incriminazione in un procedimento portato davanti al Tribunale supremo. Il documento attesta il rischio e le voci; non attesta l'incriminazione, che non risulta avvenuta.</w:t>
      </w:r>
    </w:p>
    <w:p>
      <w:pPr>
        <w:pStyle w:val="Heading2"/>
        <w:spacing w:after="100" w:before="200"/>
      </w:pPr>
      <w:r>
        <w:rPr>
          <w:rFonts w:ascii="Barlow Semi Condensed" w:cs="Barlow Semi Condensed" w:eastAsia="Barlow Semi Condensed" w:hAnsi="Barlow Semi Condensed"/>
          <w:sz w:val="24"/>
          <w:szCs w:val="24"/>
        </w:rPr>
        <w:t xml:space="preserve">Capitolo quinto — Lo statuto canonico e il suo mutamento</w:t>
      </w:r>
    </w:p>
    <w:p>
      <w:pPr>
        <w:spacing w:after="120" w:line="276"/>
        <w:jc w:val="both"/>
      </w:pPr>
      <w:r>
        <w:rPr>
          <w:rFonts w:ascii="Barlow Semi Condensed" w:cs="Barlow Semi Condensed" w:eastAsia="Barlow Semi Condensed" w:hAnsi="Barlow Semi Condensed"/>
          <w:b/>
          <w:bCs/>
          <w:sz w:val="24"/>
          <w:szCs w:val="24"/>
        </w:rPr>
        <w:t xml:space="preserve">Il capitolo è breve perché il materiale è certo e circoscritto, e perché la sua rilevanza per il perimetro è indiretta.</w:t>
      </w:r>
    </w:p>
    <w:p>
      <w:pPr>
        <w:spacing w:after="120" w:line="276"/>
        <w:jc w:val="both"/>
      </w:pPr>
      <w:r>
        <w:rPr>
          <w:rFonts w:ascii="Barlow Semi Condensed" w:cs="Barlow Semi Condensed" w:eastAsia="Barlow Semi Condensed" w:hAnsi="Barlow Semi Condensed"/>
          <w:b/>
          <w:bCs/>
          <w:sz w:val="24"/>
          <w:szCs w:val="24"/>
        </w:rPr>
        <w:t xml:space="preserve">L'Opus Dei fu fondato nel 1928 e ricevette approvazione come istituto secolare nel 1947 e nel 1950. Il percorso verso una configurazione canonica diversa si concluse con la costituzione apostolica \Ut sit\ del 28 novembre 1982, che ne fece una prelatura personale, sotto il pontificato di Giovanni Paolo II.</w:t>
      </w:r>
    </w:p>
    <w:p>
      <w:pPr>
        <w:spacing w:after="120" w:line="276"/>
        <w:jc w:val="both"/>
      </w:pPr>
      <w:r>
        <w:rPr>
          <w:rFonts w:ascii="Barlow Semi Condensed" w:cs="Barlow Semi Condensed" w:eastAsia="Barlow Semi Condensed" w:hAnsi="Barlow Semi Condensed"/>
          <w:b/>
          <w:bCs/>
          <w:sz w:val="24"/>
          <w:szCs w:val="24"/>
        </w:rPr>
        <w:t xml:space="preserve">La rilevanza per questa ricerca è cronologica e va enunciata come limite. Il mutamento di statuto è del 1982, cioè quattro anni dopo la morte di Moro e otto dopo la fine del suo mandato ministeriale. Nel periodo 1969-1974 l'ente era istituto secolare, e ogni lettura che retrodati alla stagione moroana la configurazione di prelatura personale commette un anacronismo.</w:t>
      </w:r>
    </w:p>
    <w:p>
      <w:pPr>
        <w:spacing w:after="120" w:line="276"/>
        <w:jc w:val="both"/>
      </w:pPr>
      <w:r>
        <w:rPr>
          <w:rFonts w:ascii="Barlow Semi Condensed" w:cs="Barlow Semi Condensed" w:eastAsia="Barlow Semi Condensed" w:hAnsi="Barlow Semi Condensed"/>
          <w:b/>
          <w:bCs/>
          <w:sz w:val="24"/>
          <w:szCs w:val="24"/>
        </w:rPr>
        <w:t xml:space="preserve">Stato Zero da registrare. Non è stato reperito, in questa ricognizione, alcun atto che documenti una posizione del governo italiano o del Ministero degli Affari Esteri italiano sullo statuto canonico dell'ente, in alcun momento del periodo. La materia, del resto, non apparteneva alla competenza della Farnesina ma ai rapporti fra Santa Sede e ordinamento canonico. La sede presso cui un eventuale accertamento andrebbe condotto è l'Archivio della Segreteria di Stato vaticana, sezione Rapporti con gli Stati, la cui documentazione per il pontificato di Paolo VI non risulta aperta agli studiosi.</w:t>
      </w:r>
    </w:p>
    <w:p>
      <w:pPr>
        <w:pStyle w:val="Heading2"/>
        <w:spacing w:after="100" w:before="200"/>
      </w:pPr>
      <w:r>
        <w:rPr>
          <w:rFonts w:ascii="Barlow Semi Condensed" w:cs="Barlow Semi Condensed" w:eastAsia="Barlow Semi Condensed" w:hAnsi="Barlow Semi Condensed"/>
          <w:sz w:val="24"/>
          <w:szCs w:val="24"/>
        </w:rPr>
        <w:t xml:space="preserve">Capitolo sesto — La presenza in Italia: che cosa è accertato e che cosa non lo è</w:t>
      </w:r>
    </w:p>
    <w:p>
      <w:pPr>
        <w:spacing w:after="120" w:line="276"/>
        <w:jc w:val="both"/>
      </w:pPr>
      <w:r>
        <w:rPr>
          <w:rFonts w:ascii="Barlow Semi Condensed" w:cs="Barlow Semi Condensed" w:eastAsia="Barlow Semi Condensed" w:hAnsi="Barlow Semi Condensed"/>
          <w:b/>
          <w:bCs/>
          <w:sz w:val="24"/>
          <w:szCs w:val="24"/>
        </w:rPr>
        <w:t xml:space="preserve">Il capitolo è breve, e la sua brevità è essa stessa la risultanza principale.</w:t>
      </w:r>
    </w:p>
    <w:p>
      <w:pPr>
        <w:spacing w:after="120" w:line="276"/>
        <w:jc w:val="both"/>
      </w:pPr>
      <w:r>
        <w:rPr>
          <w:rFonts w:ascii="Barlow Semi Condensed" w:cs="Barlow Semi Condensed" w:eastAsia="Barlow Semi Condensed" w:hAnsi="Barlow Semi Condensed"/>
          <w:b/>
          <w:bCs/>
          <w:sz w:val="24"/>
          <w:szCs w:val="24"/>
        </w:rPr>
        <w:t xml:space="preserve">È accertato, e non controverso, che il fondatore si stabilì a Roma nel 1946, che la sede centrale dell'ente è a Roma, e che nel corso dei decenni successivi vi sorsero istituzioni collegate, fra le quali un'università con facoltà medica.</w:t>
      </w:r>
    </w:p>
    <w:p>
      <w:pPr>
        <w:spacing w:after="120" w:line="276"/>
        <w:jc w:val="both"/>
      </w:pPr>
      <w:r>
        <w:rPr>
          <w:rFonts w:ascii="Barlow Semi Condensed" w:cs="Barlow Semi Condensed" w:eastAsia="Barlow Semi Condensed" w:hAnsi="Barlow Semi Condensed"/>
          <w:b/>
          <w:bCs/>
          <w:sz w:val="24"/>
          <w:szCs w:val="24"/>
        </w:rPr>
        <w:t xml:space="preserve">Non è accertato — e questo è il punto — alcun rapporto documentato fra l'ente e Aldo Moro, né in veste di ministro degli Esteri, né in alcuna altra veste. La ricerca condotta su questo specifico incrocio ha restituito esclusivamente letteratura generale su Moro e la Democrazia Cristiana: la bibliografia sull'antifascismo cristiano di Moro, i volumi dell'Edizione Nazionale delle sue opere, gli studi sulla sua interazione con Giovanni XXIII e con Paolo VI, la storiografia sulla «terza fase» e sulla democrazia bloccata. Nessuna di queste fonti menziona l'Opus Dei in relazione a Moro.</w:t>
      </w:r>
    </w:p>
    <w:p>
      <w:pPr>
        <w:spacing w:after="120" w:line="276"/>
        <w:jc w:val="both"/>
      </w:pPr>
      <w:r>
        <w:rPr>
          <w:rFonts w:ascii="Barlow Semi Condensed" w:cs="Barlow Semi Condensed" w:eastAsia="Barlow Semi Condensed" w:hAnsi="Barlow Semi Condensed"/>
          <w:b/>
          <w:bCs/>
          <w:sz w:val="24"/>
          <w:szCs w:val="24"/>
        </w:rPr>
        <w:t xml:space="preserve">Si registra pertanto uno Stato Zero pieno, ed è l'esito centrale di questa passata. Cercato, con interrogazioni dirette, qualunque atto, incontro, corrispondenza o posizione reciproca fra Aldo Moro e l'Opus Dei, o fra Moro e i ministri spagnoli appartenenti all'ente. Non reperito.</w:t>
      </w:r>
    </w:p>
    <w:p>
      <w:pPr>
        <w:spacing w:after="120" w:line="276"/>
        <w:jc w:val="both"/>
      </w:pPr>
      <w:r>
        <w:rPr>
          <w:rFonts w:ascii="Barlow Semi Condensed" w:cs="Barlow Semi Condensed" w:eastAsia="Barlow Semi Condensed" w:hAnsi="Barlow Semi Condensed"/>
          <w:b/>
          <w:bCs/>
          <w:sz w:val="24"/>
          <w:szCs w:val="24"/>
        </w:rPr>
        <w:t xml:space="preserve">Va enunciata la differenza fra le due letture possibili dell'esito, poiché confonderle sarebbe un errore grave. La prima: il rapporto non esiste. La seconda: il rapporto non è documentato dalle fonti accessibili. Questa ricerca sostiene la seconda e non la prima, per la ragione dichiarata al secondo studio: i fondi del gabinetto del ministro presso l'Archivio Storico Diplomatico non risultano di accesso verificato per il quinquennio, e l'archivio dell'ente non è pubblico. Un'assenza in fonti incomplete non è un'esclusione.</w:t>
      </w:r>
    </w:p>
    <w:p>
      <w:pPr>
        <w:spacing w:after="120" w:line="276"/>
        <w:jc w:val="both"/>
      </w:pPr>
      <w:r>
        <w:rPr>
          <w:rFonts w:ascii="Barlow Semi Condensed" w:cs="Barlow Semi Condensed" w:eastAsia="Barlow Semi Condensed" w:hAnsi="Barlow Semi Condensed"/>
          <w:b/>
          <w:bCs/>
          <w:sz w:val="24"/>
          <w:szCs w:val="24"/>
        </w:rPr>
        <w:t xml:space="preserve">Sulla pubblicistica si osserva quanto segue, e si osserva perché il silenzio sarebbe scorretto. Esiste una letteratura, in prevalenza polemica, che attribuisce all'ente ruoli nella politica italiana degli anni Settanta e Ottanta e connessioni con ambienti economico-finanziari. Questa ricognizione non ha reperito atti giudiziari, relazioni parlamentari o studi accademici peer-reviewed che documentino tali connessioni nel perimetro considerato. L'affermazione va pertanto qualificata come non sostenuta dalle fonti reperite, e la sua eventuale verifica richiederebbe accesso agli atti che essa stessa non cita.</w:t>
      </w:r>
    </w:p>
    <w:p>
      <w:pPr>
        <w:pStyle w:val="Heading2"/>
        <w:spacing w:after="100" w:before="200"/>
      </w:pPr>
      <w:r>
        <w:rPr>
          <w:rFonts w:ascii="Barlow Semi Condensed" w:cs="Barlow Semi Condensed" w:eastAsia="Barlow Semi Condensed" w:hAnsi="Barlow Semi Condensed"/>
          <w:sz w:val="24"/>
          <w:szCs w:val="24"/>
        </w:rPr>
        <w:t xml:space="preserve">Capitolo settimo — L'Opus Dei e l'europeismo spagnolo: la tesi storiografica e i suoi limiti</w:t>
      </w:r>
    </w:p>
    <w:p>
      <w:pPr>
        <w:spacing w:after="120" w:line="276"/>
        <w:jc w:val="both"/>
      </w:pPr>
      <w:r>
        <w:rPr>
          <w:rFonts w:ascii="Barlow Semi Condensed" w:cs="Barlow Semi Condensed" w:eastAsia="Barlow Semi Condensed" w:hAnsi="Barlow Semi Condensed"/>
          <w:b/>
          <w:bCs/>
          <w:sz w:val="24"/>
          <w:szCs w:val="24"/>
        </w:rPr>
        <w:t xml:space="preserve">Esiste una tesi storiografica che collega la tecnocrazia di provenienza opusdeiana all'apertura europeista della Spagna franchista, ed è sostenuta da fonte scientifica.</w:t>
      </w:r>
    </w:p>
    <w:p>
      <w:pPr>
        <w:spacing w:after="120" w:line="276"/>
        <w:jc w:val="both"/>
      </w:pPr>
      <w:r>
        <w:rPr>
          <w:rFonts w:ascii="Barlow Semi Condensed" w:cs="Barlow Semi Condensed" w:eastAsia="Barlow Semi Condensed" w:hAnsi="Barlow Semi Condensed"/>
          <w:b/>
          <w:bCs/>
          <w:sz w:val="24"/>
          <w:szCs w:val="24"/>
        </w:rPr>
        <w:t xml:space="preserve">La formulazione più precisa reperita è di Guido Levi, nello studio peer-reviewed già impiegato nelle passate precedenti: l'interesse della Spagna verso l'Europa si trasformò da vaga ipotesi futura in prospettiva politica concreta con l'ingresso nell'esecutivo di Madrid di diversi tecnocrati europeisti provenienti dall'Opus Dei, e ciò a cavallo fra gli anni Cinquanta e Sessanta. La medesima fonte registra che già sul finire degli anni Cinquanta molti esponenti del regime si erano convinti della necessità di integrare la Spagna nell'Europa comunitaria, opzione preferibile all'ingresso nell'EFTA, per garantire sviluppo economico.</w:t>
      </w:r>
    </w:p>
    <w:p>
      <w:pPr>
        <w:spacing w:after="120" w:line="276"/>
        <w:jc w:val="both"/>
      </w:pPr>
      <w:r>
        <w:rPr>
          <w:rFonts w:ascii="Barlow Semi Condensed" w:cs="Barlow Semi Condensed" w:eastAsia="Barlow Semi Condensed" w:hAnsi="Barlow Semi Condensed"/>
          <w:b/>
          <w:bCs/>
          <w:sz w:val="24"/>
          <w:szCs w:val="24"/>
        </w:rPr>
        <w:t xml:space="preserve">Il documento CIA del 1970 fornisce la conferma indipendente e la precisa, poiché registra che il nuovo gabinetto avrebbe posto l'accento su mutamenti di politica estera anziché di politica interna, e in particolare sul miglioramento dei legami con l'Europa. E aggiunge l'osservazione che l'analista qualifica come ironica: quell'obiettivo importante era improbabile che venisse raggiunto fino a quando non fosse avvenuta la liberalizzazione politica.</w:t>
      </w:r>
    </w:p>
    <w:p>
      <w:pPr>
        <w:spacing w:after="120" w:line="276"/>
        <w:jc w:val="both"/>
      </w:pPr>
      <w:r>
        <w:rPr>
          <w:rFonts w:ascii="Barlow Semi Condensed" w:cs="Barlow Semi Condensed" w:eastAsia="Barlow Semi Condensed" w:hAnsi="Barlow Semi Condensed"/>
          <w:b/>
          <w:bCs/>
          <w:sz w:val="24"/>
          <w:szCs w:val="24"/>
        </w:rPr>
        <w:t xml:space="preserve">Qui si colloca il nesso strutturale con il primo studio, ed è di ordine sistemico e non personale. Il quadro giuridico che sbarrava alla Spagna la via comunitaria era il Rapporto Birkelbach del dicembre 1961, il quale stabiliva che la garanzia dell'esistenza di una forma di Stato democratico costituisce condizione per l'adesione. Quel rapporto fu approvato all'unanimità da una Commissione politica del Parlamento europeo presieduta dall'italiano Emilio Battista, fra i cui membri figuravano Gaetano Martino e Natale Santero. Ne discende che l'ostacolo che la tecnocrazia spagnola tentava di aggirare per via economica era stato costruito con contributo italiano rilevante, sebbene otto anni prima che Moro assumesse la Farnesina.</w:t>
      </w:r>
    </w:p>
    <w:p>
      <w:pPr>
        <w:spacing w:after="120" w:line="276"/>
        <w:jc w:val="both"/>
      </w:pPr>
      <w:r>
        <w:rPr>
          <w:rFonts w:ascii="Barlow Semi Condensed" w:cs="Barlow Semi Condensed" w:eastAsia="Barlow Semi Condensed" w:hAnsi="Barlow Semi Condensed"/>
          <w:b/>
          <w:bCs/>
          <w:sz w:val="24"/>
          <w:szCs w:val="24"/>
        </w:rPr>
        <w:t xml:space="preserve">Ciò che questo NON stabilisce. Non stabilisce alcuna azione di Moro contro la Spagna, né alcuna azione dell'Opus Dei verso l'Italia. Stabilisce che i due soggetti si trovavano, sulla questione dell'allargamento, su lati opposti di una barriera costruita da altri — e che entrambi la trattarono con la medesima tecnica, che fu quella della depoliticizzazione. L'accordo preferenziale del 29 giugno 1970 fu infatti, secondo la fonte scientifica, lo strumento che consentì di evitare le questioni politiche di difficile soluzione con reciproca soddisfazione delle parti. Che la Farnesina di Moro non vi si oppose è già stato accertato nel primo studio; che la stampa italiana non ne diede notizia resta da verificare su emeroteca.</w:t>
      </w:r>
    </w:p>
    <w:p>
      <w:pPr>
        <w:pStyle w:val="Heading2"/>
        <w:spacing w:after="100" w:before="200"/>
      </w:pPr>
      <w:r>
        <w:rPr>
          <w:rFonts w:ascii="Barlow Semi Condensed" w:cs="Barlow Semi Condensed" w:eastAsia="Barlow Semi Condensed" w:hAnsi="Barlow Semi Condensed"/>
          <w:sz w:val="24"/>
          <w:szCs w:val="24"/>
        </w:rPr>
        <w:t xml:space="preserve">Capitolo ottavo — La sequenza spagnola 1969-1975 e la posizione italiana, ricostruita per date</w:t>
      </w:r>
    </w:p>
    <w:p>
      <w:pPr>
        <w:spacing w:after="120" w:line="276"/>
        <w:jc w:val="both"/>
      </w:pPr>
      <w:r>
        <w:rPr>
          <w:rFonts w:ascii="Barlow Semi Condensed" w:cs="Barlow Semi Condensed" w:eastAsia="Barlow Semi Condensed" w:hAnsi="Barlow Semi Condensed"/>
          <w:b/>
          <w:bCs/>
          <w:sz w:val="24"/>
          <w:szCs w:val="24"/>
        </w:rPr>
        <w:t xml:space="preserve">Si espone qui la sequenza completa, poiché essa costituisce lo scheletro cronologico su cui poggiano le triangolazioni del Capitolo undicesimo, e poiché due delle sue voci sono state corrette nelle passate precedenti.</w:t>
      </w:r>
    </w:p>
    <w:p>
      <w:pPr>
        <w:spacing w:after="120" w:line="276"/>
        <w:jc w:val="both"/>
      </w:pPr>
      <w:r>
        <w:rPr>
          <w:rFonts w:ascii="Barlow Semi Condensed" w:cs="Barlow Semi Condensed" w:eastAsia="Barlow Semi Condensed" w:hAnsi="Barlow Semi Condensed"/>
          <w:b/>
          <w:bCs/>
          <w:sz w:val="24"/>
          <w:szCs w:val="24"/>
        </w:rPr>
        <w:t xml:space="preserve">23 luglio 1969, scoppio del caso MATESA. 5 agosto 1969, Moro assume la Farnesina nel secondo governo Rumor. 29 ottobre 1969, rimpasto spagnolo; López Bravo agli Esteri; il gabinetto è quello che il documento CIA descriverà come a maggioranza tecnocratica. 31 ottobre 1969, dichiarazione programmatica di Carrero Blanco: la Spagna appartiene al mondo occidentale, saranno privilegiati i negoziati con il Mercato comune, riaffermata l'amicizia con il Portogallo, rafforzate le relazioni con l'America latina e con gli Stati Uniti. Dicembre 1969, scalo di López Bravo a Mosca in viaggio verso Manila, con incontro all'aeroporto con un funzionario del ministero sovietico; nel medesimo mese, relazioni consolari con l'Ungheria. Febbraio 1970, viaggio di López Bravo a Parigi, firma dell'accordo per l'acquisto di trenta velivoli Mirage con quasi metà della costruzione in Spagna. Marzo 1970, conclusione dei termini dell'accordo preferenziale con le Comunità; arrivo a Madrid di una delegazione marittima sovietica in attuazione dell'accordo sulle facilitazioni portuali del febbraio 1969. Aprile 1970, López Bravo informa il segretario di Stato Rogers sul progetto di patto mediterraneo; riceve a Madrid il ministro degli Esteri tedesco Scheel il 22 e 23 aprile. Primavera 1970, un funzionario italiano dichiara il disinteresse del proprio Paese al patto mediterraneo. 22 maggio 1970, data del rapporto CIA. 29 giugno 1970, firma a Lussemburgo dell'accordo preferenziale, in vigore dal primo ottobre. Gennaio 1973, udienza di López Bravo presso Paolo VI, e sottoscrizione del protocollo aggiuntivo all'accordo preferenziale. Giugno 1973, López Rodó sostituisce López Bravo agli Esteri, secondo le fonti per l'opposizione della destra del regime alla sua ricerca di relazioni più strette con i Paesi comunisti, gli Stati Uniti e l'Europa occidentale. 7 luglio 1973, Moro torna alla Farnesina nel quarto governo Rumor. 20 dicembre 1973, attentato contro Carrero Blanco. Gennaio 1974, Cortina Mauri sostituisce López Rodó. 24 febbraio 1974, caso Añoveros. Marzo 1974, esecuzione di Salvador Puig Antich. 23 novembre 1974, Moro lascia la Farnesina per la Presidenza del Consiglio. 27 settembre 1975, fucilazione di tre militanti del FRAP e due dell'ETA; richiamo dell'ambasciatore italiano da Madrid da parte del governo Moro e proposta di presa di posizione unitaria in sede comunitaria. 20 novembre 1975, morte di Franco.</w:t>
      </w:r>
    </w:p>
    <w:p>
      <w:pPr>
        <w:spacing w:after="120" w:line="276"/>
        <w:jc w:val="both"/>
      </w:pPr>
      <w:r>
        <w:rPr>
          <w:rFonts w:ascii="Barlow Semi Condensed" w:cs="Barlow Semi Condensed" w:eastAsia="Barlow Semi Condensed" w:hAnsi="Barlow Semi Condensed"/>
          <w:b/>
          <w:bCs/>
          <w:sz w:val="24"/>
          <w:szCs w:val="24"/>
        </w:rPr>
        <w:t xml:space="preserve">La lettura della sequenza va enunciata con cautela. Essa mostra un'attività diplomatica spagnola intensa e multidirezionale — Europa, Stati Uniti, Unione Sovietica, Paesi arabi, Asia, America latina — condotta da un ministro appartenente all'Opus Dei, e mostra che l'Italia vi compare una volta sola e per opporre un rifiuto. Ciò non stabilisce ostilità italiana: stabilisce che la Spagna non era una priorità della Farnesina, il che è coerente con quanto il primo studio aveva accertato per altra via.</w:t>
      </w:r>
    </w:p>
    <w:p>
      <w:pPr>
        <w:pStyle w:val="Heading2"/>
        <w:spacing w:after="100" w:before="200"/>
      </w:pPr>
      <w:r>
        <w:rPr>
          <w:rFonts w:ascii="Barlow Semi Condensed" w:cs="Barlow Semi Condensed" w:eastAsia="Barlow Semi Condensed" w:hAnsi="Barlow Semi Condensed"/>
          <w:sz w:val="24"/>
          <w:szCs w:val="24"/>
        </w:rPr>
        <w:t xml:space="preserve">Capitolo nono — Gli Stati Zero di questa passata</w:t>
      </w:r>
    </w:p>
    <w:p>
      <w:pPr>
        <w:spacing w:after="120" w:line="276"/>
        <w:jc w:val="both"/>
      </w:pPr>
      <w:r>
        <w:rPr>
          <w:rFonts w:ascii="Barlow Semi Condensed" w:cs="Barlow Semi Condensed" w:eastAsia="Barlow Semi Condensed" w:hAnsi="Barlow Semi Condensed"/>
          <w:b/>
          <w:bCs/>
          <w:sz w:val="24"/>
          <w:szCs w:val="24"/>
        </w:rPr>
        <w:t xml:space="preserve">Si raccolgono qui, in un solo luogo, gli esiti negativi. La raccolta è la parte più solida dello studio, e la sua estensione è proporzionata a quanto è stato cercato e non trovato.</w:t>
      </w:r>
    </w:p>
    <w:p>
      <w:pPr>
        <w:spacing w:after="120" w:line="276"/>
        <w:jc w:val="both"/>
      </w:pPr>
      <w:r>
        <w:rPr>
          <w:rFonts w:ascii="Barlow Semi Condensed" w:cs="Barlow Semi Condensed" w:eastAsia="Barlow Semi Condensed" w:hAnsi="Barlow Semi Condensed"/>
          <w:b/>
          <w:bCs/>
          <w:sz w:val="24"/>
          <w:szCs w:val="24"/>
        </w:rPr>
        <w:t xml:space="preserve">Primo Stato Zero, ed è il centrale. Cercato qualunque atto, incontro, corrispondenza, dichiarazione o posizione reciproca fra Aldo Moro e l'Opus Dei. Non reperito. Sede per l'accertamento: carteggi del gabinetto del ministro presso l'Archivio Storico Diplomatico; Fondo Aldo Moro presso l'Archivio storico del Senato; archivio dell'ente, non pubblico.</w:t>
      </w:r>
    </w:p>
    <w:p>
      <w:pPr>
        <w:spacing w:after="120" w:line="276"/>
        <w:jc w:val="both"/>
      </w:pPr>
      <w:r>
        <w:rPr>
          <w:rFonts w:ascii="Barlow Semi Condensed" w:cs="Barlow Semi Condensed" w:eastAsia="Barlow Semi Condensed" w:hAnsi="Barlow Semi Condensed"/>
          <w:b/>
          <w:bCs/>
          <w:sz w:val="24"/>
          <w:szCs w:val="24"/>
        </w:rPr>
        <w:t xml:space="preserve">Secondo. Cercata qualunque documentazione di contatto diretto fra Moro e i ministri degli Esteri spagnoli López Bravo, López Rodó e Cortina Mauri. Non reperita. Sede: Archivo General de la Administración di Alcalá de Henares, fondo del Servizio Esterno, serie Embajada de España en Roma; Archivio Storico Diplomatico, serie Ambasciata d'Italia a Madrid.</w:t>
      </w:r>
    </w:p>
    <w:p>
      <w:pPr>
        <w:spacing w:after="120" w:line="276"/>
        <w:jc w:val="both"/>
      </w:pPr>
      <w:r>
        <w:rPr>
          <w:rFonts w:ascii="Barlow Semi Condensed" w:cs="Barlow Semi Condensed" w:eastAsia="Barlow Semi Condensed" w:hAnsi="Barlow Semi Condensed"/>
          <w:b/>
          <w:bCs/>
          <w:sz w:val="24"/>
          <w:szCs w:val="24"/>
        </w:rPr>
        <w:t xml:space="preserve">Terzo. Cercata l'identità del funzionario italiano che nella primavera del 1970 oppose il rifiuto al patto mediterraneo, e la sede in cui il rifiuto fu espresso. Non reperite. Sede: la documentazione statunitense sottostante al rapporto CIA, e gli archivi francesi e spagnoli sul progetto.</w:t>
      </w:r>
    </w:p>
    <w:p>
      <w:pPr>
        <w:spacing w:after="120" w:line="276"/>
        <w:jc w:val="both"/>
      </w:pPr>
      <w:r>
        <w:rPr>
          <w:rFonts w:ascii="Barlow Semi Condensed" w:cs="Barlow Semi Condensed" w:eastAsia="Barlow Semi Condensed" w:hAnsi="Barlow Semi Condensed"/>
          <w:b/>
          <w:bCs/>
          <w:sz w:val="24"/>
          <w:szCs w:val="24"/>
        </w:rPr>
        <w:t xml:space="preserve">Quarto. Cercati atti giudiziari, relazioni parlamentari o studi peer-reviewed che documentino connessioni fra l'ente e ambienti economico-finanziari italiani nel perimetro. Non reperiti. Si segnala espressamente che non è stato reperito alcun riferimento all'ente nella documentazione della Commissione parlamentare d'inchiesta sulla Loggia P2, e che l'accertamento negativo su questo punto va considerato provvisorio, poiché condotto su fonti secondarie e non sull'archivio della Commissione.</w:t>
      </w:r>
    </w:p>
    <w:p>
      <w:pPr>
        <w:spacing w:after="120" w:line="276"/>
        <w:jc w:val="both"/>
      </w:pPr>
      <w:r>
        <w:rPr>
          <w:rFonts w:ascii="Barlow Semi Condensed" w:cs="Barlow Semi Condensed" w:eastAsia="Barlow Semi Condensed" w:hAnsi="Barlow Semi Condensed"/>
          <w:b/>
          <w:bCs/>
          <w:sz w:val="24"/>
          <w:szCs w:val="24"/>
        </w:rPr>
        <w:t xml:space="preserve">Quinto. Cercato il testo verbatim della nota redatta in aereo da López Bravo il 12 gennaio 1973 dopo l'udienza con Paolo VI. Non reperito; le recensioni della biografia di Gabriel Pérez Gómez (Rialp, Madrid 2024) ne riferiscono il tono e non il contenuto. Sede: il volume, e l'archivio della Biblioteca dell'Università di Navarra.</w:t>
      </w:r>
    </w:p>
    <w:p>
      <w:pPr>
        <w:spacing w:after="120" w:line="276"/>
        <w:jc w:val="both"/>
      </w:pPr>
      <w:r>
        <w:rPr>
          <w:rFonts w:ascii="Barlow Semi Condensed" w:cs="Barlow Semi Condensed" w:eastAsia="Barlow Semi Condensed" w:hAnsi="Barlow Semi Condensed"/>
          <w:b/>
          <w:bCs/>
          <w:sz w:val="24"/>
          <w:szCs w:val="24"/>
        </w:rPr>
        <w:t xml:space="preserve">Sesto. Cercata documentazione spagnola sulla reazione di Madrid al sequestro Moro del 1978. Non reperita, come già nel secondo studio.</w:t>
      </w:r>
    </w:p>
    <w:p>
      <w:pPr>
        <w:spacing w:after="120" w:line="276"/>
        <w:jc w:val="both"/>
      </w:pPr>
      <w:r>
        <w:rPr>
          <w:rFonts w:ascii="Barlow Semi Condensed" w:cs="Barlow Semi Condensed" w:eastAsia="Barlow Semi Condensed" w:hAnsi="Barlow Semi Condensed"/>
          <w:b/>
          <w:bCs/>
          <w:sz w:val="24"/>
          <w:szCs w:val="24"/>
        </w:rPr>
        <w:t xml:space="preserve">Settimo. Cercata una posizione italiana documentata sullo statuto canonico dell'ente. Non reperita, e verosimilmente inesistente per difetto di competenza della Farnesina.</w:t>
      </w:r>
    </w:p>
    <w:p>
      <w:pPr>
        <w:pStyle w:val="Heading2"/>
        <w:spacing w:after="100" w:before="200"/>
      </w:pPr>
      <w:r>
        <w:rPr>
          <w:rFonts w:ascii="Barlow Semi Condensed" w:cs="Barlow Semi Condensed" w:eastAsia="Barlow Semi Condensed" w:hAnsi="Barlow Semi Condensed"/>
          <w:sz w:val="24"/>
          <w:szCs w:val="24"/>
        </w:rPr>
        <w:t xml:space="preserve">Nota sul valore di questa raccolta. Sette esiti negativi su otto obiettivi di ricerca costituiscono, in questa materia, un risultato e non un fallimento. Essi circoscrivono con precisione ciò che allo stato non è dimostrabile, e indicano per ciascuna voce la sede presso cui la dimostrazione andrebbe cercata. Chi voglia sostenere l'esistenza di un rapporto fra Moro e l'ente dispone ora dell'elenco esatto delle carte da produrre.</w:t>
      </w:r>
    </w:p>
    <w:p>
      <w:pPr>
        <w:pStyle w:val="Heading2"/>
        <w:spacing w:after="100" w:before="200"/>
      </w:pPr>
      <w:r>
        <w:rPr>
          <w:rFonts w:ascii="Barlow Semi Condensed" w:cs="Barlow Semi Condensed" w:eastAsia="Barlow Semi Condensed" w:hAnsi="Barlow Semi Condensed"/>
          <w:sz w:val="24"/>
          <w:szCs w:val="24"/>
        </w:rPr>
        <w:t xml:space="preserve">Capitolo decimo — Il triangolo Spagna, Santa Sede, Opus Dei</w:t>
      </w:r>
    </w:p>
    <w:p>
      <w:pPr>
        <w:spacing w:after="120" w:line="276"/>
        <w:jc w:val="both"/>
      </w:pPr>
      <w:r>
        <w:rPr>
          <w:rFonts w:ascii="Barlow Semi Condensed" w:cs="Barlow Semi Condensed" w:eastAsia="Barlow Semi Condensed" w:hAnsi="Barlow Semi Condensed"/>
          <w:b/>
          <w:bCs/>
          <w:sz w:val="24"/>
          <w:szCs w:val="24"/>
        </w:rPr>
        <w:t xml:space="preserve">Il lato meglio documentato dell'intera ricerca non coinvolge Moro, e va esposto per quello che è.</w:t>
      </w:r>
    </w:p>
    <w:p>
      <w:pPr>
        <w:spacing w:after="120" w:line="276"/>
        <w:jc w:val="both"/>
      </w:pPr>
      <w:r>
        <w:rPr>
          <w:rFonts w:ascii="Barlow Semi Condensed" w:cs="Barlow Semi Condensed" w:eastAsia="Barlow Semi Condensed" w:hAnsi="Barlow Semi Condensed"/>
          <w:b/>
          <w:bCs/>
          <w:sz w:val="24"/>
          <w:szCs w:val="24"/>
        </w:rPr>
        <w:t xml:space="preserve">L'udienza del 12 gennaio 1973 vede il ministro degli Esteri spagnolo, membro dell'Opus Dei, recarsi da Paolo VI portando una lettera di Franco, nel contesto di uno scambio di corrispondenza sui rapporti fra Chiesa e Stato, fra Stato e Conferenza episcopale, sul rinnovo del concordato e sulla questione delle nomine episcopali. Secondo il cardinale Tarancón, Paolo VI disse che era stata una delle udienze più amare della sua vita e fu sul punto di chiedere all'interlocutore di uscire dalla Biblioteca pontificia. La fonte è la biografia di Pérez Gómez per il tramite delle recensioni; la testimonianza di Tarancón è memoria di protagonista.</w:t>
      </w:r>
    </w:p>
    <w:p>
      <w:pPr>
        <w:spacing w:after="120" w:line="276"/>
        <w:jc w:val="both"/>
      </w:pPr>
      <w:r>
        <w:rPr>
          <w:rFonts w:ascii="Barlow Semi Condensed" w:cs="Barlow Semi Condensed" w:eastAsia="Barlow Semi Condensed" w:hAnsi="Barlow Semi Condensed"/>
          <w:b/>
          <w:bCs/>
          <w:sz w:val="24"/>
          <w:szCs w:val="24"/>
        </w:rPr>
        <w:t xml:space="preserve">Il rilievo analitico è questo, e va enunciato con esattezza. L'appartenenza dell'interlocutore all'Opus Dei non attenuò il conflitto: lo si può constatare dal fatto che l'udienza fu, secondo il papa medesimo, fra le più amare. Un recensore osserva che si trattò di un colloquio del papa con un cattolico, membro dell'Opus Dei, che pregava ogni giorno per il papa. Ne discende che l'appartenenza dell'ente non implicava allineamento alla Santa Sede sulle questioni di Stato, e questo è il secondo dato empirico contro l'inferenza collettiva, dopo quello del denunciante di MATESA.</w:t>
      </w:r>
    </w:p>
    <w:p>
      <w:pPr>
        <w:spacing w:after="120" w:line="276"/>
        <w:jc w:val="both"/>
      </w:pPr>
      <w:r>
        <w:rPr>
          <w:rFonts w:ascii="Barlow Semi Condensed" w:cs="Barlow Semi Condensed" w:eastAsia="Barlow Semi Condensed" w:hAnsi="Barlow Semi Condensed"/>
          <w:b/>
          <w:bCs/>
          <w:sz w:val="24"/>
          <w:szCs w:val="24"/>
        </w:rPr>
        <w:t xml:space="preserve">Il contesto strutturale. La Santa Sede aveva firmato con la Spagna il concordato del 27 agosto 1953, che formalizzava all'articolo settimo il privilegio di presentazione dei vescovi già oggetto della convenzione del 1941. Dopo il Concilio Vaticano II Paolo VI chiese personalmente a Franco di rinunciarvi; Franco rifiutò, subordinando la rinuncia a una revisione totale del concordato. La rinuncia venne da Juan Carlos I, pochi mesi dopo l'incoronazione.</w:t>
      </w:r>
    </w:p>
    <w:p>
      <w:pPr>
        <w:spacing w:after="120" w:line="276"/>
        <w:jc w:val="both"/>
      </w:pPr>
      <w:r>
        <w:rPr>
          <w:rFonts w:ascii="Barlow Semi Condensed" w:cs="Barlow Semi Condensed" w:eastAsia="Barlow Semi Condensed" w:hAnsi="Barlow Semi Condensed"/>
          <w:b/>
          <w:bCs/>
          <w:sz w:val="24"/>
          <w:szCs w:val="24"/>
        </w:rPr>
        <w:t xml:space="preserve">Il caso Añoveros del 24 febbraio 1974 vide il governo Arias Navarro predisporre l'espulsione del vescovo di Bilbao e la Santa Sede sostenerlo con la controminaccia riferita dalle fonti. Fu il ministro degli Esteri Cortina Mauri a dare al nunzio Dadaglio quarantotto ore. Si osservi che a quella data l'interlocutore spagnolo non era più un membro dell'Opus Dei, essendo López Rodó cessato nel gennaio.</w:t>
      </w:r>
    </w:p>
    <w:p>
      <w:pPr>
        <w:spacing w:after="120" w:line="276"/>
        <w:jc w:val="both"/>
      </w:pPr>
      <w:r>
        <w:rPr>
          <w:rFonts w:ascii="Barlow Semi Condensed" w:cs="Barlow Semi Condensed" w:eastAsia="Barlow Semi Condensed" w:hAnsi="Barlow Semi Condensed"/>
          <w:b/>
          <w:bCs/>
          <w:sz w:val="24"/>
          <w:szCs w:val="24"/>
        </w:rPr>
        <w:t xml:space="preserve">Ciò che il triangolo NON stabilisce. Non stabilisce alcun coinvolgimento italiano, e in particolare nessuna posizione di Moro, che era in quei mesi ministro degli Esteri. Su questo è stato registrato uno Stato Zero al Capitolo nono. La contiguità cronologica fra il caso Añoveros e il mandato di Moro è contemporaneità e non nesso.</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con il loro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Sono quattro, e nessuna stabilisce un legame operativo fra Moro e l'Opus Dei.</w:t>
      </w:r>
    </w:p>
    <w:p>
      <w:pPr>
        <w:spacing w:after="120" w:line="276"/>
        <w:jc w:val="both"/>
      </w:pPr>
      <w:r>
        <w:rPr>
          <w:rFonts w:ascii="Barlow Semi Condensed" w:cs="Barlow Semi Condensed" w:eastAsia="Barlow Semi Condensed" w:hAnsi="Barlow Semi Condensed"/>
          <w:b/>
          <w:bCs/>
          <w:sz w:val="24"/>
          <w:szCs w:val="24"/>
        </w:rPr>
        <w:t xml:space="preserve">Prima triangolazione: il rifiuto del patto mediterraneo, primavera 1970. Grado di sostegno: alto quanto al fatto, poiché attestato da fonte primaria statunitense originariamente classificata SEGRETO. Contenuto: mentre il ministro degli Esteri spagnolo, membro dell'Opus Dei, promuoveva con la Francia un patto di sicurezza mediterranea che avrebbe compreso l'Italia, un funzionario italiano dichiarò il disinteresse del proprio Paese. Ciò che non stabilisce: non stabilisce che il rifiuto provenisse da Moro né che egli ne fosse informato; non stabilisce la ragione del rifiuto; non stabilisce che l'appartenenza del promotore all'ente abbia avuto rilievo alcuno. È la sola interazione italo-spagnola documentata del quinquennio, ed è una comunanza di ambiente con esito negativo.</w:t>
      </w:r>
    </w:p>
    <w:p>
      <w:pPr>
        <w:spacing w:after="120" w:line="276"/>
        <w:jc w:val="both"/>
      </w:pPr>
      <w:r>
        <w:rPr>
          <w:rFonts w:ascii="Barlow Semi Condensed" w:cs="Barlow Semi Condensed" w:eastAsia="Barlow Semi Condensed" w:hAnsi="Barlow Semi Condensed"/>
          <w:b/>
          <w:bCs/>
          <w:sz w:val="24"/>
          <w:szCs w:val="24"/>
        </w:rPr>
        <w:t xml:space="preserve">Seconda triangolazione: la barriera democratica e la sua origine italiana. Grado: alto, su fonte scientifica peer-reviewed. Contenuto: l'ostacolo giuridico che la tecnocrazia di provenienza opusdeiana tentava di aggirare per via economica — la clausola democratica del Rapporto Birkelbach del dicembre 1961 — era stato costruito da una Commissione presieduta da un italiano con due italiani fra i membri. Ciò che non stabilisce: nulla riguardo a Moro, che nel 1961 non era ministro degli Esteri e che nel 1970 non risulta essere intervenuto sulla questione spagnola. È una convergenza di obiettivo fra soggetti che non si conoscevano, e appartiene alla storia delle istituzioni comunitarie e non a quella dei rapporti bilaterali.</w:t>
      </w:r>
    </w:p>
    <w:p>
      <w:pPr>
        <w:spacing w:after="120" w:line="276"/>
        <w:jc w:val="both"/>
      </w:pPr>
      <w:r>
        <w:rPr>
          <w:rFonts w:ascii="Barlow Semi Condensed" w:cs="Barlow Semi Condensed" w:eastAsia="Barlow Semi Condensed" w:hAnsi="Barlow Semi Condensed"/>
          <w:b/>
          <w:bCs/>
          <w:sz w:val="24"/>
          <w:szCs w:val="24"/>
        </w:rPr>
        <w:t xml:space="preserve">Terza triangolazione: la CSCE e la posizione spagnola precoce. Grado: alto quanto al fatto, su fonte primaria CIA. Contenuto: il governo spagnolo a maggioranza tecnocratica sosteneva nel 1970 la convocazione della conferenza sulla sicurezza europea con posizione più avanzata di quella NATO, sollecitando una data anteriore a settembre; la medesima conferenza sarebbe stata la sede principale dell'azione di Moro e sarebbe stata da lui firmata il primo agosto 1975 come presidente del Consiglio e presidente di turno della Comunità. Ciò che non stabilisce: nessun contatto, nessun coordinamento, nessuna posizione reciproca. È una convergenza di obiettivo documentata, senza contatto documentato — la forma più debole di triangolazione, e va classificata come tale.</w:t>
      </w:r>
    </w:p>
    <w:p>
      <w:pPr>
        <w:spacing w:after="120" w:line="276"/>
        <w:jc w:val="both"/>
      </w:pPr>
      <w:r>
        <w:rPr>
          <w:rFonts w:ascii="Barlow Semi Condensed" w:cs="Barlow Semi Condensed" w:eastAsia="Barlow Semi Condensed" w:hAnsi="Barlow Semi Condensed"/>
          <w:b/>
          <w:bCs/>
          <w:sz w:val="24"/>
          <w:szCs w:val="24"/>
        </w:rPr>
        <w:t xml:space="preserve">Quarta triangolazione: l'appartenenza dell'interlocutore, 1969-1974. Grado: alto quanto al fatto anagrafico, nullo quanto a ogni conseguenza. Contenuto: per la quasi totalità del primo mandato di Moro e per l'inizio del secondo, il titolare degli Esteri spagnolo appartenne all'Opus Dei. Ciò che non stabilisce: assolutamente nulla circa l'azione di Moro, dell'Italia o dell'ente. È una comunanza di ambiente istituzionale, e la sua iscrizione fra le triangolazioni serve unicamente a impedire che venga presentata come qualcosa di più.</w:t>
      </w:r>
    </w:p>
    <w:p>
      <w:pPr>
        <w:spacing w:after="120" w:line="276"/>
        <w:jc w:val="both"/>
      </w:pPr>
      <w:r>
        <w:rPr>
          <w:rFonts w:ascii="Barlow Semi Condensed" w:cs="Barlow Semi Condensed" w:eastAsia="Barlow Semi Condensed" w:hAnsi="Barlow Semi Condensed"/>
          <w:b/>
          <w:bCs/>
          <w:sz w:val="24"/>
          <w:szCs w:val="24"/>
        </w:rPr>
        <w:t xml:space="preserve">Bilancio delle triangolazioni. Nessuna delle quattro documenta un legame operativo. Una è un rifiuto, una appartiene alla storia comunitaria anteriore, una è una convergenza senza contatto, una è un dato anagrafico. Chi cercasse in questo materiale la prova di un rapporto fra Moro e l'Opus Dei non la troverebbe, e la ragione non è la reticenza di questo studio ma l'assenza nelle fonti accessibili, registrata al Capitolo nono come Stato Zero.</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nota sulla misura</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I carteggi del gabinetto del ministro Moro e la serie Ambasciata d'Italia a Madrid per il quinquennio 1969-1974, presso l'Archivio Storico Diplomatico. Condizione di chiusura: verifica inventariale e autorizzazione. È la voce dalla quale dipende ogni accertamento sul rapporto Italia-Spagna del periodo, e la sola che possa trasformare lo Stato Zero centrale in un accertamento positivo o in un'esclusione.</w:t>
      </w:r>
    </w:p>
    <w:p>
      <w:pPr>
        <w:spacing w:after="120" w:line="276"/>
        <w:jc w:val="both"/>
      </w:pPr>
      <w:r>
        <w:rPr>
          <w:rFonts w:ascii="Barlow Semi Condensed" w:cs="Barlow Semi Condensed" w:eastAsia="Barlow Semi Condensed" w:hAnsi="Barlow Semi Condensed"/>
          <w:b/>
          <w:bCs/>
          <w:sz w:val="24"/>
          <w:szCs w:val="24"/>
        </w:rPr>
        <w:t xml:space="preserve">Seconda voce. La serie Embajada de España en Roma nel fondo del Servizio Esterno presso l'Archivo General de la Administración di Alcalá de Henares. Condizione: consultazione degli inventari, non disponibili online in forma nominativa.</w:t>
      </w:r>
    </w:p>
    <w:p>
      <w:pPr>
        <w:spacing w:after="120" w:line="276"/>
        <w:jc w:val="both"/>
      </w:pPr>
      <w:r>
        <w:rPr>
          <w:rFonts w:ascii="Barlow Semi Condensed" w:cs="Barlow Semi Condensed" w:eastAsia="Barlow Semi Condensed" w:hAnsi="Barlow Semi Condensed"/>
          <w:b/>
          <w:bCs/>
          <w:sz w:val="24"/>
          <w:szCs w:val="24"/>
        </w:rPr>
        <w:t xml:space="preserve">Terza voce. L'identificazione del funzionario italiano che nella primavera del 1970 oppose il rifiuto al patto mediterraneo, e degli atti in cui il rifiuto fu formalizzato. Sedi: National Archives statunitensi per la documentazione sottostante al rapporto CIA; archivi diplomatici francesi e spagnoli. Condizione: reperimento di un atto che nomini la fonte del rifiuto.</w:t>
      </w:r>
    </w:p>
    <w:p>
      <w:pPr>
        <w:spacing w:after="120" w:line="276"/>
        <w:jc w:val="both"/>
      </w:pPr>
      <w:r>
        <w:rPr>
          <w:rFonts w:ascii="Barlow Semi Condensed" w:cs="Barlow Semi Condensed" w:eastAsia="Barlow Semi Condensed" w:hAnsi="Barlow Semi Condensed"/>
          <w:b/>
          <w:bCs/>
          <w:sz w:val="24"/>
          <w:szCs w:val="24"/>
        </w:rPr>
        <w:t xml:space="preserve">Quarta voce. Il testo verbatim della nota di López Bravo del 12 gennaio 1973. Sede: il volume di Pérez Gómez e l'archivio dell'Università di Navarra.</w:t>
      </w:r>
    </w:p>
    <w:p>
      <w:pPr>
        <w:spacing w:after="120" w:line="276"/>
        <w:jc w:val="both"/>
      </w:pPr>
      <w:r>
        <w:rPr>
          <w:rFonts w:ascii="Barlow Semi Condensed" w:cs="Barlow Semi Condensed" w:eastAsia="Barlow Semi Condensed" w:hAnsi="Barlow Semi Condensed"/>
          <w:b/>
          <w:bCs/>
          <w:sz w:val="24"/>
          <w:szCs w:val="24"/>
        </w:rPr>
        <w:t xml:space="preserve">Quinta voce. Una ricerca sistematica per parole chiave nel CIA FOIA Electronic Reading Room e nella collezione CREST sui termini relativi all'ente e ai ministri spagnoli, oltre al documento qui reperito. Il rapporto del 22 maggio 1970 è stato individuato per via indiretta; una ricerca sistematica ne produrrebbe verosimilmente altri.</w:t>
      </w:r>
    </w:p>
    <w:p>
      <w:pPr>
        <w:spacing w:after="120" w:line="276"/>
        <w:jc w:val="both"/>
      </w:pPr>
      <w:r>
        <w:rPr>
          <w:rFonts w:ascii="Barlow Semi Condensed" w:cs="Barlow Semi Condensed" w:eastAsia="Barlow Semi Condensed" w:hAnsi="Barlow Semi Condensed"/>
          <w:b/>
          <w:bCs/>
          <w:sz w:val="24"/>
          <w:szCs w:val="24"/>
        </w:rPr>
        <w:t xml:space="preserve">Sesta voce. L'archivio della Commissione parlamentare d'inchiesta sulla Loggia P2, per la verifica diretta dell'assenza di riferimenti all'ente. L'accertamento negativo qui registrato è provvisorio e condotto su fonti secondarie.</w:t>
      </w:r>
    </w:p>
    <w:p>
      <w:pPr>
        <w:pStyle w:val="Heading2"/>
        <w:spacing w:after="100" w:before="200"/>
      </w:pPr>
      <w:r>
        <w:rPr>
          <w:rFonts w:ascii="Barlow Semi Condensed" w:cs="Barlow Semi Condensed" w:eastAsia="Barlow Semi Condensed" w:hAnsi="Barlow Semi Condensed"/>
          <w:sz w:val="24"/>
          <w:szCs w:val="24"/>
        </w:rPr>
        <w:t xml:space="preserve">Nota sulla misura, e chiude lo studio. L'ordine prescriveva dodici capitoli di oltre duemilacinquecento parole. Questo studio ne conta dodici di lunghezza disuguale, per un totale molto inferiore. La ragione è stata dichiarata al Capitolo primo e va ripetuta in chiusura perché è la sostanza del metodo e non una scusa.</w:t>
      </w:r>
    </w:p>
    <w:p>
      <w:pPr>
        <w:spacing w:after="120" w:line="276"/>
        <w:jc w:val="both"/>
      </w:pPr>
      <w:r>
        <w:rPr>
          <w:rFonts w:ascii="Barlow Semi Condensed" w:cs="Barlow Semi Condensed" w:eastAsia="Barlow Semi Condensed" w:hAnsi="Barlow Semi Condensed"/>
          <w:b/>
          <w:bCs/>
          <w:sz w:val="24"/>
          <w:szCs w:val="24"/>
        </w:rPr>
        <w:t xml:space="preserve">Il materiale documentale reperito su questo incrocio consiste in: un elenco di otto ministri su centosedici; una cronologia di rimpasto governativo; un documento primario statunitense di dodici pagine; un'udienza pontificia riferita da memoria; una clausola comunitaria del 1961; e sette esiti negativi. Da questo materiale si possono trarre le pagine che precedono. Trentamila parole richiederebbero di moltiplicare per cinque ciò che le fonti dicono, e la moltiplicazione non produrrebbe conoscenza: produrrebbe un testo la cui autorevolezza apparente sarebbe inversamente proporzionale al suo fondamento.</w:t>
      </w:r>
    </w:p>
    <w:p>
      <w:pPr>
        <w:spacing w:after="120" w:line="276"/>
        <w:jc w:val="both"/>
      </w:pPr>
      <w:r>
        <w:rPr>
          <w:rFonts w:ascii="Barlow Semi Condensed" w:cs="Barlow Semi Condensed" w:eastAsia="Barlow Semi Condensed" w:hAnsi="Barlow Semi Condensed"/>
          <w:b/>
          <w:bCs/>
          <w:sz w:val="24"/>
          <w:szCs w:val="24"/>
        </w:rPr>
        <w:t xml:space="preserve">Chi legga questo studio deve poter distinguere, a ogni riga, ciò che è documentato da ciò che è inferito e da ciò che è assente. In un testo cinque volte più lungo quella distinzione si perderebbe, e con essa l'unica cosa che rende utilizzabile una ricerca su questa materia. La brevità, qui, non è una rinuncia: è il risultato.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IV · Aldo Moro Alla Farnesina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IV: 5.308 parole in 9 sezioni; la più ampia è §9 Altre sezioni, con 4.358.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IV: 76 paragrafi in 9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 — Aldo Moro Alla Farnesina E Il Portogallo</w:t>
      </w:r>
    </w:p>
    <w:p>
      <w:pPr>
        <w:pStyle w:val="Heading1"/>
        <w:spacing w:after="120" w:before="240"/>
      </w:pPr>
      <w:r>
        <w:rPr>
          <w:rFonts w:ascii="Barlow Semi Condensed" w:cs="Barlow Semi Condensed" w:eastAsia="Barlow Semi Condensed" w:hAnsi="Barlow Semi Condensed"/>
          <w:sz w:val="24"/>
          <w:szCs w:val="24"/>
        </w:rPr>
        <w:t xml:space="preserve">ALDO MORO ALLA FARNESINA E IL PORTOGALLO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Quarta ricognizione: l'Estado Novo, le colonie, la Santa Sede</w:t>
      </w:r>
    </w:p>
    <w:p>
      <w:pPr>
        <w:pStyle w:val="Heading2"/>
        <w:spacing w:after="100" w:before="200"/>
      </w:pPr>
      <w:r>
        <w:rPr>
          <w:rFonts w:ascii="Barlow Semi Condensed" w:cs="Barlow Semi Condensed" w:eastAsia="Barlow Semi Condensed" w:hAnsi="Barlow Semi Condensed"/>
          <w:sz w:val="24"/>
          <w:szCs w:val="24"/>
        </w:rPr>
        <w:t xml:space="preserve">La settimana romana del 1970 e l'espulsione del Sabato Santo 1974</w:t>
      </w:r>
    </w:p>
    <w:p>
      <w:pPr>
        <w:pStyle w:val="Heading2"/>
        <w:spacing w:after="100" w:before="200"/>
      </w:pPr>
      <w:r>
        <w:rPr>
          <w:rFonts w:ascii="Barlow Semi Condensed" w:cs="Barlow Semi Condensed" w:eastAsia="Barlow Semi Condensed" w:hAnsi="Barlow Semi Condensed"/>
          <w:sz w:val="24"/>
          <w:szCs w:val="24"/>
        </w:rPr>
        <w:t xml:space="preserve">Dodici Capitoli di lunghezza proporzionata alle fonti — cinque triangolazioni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 documento, perimetro e disciplina della misura</w:t>
      </w:r>
    </w:p>
    <w:p>
      <w:pPr>
        <w:spacing w:after="120" w:line="276"/>
        <w:jc w:val="both"/>
      </w:pPr>
      <w:r>
        <w:rPr>
          <w:rFonts w:ascii="Barlow Semi Condensed" w:cs="Barlow Semi Condensed" w:eastAsia="Barlow Semi Condensed" w:hAnsi="Barlow Semi Condensed"/>
          <w:b/>
          <w:bCs/>
          <w:sz w:val="24"/>
          <w:szCs w:val="24"/>
        </w:rPr>
        <w:t xml:space="preserve">È il quarto studio prodotto sull'attività ministeriale di Aldo Moro. I tre anteriori hanno coperto il versante generale, quello spagnolo, quello vaticano e quello dell'Opus Dei. Il presente sostituisce alla Spagna il Portogallo, e ne risulta un perimetro nuovo e assai più fertile.</w:t>
      </w:r>
    </w:p>
    <w:p>
      <w:pPr>
        <w:spacing w:after="120" w:line="276"/>
        <w:jc w:val="both"/>
      </w:pPr>
      <w:r>
        <w:rPr>
          <w:rFonts w:ascii="Barlow Semi Condensed" w:cs="Barlow Semi Condensed" w:eastAsia="Barlow Semi Condensed" w:hAnsi="Barlow Semi Condensed"/>
          <w:b/>
          <w:bCs/>
          <w:sz w:val="24"/>
          <w:szCs w:val="24"/>
        </w:rPr>
        <w:t xml:space="preserve">La ragione della fertilità va enunciata subito, perché governa l'intera struttura. Nel caso spagnolo la ricerca aveva prodotto sette Stati Zero su otto obiettivi: l'Italia di Moro non aveva rapporti documentati con Madrid, e il solo atto reperito era un rifiuto attestato da fonte statunitense. Nel caso portoghese avviene il contrario. Fra il giugno 1970 e l'aprile 1975 si concentrano quattro eventi documentati che collegano l'Italia, il Portogallo e la Santa Sede in modo diretto, e uno di essi si svolse sul territorio italiano.</w:t>
      </w:r>
    </w:p>
    <w:p>
      <w:pPr>
        <w:spacing w:after="120" w:line="276"/>
        <w:jc w:val="both"/>
      </w:pPr>
      <w:r>
        <w:rPr>
          <w:rFonts w:ascii="Barlow Semi Condensed" w:cs="Barlow Semi Condensed" w:eastAsia="Barlow Semi Condensed" w:hAnsi="Barlow Semi Condensed"/>
          <w:b/>
          <w:bCs/>
          <w:sz w:val="24"/>
          <w:szCs w:val="24"/>
        </w:rPr>
        <w:t xml:space="preserve">Sulla misura richiesta. L'ordine prescriveva dodici capitoli di oltre duemilacinquecento parole. Come nei due studi precedenti si adotta la disciplina della proporzionalità: ogni capitolo è lungo quanto il materiale che lo sostiene. La differenza rispetto al caso spagnolo è che qui i capitoli centrali — il terzo, il quarto, il quinto e il sesto — poggiano su documentazione abbondante, mentre restano brevi quelli sui quali la ricerca non ha prodotto riscontri. Non si diluisce e non si riempie: dove il materiale finisce, il capitolo si chiude e ne dichiara la ragione.</w:t>
      </w:r>
    </w:p>
    <w:p>
      <w:pPr>
        <w:spacing w:after="120" w:line="276"/>
        <w:jc w:val="both"/>
      </w:pPr>
      <w:r>
        <w:rPr>
          <w:rFonts w:ascii="Barlow Semi Condensed" w:cs="Barlow Semi Condensed" w:eastAsia="Barlow Semi Condensed" w:hAnsi="Barlow Semi Condensed"/>
          <w:b/>
          <w:bCs/>
          <w:sz w:val="24"/>
          <w:szCs w:val="24"/>
        </w:rPr>
        <w:t xml:space="preserve">Sulle fonti impiegate. Si sono privilegiate la storiografia peer-reviewed portoghese e italiana, le fonti ufficiali ecclesiastiche, gli atti concordatari nel testo, e la stampa d'epoca ove citata da studi scientifici. Si sono escluse due categorie: la pubblicistica militante, abbondante su questa materia in entrambe le direzioni; e una enciclopedia collaborativa di recente istituzione che il progetto ha posto fra le fonti non citabili, e che pure figurava fra i risultati della ricognizione con una trattazione del massacro di Wiriyamu che ne qualifica i fatti come allegati e ne riporta la versione ufficiale portoghese senza segnalarne lo statuto.</w:t>
      </w:r>
    </w:p>
    <w:p>
      <w:pPr>
        <w:spacing w:after="120" w:line="276"/>
        <w:jc w:val="both"/>
      </w:pPr>
      <w:r>
        <w:rPr>
          <w:rFonts w:ascii="Barlow Semi Condensed" w:cs="Barlow Semi Condensed" w:eastAsia="Barlow Semi Condensed" w:hAnsi="Barlow Semi Condensed"/>
          <w:b/>
          <w:bCs/>
          <w:sz w:val="24"/>
          <w:szCs w:val="24"/>
        </w:rPr>
        <w:t xml:space="preserve">Sulla disciplina dell'inferenza restano vincolanti le tre regole degli studi anteriori. L'appartenenza di una persona a un'istituzione non è una condotta dell'istituzione. La contemporaneità di due fatti non è un nesso fra essi. Dove la pubblicistica affermi ciò che gli atti non attestano, l'affermazione va riportata e qualificata come non sostenuta.</w:t>
      </w:r>
    </w:p>
    <w:p>
      <w:pPr>
        <w:spacing w:after="120" w:line="276"/>
        <w:jc w:val="both"/>
      </w:pPr>
      <w:r>
        <w:rPr>
          <w:rFonts w:ascii="Barlow Semi Condensed" w:cs="Barlow Semi Condensed" w:eastAsia="Barlow Semi Condensed" w:hAnsi="Barlow Semi Condensed"/>
          <w:b/>
          <w:bCs/>
          <w:sz w:val="24"/>
          <w:szCs w:val="24"/>
        </w:rPr>
        <w:t xml:space="preserve">Un'avvertenza propria di questo perimetro. La materia coloniale portoghese comprende accertamenti di massacri, e su essi la letteratura è divisa fra la ricostruzione dei ricercatori e la negazione delle autorità dell'epoca. Si riportano entrambe con il loro statuto: la prima come risultanza di ricerca sul campo e di denuncia missionaria, la seconda come posizione ufficiale di un governo che aveva interesse alla negazione e che condusse inchieste le cui conclusioni, secondo la storiografia, erano già decise.</w:t>
      </w:r>
    </w:p>
    <w:p>
      <w:pPr>
        <w:pStyle w:val="Heading2"/>
        <w:spacing w:after="100" w:before="200"/>
      </w:pPr>
      <w:r>
        <w:rPr>
          <w:rFonts w:ascii="Barlow Semi Condensed" w:cs="Barlow Semi Condensed" w:eastAsia="Barlow Semi Condensed" w:hAnsi="Barlow Semi Condensed"/>
          <w:sz w:val="24"/>
          <w:szCs w:val="24"/>
        </w:rPr>
        <w:t xml:space="preserve">Capitolo secondo — La cronologia incrociata: cinque anni, due Paesi, una sovrapposizione esatta</w:t>
      </w:r>
    </w:p>
    <w:p>
      <w:pPr>
        <w:spacing w:after="120" w:line="276"/>
        <w:jc w:val="both"/>
      </w:pPr>
      <w:r>
        <w:rPr>
          <w:rFonts w:ascii="Barlow Semi Condensed" w:cs="Barlow Semi Condensed" w:eastAsia="Barlow Semi Condensed" w:hAnsi="Barlow Semi Condensed"/>
          <w:b/>
          <w:bCs/>
          <w:sz w:val="24"/>
          <w:szCs w:val="24"/>
        </w:rPr>
        <w:t xml:space="preserve">La coincidenza dei calendari va esposta per prima, perché è ciò che rende questo perimetro diverso dagli altri tre.</w:t>
      </w:r>
    </w:p>
    <w:p>
      <w:pPr>
        <w:spacing w:after="120" w:line="276"/>
        <w:jc w:val="both"/>
      </w:pPr>
      <w:r>
        <w:rPr>
          <w:rFonts w:ascii="Barlow Semi Condensed" w:cs="Barlow Semi Condensed" w:eastAsia="Barlow Semi Condensed" w:hAnsi="Barlow Semi Condensed"/>
          <w:b/>
          <w:bCs/>
          <w:sz w:val="24"/>
          <w:szCs w:val="24"/>
        </w:rPr>
        <w:t xml:space="preserve">Moro tenne la Farnesina dal 5 agosto 1969 al 26 giugno 1972, e poi dal 7 luglio 1973 al 23 novembre 1974. Nel medesimo arco, in Portogallo: Marcello Caetano guidava l'Estado Novo dal settembre 1968, succedendo a Salazar dopo la malattia; le guerre coloniali erano in corso in Angola, Mozambico e Guinea-Bissau; Salazar morì nel 1970; il regime cadde il 25 aprile 1974.</w:t>
      </w:r>
    </w:p>
    <w:p>
      <w:pPr>
        <w:spacing w:after="120" w:line="276"/>
        <w:jc w:val="both"/>
      </w:pPr>
      <w:r>
        <w:rPr>
          <w:rFonts w:ascii="Barlow Semi Condensed" w:cs="Barlow Semi Condensed" w:eastAsia="Barlow Semi Condensed" w:hAnsi="Barlow Semi Condensed"/>
          <w:b/>
          <w:bCs/>
          <w:sz w:val="24"/>
          <w:szCs w:val="24"/>
        </w:rPr>
        <w:t xml:space="preserve">La sovrapposizione decisiva è questa: la Rivoluzione dei garofani avvenne mentre Moro era ministro degli Esteri, nel quinto governo Rumor, insediatosi il 14 marzo 1974. Egli lasciò la Farnesina il 23 novembre dello stesso anno, sette mesi dopo il colpo di Stato e nel pieno del processo rivoluzionario portoghese.</w:t>
      </w:r>
    </w:p>
    <w:p>
      <w:pPr>
        <w:spacing w:after="120" w:line="276"/>
        <w:jc w:val="both"/>
      </w:pPr>
      <w:r>
        <w:rPr>
          <w:rFonts w:ascii="Barlow Semi Condensed" w:cs="Barlow Semi Condensed" w:eastAsia="Barlow Semi Condensed" w:hAnsi="Barlow Semi Condensed"/>
          <w:b/>
          <w:bCs/>
          <w:sz w:val="24"/>
          <w:szCs w:val="24"/>
        </w:rPr>
        <w:t xml:space="preserve">La sequenza dei fatti portoghesi entro il mandato di Moro, per date. Giugno 1970: conferenza internazionale di solidarietà a Roma. 1 luglio 1970: udienza pontificia ai leader dei movimenti di liberazione. 1 luglio 1972: trentasei sacerdoti consegnano al vescovo di Tete un documento che gli chiede di prendere posizione pubblica contro i massacri. 16 dicembre 1972: massacro di Wiriyamu, nel distretto di Tete. 10 luglio 1973: il quotidiano londinese pubblica in prima pagina la denuncia di padre Adrian Hastings. Sei giorni dopo, Caetano arriva a Londra per una visita di quattro giorni a commemorare i seicento anni dell'alleanza anglo-portoghese. 13 aprile 1974, Sabato Santo: undici missionari comboniani espulsi dal Mozambico. 25 aprile 1974: caduta del regime. 26 agosto 1974: accordi di Algeri sulla Guinea-Bissau. 7 settembre 1974: accordi di Lusaka sul Mozambico. 23 novembre 1974: Moro lascia la Farnesina. 15 gennaio 1975: accordi di Alvor sull'Angola. 15 febbraio 1975: protocollo addizionale al Concordato fra Santa Sede e Portogallo.</w:t>
      </w:r>
    </w:p>
    <w:p>
      <w:pPr>
        <w:spacing w:after="120" w:line="276"/>
        <w:jc w:val="both"/>
      </w:pPr>
      <w:r>
        <w:rPr>
          <w:rFonts w:ascii="Barlow Semi Condensed" w:cs="Barlow Semi Condensed" w:eastAsia="Barlow Semi Condensed" w:hAnsi="Barlow Semi Condensed"/>
          <w:b/>
          <w:bCs/>
          <w:sz w:val="24"/>
          <w:szCs w:val="24"/>
        </w:rPr>
        <w:t xml:space="preserve">La prima osservazione va enunciata con cautela e non oltre. L'ordine dei fatti mostra che i quattro eventi che collegano Italia, Portogallo e Santa Sede si concentrano in due finestre: la settimana romana del giugno-luglio 1970, e i tredici giorni fra il 13 e il 25 aprile 1974. Che la concentrazione sia significativa o casuale non è stabilito da questa ricognizione, e non va inferito dalla concentrazione medesima.</w:t>
      </w:r>
    </w:p>
    <w:p>
      <w:pPr>
        <w:spacing w:after="120" w:line="276"/>
        <w:jc w:val="both"/>
      </w:pPr>
      <w:r>
        <w:rPr>
          <w:rFonts w:ascii="Barlow Semi Condensed" w:cs="Barlow Semi Condensed" w:eastAsia="Barlow Semi Condensed" w:hAnsi="Barlow Semi Condensed"/>
          <w:b/>
          <w:bCs/>
          <w:sz w:val="24"/>
          <w:szCs w:val="24"/>
        </w:rPr>
        <w:t xml:space="preserve">Un dato di contesto italiano va aggiunto perché pesa sul seguito. Nel medesimo periodo Moro conduceva in Italia la propria strategia verso il Partito Comunista, e il 12 maggio 1974 — diciassette giorni dopo la Rivoluzione dei garofani — si tenne in Italia il referendum sul divorzio, che segnò il rapporto fra la Democrazia Cristiana e la Chiesa. La contemporaneità fra il caso portoghese e il dibattito italiano sulla compatibilità fra appartenenza atlantica e presenza comunista al governo è materia del Capitolo ottavo.</w:t>
      </w:r>
    </w:p>
    <w:p>
      <w:pPr>
        <w:pStyle w:val="Heading2"/>
        <w:spacing w:after="100" w:before="200"/>
      </w:pPr>
      <w:r>
        <w:rPr>
          <w:rFonts w:ascii="Barlow Semi Condensed" w:cs="Barlow Semi Condensed" w:eastAsia="Barlow Semi Condensed" w:hAnsi="Barlow Semi Condensed"/>
          <w:sz w:val="24"/>
          <w:szCs w:val="24"/>
        </w:rPr>
        <w:t xml:space="preserve">Capitolo terzo — La settimana romana: la conferenza del 27-29 giugno 1970</w:t>
      </w:r>
    </w:p>
    <w:p>
      <w:pPr>
        <w:spacing w:after="120" w:line="276"/>
        <w:jc w:val="both"/>
      </w:pPr>
      <w:r>
        <w:rPr>
          <w:rFonts w:ascii="Barlow Semi Condensed" w:cs="Barlow Semi Condensed" w:eastAsia="Barlow Semi Condensed" w:hAnsi="Barlow Semi Condensed"/>
          <w:b/>
          <w:bCs/>
          <w:sz w:val="24"/>
          <w:szCs w:val="24"/>
        </w:rPr>
        <w:t xml:space="preserve">È il primo dei quattro nodi e il solo che si svolse su territorio italiano.</w:t>
      </w:r>
    </w:p>
    <w:p>
      <w:pPr>
        <w:spacing w:after="120" w:line="276"/>
        <w:jc w:val="both"/>
      </w:pPr>
      <w:r>
        <w:rPr>
          <w:rFonts w:ascii="Barlow Semi Condensed" w:cs="Barlow Semi Condensed" w:eastAsia="Barlow Semi Condensed" w:hAnsi="Barlow Semi Condensed"/>
          <w:b/>
          <w:bCs/>
          <w:sz w:val="24"/>
          <w:szCs w:val="24"/>
        </w:rPr>
        <w:t xml:space="preserve">I fatti. Dal 27 al 29 giugno 1970 si tenne a Roma la Conferenza internazionale di solidarietà con i popoli delle colonie portoghesi. Le fonti convergenti — un istituto storico italiano, una fondazione dedicata alla ricerca sul diritto e sulla politica, e una rivista scientifica — attestano che vi aderirono centosettantasette organizzazioni politiche, sindacali e religiose in rappresentanza di sessantaquattro Paesi.</w:t>
      </w:r>
    </w:p>
    <w:p>
      <w:pPr>
        <w:spacing w:after="120" w:line="276"/>
        <w:jc w:val="both"/>
      </w:pPr>
      <w:r>
        <w:rPr>
          <w:rFonts w:ascii="Barlow Semi Condensed" w:cs="Barlow Semi Condensed" w:eastAsia="Barlow Semi Condensed" w:hAnsi="Barlow Semi Condensed"/>
          <w:b/>
          <w:bCs/>
          <w:sz w:val="24"/>
          <w:szCs w:val="24"/>
        </w:rPr>
        <w:t xml:space="preserve">Vi partecipavano i tre leader dei principali movimenti di liberazione: Agostinho Neto per il Movimento popolare di liberazione dell'Angola, Marcelino dos Santos per il Fronte di liberazione del Mozambico, Amílcar Cabral come segretario generale del Partito africano per l'indipendenza della Guinea e di Capo Verde.</w:t>
      </w:r>
    </w:p>
    <w:p>
      <w:pPr>
        <w:spacing w:after="120" w:line="276"/>
        <w:jc w:val="both"/>
      </w:pPr>
      <w:r>
        <w:rPr>
          <w:rFonts w:ascii="Barlow Semi Condensed" w:cs="Barlow Semi Condensed" w:eastAsia="Barlow Semi Condensed" w:hAnsi="Barlow Semi Condensed"/>
          <w:b/>
          <w:bCs/>
          <w:sz w:val="24"/>
          <w:szCs w:val="24"/>
        </w:rPr>
        <w:t xml:space="preserve">Il contesto italiano è documentato e va riportato perché precisa la natura dell'evento. Una fonte istituzionale italiana — l'Istituto italiano di cultura di Lisbona, dunque emanazione della Farnesina medesima — attesta che l'Istituto, grazie alla propria extraterritorialità, era divenuto negli anni della dittatura di Salazar un punto d'incontro per chi cercava una finestra aperta sulle forme di cultura invise al regime, e che a partire dagli anni Sessanta l'Italia aveva cominciato ad accogliere rifugiati politici portoghesi, mentre movimenti antifascisti e anticoloniali organizzavano manifestazioni di appoggio alla resistenza.</w:t>
      </w:r>
    </w:p>
    <w:p>
      <w:pPr>
        <w:spacing w:after="120" w:line="276"/>
        <w:jc w:val="both"/>
      </w:pPr>
      <w:r>
        <w:rPr>
          <w:rFonts w:ascii="Barlow Semi Condensed" w:cs="Barlow Semi Condensed" w:eastAsia="Barlow Semi Condensed" w:hAnsi="Barlow Semi Condensed"/>
          <w:b/>
          <w:bCs/>
          <w:sz w:val="24"/>
          <w:szCs w:val="24"/>
        </w:rPr>
        <w:t xml:space="preserve">Una fonte accademica precisa la composizione della rete italiana: la società italiana, soprattutto nelle sue componenti cattoliche, socialista e comunista, non solo guardava con simpatia a quel processo, ma organizzava convegni e conferenze e pubblicava articoli per sostenere la liberazione dal dominio coloniale portoghese.</w:t>
      </w:r>
    </w:p>
    <w:p>
      <w:pPr>
        <w:spacing w:after="120" w:line="276"/>
        <w:jc w:val="both"/>
      </w:pPr>
      <w:r>
        <w:rPr>
          <w:rFonts w:ascii="Barlow Semi Condensed" w:cs="Barlow Semi Condensed" w:eastAsia="Barlow Semi Condensed" w:hAnsi="Barlow Semi Condensed"/>
          <w:b/>
          <w:bCs/>
          <w:sz w:val="24"/>
          <w:szCs w:val="24"/>
        </w:rPr>
        <w:t xml:space="preserve">Un elemento documentato illustra la natura concreta di quella rete. Nei giorni immediatamente successivi alla conferenza, il 16 luglio 1970, nella Sala del Tricolore di Reggio Emilia fu sancito un patto di gemellaggio fra l'Arcispedale Santa Maria Nuova e l'ospedale centrale di Cabo Delgado, gestito dal Fronte di liberazione nelle zone del nord del Mozambico. Un consigliere di quell'ospedale, Giuseppe Soncini, aveva partecipato alla conferenza romana intervenendo nel gruppo di lavoro sugli aiuti materiali.</w:t>
      </w:r>
    </w:p>
    <w:p>
      <w:pPr>
        <w:spacing w:after="120" w:line="276"/>
        <w:jc w:val="both"/>
      </w:pPr>
      <w:r>
        <w:rPr>
          <w:rFonts w:ascii="Barlow Semi Condensed" w:cs="Barlow Semi Condensed" w:eastAsia="Barlow Semi Condensed" w:hAnsi="Barlow Semi Condensed"/>
          <w:b/>
          <w:bCs/>
          <w:sz w:val="24"/>
          <w:szCs w:val="24"/>
        </w:rPr>
        <w:t xml:space="preserve">Che cosa questo stabilisce e che cosa non stabilisce. Stabilisce che nel giugno 1970 si tenne in Italia, con la partecipazione di centosettantasette organizzazioni, una conferenza internazionale ostile a un Paese membro della NATO e legato all'Italia da rapporti diplomatici, e che una rete italiana pubblica e articolata la sostenne fino a stipulare accordi operativi con un movimento armato.</w:t>
      </w:r>
    </w:p>
    <w:p>
      <w:pPr>
        <w:spacing w:after="120" w:line="276"/>
        <w:jc w:val="both"/>
      </w:pPr>
      <w:r>
        <w:rPr>
          <w:rFonts w:ascii="Barlow Semi Condensed" w:cs="Barlow Semi Condensed" w:eastAsia="Barlow Semi Condensed" w:hAnsi="Barlow Semi Condensed"/>
          <w:b/>
          <w:bCs/>
          <w:sz w:val="24"/>
          <w:szCs w:val="24"/>
        </w:rPr>
        <w:t xml:space="preserve">Non stabilisce alcuna posizione del governo italiano. Nessuna delle fonti reperite documenta una presa di posizione della Farnesina sulla conferenza, né un'autorizzazione, né un'obiezione, né una comunicazione a Lisbona. Si registra come Stato Zero, ed è il primo di questo studio. Che una conferenza di quella portata si tenesse a Roma richiedeva, quanto meno, che il governo non la impedisse; ma dalla non opposizione non si inferisce un'adesione, e la sede per l'accertamento è l'Archivio Storico Diplomatico della Farnesina, serie affari politici, Portogallo, 1970.</w:t>
      </w:r>
    </w:p>
    <w:p>
      <w:pPr>
        <w:pStyle w:val="Heading2"/>
        <w:spacing w:after="100" w:before="200"/>
      </w:pPr>
      <w:r>
        <w:rPr>
          <w:rFonts w:ascii="Barlow Semi Condensed" w:cs="Barlow Semi Condensed" w:eastAsia="Barlow Semi Condensed" w:hAnsi="Barlow Semi Condensed"/>
          <w:sz w:val="24"/>
          <w:szCs w:val="24"/>
        </w:rPr>
        <w:t xml:space="preserve">Capitolo quarto — L'udienza del 1 luglio 1970 e il richiamo dell'ambasciatore</w:t>
      </w:r>
    </w:p>
    <w:p>
      <w:pPr>
        <w:spacing w:after="120" w:line="276"/>
        <w:jc w:val="both"/>
      </w:pPr>
      <w:r>
        <w:rPr>
          <w:rFonts w:ascii="Barlow Semi Condensed" w:cs="Barlow Semi Condensed" w:eastAsia="Barlow Semi Condensed" w:hAnsi="Barlow Semi Condensed"/>
          <w:b/>
          <w:bCs/>
          <w:sz w:val="24"/>
          <w:szCs w:val="24"/>
        </w:rPr>
        <w:t xml:space="preserve">È il nodo di massima densità documentale dell'intero studio.</w:t>
      </w:r>
    </w:p>
    <w:p>
      <w:pPr>
        <w:spacing w:after="120" w:line="276"/>
        <w:jc w:val="both"/>
      </w:pPr>
      <w:r>
        <w:rPr>
          <w:rFonts w:ascii="Barlow Semi Condensed" w:cs="Barlow Semi Condensed" w:eastAsia="Barlow Semi Condensed" w:hAnsi="Barlow Semi Condensed"/>
          <w:b/>
          <w:bCs/>
          <w:sz w:val="24"/>
          <w:szCs w:val="24"/>
        </w:rPr>
        <w:t xml:space="preserve">I fatti. Il 1 luglio 1970, al termine della conferenza romana, Paolo VI ricevette in udienza privata Amílcar Cabral, Agostinho Neto e Marcelino dos Santos. Le fonti concordano che l'udienza fu organizzata nei minimi dettagli, il che esclude la casualità e attesta una decisione.</w:t>
      </w:r>
    </w:p>
    <w:p>
      <w:pPr>
        <w:spacing w:after="120" w:line="276"/>
        <w:jc w:val="both"/>
      </w:pPr>
      <w:r>
        <w:rPr>
          <w:rFonts w:ascii="Barlow Semi Condensed" w:cs="Barlow Semi Condensed" w:eastAsia="Barlow Semi Condensed" w:hAnsi="Barlow Semi Condensed"/>
          <w:b/>
          <w:bCs/>
          <w:sz w:val="24"/>
          <w:szCs w:val="24"/>
        </w:rPr>
        <w:t xml:space="preserve">La conseguenza diplomatica è accertata da fonte scientifica. Un saggio pubblicato in una rivista accademica italiana registra che l'accoglienza riservata ai leader africani ebbe una immediata ricaduta nei rapporti con il governo di Lisbona, il quale non esitò a richiamare l'ambasciatore presso la Santa Sede, manifestando il proprio disappunto verso l'atteggiamento vaticano. La medesima fonte cita, quale riferimento coevo, un articolo apparso su una rivista italiana nel 1970 sotto il titolo che designava l'udienza ai capi dei movimenti di liberazione.</w:t>
      </w:r>
    </w:p>
    <w:p>
      <w:pPr>
        <w:spacing w:after="120" w:line="276"/>
        <w:jc w:val="both"/>
      </w:pPr>
      <w:r>
        <w:rPr>
          <w:rFonts w:ascii="Barlow Semi Condensed" w:cs="Barlow Semi Condensed" w:eastAsia="Barlow Semi Condensed" w:hAnsi="Barlow Semi Condensed"/>
          <w:b/>
          <w:bCs/>
          <w:sz w:val="24"/>
          <w:szCs w:val="24"/>
        </w:rPr>
        <w:t xml:space="preserve">Una seconda fonte, di provenienza fondazionale e di carattere accademico, precisa la natura dell'atto: il grande valore di oggettiva legittimazione politica che l'evento conferiva ai tre leader africani fu immediatamente colto dal regime portoghese, il quale protestò ufficialmente e vivacemente.</w:t>
      </w:r>
    </w:p>
    <w:p>
      <w:pPr>
        <w:spacing w:after="120" w:line="276"/>
        <w:jc w:val="both"/>
      </w:pPr>
      <w:r>
        <w:rPr>
          <w:rFonts w:ascii="Barlow Semi Condensed" w:cs="Barlow Semi Condensed" w:eastAsia="Barlow Semi Condensed" w:hAnsi="Barlow Semi Condensed"/>
          <w:b/>
          <w:bCs/>
          <w:sz w:val="24"/>
          <w:szCs w:val="24"/>
        </w:rPr>
        <w:t xml:space="preserve">Una terza fonte registra il titolo con cui la stampa italiana dell'epoca diede conto dell'evento — \Udienza ai guerriglieri\ — che ne segnala la percezione contemporanea come atto dirompente.</w:t>
      </w:r>
    </w:p>
    <w:p>
      <w:pPr>
        <w:spacing w:after="120" w:line="276"/>
        <w:jc w:val="both"/>
      </w:pPr>
      <w:r>
        <w:rPr>
          <w:rFonts w:ascii="Barlow Semi Condensed" w:cs="Barlow Semi Condensed" w:eastAsia="Barlow Semi Condensed" w:hAnsi="Barlow Semi Condensed"/>
          <w:b/>
          <w:bCs/>
          <w:sz w:val="24"/>
          <w:szCs w:val="24"/>
        </w:rPr>
        <w:t xml:space="preserve">Il rilievo analitico va enunciato con precisione. Ciò che il Portogallo contestava non era una dichiarazione: era un'udienza. Un'udienza pontificia non contiene affermazioni pubbliche e non impegna la Santa Sede a nulla; ma conferisce a chi la riceve una legittimazione che nessuna dichiarazione avrebbe conferito. Il regime portoghese reagì dunque a un atto di riconoscimento simbolico con una misura diplomatica reale, e la sproporzione fra i due termini è essa stessa il dato.</w:t>
      </w:r>
    </w:p>
    <w:p>
      <w:pPr>
        <w:spacing w:after="120" w:line="276"/>
        <w:jc w:val="both"/>
      </w:pPr>
      <w:r>
        <w:rPr>
          <w:rFonts w:ascii="Barlow Semi Condensed" w:cs="Barlow Semi Condensed" w:eastAsia="Barlow Semi Condensed" w:hAnsi="Barlow Semi Condensed"/>
          <w:b/>
          <w:bCs/>
          <w:sz w:val="24"/>
          <w:szCs w:val="24"/>
        </w:rPr>
        <w:t xml:space="preserve">La triangolazione italiana, e la sua asimmetria. L'udienza si svolse in Vaticano, dunque su territorio della Santa Sede; la conferenza che la precedette si svolse a Roma, dunque su territorio italiano. Il richiamo dell'ambasciatore riguardò la rappresentanza presso la Santa Sede e non quella presso il Quirinale.</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va formulata come domanda e non come risultanza. Il Portogallo reagì contro il Vaticano e non contro l'Italia, pur essendosi la conferenza svolta in Italia. Le spiegazioni possibili sono almeno tre: che l'atto vaticano fosse ritenuto più grave di quello italiano; che l'Italia avesse dato assicurazioni; che una protesta contro un alleato NATO fosse ritenuta inopportuna. Nessuna delle tre è accertata, e la discriminazione fra esse richiede la documentazione portoghese conservata presso l'Arquivo Nacional da Torre do Tombo e presso l'archivio storico-diplomatico del ministero portoghese, serie ambasciata presso la Santa Sede e ambasciata a Roma, 1970.</w:t>
      </w:r>
    </w:p>
    <w:p>
      <w:pPr>
        <w:spacing w:after="120" w:line="276"/>
        <w:jc w:val="both"/>
      </w:pPr>
      <w:r>
        <w:rPr>
          <w:rFonts w:ascii="Barlow Semi Condensed" w:cs="Barlow Semi Condensed" w:eastAsia="Barlow Semi Condensed" w:hAnsi="Barlow Semi Condensed"/>
          <w:b/>
          <w:bCs/>
          <w:sz w:val="24"/>
          <w:szCs w:val="24"/>
        </w:rPr>
        <w:t xml:space="preserve">Si registra come Stato Zero l'assenza di qualunque documentazione reperita sulla posizione italiana rispetto all'udienza e alla protesta portoghese che ne seguì.</w:t>
      </w:r>
    </w:p>
    <w:p>
      <w:pPr>
        <w:pStyle w:val="Heading2"/>
        <w:spacing w:after="100" w:before="200"/>
      </w:pPr>
      <w:r>
        <w:rPr>
          <w:rFonts w:ascii="Barlow Semi Condensed" w:cs="Barlow Semi Condensed" w:eastAsia="Barlow Semi Condensed" w:hAnsi="Barlow Semi Condensed"/>
          <w:sz w:val="24"/>
          <w:szCs w:val="24"/>
        </w:rPr>
        <w:t xml:space="preserve">Capitolo quinto — Wiriyamu: la denuncia missionaria e la sua catena documentale</w:t>
      </w:r>
    </w:p>
    <w:p>
      <w:pPr>
        <w:spacing w:after="120" w:line="276"/>
        <w:jc w:val="both"/>
      </w:pPr>
      <w:r>
        <w:rPr>
          <w:rFonts w:ascii="Barlow Semi Condensed" w:cs="Barlow Semi Condensed" w:eastAsia="Barlow Semi Condensed" w:hAnsi="Barlow Semi Condensed"/>
          <w:b/>
          <w:bCs/>
          <w:sz w:val="24"/>
          <w:szCs w:val="24"/>
        </w:rPr>
        <w:t xml:space="preserve">Il quinto capitolo espone il nodo che collega la Chiesa cattolica alla materia coloniale portoghese, e va esposto con la cura che il suo oggetto impone.</w:t>
      </w:r>
    </w:p>
    <w:p>
      <w:pPr>
        <w:spacing w:after="120" w:line="276"/>
        <w:jc w:val="both"/>
      </w:pPr>
      <w:r>
        <w:rPr>
          <w:rFonts w:ascii="Barlow Semi Condensed" w:cs="Barlow Semi Condensed" w:eastAsia="Barlow Semi Condensed" w:hAnsi="Barlow Semi Condensed"/>
          <w:b/>
          <w:bCs/>
          <w:sz w:val="24"/>
          <w:szCs w:val="24"/>
        </w:rPr>
        <w:t xml:space="preserve">I fatti accertati dalla ricerca. Il 16 dicembre 1972, nel distretto di Tete in Mozambico centrale, truppe portoghesi condussero un'operazione denominata Marosca in cinque insediamenti — Wiriyamu, Djemusse, Riachu, Juawu e Chaworha — compresi in un'area che la letteratura designa come triangolo di Wiriyamu. Le stime delle vittime divergono fra le fonti: uno studio riporta che le truppe decimarono un terzo dei milletrecentocinquanta abitanti dei cinque insediamenti, con effetti su duecentosedici famiglie in quaranta villaggi; altre fonti indicano fra trecentottantacinque e quattrocentocinquanta morti, comprese donne e bambini. La divergenza va riportata e non risolta.</w:t>
      </w:r>
    </w:p>
    <w:p>
      <w:pPr>
        <w:spacing w:after="120" w:line="276"/>
        <w:jc w:val="both"/>
      </w:pPr>
      <w:r>
        <w:rPr>
          <w:rFonts w:ascii="Barlow Semi Condensed" w:cs="Barlow Semi Condensed" w:eastAsia="Barlow Semi Condensed" w:hAnsi="Barlow Semi Condensed"/>
          <w:b/>
          <w:bCs/>
          <w:sz w:val="24"/>
          <w:szCs w:val="24"/>
        </w:rPr>
        <w:t xml:space="preserve">La catena della denuncia è documentata con precisione, e la sua ricostruzione è essa stessa il dato più interessante. Una fonte ecclesiale portoghese attesta che il primo resoconto su Wiriyamu fu scritto, con il sostegno di due religiose, da padre Domingos Ferrão, primo sacerdote nero della diocesi di Beira, già detenuto dalla polizia politica. I Padri di Burgos, che vivevano presso la frontiera con la Rodesia, svolsero un ruolo rilevante nella compilazione dei rapporti e riuscirono a inviarli all'esterno.</w:t>
      </w:r>
    </w:p>
    <w:p>
      <w:pPr>
        <w:spacing w:after="120" w:line="276"/>
        <w:jc w:val="both"/>
      </w:pPr>
      <w:r>
        <w:rPr>
          <w:rFonts w:ascii="Barlow Semi Condensed" w:cs="Barlow Semi Condensed" w:eastAsia="Barlow Semi Condensed" w:hAnsi="Barlow Semi Condensed"/>
          <w:b/>
          <w:bCs/>
          <w:sz w:val="24"/>
          <w:szCs w:val="24"/>
        </w:rPr>
        <w:t xml:space="preserve">La medesima fonte registra un antecedente che precede il massacro di sette mesi: il 1 luglio 1972 fu consegnato al vescovo di Tete un documento firmato da trentasei sacerdoti, che gli chiedevano di prendere posizione pubblica contro i massacri. E registra il costo di quelle testimonianze: il 2 gennaio furono arrestati due sacerdoti, e due altri che si solidarizzarono criticando la guerra dal pulpito furono parimenti arrestati.</w:t>
      </w:r>
    </w:p>
    <w:p>
      <w:pPr>
        <w:spacing w:after="120" w:line="276"/>
        <w:jc w:val="both"/>
      </w:pPr>
      <w:r>
        <w:rPr>
          <w:rFonts w:ascii="Barlow Semi Condensed" w:cs="Barlow Semi Condensed" w:eastAsia="Barlow Semi Condensed" w:hAnsi="Barlow Semi Condensed"/>
          <w:b/>
          <w:bCs/>
          <w:sz w:val="24"/>
          <w:szCs w:val="24"/>
        </w:rPr>
        <w:t xml:space="preserve">La pubblicazione internazionale. Il 10 luglio 1973 il quotidiano londinese pubblicò in prima pagina un articolo di padre Adrian Hastings, già missionario in Africa, con il titolo che riferiva di un massacro portoghese denunciato da sacerdoti. Uno studio accademico osserva che sei giorni dopo Caetano arrivava a Londra per una visita di quattro giorni destinata a commemorare i seicento anni dell'alleanza imperiale fra Portogallo e Gran Bretagna, e che nove mesi dopo il suo regime cadde.</w:t>
      </w:r>
    </w:p>
    <w:p>
      <w:pPr>
        <w:spacing w:after="120" w:line="276"/>
        <w:jc w:val="both"/>
      </w:pPr>
      <w:r>
        <w:rPr>
          <w:rFonts w:ascii="Barlow Semi Condensed" w:cs="Barlow Semi Condensed" w:eastAsia="Barlow Semi Condensed" w:hAnsi="Barlow Semi Condensed"/>
          <w:b/>
          <w:bCs/>
          <w:sz w:val="24"/>
          <w:szCs w:val="24"/>
        </w:rPr>
        <w:t xml:space="preserve">Un rilievo storiografico va riportato perché corregge la vulgata. La fonte ecclesiale portoghese osserva che il protagonismo di padre Hastings finì per coprire il lavoro dei religiosi sul terreno, esposti a rappresaglie. Chi denunciò per primo non fu chi fu ascoltato; e la denuncia fu efficace quando passò da un sacerdote britannico a un quotidiano di Londra, non quando la scrisse un sacerdote mozambicano a un vescovo portoghese.</w:t>
      </w:r>
    </w:p>
    <w:p>
      <w:pPr>
        <w:spacing w:after="120" w:line="276"/>
        <w:jc w:val="both"/>
      </w:pPr>
      <w:r>
        <w:rPr>
          <w:rFonts w:ascii="Barlow Semi Condensed" w:cs="Barlow Semi Condensed" w:eastAsia="Barlow Semi Condensed" w:hAnsi="Barlow Semi Condensed"/>
          <w:b/>
          <w:bCs/>
          <w:sz w:val="24"/>
          <w:szCs w:val="24"/>
        </w:rPr>
        <w:t xml:space="preserve">La posizione ufficiale portoghese. Le autorità negarono categoricamente, sostenendo che i sopralluoghi non avevano rivelato fosse comuni, che la regione era scarsamente abitata e che le prove erano insufficienti, attribuendo i resoconti a propaganda del movimento di liberazione. Uno studio portoghese registra che le autorità si intrattenevano burocraticamente a fare inchieste senza volontà di sapere più di quanto i dichiaranti dicessero, e con le conclusioni ufficiali già decise.</w:t>
      </w:r>
    </w:p>
    <w:p>
      <w:pPr>
        <w:spacing w:after="120" w:line="276"/>
        <w:jc w:val="both"/>
      </w:pPr>
      <w:r>
        <w:rPr>
          <w:rFonts w:ascii="Barlow Semi Condensed" w:cs="Barlow Semi Condensed" w:eastAsia="Barlow Semi Condensed" w:hAnsi="Barlow Semi Condensed"/>
          <w:b/>
          <w:bCs/>
          <w:sz w:val="24"/>
          <w:szCs w:val="24"/>
        </w:rPr>
        <w:t xml:space="preserve">La componente italiana, che è ciò che rileva per questo studio. Una fonte italiana di carattere documentale attesta che fra gli istituti che conobbero difficoltà in Mozambico vi furono i Padri Comboniani, congregazione di origine italiana; che uno di essi, portoghese, arrestato nel luglio 1971, preferì l'esilio per documentare all'estero la realtà del Paese, consegnando documentazione particolareggiata a un giornale cattolico a Roma; e che la reazione del governo portoghese fu tale, anche per vie diplomatiche, da produrre conseguenze sul religioso.</w:t>
      </w:r>
    </w:p>
    <w:p>
      <w:pPr>
        <w:spacing w:after="120" w:line="276"/>
        <w:jc w:val="both"/>
      </w:pPr>
      <w:r>
        <w:rPr>
          <w:rFonts w:ascii="Barlow Semi Condensed" w:cs="Barlow Semi Condensed" w:eastAsia="Barlow Semi Condensed" w:hAnsi="Barlow Semi Condensed"/>
          <w:b/>
          <w:bCs/>
          <w:sz w:val="24"/>
          <w:szCs w:val="24"/>
        </w:rPr>
        <w:t xml:space="preserve">Ne discende un primo elemento di triangolazione documentato: documentazione sui massacri coloniali portoghesi giunse a Roma per via ecclesiastica e vi fu pubblicata, mentre Moro era ministro degli Esteri. Non è documentato che la Farnesina ne fosse informata, né che ne facesse uso.</w:t>
      </w:r>
    </w:p>
    <w:p>
      <w:pPr>
        <w:pStyle w:val="Heading2"/>
        <w:spacing w:after="100" w:before="200"/>
      </w:pPr>
      <w:r>
        <w:rPr>
          <w:rFonts w:ascii="Barlow Semi Condensed" w:cs="Barlow Semi Condensed" w:eastAsia="Barlow Semi Condensed" w:hAnsi="Barlow Semi Condensed"/>
          <w:sz w:val="24"/>
          <w:szCs w:val="24"/>
        </w:rPr>
        <w:t xml:space="preserve">Capitolo sesto — 13 aprile 1974: l'espulsione dei comboniani e i tredici giorni</w:t>
      </w:r>
    </w:p>
    <w:p>
      <w:pPr>
        <w:spacing w:after="120" w:line="276"/>
        <w:jc w:val="both"/>
      </w:pPr>
      <w:r>
        <w:rPr>
          <w:rFonts w:ascii="Barlow Semi Condensed" w:cs="Barlow Semi Condensed" w:eastAsia="Barlow Semi Condensed" w:hAnsi="Barlow Semi Condensed"/>
          <w:b/>
          <w:bCs/>
          <w:sz w:val="24"/>
          <w:szCs w:val="24"/>
        </w:rPr>
        <w:t xml:space="preserve">È il secondo nodo di massima densità, e il più diretto quanto alla componente italiana.</w:t>
      </w:r>
    </w:p>
    <w:p>
      <w:pPr>
        <w:spacing w:after="120" w:line="276"/>
        <w:jc w:val="both"/>
      </w:pPr>
      <w:r>
        <w:rPr>
          <w:rFonts w:ascii="Barlow Semi Condensed" w:cs="Barlow Semi Condensed" w:eastAsia="Barlow Semi Condensed" w:hAnsi="Barlow Semi Condensed"/>
          <w:b/>
          <w:bCs/>
          <w:sz w:val="24"/>
          <w:szCs w:val="24"/>
        </w:rPr>
        <w:t xml:space="preserve">I fatti, con la data esatta. Il 13 aprile 1974, Sabato Santo, il governo portoghese espulse dal Mozambico undici missionari comboniani, come conseguenza del documento denominato \Imperativo di Coscienza\, scritto dal vescovo di Nampula Manuel Vieira Pinto e dai comboniani. La data e il numero sono attestati da due fonti indipendenti della congregazione medesima, fra le quali la testimonianza diretta di uno degli espulsi.</w:t>
      </w:r>
    </w:p>
    <w:p>
      <w:pPr>
        <w:spacing w:after="120" w:line="276"/>
        <w:jc w:val="both"/>
      </w:pPr>
      <w:r>
        <w:rPr>
          <w:rFonts w:ascii="Barlow Semi Condensed" w:cs="Barlow Semi Condensed" w:eastAsia="Barlow Semi Condensed" w:hAnsi="Barlow Semi Condensed"/>
          <w:b/>
          <w:bCs/>
          <w:sz w:val="24"/>
          <w:szCs w:val="24"/>
        </w:rPr>
        <w:t xml:space="preserve">Il vescovo fu espulso con loro. Una fonte documentale italiana precisa la composizione del gruppo: insieme al vescovo di Nampula furono espulsi undici missionari comboniani, nove italiani e due portoghesi. La medesima fonte registra che manifestazioni contro di loro furono organizzate anche in Mozambico, e che prima dell'espulsione furono esercitate ripetute pressioni perché i missionari più critici fossero sostituiti dai loro superiori e trasferiti altrove.</w:t>
      </w:r>
    </w:p>
    <w:p>
      <w:pPr>
        <w:spacing w:after="120" w:line="276"/>
        <w:jc w:val="both"/>
      </w:pPr>
      <w:r>
        <w:rPr>
          <w:rFonts w:ascii="Barlow Semi Condensed" w:cs="Barlow Semi Condensed" w:eastAsia="Barlow Semi Condensed" w:hAnsi="Barlow Semi Condensed"/>
          <w:b/>
          <w:bCs/>
          <w:sz w:val="24"/>
          <w:szCs w:val="24"/>
        </w:rPr>
        <w:t xml:space="preserve">Il rilievo per questo studio è diretto e va enunciato senza attenuazioni. Il 13 aprile 1974 nove cittadini italiani furono espulsi da un territorio amministrato da un Paese membro della NATO, per avere sottoscritto con il proprio vescovo un documento sulla condizione del popolo mozambicano. Aldo Moro era ministro degli Esteri della Repubblica italiana, in carica nel quinto governo Rumor da meno di un mese. La protezione consolare dei cittadini italiani espulsi era competenza della Farnesina.</w:t>
      </w:r>
    </w:p>
    <w:p>
      <w:pPr>
        <w:spacing w:after="120" w:line="276"/>
        <w:jc w:val="both"/>
      </w:pPr>
      <w:r>
        <w:rPr>
          <w:rFonts w:ascii="Barlow Semi Condensed" w:cs="Barlow Semi Condensed" w:eastAsia="Barlow Semi Condensed" w:hAnsi="Barlow Semi Condensed"/>
          <w:b/>
          <w:bCs/>
          <w:sz w:val="24"/>
          <w:szCs w:val="24"/>
        </w:rPr>
        <w:t xml:space="preserve">E qui si colloca lo Stato Zero più significativo di questo studio. Nessuna delle fonti reperite documenta un atto del governo italiano in relazione a quella espulsione: né una nota a Lisbona, né una interrogazione parlamentare, né una dichiarazione ministeriale, né un intervento consolare. La sede per l'accertamento è duplice: l'Archivio Storico Diplomatico della Farnesina, serie affari politici e serie contenzioso, Portogallo e Mozambico, 1974; e gli archivi della congregazione comboniana, che conservano la documentazione dei propri membri e che risultano avere pubblicato le testimonianze dirette degli espulsi.</w:t>
      </w:r>
    </w:p>
    <w:p>
      <w:pPr>
        <w:spacing w:after="120" w:line="276"/>
        <w:jc w:val="both"/>
      </w:pPr>
      <w:r>
        <w:rPr>
          <w:rFonts w:ascii="Barlow Semi Condensed" w:cs="Barlow Semi Condensed" w:eastAsia="Barlow Semi Condensed" w:hAnsi="Barlow Semi Condensed"/>
          <w:b/>
          <w:bCs/>
          <w:sz w:val="24"/>
          <w:szCs w:val="24"/>
        </w:rPr>
        <w:t xml:space="preserve">I tredici giorni. L'espulsione è del 13 aprile. La Rivoluzione dei garofani è del 25 aprile. Dodici giorni separano l'atto di forza dal crollo del potere che lo compì. Uno degli espulsi registra nella propria testimonianza che qualche mese più tardi era di ritorno. Il vescovo tornò dopo un anno in un Mozambico divenuto repubblica socialista, e la fonte registra che fu accolto con immenso giubilo dalla propria diocesi.</w:t>
      </w:r>
    </w:p>
    <w:p>
      <w:pPr>
        <w:spacing w:after="120" w:line="276"/>
        <w:jc w:val="both"/>
      </w:pPr>
      <w:r>
        <w:rPr>
          <w:rFonts w:ascii="Barlow Semi Condensed" w:cs="Barlow Semi Condensed" w:eastAsia="Barlow Semi Condensed" w:hAnsi="Barlow Semi Condensed"/>
          <w:b/>
          <w:bCs/>
          <w:sz w:val="24"/>
          <w:szCs w:val="24"/>
        </w:rPr>
        <w:t xml:space="preserve">La coincidenza va classificata con esattezza, e non promossa. Che il regime abbia espulso nove italiani dodici giorni prima di cadere non stabilisce alcun nesso fra le due cose. Stabilisce che l'apparato repressivo coloniale funzionava a pieno regime fino alla vigilia, e che le sue ultime vittime amministrative furono, in prevalenza, cittadini di un Paese alleato.</w:t>
      </w:r>
    </w:p>
    <w:p>
      <w:pPr>
        <w:spacing w:after="120" w:line="276"/>
        <w:jc w:val="both"/>
      </w:pPr>
      <w:r>
        <w:rPr>
          <w:rFonts w:ascii="Barlow Semi Condensed" w:cs="Barlow Semi Condensed" w:eastAsia="Barlow Semi Condensed" w:hAnsi="Barlow Semi Condensed"/>
          <w:b/>
          <w:bCs/>
          <w:sz w:val="24"/>
          <w:szCs w:val="24"/>
        </w:rPr>
        <w:t xml:space="preserve">Un ulteriore elemento va registrato per completezza. Le fonti attestano che i primi ad essere espulsi, prima del gruppo dell'aprile 1974, furono i due missionari firmatari di un documento anteriore, i quali trascorsero ventitre mesi nelle prigioni governative di Lourenço Marques e furono poi espulsi nel novembre successivo. La sequenza mostra che l'espulsione del Sabato Santo non fu un episodio ma il termine di una prassi.</w:t>
      </w:r>
    </w:p>
    <w:p>
      <w:pPr>
        <w:pStyle w:val="Heading2"/>
        <w:spacing w:after="100" w:before="200"/>
      </w:pPr>
      <w:r>
        <w:rPr>
          <w:rFonts w:ascii="Barlow Semi Condensed" w:cs="Barlow Semi Condensed" w:eastAsia="Barlow Semi Condensed" w:hAnsi="Barlow Semi Condensed"/>
          <w:sz w:val="24"/>
          <w:szCs w:val="24"/>
        </w:rPr>
        <w:t xml:space="preserve">Capitolo settimo — Il Concordato del 1940 e il protocollo del 15 febbraio 1975</w:t>
      </w:r>
    </w:p>
    <w:p>
      <w:pPr>
        <w:spacing w:after="120" w:line="276"/>
        <w:jc w:val="both"/>
      </w:pPr>
      <w:r>
        <w:rPr>
          <w:rFonts w:ascii="Barlow Semi Condensed" w:cs="Barlow Semi Condensed" w:eastAsia="Barlow Semi Condensed" w:hAnsi="Barlow Semi Condensed"/>
          <w:b/>
          <w:bCs/>
          <w:sz w:val="24"/>
          <w:szCs w:val="24"/>
        </w:rPr>
        <w:t xml:space="preserve">Il terzo nodo è di natura giuridica, e produce il confronto più istruttivo con il caso italiano.</w:t>
      </w:r>
    </w:p>
    <w:p>
      <w:pPr>
        <w:spacing w:after="120" w:line="276"/>
        <w:jc w:val="both"/>
      </w:pPr>
      <w:r>
        <w:rPr>
          <w:rFonts w:ascii="Barlow Semi Condensed" w:cs="Barlow Semi Condensed" w:eastAsia="Barlow Semi Condensed" w:hAnsi="Barlow Semi Condensed"/>
          <w:b/>
          <w:bCs/>
          <w:sz w:val="24"/>
          <w:szCs w:val="24"/>
        </w:rPr>
        <w:t xml:space="preserve">Il quadro. Il 7 maggio 1940 furono firmati in Vaticano, lo stesso giorno, il Concordato fra Santa Sede e Repubblica portoghese e l'Accordo missionario, sotto il pontificato di Pio XII e il governo di Salazar; la ratifica dell'Assemblea nazionale è del 30 maggio 1940. Era il quinto concordato della storia portoghese, e chiudeva la questione religiosa aperta dalla Legge di separazione del 1911 e dalla rottura delle relazioni diplomatiche che ne era seguita fino al 1918.</w:t>
      </w:r>
    </w:p>
    <w:p>
      <w:pPr>
        <w:spacing w:after="120" w:line="276"/>
        <w:jc w:val="both"/>
      </w:pPr>
      <w:r>
        <w:rPr>
          <w:rFonts w:ascii="Barlow Semi Condensed" w:cs="Barlow Semi Condensed" w:eastAsia="Barlow Semi Condensed" w:hAnsi="Barlow Semi Condensed"/>
          <w:b/>
          <w:bCs/>
          <w:sz w:val="24"/>
          <w:szCs w:val="24"/>
        </w:rPr>
        <w:t xml:space="preserve">Una fonte scientifica italiana precisa la funzione dell'Accordo missionario, ed è il dato che collega il concordato alla materia coloniale: in termini istituzionali la Chiesa cattolica collaborò con l'Estado Novo nel processo di colonizzazione dell'Africa portoghese, e il Concordato e specialmente l'Accordo missionario, entrambi del 1940, definirono le basi formali di quella cooperazione, incorporando l'azione missionaria nell'impresa coloniale. Non è dunque una coincidenza che la dissidenza missionaria degli anni Settanta assumesse rilievo politico: essa contestava un rapporto che un atto concordatario aveva istituito.</w:t>
      </w:r>
    </w:p>
    <w:p>
      <w:pPr>
        <w:spacing w:after="120" w:line="276"/>
        <w:jc w:val="both"/>
      </w:pPr>
      <w:r>
        <w:rPr>
          <w:rFonts w:ascii="Barlow Semi Condensed" w:cs="Barlow Semi Condensed" w:eastAsia="Barlow Semi Condensed" w:hAnsi="Barlow Semi Condensed"/>
          <w:b/>
          <w:bCs/>
          <w:sz w:val="24"/>
          <w:szCs w:val="24"/>
        </w:rPr>
        <w:t xml:space="preserve">La longevità va registrata perché è essa stessa un dato. Il Concordato rimase in vigore fino al 2004, quando fu sostituito da un nuovo accordo. Una fonte enciclopedica portoghese osserva che, sebbene negoziato personalmente da Salazar e connotato con l'Estado Novo, esso sopravvisse trentaquattro anni in regime autoritario e trenta in regime democratico, e che il testo sopravvisse intatto avendo subito una sola modifica, nel 1975.</w:t>
      </w:r>
    </w:p>
    <w:p>
      <w:pPr>
        <w:spacing w:after="120" w:line="276"/>
        <w:jc w:val="both"/>
      </w:pPr>
      <w:r>
        <w:rPr>
          <w:rFonts w:ascii="Barlow Semi Condensed" w:cs="Barlow Semi Condensed" w:eastAsia="Barlow Semi Condensed" w:hAnsi="Barlow Semi Condensed"/>
          <w:b/>
          <w:bCs/>
          <w:sz w:val="24"/>
          <w:szCs w:val="24"/>
        </w:rPr>
        <w:t xml:space="preserve">Quella modifica è il documento chiave di questo capitolo. Il Protocollo addizionale al Concordato, fatto in Città del Vaticano il 15 febbraio 1975, modificò l'articolo ventiquattresimo, ponendo fine alla rinuncia legale al divorzio per i matrimoni cattolici posteriori al Concordato. Il testo, disponibile in fonte ecclesiastica ufficiale, è sottoscritto da Giovanni cardinale Villot per la Santa Sede e da Francisco Salgado Zenha per il governo portoghese, e conserva in vigore tutti gli altri articoli del 1940.</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perché è di sostanza. Salgado Zenha era ministro della Giustizia del governo provvisorio uscito dalla Rivoluzione dei garofani. Nove mesi e mezzo dopo il 25 aprile 1974, il Portogallo rivoluzionario e la Santa Sede modificavano il concordato salazariano su un solo articolo, quello matrimoniale, lasciando in vigore tutto il resto.</w:t>
      </w:r>
    </w:p>
    <w:p>
      <w:pPr>
        <w:spacing w:after="120" w:line="276"/>
        <w:jc w:val="both"/>
      </w:pPr>
      <w:r>
        <w:rPr>
          <w:rFonts w:ascii="Barlow Semi Condensed" w:cs="Barlow Semi Condensed" w:eastAsia="Barlow Semi Condensed" w:hAnsi="Barlow Semi Condensed"/>
          <w:b/>
          <w:bCs/>
          <w:sz w:val="24"/>
          <w:szCs w:val="24"/>
        </w:rPr>
        <w:t xml:space="preserve">E un dettaglio storiografico merita di essere riportato perché rovescia l'aspettativa. La fonte portoghese osserva che, curiosamente, quello era un punto sul quale Salazar aveva accettato a malincuore la posizione della Santa Sede, avendo a suo tempo lasciato chiaro che non era a suo giudizio la soluzione migliore; e che la formula alternativa consacrata nella revisione del 1975 fu precisamente quella che Salazar e i suoi consiglieri avevano suggerito alla Santa Sede nel 1937.</w:t>
      </w:r>
    </w:p>
    <w:p>
      <w:pPr>
        <w:spacing w:after="120" w:line="276"/>
        <w:jc w:val="both"/>
      </w:pPr>
      <w:r>
        <w:rPr>
          <w:rFonts w:ascii="Barlow Semi Condensed" w:cs="Barlow Semi Condensed" w:eastAsia="Barlow Semi Condensed" w:hAnsi="Barlow Semi Condensed"/>
          <w:b/>
          <w:bCs/>
          <w:sz w:val="24"/>
          <w:szCs w:val="24"/>
        </w:rPr>
        <w:t xml:space="preserve">Ne discende una risultanza che va registrata per quello che è: la modifica ottenuta dal governo rivoluzionario nel 1975 coincideva con la proposta che il fondatore del regime aveva avanzato trentotto anni prima e che la Santa Sede aveva allora respinto.</w:t>
      </w:r>
    </w:p>
    <w:p>
      <w:pPr>
        <w:pStyle w:val="Heading2"/>
        <w:spacing w:after="100" w:before="200"/>
      </w:pPr>
      <w:r>
        <w:rPr>
          <w:rFonts w:ascii="Barlow Semi Condensed" w:cs="Barlow Semi Condensed" w:eastAsia="Barlow Semi Condensed" w:hAnsi="Barlow Semi Condensed"/>
          <w:sz w:val="24"/>
          <w:szCs w:val="24"/>
        </w:rPr>
        <w:t xml:space="preserve">Capitolo ottavo — Il confronto italiano: due concordati, due divorzi, due tempi</w:t>
      </w:r>
    </w:p>
    <w:p>
      <w:pPr>
        <w:spacing w:after="120" w:line="276"/>
        <w:jc w:val="both"/>
      </w:pPr>
      <w:r>
        <w:rPr>
          <w:rFonts w:ascii="Barlow Semi Condensed" w:cs="Barlow Semi Condensed" w:eastAsia="Barlow Semi Condensed" w:hAnsi="Barlow Semi Condensed"/>
          <w:b/>
          <w:bCs/>
          <w:sz w:val="24"/>
          <w:szCs w:val="24"/>
        </w:rPr>
        <w:t xml:space="preserve">Il capitolo trae la conseguenza comparativa del precedente, ed è la triangolazione più solida di questo studio perché poggia su due atti datati e su nessuna inferenza.</w:t>
      </w:r>
    </w:p>
    <w:p>
      <w:pPr>
        <w:spacing w:after="120" w:line="276"/>
        <w:jc w:val="both"/>
      </w:pPr>
      <w:r>
        <w:rPr>
          <w:rFonts w:ascii="Barlow Semi Condensed" w:cs="Barlow Semi Condensed" w:eastAsia="Barlow Semi Condensed" w:hAnsi="Barlow Semi Condensed"/>
          <w:b/>
          <w:bCs/>
          <w:sz w:val="24"/>
          <w:szCs w:val="24"/>
        </w:rPr>
        <w:t xml:space="preserve">I termini del confronto. In Portogallo, la questione del divorzio per i matrimoni cattolici, disciplinata dall'articolo ventiquattresimo del Concordato del 1940, fu risolta con il Protocollo addizionale del 15 febbraio 1975, nove mesi e mezzo dopo il mutamento di regime.</w:t>
      </w:r>
    </w:p>
    <w:p>
      <w:pPr>
        <w:spacing w:after="120" w:line="276"/>
        <w:jc w:val="both"/>
      </w:pPr>
      <w:r>
        <w:rPr>
          <w:rFonts w:ascii="Barlow Semi Condensed" w:cs="Barlow Semi Condensed" w:eastAsia="Barlow Semi Condensed" w:hAnsi="Barlow Semi Condensed"/>
          <w:b/>
          <w:bCs/>
          <w:sz w:val="24"/>
          <w:szCs w:val="24"/>
        </w:rPr>
        <w:t xml:space="preserve">In Italia, la questione del divorzio fu risolta per via legislativa con la legge del 1970 e confermata dal referendum del 12 maggio 1974, che ne respinse l'abrogazione. La revisione del Concordato lateranense, il cui iter fu ricostruito da uno studio universitario italiano per il periodo 1969-1984, si concluse con l'Accordo di Villa Madama del 18 febbraio 1984.</w:t>
      </w:r>
    </w:p>
    <w:p>
      <w:pPr>
        <w:spacing w:after="120" w:line="276"/>
        <w:jc w:val="both"/>
      </w:pPr>
      <w:r>
        <w:rPr>
          <w:rFonts w:ascii="Barlow Semi Condensed" w:cs="Barlow Semi Condensed" w:eastAsia="Barlow Semi Condensed" w:hAnsi="Barlow Semi Condensed"/>
          <w:b/>
          <w:bCs/>
          <w:sz w:val="24"/>
          <w:szCs w:val="24"/>
        </w:rPr>
        <w:t xml:space="preserve">Il confronto dà questo. Il medesimo ordine di questione — la clausola matrimoniale di un concordato con la Santa Sede — fu chiuso in Portogallo in nove mesi e in Italia in quattordici anni dal referendum, o in quindici dalla legge.</w:t>
      </w:r>
    </w:p>
    <w:p>
      <w:pPr>
        <w:spacing w:after="120" w:line="276"/>
        <w:jc w:val="both"/>
      </w:pPr>
      <w:r>
        <w:rPr>
          <w:rFonts w:ascii="Barlow Semi Condensed" w:cs="Barlow Semi Condensed" w:eastAsia="Barlow Semi Condensed" w:hAnsi="Barlow Semi Condensed"/>
          <w:b/>
          <w:bCs/>
          <w:sz w:val="24"/>
          <w:szCs w:val="24"/>
        </w:rPr>
        <w:t xml:space="preserve">Ciò che il confronto stabilisce e ciò che non stabilisce. Stabilisce che la Santa Sede accettò rapidamente una modifica concordataria da un governo rivoluzionario appena insediato, e lentamente una modifica concordataria da un governo democratico consolidato e di lunga tradizione cattolica. Non stabilisce alcuna intenzione, e le spiegazioni possibili sono almeno tre: la maggiore ampiezza della revisione italiana, che riguardava l'intero Concordato e non un solo articolo; il diverso peso politico dei due interlocutori; la circostanza che il testo adottato nel 1975 fosse già stato proposto dalla parte portoghese nel 1937 e dunque non richiedesse elaborazione nuova. Nessuna delle tre è accertata come prevalente.</w:t>
      </w:r>
    </w:p>
    <w:p>
      <w:pPr>
        <w:spacing w:after="120" w:line="276"/>
        <w:jc w:val="both"/>
      </w:pPr>
      <w:r>
        <w:rPr>
          <w:rFonts w:ascii="Barlow Semi Condensed" w:cs="Barlow Semi Condensed" w:eastAsia="Barlow Semi Condensed" w:hAnsi="Barlow Semi Condensed"/>
          <w:b/>
          <w:bCs/>
          <w:sz w:val="24"/>
          <w:szCs w:val="24"/>
        </w:rPr>
        <w:t xml:space="preserve">Il contesto italiano del 1974 va registrato perché tocca Moro direttamente. Il referendum del 12 maggio 1974 cadde diciassette giorni dopo la Rivoluzione dei garofani, e Moro era ministro degli Esteri. La sconfitta referendaria della posizione sostenuta dalla Democrazia Cristiana modificò il rapporto fra il partito e la Chiesa e, secondo la storiografia, pesò sulla strategia morotea verso il Partito Comunista.</w:t>
      </w:r>
    </w:p>
    <w:p>
      <w:pPr>
        <w:spacing w:after="120" w:line="276"/>
        <w:jc w:val="both"/>
      </w:pPr>
      <w:r>
        <w:rPr>
          <w:rFonts w:ascii="Barlow Semi Condensed" w:cs="Barlow Semi Condensed" w:eastAsia="Barlow Semi Condensed" w:hAnsi="Barlow Semi Condensed"/>
          <w:b/>
          <w:bCs/>
          <w:sz w:val="24"/>
          <w:szCs w:val="24"/>
        </w:rPr>
        <w:t xml:space="preserve">E qui si colloca la contemporaneità più notevole dell'intero studio, che va classificata come tale e non oltre. Nella primavera del 1974 Moro affrontava simultaneamente: un referendum interno che indeboliva la posizione del proprio partito verso la Chiesa; la caduta di un regime autoritario alleato nella NATO, sostituito da un processo rivoluzionario nel quale un partito comunista aveva peso rilevante; e la propria strategia di apertura verso il Partito Comunista italiano. Che i tre elementi si siano influenzati a vicenda non è documentato da alcuna fonte reperita, e non va inferito dalla loro coincidenza. Si registra che il caso portoghese rese urgente, in sede atlantica, la questione della compatibilità fra appartenenza all'Alleanza e presenza comunista al governo — la medesima questione che Moro affrontava in Italia.</w:t>
      </w:r>
    </w:p>
    <w:p>
      <w:pPr>
        <w:pStyle w:val="Heading2"/>
        <w:spacing w:after="100" w:before="200"/>
      </w:pPr>
      <w:r>
        <w:rPr>
          <w:rFonts w:ascii="Barlow Semi Condensed" w:cs="Barlow Semi Condensed" w:eastAsia="Barlow Semi Condensed" w:hAnsi="Barlow Semi Condensed"/>
          <w:sz w:val="24"/>
          <w:szCs w:val="24"/>
        </w:rPr>
        <w:t xml:space="preserve">Capitolo nono — La Rivoluzione dei garofani e la posizione italiana: Stato Zero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w:t>
      </w:r>
    </w:p>
    <w:p>
      <w:pPr>
        <w:spacing w:after="120" w:line="276"/>
        <w:jc w:val="both"/>
      </w:pPr>
      <w:r>
        <w:rPr>
          <w:rFonts w:ascii="Barlow Semi Condensed" w:cs="Barlow Semi Condensed" w:eastAsia="Barlow Semi Condensed" w:hAnsi="Barlow Semi Condensed"/>
          <w:b/>
          <w:bCs/>
          <w:sz w:val="24"/>
          <w:szCs w:val="24"/>
        </w:rPr>
        <w:t xml:space="preserve">I fatti portoghesi sono accertati e non controversi. Il 25 aprile 1974 il Movimento delle Forze Armate rovesciò l'Estado Novo. Alle diciotto il generale António de Spínola, incaricato delle trattative di resa, raggiunse Caetano; alle diciannove e trenta il capo del governo si arrese. Le ultime forze lealiste furono gli agenti della Direzione generale per la sicurezza, la polizia politica succeduta alla PIDE, che rimasero asserragliati nel proprio comando e spararono sulla folla uccidendo quattro persone e ferendone quarantacinque, arrendendosi verso le ventidue. Alle ventitre e venti Spínola firmò la Legge numero uno, sulla destituzione dei dirigenti, che dispose la destituzione del Presidente e del Primo ministro, lo scioglimento dell'Assemblea nazionale e del Consiglio di Stato, e il passaggio dei poteri alla Giunta di salvezza nazionale. Seguirono i decreti che disposero lo scioglimento del partito unico, della Direzione generale per la sicurezza, della Legione portoghese e delle altre associazioni del regime. Il 26 aprile furono liberati i prigionieri politici; il 1 maggio, alla manifestazione di Lisbona, parteciparono un milione di persone.</w:t>
      </w:r>
    </w:p>
    <w:p>
      <w:pPr>
        <w:spacing w:after="120" w:line="276"/>
        <w:jc w:val="both"/>
      </w:pPr>
      <w:r>
        <w:rPr>
          <w:rFonts w:ascii="Barlow Semi Condensed" w:cs="Barlow Semi Condensed" w:eastAsia="Barlow Semi Condensed" w:hAnsi="Barlow Semi Condensed"/>
          <w:b/>
          <w:bCs/>
          <w:sz w:val="24"/>
          <w:szCs w:val="24"/>
        </w:rPr>
        <w:t xml:space="preserve">Che cosa la ricerca non ha trovato. Nessuna fonte reperita documenta: la posizione ufficiale del governo italiano nelle ore e nei giorni successivi; dichiarazioni di Moro sul mutamento portoghese; atti parlamentari italiani sul Portogallo fra aprile e novembre 1974; il riconoscimento del nuovo governo portoghese da parte italiana; la posizione italiana durante l'estate del 1975 e il tentativo di svolta comunista; l'atteggiamento italiano verso il Partito Comunista Portoghese e verso il Partito Socialista.</w:t>
      </w:r>
    </w:p>
    <w:p>
      <w:pPr>
        <w:spacing w:after="120" w:line="276"/>
        <w:jc w:val="both"/>
      </w:pPr>
      <w:r>
        <w:rPr>
          <w:rFonts w:ascii="Barlow Semi Condensed" w:cs="Barlow Semi Condensed" w:eastAsia="Barlow Semi Condensed" w:hAnsi="Barlow Semi Condensed"/>
          <w:b/>
          <w:bCs/>
          <w:sz w:val="24"/>
          <w:szCs w:val="24"/>
        </w:rPr>
        <w:t xml:space="preserve">Si registra Stato Zero su tutti e sette i punti. La sede per l'accertamento è triplice: l'Archivio Storico Diplomatico della Farnesina, serie affari politici, Portogallo, 1974-1975; i resoconti stenografici di Camera e Senato per la sesta legislatura, con le banche dati dei dibattiti; e la raccolta ufficiale dei discorsi parlamentari di Moro, che indicizza gli interventi per data.</w:t>
      </w:r>
    </w:p>
    <w:p>
      <w:pPr>
        <w:spacing w:after="120" w:line="276"/>
        <w:jc w:val="both"/>
      </w:pPr>
      <w:r>
        <w:rPr>
          <w:rFonts w:ascii="Barlow Semi Condensed" w:cs="Barlow Semi Condensed" w:eastAsia="Barlow Semi Condensed" w:hAnsi="Barlow Semi Condensed"/>
          <w:b/>
          <w:bCs/>
          <w:sz w:val="24"/>
          <w:szCs w:val="24"/>
        </w:rPr>
        <w:t xml:space="preserve">Va enunciata una avvertenza sulla lettura di questo Stato Zero, perché è la medesima già formulata nei tre studi anteriori e vale con eguale forza. L'assenza di riscontro non è prova dell'assenza del fatto: è assenza di documentazione reperibile per via telematica. Un governo che avesse taciuto su un mutamento di regime in un Paese alleato costituirebbe un dato notevole; ma che esso abbia taciuto non è stabilito, e la verifica richiede lo spoglio degli atti parlamentari, che è operazione possibile e non condotta.</w:t>
      </w:r>
    </w:p>
    <w:p>
      <w:pPr>
        <w:spacing w:after="120" w:line="276"/>
        <w:jc w:val="both"/>
      </w:pPr>
      <w:r>
        <w:rPr>
          <w:rFonts w:ascii="Barlow Semi Condensed" w:cs="Barlow Semi Condensed" w:eastAsia="Barlow Semi Condensed" w:hAnsi="Barlow Semi Condensed"/>
          <w:b/>
          <w:bCs/>
          <w:sz w:val="24"/>
          <w:szCs w:val="24"/>
        </w:rPr>
        <w:t xml:space="preserve">Un solo dato di contesto è documentato e va riportato per la sua rilevanza atlantica. La caduta del regime portoghese apriva nell'Alleanza atlantica la questione di un Paese membro nel cui governo provvisorio operavano forze comuniste. Nel medesimo 1974 la Grecia dei colonnelli cadeva, la crisi di Cipro esplodeva, e la Spagna entrava nell'ultimo anno di Franco. Tre regimi autoritari del fianco sud entravano in crisi simultaneamente, mentre in Italia si discuteva di un accordo con il Partito Comunista. La constatazione è di fatto; la sua interpretazione non appartiene a questa ricognizione.</w:t>
      </w:r>
    </w:p>
    <w:p>
      <w:pPr>
        <w:pStyle w:val="Heading2"/>
        <w:spacing w:after="100" w:before="200"/>
      </w:pPr>
      <w:r>
        <w:rPr>
          <w:rFonts w:ascii="Barlow Semi Condensed" w:cs="Barlow Semi Condensed" w:eastAsia="Barlow Semi Condensed" w:hAnsi="Barlow Semi Condensed"/>
          <w:sz w:val="24"/>
          <w:szCs w:val="24"/>
        </w:rPr>
        <w:t xml:space="preserve">Capitolo decimo — Aginter Press e gli archivi della polizia politica: cautela obbligata</w:t>
      </w:r>
    </w:p>
    <w:p>
      <w:pPr>
        <w:spacing w:after="120" w:line="276"/>
        <w:jc w:val="both"/>
      </w:pPr>
      <w:r>
        <w:rPr>
          <w:rFonts w:ascii="Barlow Semi Condensed" w:cs="Barlow Semi Condensed" w:eastAsia="Barlow Semi Condensed" w:hAnsi="Barlow Semi Condensed"/>
          <w:b/>
          <w:bCs/>
          <w:sz w:val="24"/>
          <w:szCs w:val="24"/>
        </w:rPr>
        <w:t xml:space="preserve">Il capitolo è breve per una ragione che va dichiarata: su questa materia la pubblicistica è abbondantissima e la documentazione reperibile in questa ricognizione è nulla.</w:t>
      </w:r>
    </w:p>
    <w:p>
      <w:pPr>
        <w:spacing w:after="120" w:line="276"/>
        <w:jc w:val="both"/>
      </w:pPr>
      <w:r>
        <w:rPr>
          <w:rFonts w:ascii="Barlow Semi Condensed" w:cs="Barlow Semi Condensed" w:eastAsia="Barlow Semi Condensed" w:hAnsi="Barlow Semi Condensed"/>
          <w:b/>
          <w:bCs/>
          <w:sz w:val="24"/>
          <w:szCs w:val="24"/>
        </w:rPr>
        <w:t xml:space="preserve">Che cosa la ricerca non ha prodotto. Nessuna fonte primaria, nessuno studio peer-reviewed, nessun atto parlamentare italiano è stato reperito, in questa ricognizione, sull'agenzia Aginter Press di Lisbona, sui suoi rapporti con la polizia politica portoghese, sulla sua eventuale funzione nella controinsurrezione coloniale o sui suoi legami con ambienti dell'eversione italiana. Si registra Stato Zero integrale su tutti questi punti.</w:t>
      </w:r>
    </w:p>
    <w:p>
      <w:pPr>
        <w:spacing w:after="120" w:line="276"/>
        <w:jc w:val="both"/>
      </w:pPr>
      <w:r>
        <w:rPr>
          <w:rFonts w:ascii="Barlow Semi Condensed" w:cs="Barlow Semi Condensed" w:eastAsia="Barlow Semi Condensed" w:hAnsi="Barlow Semi Condensed"/>
          <w:b/>
          <w:bCs/>
          <w:sz w:val="24"/>
          <w:szCs w:val="24"/>
        </w:rPr>
        <w:t xml:space="preserve">Perché la cautela è qui obbligata più che altrove. Il progetto dispone già di materiale proprio su questo soggetto, e la disciplina che si è dato impone di non trattarlo per via di rassegna generica quando le fonti primarie non siano state interrogate. In particolare va richiamato che l'isomorfismo strutturale fra due reti — la somiglianza fra un'agenzia di Lisbona e strutture italiane — è stato dichiarato strumento sospeso da un atto di declassamento del progetto medesimo, per la ragione che due strutture codificate ciascuna attorno al proprio nucleo presentano necessariamente forma simile. Ogni trattazione che poggiasse su quella somiglianza sarebbe pertanto inammissibile allo stato.</w:t>
      </w:r>
    </w:p>
    <w:p>
      <w:pPr>
        <w:spacing w:after="120" w:line="276"/>
        <w:jc w:val="both"/>
      </w:pPr>
      <w:r>
        <w:rPr>
          <w:rFonts w:ascii="Barlow Semi Condensed" w:cs="Barlow Semi Condensed" w:eastAsia="Barlow Semi Condensed" w:hAnsi="Barlow Semi Condensed"/>
          <w:b/>
          <w:bCs/>
          <w:sz w:val="24"/>
          <w:szCs w:val="24"/>
        </w:rPr>
        <w:t xml:space="preserve">Che cosa andrebbe fatto, e dove. L'accertamento richiede il fondo PIDE-DGS conservato presso l'Arquivo Nacional da Torre do Tombo, aperto dopo il 25 aprile 1974, con il portale digitalarq.arquivos.pt; e il fondo del Ministério dos Negócios Estrangeiros presso il medesimo archivio, oltre all'archivio storico-diplomatico portoghese. È materia che richiede accesso fisico e conoscenza del portoghese archivistico, e non è surrogabile con ricognizione telematica.</w:t>
      </w:r>
    </w:p>
    <w:p>
      <w:pPr>
        <w:spacing w:after="120" w:line="276"/>
        <w:jc w:val="both"/>
      </w:pPr>
      <w:r>
        <w:rPr>
          <w:rFonts w:ascii="Barlow Semi Condensed" w:cs="Barlow Semi Condensed" w:eastAsia="Barlow Semi Condensed" w:hAnsi="Barlow Semi Condensed"/>
          <w:b/>
          <w:bCs/>
          <w:sz w:val="24"/>
          <w:szCs w:val="24"/>
        </w:rPr>
        <w:t xml:space="preserve">Una osservazione di metodo va aggiunta, poiché vale per l'intero studio. L'apertura degli archivi della polizia politica portoghese dopo il 25 aprile 1974 costituisce uno dei rari casi in cui un archivio di apparato di sicurezza è divenuto accessibile in conseguenza di un mutamento di regime. Il progetto ha registrato altrove, come regolarità empirica, che nessun archivio di apparato di sicurezza si è mai aperto volontariamente e che tutte le aperture sono conseguite a pressione esterna. Il caso portoghese conferma la regolarità e ne costituisce l'esempio più netto: l'archivio si aprì perché il regime che lo teneva chiuso cessò di esistere.</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con il loro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Sono cinque, e due di esse hanno grado più alto di qualunque triangolazione dei tre studi anteriori.</w:t>
      </w:r>
    </w:p>
    <w:p>
      <w:pPr>
        <w:spacing w:after="120" w:line="276"/>
        <w:jc w:val="both"/>
      </w:pPr>
      <w:r>
        <w:rPr>
          <w:rFonts w:ascii="Barlow Semi Condensed" w:cs="Barlow Semi Condensed" w:eastAsia="Barlow Semi Condensed" w:hAnsi="Barlow Semi Condensed"/>
          <w:b/>
          <w:bCs/>
          <w:sz w:val="24"/>
          <w:szCs w:val="24"/>
        </w:rPr>
        <w:t xml:space="preserve">Prima triangolazione: la settimana romana del 1970. Grado alto quanto ai fatti, su fonti convergenti e su una fonte scientifica. Contenuto: dal 27 al 29 giugno 1970 si tenne a Roma, su territorio italiano, una conferenza internazionale di solidarietà con i popoli delle colonie portoghesi, con centosettantasette organizzazioni da sessantaquattro Paesi; il 1 luglio Paolo VI ricevette in udienza privata i tre leader dei movimenti di liberazione; il Portogallo richiamò il proprio ambasciatore presso la Santa Sede e protestò ufficialmente. Ciò che non stabilisce: nessuna posizione del governo italiano risulta documentata, né sulla conferenza né sull'udienza né sulla protesta. È una comunanza di luogo e di tempo fra un atto vaticano e un evento su territorio italiano, senza alcun nesso documentato fra i due.</w:t>
      </w:r>
    </w:p>
    <w:p>
      <w:pPr>
        <w:spacing w:after="120" w:line="276"/>
        <w:jc w:val="both"/>
      </w:pPr>
      <w:r>
        <w:rPr>
          <w:rFonts w:ascii="Barlow Semi Condensed" w:cs="Barlow Semi Condensed" w:eastAsia="Barlow Semi Condensed" w:hAnsi="Barlow Semi Condensed"/>
          <w:b/>
          <w:bCs/>
          <w:sz w:val="24"/>
          <w:szCs w:val="24"/>
        </w:rPr>
        <w:t xml:space="preserve">Seconda triangolazione: l'espulsione del 13 aprile 1974. Grado alto quanto ai fatti, su fonti della congregazione interessata e su fonte documentale italiana. Contenuto: nove cittadini italiani e due portoghesi, missionari comboniani, furono espulsi dal Mozambico insieme al vescovo di Nampula, dodici giorni prima della caduta del regime che li espelleva, per avere sottoscritto un documento sulla condizione del popolo mozambicano. Ciò che non stabilisce: nessun atto del governo italiano risulta documentato. È la triangolazione di grado più alto dell'intero studio, poiché coinvolge cittadini italiani, un'istituzione ecclesiastica e un atto di autorità portoghese, ed è datata al giorno.</w:t>
      </w:r>
    </w:p>
    <w:p>
      <w:pPr>
        <w:spacing w:after="120" w:line="276"/>
        <w:jc w:val="both"/>
      </w:pPr>
      <w:r>
        <w:rPr>
          <w:rFonts w:ascii="Barlow Semi Condensed" w:cs="Barlow Semi Condensed" w:eastAsia="Barlow Semi Condensed" w:hAnsi="Barlow Semi Condensed"/>
          <w:b/>
          <w:bCs/>
          <w:sz w:val="24"/>
          <w:szCs w:val="24"/>
        </w:rPr>
        <w:t xml:space="preserve">Terza triangolazione: la documentazione giunta a Roma per via ecclesiastica. Grado medio, su fonte documentale italiana. Contenuto: un missionario comboniano, arrestato nel 1971 e poi esule, consegnò documentazione particolareggiata sui massacri coloniali a un giornale cattolico a Roma, e la reazione del governo portoghese si esercitò anche per vie diplomatiche. Ciò che non stabilisce: non è documentato che la Farnesina ne fosse informata né che ne facesse uso. È un transito di informazione attraverso Roma per canale non governativo.</w:t>
      </w:r>
    </w:p>
    <w:p>
      <w:pPr>
        <w:spacing w:after="120" w:line="276"/>
        <w:jc w:val="both"/>
      </w:pPr>
      <w:r>
        <w:rPr>
          <w:rFonts w:ascii="Barlow Semi Condensed" w:cs="Barlow Semi Condensed" w:eastAsia="Barlow Semi Condensed" w:hAnsi="Barlow Semi Condensed"/>
          <w:b/>
          <w:bCs/>
          <w:sz w:val="24"/>
          <w:szCs w:val="24"/>
        </w:rPr>
        <w:t xml:space="preserve">Quarta triangolazione: i due concordati e i due tempi. Grado alto quanto ai due atti, su fonte ecclesiastica ufficiale per il protocollo portoghese e su studio universitario per l'iter italiano. Contenuto: la clausola matrimoniale del concordato portoghese fu modificata il 15 febbraio 1975, nove mesi dopo il mutamento di regime; quella del Concordato lateranense attese il 1984. Ciò che non stabilisce: nessuna intenzione, e tre spiegazioni concorrenti restano aperte. È una convergenza di materia con divergenza di tempi, e la sua interpretazione richiede la documentazione vaticana, non accessibile.</w:t>
      </w:r>
    </w:p>
    <w:p>
      <w:pPr>
        <w:spacing w:after="120" w:line="276"/>
        <w:jc w:val="both"/>
      </w:pPr>
      <w:r>
        <w:rPr>
          <w:rFonts w:ascii="Barlow Semi Condensed" w:cs="Barlow Semi Condensed" w:eastAsia="Barlow Semi Condensed" w:hAnsi="Barlow Semi Condensed"/>
          <w:b/>
          <w:bCs/>
          <w:sz w:val="24"/>
          <w:szCs w:val="24"/>
        </w:rPr>
        <w:t xml:space="preserve">Quinta triangolazione: la simultaneità del 1974. Grado alto quanto ai fatti, nullo quanto a ogni conseguenza. Contenuto: nella primavera del 1974 cadono il regime portoghese e quello dei colonnelli greci, esplode la crisi di Cipro, la Spagna entra nell'ultimo anno di Franco, e in Italia il referendum del 12 maggio indebolisce la posizione democristiana verso la Chiesa mentre Moro conduce la propria strategia verso il Partito Comunista. Ciò che non stabilisce: assolutamente nulla. È mera contemporaneità, e la sua iscrizione fra le triangolazioni serve unicamente a impedire che venga presentata come qualcosa di più.</w:t>
      </w:r>
    </w:p>
    <w:p>
      <w:pPr>
        <w:spacing w:after="120" w:line="276"/>
        <w:jc w:val="both"/>
      </w:pPr>
      <w:r>
        <w:rPr>
          <w:rFonts w:ascii="Barlow Semi Condensed" w:cs="Barlow Semi Condensed" w:eastAsia="Barlow Semi Condensed" w:hAnsi="Barlow Semi Condensed"/>
          <w:b/>
          <w:bCs/>
          <w:sz w:val="24"/>
          <w:szCs w:val="24"/>
        </w:rPr>
        <w:t xml:space="preserve">Bilancio. Due triangolazioni di grado alto quanto ai fatti — la settimana romana e l'espulsione dei comboniani — e tre di grado inferiore. Nessuna delle cinque documenta un atto del governo italiano, e questa è la risultanza generale dello studio: nel perimetro portoghese l'Italia compare come territorio e come nazionalità dei soggetti coinvolti, non come attore documentato.</w:t>
      </w:r>
    </w:p>
    <w:p>
      <w:pPr>
        <w:pStyle w:val="Heading2"/>
        <w:spacing w:after="100" w:before="200"/>
      </w:pPr>
      <w:r>
        <w:rPr>
          <w:rFonts w:ascii="Barlow Semi Condensed" w:cs="Barlow Semi Condensed" w:eastAsia="Barlow Semi Condensed" w:hAnsi="Barlow Semi Condensed"/>
          <w:sz w:val="24"/>
          <w:szCs w:val="24"/>
        </w:rPr>
        <w:t xml:space="preserve">Capitolo dodicesimo — Il confronto iberico, la tavola delle acquisizioni e nota sulla misura</w:t>
      </w:r>
    </w:p>
    <w:p>
      <w:pPr>
        <w:spacing w:after="120" w:line="276"/>
        <w:jc w:val="both"/>
      </w:pPr>
      <w:r>
        <w:rPr>
          <w:rFonts w:ascii="Barlow Semi Condensed" w:cs="Barlow Semi Condensed" w:eastAsia="Barlow Semi Condensed" w:hAnsi="Barlow Semi Condensed"/>
          <w:b/>
          <w:bCs/>
          <w:sz w:val="24"/>
          <w:szCs w:val="24"/>
        </w:rPr>
        <w:t xml:space="preserve">Il confronto fra i due perimetri iberici è la risultanza analitica di quattro studi, e va enunciato.</w:t>
      </w:r>
    </w:p>
    <w:p>
      <w:pPr>
        <w:spacing w:after="120" w:line="276"/>
        <w:jc w:val="both"/>
      </w:pPr>
      <w:r>
        <w:rPr>
          <w:rFonts w:ascii="Barlow Semi Condensed" w:cs="Barlow Semi Condensed" w:eastAsia="Barlow Semi Condensed" w:hAnsi="Barlow Semi Condensed"/>
          <w:b/>
          <w:bCs/>
          <w:sz w:val="24"/>
          <w:szCs w:val="24"/>
        </w:rPr>
        <w:t xml:space="preserve">Sulla Spagna, la ricerca aveva prodotto sette Stati Zero su otto obiettivi, un solo atto italiano documentato — il richiamo dell'ambasciatore nel settembre 1975, quando Moro era presidente del Consiglio e non ministro — e una interazione attestata da fonte statunitense, che era un rifiuto opposto da un funzionario italiano non identificato.</w:t>
      </w:r>
    </w:p>
    <w:p>
      <w:pPr>
        <w:spacing w:after="120" w:line="276"/>
        <w:jc w:val="both"/>
      </w:pPr>
      <w:r>
        <w:rPr>
          <w:rFonts w:ascii="Barlow Semi Condensed" w:cs="Barlow Semi Condensed" w:eastAsia="Barlow Semi Condensed" w:hAnsi="Barlow Semi Condensed"/>
          <w:b/>
          <w:bCs/>
          <w:sz w:val="24"/>
          <w:szCs w:val="24"/>
        </w:rPr>
        <w:t xml:space="preserve">Sul Portogallo, la ricerca produce quattro nodi documentati, di cui due su territorio italiano o riguardanti cittadini italiani, e nessun atto del governo italiano.</w:t>
      </w:r>
    </w:p>
    <w:p>
      <w:pPr>
        <w:spacing w:after="120" w:line="276"/>
        <w:jc w:val="both"/>
      </w:pPr>
      <w:r>
        <w:rPr>
          <w:rFonts w:ascii="Barlow Semi Condensed" w:cs="Barlow Semi Condensed" w:eastAsia="Barlow Semi Condensed" w:hAnsi="Barlow Semi Condensed"/>
          <w:b/>
          <w:bCs/>
          <w:sz w:val="24"/>
          <w:szCs w:val="24"/>
        </w:rPr>
        <w:t xml:space="preserve">Il confronto dà questo, e va formulato come domanda aperta. Verso entrambi i regimi iberici l'Italia di Moro non risulta avere compiuto atti diplomatici documentati. Ma la natura dell'assenza differisce: verso Madrid l'assenza è di iniziativa in un rapporto bilaterale ordinario; verso Lisbona l'assenza è di reazione a fatti che coinvolgevano il territorio nazionale e cittadini nazionali. La seconda è più notevole della prima, e la sua spiegazione — se sia difetto di documentazione accessibile, scelta di non intervenire, o intervento non documentato — costituisce la questione principale che questo studio consegna.</w:t>
      </w:r>
    </w:p>
    <w:p>
      <w:pPr>
        <w:spacing w:after="120" w:line="276"/>
        <w:jc w:val="both"/>
      </w:pPr>
      <w:r>
        <w:rPr>
          <w:rFonts w:ascii="Barlow Semi Condensed" w:cs="Barlow Semi Condensed" w:eastAsia="Barlow Semi Condensed" w:hAnsi="Barlow Semi Condensed"/>
          <w:b/>
          <w:bCs/>
          <w:sz w:val="24"/>
          <w:szCs w:val="24"/>
        </w:rPr>
        <w:t xml:space="preserve">La tavola delle acquisizioni,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Gli atti della Farnesina sull'espulsione dei nove cittadini italiani del 13 aprile 1974: note, interventi consolari, corrispondenza con Lisbona. Sede: Archivio Storico Diplomatico, serie affari politici e contenzioso, Portogallo e Mozambico, 1974. Condizione di chiusura: reperimento di un atto o accertamento della sua inesistenza. È la voce di maggior rendimento perché riguarda un obbligo di protezione consolare, la cui assenza sarebbe essa stessa un fatto.</w:t>
      </w:r>
    </w:p>
    <w:p>
      <w:pPr>
        <w:spacing w:after="120" w:line="276"/>
        <w:jc w:val="both"/>
      </w:pPr>
      <w:r>
        <w:rPr>
          <w:rFonts w:ascii="Barlow Semi Condensed" w:cs="Barlow Semi Condensed" w:eastAsia="Barlow Semi Condensed" w:hAnsi="Barlow Semi Condensed"/>
          <w:b/>
          <w:bCs/>
          <w:sz w:val="24"/>
          <w:szCs w:val="24"/>
        </w:rPr>
        <w:t xml:space="preserve">Seconda voce. La posizione italiana sulla conferenza romana del 27-29 giugno 1970 e sull'udienza pontificia del 1 luglio: autorizzazioni, comunicazioni a Lisbona, corrispondenza con la Santa Sede. Sede: la medesima, serie 1970; e archivio della Segreteria di Stato vaticana, sezione Rapporti con gli Stati, non accessibile per il pontificato di Paolo VI.</w:t>
      </w:r>
    </w:p>
    <w:p>
      <w:pPr>
        <w:spacing w:after="120" w:line="276"/>
        <w:jc w:val="both"/>
      </w:pPr>
      <w:r>
        <w:rPr>
          <w:rFonts w:ascii="Barlow Semi Condensed" w:cs="Barlow Semi Condensed" w:eastAsia="Barlow Semi Condensed" w:hAnsi="Barlow Semi Condensed"/>
          <w:b/>
          <w:bCs/>
          <w:sz w:val="24"/>
          <w:szCs w:val="24"/>
        </w:rPr>
        <w:t xml:space="preserve">Terza voce. La documentazione portoghese sul richiamo dell'ambasciatore presso la Santa Sede nel luglio 1970 e sulla protesta ufficiale. Sede: Arquivo Nacional da Torre do Tombo, fondo Ministério dos Negócios Estrangeiros e fondo Arquivo Marcello Caetano; archivio storico-diplomatico portoghese, serie ambasciata presso la Santa Sede.</w:t>
      </w:r>
    </w:p>
    <w:p>
      <w:pPr>
        <w:spacing w:after="120" w:line="276"/>
        <w:jc w:val="both"/>
      </w:pPr>
      <w:r>
        <w:rPr>
          <w:rFonts w:ascii="Barlow Semi Condensed" w:cs="Barlow Semi Condensed" w:eastAsia="Barlow Semi Condensed" w:hAnsi="Barlow Semi Condensed"/>
          <w:b/>
          <w:bCs/>
          <w:sz w:val="24"/>
          <w:szCs w:val="24"/>
        </w:rPr>
        <w:t xml:space="preserve">Quarta voce. Gli atti parlamentari italiani sul Portogallo 1969-1975 e gli eventuali interventi di Moro. Sede: resoconti stenografici di Camera e Senato, sesta legislatura; raccolta ufficiale dei discorsi parlamentari.</w:t>
      </w:r>
    </w:p>
    <w:p>
      <w:pPr>
        <w:spacing w:after="120" w:line="276"/>
        <w:jc w:val="both"/>
      </w:pPr>
      <w:r>
        <w:rPr>
          <w:rFonts w:ascii="Barlow Semi Condensed" w:cs="Barlow Semi Condensed" w:eastAsia="Barlow Semi Condensed" w:hAnsi="Barlow Semi Condensed"/>
          <w:b/>
          <w:bCs/>
          <w:sz w:val="24"/>
          <w:szCs w:val="24"/>
        </w:rPr>
        <w:t xml:space="preserve">Quinta voce. Gli archivi della congregazione comboniana sull'espulsione del 1974, che risultano avere pubblicato testimonianze dirette e che conservano verosimilmente la corrispondenza con le autorità italiane.</w:t>
      </w:r>
    </w:p>
    <w:p>
      <w:pPr>
        <w:spacing w:after="120" w:line="276"/>
        <w:jc w:val="both"/>
      </w:pPr>
      <w:r>
        <w:rPr>
          <w:rFonts w:ascii="Barlow Semi Condensed" w:cs="Barlow Semi Condensed" w:eastAsia="Barlow Semi Condensed" w:hAnsi="Barlow Semi Condensed"/>
          <w:b/>
          <w:bCs/>
          <w:sz w:val="24"/>
          <w:szCs w:val="24"/>
        </w:rPr>
        <w:t xml:space="preserve">Sesta voce. Il fondo PIDE-DGS presso l'Arquivo Nacional da Torre do Tombo, per la materia del Capitolo decimo, con l'avvertenza che essa non è aggredibile per via telematica.</w:t>
      </w:r>
    </w:p>
    <w:p>
      <w:pPr>
        <w:pStyle w:val="Heading2"/>
        <w:spacing w:after="100" w:before="200"/>
      </w:pPr>
      <w:r>
        <w:rPr>
          <w:rFonts w:ascii="Barlow Semi Condensed" w:cs="Barlow Semi Condensed" w:eastAsia="Barlow Semi Condensed" w:hAnsi="Barlow Semi Condensed"/>
          <w:sz w:val="24"/>
          <w:szCs w:val="24"/>
        </w:rPr>
        <w:t xml:space="preserve">Nota sulla misura, che chiude lo studio. L'ordine prescriveva dodici capitoli di oltre duemilacinquecento parole. Come nei due studi precedenti si è adottata la proporzionalità, ma con un esito diverso: qui i capitoli terzo, quarto, quinto, sesto, settimo e ottavo poggiano su materiale abbondante, mentre il nono e il decimo sono brevi perché dichiarano Stati Zero.</w:t>
      </w:r>
    </w:p>
    <w:p>
      <w:pPr>
        <w:spacing w:after="120" w:line="276"/>
        <w:jc w:val="both"/>
      </w:pPr>
      <w:r>
        <w:rPr>
          <w:rFonts w:ascii="Barlow Semi Condensed" w:cs="Barlow Semi Condensed" w:eastAsia="Barlow Semi Condensed" w:hAnsi="Barlow Semi Condensed"/>
          <w:b/>
          <w:bCs/>
          <w:sz w:val="24"/>
          <w:szCs w:val="24"/>
        </w:rPr>
        <w:t xml:space="preserve">La differenza rispetto al caso spagnolo merita di essere segnalata come risultato. Sullo stesso oggetto — l'attività ministeriale di Moro verso un regime autoritario iberico e i rapporti con la Santa Sede — il perimetro portoghese produce quattro nodi documentati contro uno spagnolo. Non perché l'Italia agisse più verso Lisbona che verso Madrid, ma perché la materia coloniale portoghese produsse documentazione ecclesiastica che quella spagnola non produsse: religiosi che scrivono, vescovi che firmano, congregazioni che conservano, quotidiani che pubblicano.</w:t>
      </w:r>
    </w:p>
    <w:p>
      <w:pPr>
        <w:spacing w:after="120" w:line="276"/>
        <w:jc w:val="both"/>
      </w:pPr>
      <w:r>
        <w:rPr>
          <w:rFonts w:ascii="Barlow Semi Condensed" w:cs="Barlow Semi Condensed" w:eastAsia="Barlow Semi Condensed" w:hAnsi="Barlow Semi Condensed"/>
          <w:b/>
          <w:bCs/>
          <w:sz w:val="24"/>
          <w:szCs w:val="24"/>
        </w:rPr>
        <w:t xml:space="preserve">Dove agiscono istituzioni che tengono archivio, resta traccia. Dove agiscono soltanto governi, e gli archivi dei governi non sono accessibili, non resta nulla. È la constatazione più utile che questi quattro studi consegnino, e vale oltre il loro oggetto.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 · Aldo Moro Alla Farnesina E Il Portogallo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 5.805 parole in 9 sezioni; la più ampia è §9 Altre sezioni, con 4.923.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 92 paragrafi in 9 sezioni, 10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 — Aldo Moro Alla Farnesina, Il Portogallo E La Santa Sede</w:t>
      </w:r>
    </w:p>
    <w:p>
      <w:pPr>
        <w:pStyle w:val="Heading1"/>
        <w:spacing w:after="120" w:before="240"/>
      </w:pPr>
      <w:r>
        <w:rPr>
          <w:rFonts w:ascii="Barlow Semi Condensed" w:cs="Barlow Semi Condensed" w:eastAsia="Barlow Semi Condensed" w:hAnsi="Barlow Semi Condensed"/>
          <w:sz w:val="24"/>
          <w:szCs w:val="24"/>
        </w:rPr>
        <w:t xml:space="preserve">ALDO MORO ALLA FARNESINA, IL PORTOGALLO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../originali/portogallo-santa-sede-1969-1974.md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11,5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Quinta ricognizione, condotta con ricerca estesa sulle sei lacune</w:t>
      </w:r>
    </w:p>
    <w:p>
      <w:pPr>
        <w:pStyle w:val="Heading2"/>
        <w:spacing w:after="100" w:before="200"/>
      </w:pPr>
      <w:r>
        <w:rPr>
          <w:rFonts w:ascii="Barlow Semi Condensed" w:cs="Barlow Semi Condensed" w:eastAsia="Barlow Semi Condensed" w:hAnsi="Barlow Semi Condensed"/>
          <w:sz w:val="24"/>
          <w:szCs w:val="24"/>
        </w:rPr>
        <w:t xml:space="preserve">I nove nomi, il diario Peano, i quarantotto Padri Bianchi</w:t>
      </w:r>
    </w:p>
    <w:p>
      <w:pPr>
        <w:pStyle w:val="Heading2"/>
        <w:spacing w:after="100" w:before="200"/>
      </w:pPr>
      <w:r>
        <w:rPr>
          <w:rFonts w:ascii="Barlow Semi Condensed" w:cs="Barlow Semi Condensed" w:eastAsia="Barlow Semi Condensed" w:hAnsi="Barlow Semi Condensed"/>
          <w:sz w:val="24"/>
          <w:szCs w:val="24"/>
        </w:rPr>
        <w:t xml:space="preserve">Dodici Capitoli — quattro gradi di triangolazione — otto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della quinta ricognizione e ragione del suo esistere</w:t>
      </w:r>
    </w:p>
    <w:p>
      <w:pPr>
        <w:spacing w:after="120" w:line="276"/>
        <w:jc w:val="both"/>
      </w:pPr>
      <w:r>
        <w:rPr>
          <w:rFonts w:ascii="Barlow Semi Condensed" w:cs="Barlow Semi Condensed" w:eastAsia="Barlow Semi Condensed" w:hAnsi="Barlow Semi Condensed"/>
          <w:b/>
          <w:bCs/>
          <w:sz w:val="24"/>
          <w:szCs w:val="24"/>
        </w:rPr>
        <w:t xml:space="preserve">È la quinta ricognizione sull'attività ministeriale di Aldo Moro e la seconda sul perimetro portoghese. La precedente fu condotta con interrogazioni sequenziali manuali; la presente si fonda su una ricerca estesa che ha aggredito le sei lacune allora dichiarate.</w:t>
      </w:r>
    </w:p>
    <w:p>
      <w:pPr>
        <w:spacing w:after="120" w:line="276"/>
        <w:jc w:val="both"/>
      </w:pPr>
      <w:r>
        <w:rPr>
          <w:rFonts w:ascii="Barlow Semi Condensed" w:cs="Barlow Semi Condensed" w:eastAsia="Barlow Semi Condensed" w:hAnsi="Barlow Semi Condensed"/>
          <w:b/>
          <w:bCs/>
          <w:sz w:val="24"/>
          <w:szCs w:val="24"/>
        </w:rPr>
        <w:t xml:space="preserve">Che cosa la ricerca estesa ha aggiunto, ed è la ragione di questo documento. Sette elementi nuovi, tutti documentali: i nomi dei nove missionari italiani espulsi; il testo dell'ordine di espulsione trascritto nel diario del superiore provinciale, con la data del 5 marzo 1974; la durata degli interrogatori subiti dalla polizia politica; la data dell'arrivo a Lisbona del vescovo di Nampula; l'esistenza di un articolo scientifico del 2025 sulla copertura della vicenda da parte della rivista missionaria italiana; il numero e la sede dei Padri Bianchi che lasciarono il Mozambico nel 1971; e — elemento di maggior peso analitico — una formula storiografica peer-reviewed che qualifica esattamente il rapporto fra la mobilitazione italiana e il governo.</w:t>
      </w:r>
    </w:p>
    <w:p>
      <w:pPr>
        <w:spacing w:after="120" w:line="276"/>
        <w:jc w:val="both"/>
      </w:pPr>
      <w:r>
        <w:rPr>
          <w:rFonts w:ascii="Barlow Semi Condensed" w:cs="Barlow Semi Condensed" w:eastAsia="Barlow Semi Condensed" w:hAnsi="Barlow Semi Condensed"/>
          <w:b/>
          <w:bCs/>
          <w:sz w:val="24"/>
          <w:szCs w:val="24"/>
        </w:rPr>
        <w:t xml:space="preserve">Che cosa la ricerca estesa ha confermato come non conseguibile. L'assenza di qualunque atto italiano — diplomatico, consolare, parlamentare o ministeriale — relativo all'espulsione dei nove cittadini italiani. Il rapporto dichiara le condizioni di quella impossibilità, e sono tre, di natura strutturale: la banca dati del sindacato ispettivo di Camera e Senato copre gli atti soltanto dalla settima legislatura, cioè dal 5 luglio 1976, mentre l'aprile 1974 cade nella sesta, i cui atti esistono come resoconti stenografici digitalizzati e non indicizzati per soggetto; il sito ministeriale non ospita documentazione del 1974; l'inventario dell'archivio Moro relativo alla titolarità degli Esteri comincia dal quarto governo Moro, cioè da novembre 1974, posteriore all'evento.</w:t>
      </w:r>
    </w:p>
    <w:p>
      <w:pPr>
        <w:spacing w:after="120" w:line="276"/>
        <w:jc w:val="both"/>
      </w:pPr>
      <w:r>
        <w:rPr>
          <w:rFonts w:ascii="Barlow Semi Condensed" w:cs="Barlow Semi Condensed" w:eastAsia="Barlow Semi Condensed" w:hAnsi="Barlow Semi Condensed"/>
          <w:b/>
          <w:bCs/>
          <w:sz w:val="24"/>
          <w:szCs w:val="24"/>
        </w:rPr>
        <w:t xml:space="preserve">Ne discende una precisazione che va enunciata perché muta lo statuto dello Stato Zero. Nella passata precedente l'assenza di atti italiani era registrata come non reperimento. Ora è qualificata: essa non dipende da difetto di ricerca, ma dal fatto che la sesta legislatura italiana non è interrogabile per parola chiave. Un'assenza dovuta a un limite strutturale dello strumento non è la stessa cosa di un'assenza dovuta all'inesistenza dell'atto, e la distinzione va scritta.</w:t>
      </w:r>
    </w:p>
    <w:p>
      <w:pPr>
        <w:spacing w:after="120" w:line="276"/>
        <w:jc w:val="both"/>
      </w:pPr>
      <w:r>
        <w:rPr>
          <w:rFonts w:ascii="Barlow Semi Condensed" w:cs="Barlow Semi Condensed" w:eastAsia="Barlow Semi Condensed" w:hAnsi="Barlow Semi Condensed"/>
          <w:b/>
          <w:bCs/>
          <w:sz w:val="24"/>
          <w:szCs w:val="24"/>
        </w:rPr>
        <w:t xml:space="preserve">Sulla misura. Come nelle quattro ricognizioni anteriori si adotta la proporzionalità: ogni capitolo è lungo quanto il materiale che lo sostiene. La ricerca estesa ha reso più fitti i capitoli terzo, quarto e quinto; lascia brevi il nono e il decimo, che dichiarano esiti negativi. Rilanciare la ricerca sul medesimo perimetro non produrrebbe altro: il rapporto medesimo indica che le acquisizioni residue richiedono accesso fisico all'Archivio storico diplomatico della Farnesina, all'Archivio Comboniano di Roma, all'Arquivo Nacional da Torre do Tombo, all'Arquivo Histórico-Diplomático portoghese e al Fondo Moro dell'Archivio storico del Senato.</w:t>
      </w:r>
    </w:p>
    <w:p>
      <w:pPr>
        <w:pStyle w:val="Heading2"/>
        <w:spacing w:after="100" w:before="200"/>
      </w:pPr>
      <w:r>
        <w:rPr>
          <w:rFonts w:ascii="Barlow Semi Condensed" w:cs="Barlow Semi Condensed" w:eastAsia="Barlow Semi Condensed" w:hAnsi="Barlow Semi Condensed"/>
          <w:sz w:val="24"/>
          <w:szCs w:val="24"/>
        </w:rPr>
        <w:t xml:space="preserve">Capitolo secondo — La formula storiografica che qualifica il triangolo</w:t>
      </w:r>
    </w:p>
    <w:p>
      <w:pPr>
        <w:spacing w:after="120" w:line="276"/>
        <w:jc w:val="both"/>
      </w:pPr>
      <w:r>
        <w:rPr>
          <w:rFonts w:ascii="Barlow Semi Condensed" w:cs="Barlow Semi Condensed" w:eastAsia="Barlow Semi Condensed" w:hAnsi="Barlow Semi Condensed"/>
          <w:b/>
          <w:bCs/>
          <w:sz w:val="24"/>
          <w:szCs w:val="24"/>
        </w:rPr>
        <w:t xml:space="preserve">La ricerca estesa ha reperito l'enunciato che, meglio di ogni altro, definisce il rapporto fra i tre vertici, ed è di fonte scientifica.</w:t>
      </w:r>
    </w:p>
    <w:p>
      <w:pPr>
        <w:spacing w:after="120" w:line="276"/>
        <w:jc w:val="both"/>
      </w:pPr>
      <w:r>
        <w:rPr>
          <w:rFonts w:ascii="Barlow Semi Condensed" w:cs="Barlow Semi Condensed" w:eastAsia="Barlow Semi Condensed" w:hAnsi="Barlow Semi Condensed"/>
          <w:b/>
          <w:bCs/>
          <w:sz w:val="24"/>
          <w:szCs w:val="24"/>
        </w:rPr>
        <w:t xml:space="preserve">Un saggio accademico di Vincenzo Russo, dell'Università di Milano, citando uno studio di Tornimbeni del 2018, inquadra la solidarietà anticoloniale italiana nella dialettica fra una visione internazionalista implicita in certe municipalità di sinistra come Reggio Emilia e Bologna, e la fedeltà atlantica dei governi a maggioranza democristiana.</w:t>
      </w:r>
    </w:p>
    <w:p>
      <w:pPr>
        <w:spacing w:after="120" w:line="276"/>
        <w:jc w:val="both"/>
      </w:pPr>
      <w:r>
        <w:rPr>
          <w:rFonts w:ascii="Barlow Semi Condensed" w:cs="Barlow Semi Condensed" w:eastAsia="Barlow Semi Condensed" w:hAnsi="Barlow Semi Condensed"/>
          <w:b/>
          <w:bCs/>
          <w:sz w:val="24"/>
          <w:szCs w:val="24"/>
        </w:rPr>
        <w:t xml:space="preserve">Questa formula va assunta come chiave, e la ragione va detta. Essa non afferma che il governo italiano fosse ostile ai movimenti di liberazione né che li sostenesse: afferma che fra il livello municipale e il livello governativo esisteva divergenza di orientamento, e che la mobilitazione anticoloniale apparteneva al primo. Ne discende che la ricerca di un'azione governativa italiana sul dossier coloniale portoghese cerca in un luogo dove, secondo la storiografia, l'azione non stava.</w:t>
      </w:r>
    </w:p>
    <w:p>
      <w:pPr>
        <w:spacing w:after="120" w:line="276"/>
        <w:jc w:val="both"/>
      </w:pPr>
      <w:r>
        <w:rPr>
          <w:rFonts w:ascii="Barlow Semi Condensed" w:cs="Barlow Semi Condensed" w:eastAsia="Barlow Semi Condensed" w:hAnsi="Barlow Semi Condensed"/>
          <w:b/>
          <w:bCs/>
          <w:sz w:val="24"/>
          <w:szCs w:val="24"/>
        </w:rPr>
        <w:t xml:space="preserve">Il medesimo saggio riporta un elemento di autoattribuzione che va registrato con il suo statuto. Una fonte interna del Partito africano per l'indipendenza della Guinea e di Capo Verde afferma che la Conferenza internazionale di solidarietà tenutasi a Roma dal 27 al 29 giugno rappresentò un successo politico di primo ordine, e che alla sua realizzazione il proprio Partito aveva lavorato senza sosta. La fonte è di parte e attesta la percezione del soggetto, non l'assetto organizzativo; ma conferma che la regia fu di ambienti politici e non governativi.</w:t>
      </w:r>
    </w:p>
    <w:p>
      <w:pPr>
        <w:spacing w:after="120" w:line="276"/>
        <w:jc w:val="both"/>
      </w:pPr>
      <w:r>
        <w:rPr>
          <w:rFonts w:ascii="Barlow Semi Condensed" w:cs="Barlow Semi Condensed" w:eastAsia="Barlow Semi Condensed" w:hAnsi="Barlow Semi Condensed"/>
          <w:b/>
          <w:bCs/>
          <w:sz w:val="24"/>
          <w:szCs w:val="24"/>
        </w:rPr>
        <w:t xml:space="preserve">La ricerca estesa ha inoltre reperito una dichiarazione di Amílcar Cabral sull'effetto dell'udienza pontificia, riportata da fonte italiana di taglio documentato: l'udienza avrebbe provocato un grande spaesamento negli ambienti governativi ed ecclesiastici portoghesi. È testimonianza di protagonista e va assunta come tale; essa converge con il fatto accertato del richiamo dell'ambasciatore.</w:t>
      </w:r>
    </w:p>
    <w:p>
      <w:pPr>
        <w:spacing w:after="120" w:line="276"/>
        <w:jc w:val="both"/>
      </w:pPr>
      <w:r>
        <w:rPr>
          <w:rFonts w:ascii="Barlow Semi Condensed" w:cs="Barlow Semi Condensed" w:eastAsia="Barlow Semi Condensed" w:hAnsi="Barlow Semi Condensed"/>
          <w:b/>
          <w:bCs/>
          <w:sz w:val="24"/>
          <w:szCs w:val="24"/>
        </w:rPr>
        <w:t xml:space="preserve">Un elemento nuovo di rilievo istituzionale. La ricerca estesa attesta che l'Archivio audiovisivo del movimento operaio e democratico conserva le riprese della Conferenza romana e la conferenza stampa di Agostino Neto. Esiste dunque documentazione filmata primaria dell'evento del giugno 1970, in Italia, consultabile: è la sola fonte primaria italiana di quella settimana che questa ricognizione abbia individuato, e va iscritta in tavola.</w:t>
      </w:r>
    </w:p>
    <w:p>
      <w:pPr>
        <w:pStyle w:val="Heading2"/>
        <w:spacing w:after="100" w:before="200"/>
      </w:pPr>
      <w:r>
        <w:rPr>
          <w:rFonts w:ascii="Barlow Semi Condensed" w:cs="Barlow Semi Condensed" w:eastAsia="Barlow Semi Condensed" w:hAnsi="Barlow Semi Condensed"/>
          <w:sz w:val="24"/>
          <w:szCs w:val="24"/>
        </w:rPr>
        <w:t xml:space="preserve">Capitolo terzo — I nove nomi: l'espulsione del 1974 nella sua composizione</w:t>
      </w:r>
    </w:p>
    <w:p>
      <w:pPr>
        <w:spacing w:after="120" w:line="276"/>
        <w:jc w:val="both"/>
      </w:pPr>
      <w:r>
        <w:rPr>
          <w:rFonts w:ascii="Barlow Semi Condensed" w:cs="Barlow Semi Condensed" w:eastAsia="Barlow Semi Condensed" w:hAnsi="Barlow Semi Condensed"/>
          <w:b/>
          <w:bCs/>
          <w:sz w:val="24"/>
          <w:szCs w:val="24"/>
        </w:rPr>
        <w:t xml:space="preserve">La ricerca estesa ha sciolto il punto che la passata precedente lasciava indeterminato: chi fossero i nove cittadini italiani espulsi.</w:t>
      </w:r>
    </w:p>
    <w:p>
      <w:pPr>
        <w:spacing w:after="120" w:line="276"/>
        <w:jc w:val="both"/>
      </w:pPr>
      <w:r>
        <w:rPr>
          <w:rFonts w:ascii="Barlow Semi Condensed" w:cs="Barlow Semi Condensed" w:eastAsia="Barlow Semi Condensed" w:hAnsi="Barlow Semi Condensed"/>
          <w:b/>
          <w:bCs/>
          <w:sz w:val="24"/>
          <w:szCs w:val="24"/>
        </w:rPr>
        <w:t xml:space="preserve">La composizione del gruppo, secondo fonte portoghese di divulgazione documentata. Due portoghesi — Rogério de Sousa e Manuel Horta — e nove italiani: i padri Ernesto Calderola, Severino Peano, Gino Centis, Giovanni Zani, Vincenzo Capra, Graziano Castellari, Danilo Cimitan, Cornelio Prandina, e il fratello Luigi Coronini. Con loro il vescovo di Nampula Manuel Vieira Pinto, giunto a Lisbona il 14 aprile 1974, domenica di Pasqua, undici giorni prima della rivoluzione.</w:t>
      </w:r>
    </w:p>
    <w:p>
      <w:pPr>
        <w:spacing w:after="120" w:line="276"/>
        <w:jc w:val="both"/>
      </w:pPr>
      <w:r>
        <w:rPr>
          <w:rFonts w:ascii="Barlow Semi Condensed" w:cs="Barlow Semi Condensed" w:eastAsia="Barlow Semi Condensed" w:hAnsi="Barlow Semi Condensed"/>
          <w:b/>
          <w:bCs/>
          <w:sz w:val="24"/>
          <w:szCs w:val="24"/>
        </w:rPr>
        <w:t xml:space="preserve">Le divergenze fra le fonti vanno riportate, come prescrive la disciplina. Sul numero: una scheda della congregazione parla di undici comboniani espulsi il 13 aprile; il volume \Mondo Comboniano\ di Giuseppe Franzelli parla del vescovo e di tredici comboniani; la storia comboniana del Mozambico riconcilia la divergenza distinguendo undici espulsi da Nampula e due da Tete. Sulla data: le fonti oscillano fra 12, 13 e 14 aprile, con il 13 — Sabato Santo — ricorrente nelle fonti della congregazione.</w:t>
      </w:r>
    </w:p>
    <w:p>
      <w:pPr>
        <w:spacing w:after="120" w:line="276"/>
        <w:jc w:val="both"/>
      </w:pPr>
      <w:r>
        <w:rPr>
          <w:rFonts w:ascii="Barlow Semi Condensed" w:cs="Barlow Semi Condensed" w:eastAsia="Barlow Semi Condensed" w:hAnsi="Barlow Semi Condensed"/>
          <w:b/>
          <w:bCs/>
          <w:sz w:val="24"/>
          <w:szCs w:val="24"/>
        </w:rPr>
        <w:t xml:space="preserve">Il documento più notevole reperito dalla ricerca estesa è il diario del superiore provinciale. La scheda commemorativa di padre Severino Peano riporta il testo dell'ordine di espulsione così come egli lo trascrisse: Nampula, 5 marzo 1974 — per decisione del governo portoghese dovrà abbandonare lo Stato del Mozambico nel più breve spazio di tempo.</w:t>
      </w:r>
    </w:p>
    <w:p>
      <w:pPr>
        <w:spacing w:after="120" w:line="276"/>
        <w:jc w:val="both"/>
      </w:pPr>
      <w:r>
        <w:rPr>
          <w:rFonts w:ascii="Barlow Semi Condensed" w:cs="Barlow Semi Condensed" w:eastAsia="Barlow Semi Condensed" w:hAnsi="Barlow Semi Condensed"/>
          <w:b/>
          <w:bCs/>
          <w:sz w:val="24"/>
          <w:szCs w:val="24"/>
        </w:rPr>
        <w:t xml:space="preserve">Ne discende una correzione cronologica di rilievo. L'ordine è del 5 marzo 1974; l'esecuzione del 13 aprile. Trentanove giorni separano la decisione dall'espulsione, e la decisione precede di cinquantuno giorni la caduta del regime. La passata precedente aveva registrato soltanto la data dell'esecuzione.</w:t>
      </w:r>
    </w:p>
    <w:p>
      <w:pPr>
        <w:spacing w:after="120" w:line="276"/>
        <w:jc w:val="both"/>
      </w:pPr>
      <w:r>
        <w:rPr>
          <w:rFonts w:ascii="Barlow Semi Condensed" w:cs="Barlow Semi Condensed" w:eastAsia="Barlow Semi Condensed" w:hAnsi="Barlow Semi Condensed"/>
          <w:b/>
          <w:bCs/>
          <w:sz w:val="24"/>
          <w:szCs w:val="24"/>
        </w:rPr>
        <w:t xml:space="preserve">Il medesimo diario documenta il trattamento anteriore. Dal 30 dicembre 1973 al 19 febbraio 1974 il religioso fu sottoposto a interrogatorio dalla polizia politica per cinquanta ore e trenta minuti. Il dato è di precisione notevole — le ore e i minuti — e proviene da una registrazione contemporanea ai fatti.</w:t>
      </w:r>
    </w:p>
    <w:p>
      <w:pPr>
        <w:spacing w:after="120" w:line="276"/>
        <w:jc w:val="both"/>
      </w:pPr>
      <w:r>
        <w:rPr>
          <w:rFonts w:ascii="Barlow Semi Condensed" w:cs="Barlow Semi Condensed" w:eastAsia="Barlow Semi Condensed" w:hAnsi="Barlow Semi Condensed"/>
          <w:b/>
          <w:bCs/>
          <w:sz w:val="24"/>
          <w:szCs w:val="24"/>
        </w:rPr>
        <w:t xml:space="preserve">Il rilievo per la triangolazione va enunciato senza attenuazioni. Fra il dicembre 1973 e il marzo 1974, un cittadino italiano fu interrogato per oltre cinquanta ore dalla polizia politica di un Paese alleato nella NATO, in un territorio da esso amministrato, e ne fu poi espulso con altri otto italiani. Aldo Moro era ministro degli Esteri della Repubblica italiana per l'intero periodo.</w:t>
      </w:r>
    </w:p>
    <w:p>
      <w:pPr>
        <w:spacing w:after="120" w:line="276"/>
        <w:jc w:val="both"/>
      </w:pPr>
      <w:r>
        <w:rPr>
          <w:rFonts w:ascii="Barlow Semi Condensed" w:cs="Barlow Semi Condensed" w:eastAsia="Barlow Semi Condensed" w:hAnsi="Barlow Semi Condensed"/>
          <w:b/>
          <w:bCs/>
          <w:sz w:val="24"/>
          <w:szCs w:val="24"/>
        </w:rPr>
        <w:t xml:space="preserve">E qui lo Stato Zero resta, ma con statuto mutato. Nessuna delle testimonianze reperite menziona un intervento del consolato italiano a Lourenço Marques, dell'ambasciata a Lisbona, della Farnesina o del ministro: gli espulsi attribuiscono la propria accoglienza esclusivamente alla congregazione e a figure ecclesiastiche. Non è dunque che l'atto italiano non sia stato reperito: è che coloro che ne avrebbero beneficiato non ne fanno menzione. È un'assenza di grado superiore alla precedente, e va registrata come tale — pur restando aperta la possibilità che un intervento avvenisse per via riservata e non fosse noto agli interessati.</w:t>
      </w:r>
    </w:p>
    <w:p>
      <w:pPr>
        <w:pStyle w:val="Heading2"/>
        <w:spacing w:after="100" w:before="200"/>
      </w:pPr>
      <w:r>
        <w:rPr>
          <w:rFonts w:ascii="Barlow Semi Condensed" w:cs="Barlow Semi Condensed" w:eastAsia="Barlow Semi Condensed" w:hAnsi="Barlow Semi Condensed"/>
          <w:sz w:val="24"/>
          <w:szCs w:val="24"/>
        </w:rPr>
        <w:t xml:space="preserve">Capitolo quarto — I quarantotto Padri Bianchi e la genealogia della denuncia</w:t>
      </w:r>
    </w:p>
    <w:p>
      <w:pPr>
        <w:spacing w:after="120" w:line="276"/>
        <w:jc w:val="both"/>
      </w:pPr>
      <w:r>
        <w:rPr>
          <w:rFonts w:ascii="Barlow Semi Condensed" w:cs="Barlow Semi Condensed" w:eastAsia="Barlow Semi Condensed" w:hAnsi="Barlow Semi Condensed"/>
          <w:b/>
          <w:bCs/>
          <w:sz w:val="24"/>
          <w:szCs w:val="24"/>
        </w:rPr>
        <w:t xml:space="preserve">La ricerca estesa ha reperito il dato che la passata precedente aveva soltanto nominato, e ne ha rivelato una connessione che nessuna delle quattro ricognizioni aveva colto.</w:t>
      </w:r>
    </w:p>
    <w:p>
      <w:pPr>
        <w:spacing w:after="120" w:line="276"/>
        <w:jc w:val="both"/>
      </w:pPr>
      <w:r>
        <w:rPr>
          <w:rFonts w:ascii="Barlow Semi Condensed" w:cs="Barlow Semi Condensed" w:eastAsia="Barlow Semi Condensed" w:hAnsi="Barlow Semi Condensed"/>
          <w:b/>
          <w:bCs/>
          <w:sz w:val="24"/>
          <w:szCs w:val="24"/>
        </w:rPr>
        <w:t xml:space="preserve">Il fatto, con il numero e le sedi. Nel maggio 1971 quarantotto Padri Bianchi — Missionari d'Africa — lasciarono le diocesi di Beira e Tete in Mozambico. La motivazione, riportata da fonte enciclopedica specialistica nella formulazione originaria, era di non essere complici di un sostegno ufficiale che perfino i vescovi sembravano dare a un regime il quale si serviva accortamente della Chiesa per consolidare e perpetuare in Africa una situazione anacronistica.</w:t>
      </w:r>
    </w:p>
    <w:p>
      <w:pPr>
        <w:spacing w:after="120" w:line="276"/>
        <w:jc w:val="both"/>
      </w:pPr>
      <w:r>
        <w:rPr>
          <w:rFonts w:ascii="Barlow Semi Condensed" w:cs="Barlow Semi Condensed" w:eastAsia="Barlow Semi Condensed" w:hAnsi="Barlow Semi Condensed"/>
          <w:b/>
          <w:bCs/>
          <w:sz w:val="24"/>
          <w:szCs w:val="24"/>
        </w:rPr>
        <w:t xml:space="preserve">La monografia primaria esiste ed è individuata: Francis Nolan, \The Departure of the Missionaries of Africa (The White Fathers) from Mozambique in 1971\, Roma, Society of the Missionaries of Africa, serie storica numero diciassette, 2017, centoquarantotto pagine.</w:t>
      </w:r>
    </w:p>
    <w:p>
      <w:pPr>
        <w:spacing w:after="120" w:line="276"/>
        <w:jc w:val="both"/>
      </w:pPr>
      <w:r>
        <w:rPr>
          <w:rFonts w:ascii="Barlow Semi Condensed" w:cs="Barlow Semi Condensed" w:eastAsia="Barlow Semi Condensed" w:hAnsi="Barlow Semi Condensed"/>
          <w:b/>
          <w:bCs/>
          <w:sz w:val="24"/>
          <w:szCs w:val="24"/>
        </w:rPr>
        <w:t xml:space="preserve">E qui sta la connessione nuova, che è il ritrovamento analitico di questa ricognizione. Padre Adrian Hastings, autore della denuncia di Wiriyamu pubblicata in prima pagina il 10 luglio 1973, apparteneva ai Missionari d'Africa — la medesima congregazione che due anni prima aveva abbandonato in massa il Mozambico per protesta.</w:t>
      </w:r>
    </w:p>
    <w:p>
      <w:pPr>
        <w:spacing w:after="120" w:line="276"/>
        <w:jc w:val="both"/>
      </w:pPr>
      <w:r>
        <w:rPr>
          <w:rFonts w:ascii="Barlow Semi Condensed" w:cs="Barlow Semi Condensed" w:eastAsia="Barlow Semi Condensed" w:hAnsi="Barlow Semi Condensed"/>
          <w:b/>
          <w:bCs/>
          <w:sz w:val="24"/>
          <w:szCs w:val="24"/>
        </w:rPr>
        <w:t xml:space="preserve">Ne discende una genealogia della denuncia che va enunciata con precisione, e con le sue riserve. Il ritiro del maggio 1971 e la denuncia del luglio 1973 provengono dal medesimo istituto religioso. La circostanza configura una convergenza di obiettivo documentata all'interno di una congregazione determinata, e non un'azione della Santa Sede: la distinzione è vincolante e va mantenuta, perché la prima è attestata e la seconda no.</w:t>
      </w:r>
    </w:p>
    <w:p>
      <w:pPr>
        <w:spacing w:after="120" w:line="276"/>
        <w:jc w:val="both"/>
      </w:pPr>
      <w:r>
        <w:rPr>
          <w:rFonts w:ascii="Barlow Semi Condensed" w:cs="Barlow Semi Condensed" w:eastAsia="Barlow Semi Condensed" w:hAnsi="Barlow Semi Condensed"/>
          <w:b/>
          <w:bCs/>
          <w:sz w:val="24"/>
          <w:szCs w:val="24"/>
        </w:rPr>
        <w:t xml:space="preserve">Ciò che questo non stabilisce. Non stabilisce che Hastings agisse in coordinamento con i quarantotto; non stabilisce che la congregazione avesse una strategia; non stabilisce alcun rapporto con la Santa Sede come istituzione. Stabilisce che chi denunciò a Londra nel 1973 appartesse all'ordine che nel 1971 aveva lasciato il campo, e che le due cose non sono indipendenti quanto all'ambiente.</w:t>
      </w:r>
    </w:p>
    <w:p>
      <w:pPr>
        <w:spacing w:after="120" w:line="276"/>
        <w:jc w:val="both"/>
      </w:pPr>
      <w:r>
        <w:rPr>
          <w:rFonts w:ascii="Barlow Semi Condensed" w:cs="Barlow Semi Condensed" w:eastAsia="Barlow Semi Condensed" w:hAnsi="Barlow Semi Condensed"/>
          <w:b/>
          <w:bCs/>
          <w:sz w:val="24"/>
          <w:szCs w:val="24"/>
        </w:rPr>
        <w:t xml:space="preserve">La geografia va notata. Beira e Tete sono le due diocesi da cui i Padri Bianchi si ritirarono nel 1971; Tete è il distretto in cui avvenne il massacro di Wiriyamu il 16 dicembre 1972, e il primo resoconto fu scritto dal primo sacerdote nero della diocesi di Beira. Le tre vicende — ritiro, massacro, denuncia — si concentrano sulle medesime due diocesi. La concentrazione è di fatto; la sua interpretazione richiederebbe la monografia di Nolan e gli archivi della congregazione, che sono iscritti in tavola.</w:t>
      </w:r>
    </w:p>
    <w:p>
      <w:pPr>
        <w:pStyle w:val="Heading2"/>
        <w:spacing w:after="100" w:before="200"/>
      </w:pPr>
      <w:r>
        <w:rPr>
          <w:rFonts w:ascii="Barlow Semi Condensed" w:cs="Barlow Semi Condensed" w:eastAsia="Barlow Semi Condensed" w:hAnsi="Barlow Semi Condensed"/>
          <w:sz w:val="24"/>
          <w:szCs w:val="24"/>
        </w:rPr>
        <w:t xml:space="preserve">Capitolo quinto — Wiriyamu: la forbice delle vittime e l'anatomia della negazione</w:t>
      </w:r>
    </w:p>
    <w:p>
      <w:pPr>
        <w:spacing w:after="120" w:line="276"/>
        <w:jc w:val="both"/>
      </w:pPr>
      <w:r>
        <w:rPr>
          <w:rFonts w:ascii="Barlow Semi Condensed" w:cs="Barlow Semi Condensed" w:eastAsia="Barlow Semi Condensed" w:hAnsi="Barlow Semi Condensed"/>
          <w:b/>
          <w:bCs/>
          <w:sz w:val="24"/>
          <w:szCs w:val="24"/>
        </w:rPr>
        <w:t xml:space="preserve">La ricerca estesa ha precisato due elementi che la passata precedente riportava in forma approssimata.</w:t>
      </w:r>
    </w:p>
    <w:p>
      <w:pPr>
        <w:spacing w:after="120" w:line="276"/>
        <w:jc w:val="both"/>
      </w:pPr>
      <w:r>
        <w:rPr>
          <w:rFonts w:ascii="Barlow Semi Condensed" w:cs="Barlow Semi Condensed" w:eastAsia="Barlow Semi Condensed" w:hAnsi="Barlow Semi Condensed"/>
          <w:b/>
          <w:bCs/>
          <w:sz w:val="24"/>
          <w:szCs w:val="24"/>
        </w:rPr>
        <w:t xml:space="preserve">Primo: la forbice delle stime, con le fonti. Il portale accademico-divulgativo portoghese indica che la stima varia secondo le fonti fra centocinquanta e quattrocento. Una fonte enciclopedica, citando la Croce Rossa e il quotidiano portoghese \Expresso\, indica fra centocinquanta secondo la prima e trecento secondo un'inchiesta molto successiva del secondo. Una fonte portoghese riferisce almeno trecentottantacinque persone. Lo studio di Mustafah Dhada, ospitato dal Centro de Documentação 25 de Abril dell'Università di Coimbra, identifica quattrocento morti, di cui centosettantasette per nome e duecentoventitré senza identificazione.</w:t>
      </w:r>
    </w:p>
    <w:p>
      <w:pPr>
        <w:spacing w:after="120" w:line="276"/>
        <w:jc w:val="both"/>
      </w:pPr>
      <w:r>
        <w:rPr>
          <w:rFonts w:ascii="Barlow Semi Condensed" w:cs="Barlow Semi Condensed" w:eastAsia="Barlow Semi Condensed" w:hAnsi="Barlow Semi Condensed"/>
          <w:b/>
          <w:bCs/>
          <w:sz w:val="24"/>
          <w:szCs w:val="24"/>
        </w:rPr>
        <w:t xml:space="preserve">La forbice va riportata come 150-400 e non risolta, e la ragione va detta: la fonte più precisa quanto al metodo — quella che distingue le vittime nominate da quelle anonime — è anche quella che indica la cifra più alta. Chi voglia scegliere sceglierebbe fra un dato della Croce Rossa e un dato di ricerca sul campo, che non hanno il medesimo statuto e non misurano la medesima cosa.</w:t>
      </w:r>
    </w:p>
    <w:p>
      <w:pPr>
        <w:spacing w:after="120" w:line="276"/>
        <w:jc w:val="both"/>
      </w:pPr>
      <w:r>
        <w:rPr>
          <w:rFonts w:ascii="Barlow Semi Condensed" w:cs="Barlow Semi Condensed" w:eastAsia="Barlow Semi Condensed" w:hAnsi="Barlow Semi Condensed"/>
          <w:b/>
          <w:bCs/>
          <w:sz w:val="24"/>
          <w:szCs w:val="24"/>
        </w:rPr>
        <w:t xml:space="preserve">Secondo: l'anatomia della negazione, che la ricerca estesa ricostruisce in tre tempi. L'esercito portoghese negò il massacro in una prima inchiesta ufficiale. Il governo commissionò poi un'indagine a Jorge Jardim, il quale localizzò il villaggio, ne fotografò i resti e consegnò un rapporto che ne provava l'esistenza. Caetano e i suoi ministri ne discussero il 18 agosto 1973 e decisero di nominare un'ulteriore inchiesta militare, la quale di nuovo sostenne l'inesistenza di Wiriyamu.</w:t>
      </w:r>
    </w:p>
    <w:p>
      <w:pPr>
        <w:spacing w:after="120" w:line="276"/>
        <w:jc w:val="both"/>
      </w:pPr>
      <w:r>
        <w:rPr>
          <w:rFonts w:ascii="Barlow Semi Condensed" w:cs="Barlow Semi Condensed" w:eastAsia="Barlow Semi Condensed" w:hAnsi="Barlow Semi Condensed"/>
          <w:b/>
          <w:bCs/>
          <w:sz w:val="24"/>
          <w:szCs w:val="24"/>
        </w:rPr>
        <w:t xml:space="preserve">Questa sequenza va enunciata per quello che è, perché è un documento sul funzionamento della negazione. Un governo commissiona un'indagine; l'indagine conferma il fatto con fotografie; il governo ne discute al proprio vertice; e ne ordina un'altra, che nega. Non è un caso di ignoranza: è un caso di conoscenza seguita da sostituzione dell'accertamento.</w:t>
      </w:r>
    </w:p>
    <w:p>
      <w:pPr>
        <w:spacing w:after="120" w:line="276"/>
        <w:jc w:val="both"/>
      </w:pPr>
      <w:r>
        <w:rPr>
          <w:rFonts w:ascii="Barlow Semi Condensed" w:cs="Barlow Semi Condensed" w:eastAsia="Barlow Semi Condensed" w:hAnsi="Barlow Semi Condensed"/>
          <w:b/>
          <w:bCs/>
          <w:sz w:val="24"/>
          <w:szCs w:val="24"/>
        </w:rPr>
        <w:t xml:space="preserve">La posizione ufficiale va riportata con il suo statuto, come la disciplina prescrive: negazione di un governo che aveva interesse alla negazione, registrata senza ometterla e senza equipararla alle testimonianze missionarie.</w:t>
      </w:r>
    </w:p>
    <w:p>
      <w:pPr>
        <w:spacing w:after="120" w:line="276"/>
        <w:jc w:val="both"/>
      </w:pPr>
      <w:r>
        <w:rPr>
          <w:rFonts w:ascii="Barlow Semi Condensed" w:cs="Barlow Semi Condensed" w:eastAsia="Barlow Semi Condensed" w:hAnsi="Barlow Semi Condensed"/>
          <w:b/>
          <w:bCs/>
          <w:sz w:val="24"/>
          <w:szCs w:val="24"/>
        </w:rPr>
        <w:t xml:space="preserve">Una contro-tesi va segnalata e qualificata. Circola nella pubblicistica l'attribuzione delle uccisioni al Fronte di liberazione, riportata da un rapporto dell'arcivescovo di Dar es Salaam. La storiografia peer-reviewed non la sostiene e la considera parte della macchina di negazione. Si qualifica pertanto come tesi non sostenuta dalle fonti primarie, e si riporta perché tacerla sarebbe scorretto.</w:t>
      </w:r>
    </w:p>
    <w:p>
      <w:pPr>
        <w:spacing w:after="120" w:line="276"/>
        <w:jc w:val="both"/>
      </w:pPr>
      <w:r>
        <w:rPr>
          <w:rFonts w:ascii="Barlow Semi Condensed" w:cs="Barlow Semi Condensed" w:eastAsia="Barlow Semi Condensed" w:hAnsi="Barlow Semi Condensed"/>
          <w:b/>
          <w:bCs/>
          <w:sz w:val="24"/>
          <w:szCs w:val="24"/>
        </w:rPr>
        <w:t xml:space="preserve">L'apparato bibliografico primario, ora individuato con precisione. L'articolo peer-reviewed di Bruno C. Reis e Pedro Aires Oliveira, \Cutting Heads or Winning Hearts\, in \Civil Wars\ volume quattordici numero uno del 2012, reca in nota i riferimenti: l'articolo del quotidiano londinese del 10 luglio 1973 a pagina uno; il volume di Hastings del 1974; il libro del comboniano Cesare Bertulli, \A Cruz e a Espada em Moçambique\, del 1974; il volume di António Sousa Ribeiro, \Terror em Tete\, del 1974. Il saggio di Norrie MacQueen e Pedro Aires Oliveira, \Grocer Meets Butcher\, in \Cold War History\ volume dieci numero uno del 2010, documenta l'impatto sulla visita londinese di Caetano.</w:t>
      </w:r>
    </w:p>
    <w:p>
      <w:pPr>
        <w:spacing w:after="120" w:line="276"/>
        <w:jc w:val="both"/>
      </w:pPr>
      <w:r>
        <w:rPr>
          <w:rFonts w:ascii="Barlow Semi Condensed" w:cs="Barlow Semi Condensed" w:eastAsia="Barlow Semi Condensed" w:hAnsi="Barlow Semi Condensed"/>
          <w:b/>
          <w:bCs/>
          <w:sz w:val="24"/>
          <w:szCs w:val="24"/>
        </w:rPr>
        <w:t xml:space="preserve">Si segnala che uno dei quattro volumi primari è di autore comboniano italiano, il che collega la bibliografia scientifica di Wiriyamu alla congregazione i cui membri furono espulsi nell'aprile 1974.</w:t>
      </w:r>
    </w:p>
    <w:p>
      <w:pPr>
        <w:pStyle w:val="Heading2"/>
        <w:spacing w:after="100" w:before="200"/>
      </w:pPr>
      <w:r>
        <w:rPr>
          <w:rFonts w:ascii="Barlow Semi Condensed" w:cs="Barlow Semi Condensed" w:eastAsia="Barlow Semi Condensed" w:hAnsi="Barlow Semi Condensed"/>
          <w:sz w:val="24"/>
          <w:szCs w:val="24"/>
        </w:rPr>
        <w:t xml:space="preserve">Capitolo sesto — Nigrizia e la riflessione missionaria italiana: una fonte individuata e non letta</w:t>
      </w:r>
    </w:p>
    <w:p>
      <w:pPr>
        <w:spacing w:after="120" w:line="276"/>
        <w:jc w:val="both"/>
      </w:pPr>
      <w:r>
        <w:rPr>
          <w:rFonts w:ascii="Barlow Semi Condensed" w:cs="Barlow Semi Condensed" w:eastAsia="Barlow Semi Condensed" w:hAnsi="Barlow Semi Condensed"/>
          <w:b/>
          <w:bCs/>
          <w:sz w:val="24"/>
          <w:szCs w:val="24"/>
        </w:rPr>
        <w:t xml:space="preserve">La ricerca estesa ha individuato la fonte scientifica che chiuderebbe una delle sei lacune, e non ne ha potuto acquisire il testo.</w:t>
      </w:r>
    </w:p>
    <w:p>
      <w:pPr>
        <w:spacing w:after="120" w:line="276"/>
        <w:jc w:val="both"/>
      </w:pPr>
      <w:r>
        <w:rPr>
          <w:rFonts w:ascii="Barlow Semi Condensed" w:cs="Barlow Semi Condensed" w:eastAsia="Barlow Semi Condensed" w:hAnsi="Barlow Semi Condensed"/>
          <w:b/>
          <w:bCs/>
          <w:sz w:val="24"/>
          <w:szCs w:val="24"/>
        </w:rPr>
        <w:t xml:space="preserve">L'individuazione. Un articolo peer-reviewed di Eugenio Enea, dell'Università di Messina, intitolato \The challenges of missionary activity after April 25: considerations and perspectives in Nigrizia\, pubblicato in Lusitania Sacra numero cinquantuno del 2025, con identificativo digitale 10.34632/lusitaniasacra.2025.16897.</w:t>
      </w:r>
    </w:p>
    <w:p>
      <w:pPr>
        <w:spacing w:after="120" w:line="276"/>
        <w:jc w:val="both"/>
      </w:pPr>
      <w:r>
        <w:rPr>
          <w:rFonts w:ascii="Barlow Semi Condensed" w:cs="Barlow Semi Condensed" w:eastAsia="Barlow Semi Condensed" w:hAnsi="Barlow Semi Condensed"/>
          <w:b/>
          <w:bCs/>
          <w:sz w:val="24"/>
          <w:szCs w:val="24"/>
        </w:rPr>
        <w:t xml:space="preserve">Il contenuto dichiarato dall'abstract, riportato nella sua sostanza. L'articolo prolunga la tesi di dottorato dell'autore sulle relazioni fra la Santa Sede e il Portogallo per il periodo 1926-1974, e sulla espulsione dei missionari e del vescovo di Nampula in seguito alla redazione e alla circolazione del documento \Um imperativo de consciência\; e riferisce le riflessioni dei comboniani nel periodo 1974-1976 sulla rivista Nigrizia.</w:t>
      </w:r>
    </w:p>
    <w:p>
      <w:pPr>
        <w:spacing w:after="120" w:line="276"/>
        <w:jc w:val="both"/>
      </w:pPr>
      <w:r>
        <w:rPr>
          <w:rFonts w:ascii="Barlow Semi Condensed" w:cs="Barlow Semi Condensed" w:eastAsia="Barlow Semi Condensed" w:hAnsi="Barlow Semi Condensed"/>
          <w:b/>
          <w:bCs/>
          <w:sz w:val="24"/>
          <w:szCs w:val="24"/>
        </w:rPr>
        <w:t xml:space="preserve">Il rilievo per questo studio è duplice. Primo: esiste una ricerca dottorale specifica sulle relazioni Santa Sede-Portogallo per l'intero arco 1926-1974, cioè sul terzo vertice del triangolo, e comprende l'espulsione del 1974. Secondo: la rivista missionaria italiana diede conto della vicenda fra il 1974 e il 1976, e la sua posizione è ricostruita in sede scientifica.</w:t>
      </w:r>
    </w:p>
    <w:p>
      <w:pPr>
        <w:spacing w:after="120" w:line="276"/>
        <w:jc w:val="both"/>
      </w:pPr>
      <w:r>
        <w:rPr>
          <w:rFonts w:ascii="Barlow Semi Condensed" w:cs="Barlow Semi Condensed" w:eastAsia="Barlow Semi Condensed" w:hAnsi="Barlow Semi Condensed"/>
          <w:b/>
          <w:bCs/>
          <w:sz w:val="24"/>
          <w:szCs w:val="24"/>
        </w:rPr>
        <w:t xml:space="preserve">Ciò che questo consente di affermare, e con quale grado. Si può affermare che la copertura italiana della vicenda per via missionaria esistette e fu oggetto di studio. Non si possono citare le posizioni assunte, poiché il testo integrale non è stato acquisito e le sole informazioni disponibili provengono dalla scheda editoriale. Ogni affermazione più precisa sarebbe inferenza dall'abstract, e non è ammessa.</w:t>
      </w:r>
    </w:p>
    <w:p>
      <w:pPr>
        <w:spacing w:after="120" w:line="276"/>
        <w:jc w:val="both"/>
      </w:pPr>
      <w:r>
        <w:rPr>
          <w:rFonts w:ascii="Barlow Semi Condensed" w:cs="Barlow Semi Condensed" w:eastAsia="Barlow Semi Condensed" w:hAnsi="Barlow Semi Condensed"/>
          <w:b/>
          <w:bCs/>
          <w:sz w:val="24"/>
          <w:szCs w:val="24"/>
        </w:rPr>
        <w:t xml:space="preserve">Iscrizione in tavola. L'acquisizione dell'articolo di Enea e delle annate 1974-1976 di \Nigrizia\ presso l'Archivio Comboniano di Roma è la voce di maggior rendimento fra quelle conseguibili senza accesso ad archivi di Stato: il primo è un articolo di rivista scientifica, ottenibile per richiesta; le seconde sono annate di una rivista, consultabili in biblioteca.</w:t>
      </w:r>
    </w:p>
    <w:p>
      <w:pPr>
        <w:spacing w:after="120" w:line="276"/>
        <w:jc w:val="both"/>
      </w:pPr>
      <w:r>
        <w:rPr>
          <w:rFonts w:ascii="Barlow Semi Condensed" w:cs="Barlow Semi Condensed" w:eastAsia="Barlow Semi Condensed" w:hAnsi="Barlow Semi Condensed"/>
          <w:b/>
          <w:bCs/>
          <w:sz w:val="24"/>
          <w:szCs w:val="24"/>
        </w:rPr>
        <w:t xml:space="preserve">Un'osservazione sul perché questo capitolo sia breve. Esso dichiara l'esistenza di una fonte e l'impossibilità di averla letta. Scrivere duemilacinquecento parole su un articolo di cui si conosce l'abstract significherebbe parafrasare l'abstract, che è ciò che la disciplina di questa ricognizione vieta. Il capitolo si chiude qui perché qui finisce ciò che si sa.</w:t>
      </w:r>
    </w:p>
    <w:p>
      <w:pPr>
        <w:pStyle w:val="Heading2"/>
        <w:spacing w:after="100" w:before="200"/>
      </w:pPr>
      <w:r>
        <w:rPr>
          <w:rFonts w:ascii="Barlow Semi Condensed" w:cs="Barlow Semi Condensed" w:eastAsia="Barlow Semi Condensed" w:hAnsi="Barlow Semi Condensed"/>
          <w:sz w:val="24"/>
          <w:szCs w:val="24"/>
        </w:rPr>
        <w:t xml:space="preserve">Capitolo settimo — Il riconoscimento italiano del nuovo Portogallo e la serie italiana del portale portoghese</w:t>
      </w:r>
    </w:p>
    <w:p>
      <w:pPr>
        <w:spacing w:after="120" w:line="276"/>
        <w:jc w:val="both"/>
      </w:pPr>
      <w:r>
        <w:rPr>
          <w:rFonts w:ascii="Barlow Semi Condensed" w:cs="Barlow Semi Condensed" w:eastAsia="Barlow Semi Condensed" w:hAnsi="Barlow Semi Condensed"/>
          <w:b/>
          <w:bCs/>
          <w:sz w:val="24"/>
          <w:szCs w:val="24"/>
        </w:rPr>
        <w:t xml:space="preserve">La ricerca estesa ha individuato una fonte istituzionale portoghese che la passata precedente non conosceva, e ne dichiara l'inaccessibilità.</w:t>
      </w:r>
    </w:p>
    <w:p>
      <w:pPr>
        <w:spacing w:after="120" w:line="276"/>
        <w:jc w:val="both"/>
      </w:pPr>
      <w:r>
        <w:rPr>
          <w:rFonts w:ascii="Barlow Semi Condensed" w:cs="Barlow Semi Condensed" w:eastAsia="Barlow Semi Condensed" w:hAnsi="Barlow Semi Condensed"/>
          <w:b/>
          <w:bCs/>
          <w:sz w:val="24"/>
          <w:szCs w:val="24"/>
        </w:rPr>
        <w:t xml:space="preserve">La fonte. Il portale ufficiale del Ministério dos Negócios Estrangeiros portoghese denominato \Diplomacia e Revolução\ raccoglie le reazioni dei Paesi con cui il Portogallo aveva relazioni nel 1974, elenco in cui figurano sia l'Italia sia la Santa Sede, e documenta il processo di riconoscimento del nuovo governo fra il 25 aprile e i primi di maggio 1974. Il portale contiene una sezione italiana con documenti diplomatici.</w:t>
      </w:r>
    </w:p>
    <w:p>
      <w:pPr>
        <w:spacing w:after="120" w:line="276"/>
        <w:jc w:val="both"/>
      </w:pPr>
      <w:r>
        <w:rPr>
          <w:rFonts w:ascii="Barlow Semi Condensed" w:cs="Barlow Semi Condensed" w:eastAsia="Barlow Semi Condensed" w:hAnsi="Barlow Semi Condensed"/>
          <w:b/>
          <w:bCs/>
          <w:sz w:val="24"/>
          <w:szCs w:val="24"/>
        </w:rPr>
        <w:t xml:space="preserve">Un documento di quella sezione è riferito nella sua sostanza dalla ricerca estesa, e va riportato con la riserva che ne consegue: esso riferisce di una missione del governo portoghese a Roma e dell'intenzione di far compiere al generale Spínola una visita di Stato in Italia, valutando gli accordi di Lusaka come elemento di conferma del processo di avanzata decolonizzazione.</w:t>
      </w:r>
    </w:p>
    <w:p>
      <w:pPr>
        <w:spacing w:after="120" w:line="276"/>
        <w:jc w:val="both"/>
      </w:pPr>
      <w:r>
        <w:rPr>
          <w:rFonts w:ascii="Barlow Semi Condensed" w:cs="Barlow Semi Condensed" w:eastAsia="Barlow Semi Condensed" w:hAnsi="Barlow Semi Condensed"/>
          <w:b/>
          <w:bCs/>
          <w:sz w:val="24"/>
          <w:szCs w:val="24"/>
        </w:rPr>
        <w:t xml:space="preserve">La riserva è di accesso e va dichiarata. La consultazione integrale della serie è impedita dal blocco all'accesso automatizzato del sito. I testi vanno letti direttamente presso il portale o presso l'Arquivo Histórico-Diplomático del ministero portoghese. Ciò che si può affermare è che la serie esiste e contiene documenti sull'Italia; ciò che non si può è citarne il contenuto.</w:t>
      </w:r>
    </w:p>
    <w:p>
      <w:pPr>
        <w:spacing w:after="120" w:line="276"/>
        <w:jc w:val="both"/>
      </w:pPr>
      <w:r>
        <w:rPr>
          <w:rFonts w:ascii="Barlow Semi Condensed" w:cs="Barlow Semi Condensed" w:eastAsia="Barlow Semi Condensed" w:hAnsi="Barlow Semi Condensed"/>
          <w:b/>
          <w:bCs/>
          <w:sz w:val="24"/>
          <w:szCs w:val="24"/>
        </w:rPr>
        <w:t xml:space="preserve">Il rilievo è notevole e va enunciato. Se il portale ufficiale portoghese conserva documenti diplomatici sulla reazione italiana al 25 aprile 1974, allora l'atto italiano di riconoscimento esiste ed è documentato — dalla parte portoghese. Lo Stato Zero della passata precedente sul riconoscimento italiano non è dunque un vuoto documentale assoluto: è un vuoto nella documentazione italiana accessibile, con controparte esistente e individuata.</w:t>
      </w:r>
    </w:p>
    <w:p>
      <w:pPr>
        <w:spacing w:after="120" w:line="276"/>
        <w:jc w:val="both"/>
      </w:pPr>
      <w:r>
        <w:rPr>
          <w:rFonts w:ascii="Barlow Semi Condensed" w:cs="Barlow Semi Condensed" w:eastAsia="Barlow Semi Condensed" w:hAnsi="Barlow Semi Condensed"/>
          <w:b/>
          <w:bCs/>
          <w:sz w:val="24"/>
          <w:szCs w:val="24"/>
        </w:rPr>
        <w:t xml:space="preserve">Va segnalata una progettata visita di Stato che non risulta avvenuta. Le fonti reperite indicano l'intenzione di una visita di Spínola in Italia; Spínola lasciò la presidenza portoghese il 30 settembre 1974, e la visita non risulta compiuta. Se ne registra il progetto e non l'esecuzione, e la verifica appartiene alla medesima serie.</w:t>
      </w:r>
    </w:p>
    <w:p>
      <w:pPr>
        <w:spacing w:after="120" w:line="276"/>
        <w:jc w:val="both"/>
      </w:pPr>
      <w:r>
        <w:rPr>
          <w:rFonts w:ascii="Barlow Semi Condensed" w:cs="Barlow Semi Condensed" w:eastAsia="Barlow Semi Condensed" w:hAnsi="Barlow Semi Condensed"/>
          <w:b/>
          <w:bCs/>
          <w:sz w:val="24"/>
          <w:szCs w:val="24"/>
        </w:rPr>
        <w:t xml:space="preserve">Un elemento di contesto atlantico, da fonte primaria statunitense. Il memorandum del 19 giugno 1974 sull'incontro alle Azzorre fra Nixon e Spínola, nella serie dei \Foreign Relations of the United States\, registra la richiesta portoghese di assistenza per contrastare qualunque mossa dei comunisti, con la formula secondo cui ciò avrebbe impiantato un'altra Cuba nella penisola iberica.</w:t>
      </w:r>
    </w:p>
    <w:p>
      <w:pPr>
        <w:spacing w:after="120" w:line="276"/>
        <w:jc w:val="both"/>
      </w:pPr>
      <w:r>
        <w:rPr>
          <w:rFonts w:ascii="Barlow Semi Condensed" w:cs="Barlow Semi Condensed" w:eastAsia="Barlow Semi Condensed" w:hAnsi="Barlow Semi Condensed"/>
          <w:b/>
          <w:bCs/>
          <w:sz w:val="24"/>
          <w:szCs w:val="24"/>
        </w:rPr>
        <w:t xml:space="preserve">Ne discende che il riconoscimento italiano — di competenza del governo Rumor quinto, con Moro agli Esteri fino al 23 novembre 1974 — si colloca in un contesto di preoccupazione occidentale documentata. Le fonti non consentono però di attribuire a Moro una posizione personale distinta: l'atto va ascritto al governo italiano nel suo complesso e non al ministro in modo documentato. La distinzione è vincolante.</w:t>
      </w:r>
    </w:p>
    <w:p>
      <w:pPr>
        <w:pStyle w:val="Heading2"/>
        <w:spacing w:after="100" w:before="200"/>
      </w:pPr>
      <w:r>
        <w:rPr>
          <w:rFonts w:ascii="Barlow Semi Condensed" w:cs="Barlow Semi Condensed" w:eastAsia="Barlow Semi Condensed" w:hAnsi="Barlow Semi Condensed"/>
          <w:sz w:val="24"/>
          <w:szCs w:val="24"/>
        </w:rPr>
        <w:t xml:space="preserve">Capitolo ottavo — Helsinki 1975: il solo punto di contatto istituzionale fra i tre vertici</w:t>
      </w:r>
    </w:p>
    <w:p>
      <w:pPr>
        <w:spacing w:after="120" w:line="276"/>
        <w:jc w:val="both"/>
      </w:pPr>
      <w:r>
        <w:rPr>
          <w:rFonts w:ascii="Barlow Semi Condensed" w:cs="Barlow Semi Condensed" w:eastAsia="Barlow Semi Condensed" w:hAnsi="Barlow Semi Condensed"/>
          <w:b/>
          <w:bCs/>
          <w:sz w:val="24"/>
          <w:szCs w:val="24"/>
        </w:rPr>
        <w:t xml:space="preserve">La ricerca estesa conferma e precisa l'unico momento in cui Italia, Portogallo e Santa Sede agirono nel medesimo consesso in forma documentata.</w:t>
      </w:r>
    </w:p>
    <w:p>
      <w:pPr>
        <w:spacing w:after="120" w:line="276"/>
        <w:jc w:val="both"/>
      </w:pPr>
      <w:r>
        <w:rPr>
          <w:rFonts w:ascii="Barlow Semi Condensed" w:cs="Barlow Semi Condensed" w:eastAsia="Barlow Semi Condensed" w:hAnsi="Barlow Semi Condensed"/>
          <w:b/>
          <w:bCs/>
          <w:sz w:val="24"/>
          <w:szCs w:val="24"/>
        </w:rPr>
        <w:t xml:space="preserve">Le fasi della Conferenza, con le date. Fase preliminare a Dipoli e Helsinki, dal novembre 1972 al giugno 1973; fase di redazione a Ginevra, dal settembre 1973 al luglio 1975; fase finale dal 30 luglio al 1 agosto 1975.</w:t>
      </w:r>
    </w:p>
    <w:p>
      <w:pPr>
        <w:spacing w:after="120" w:line="276"/>
        <w:jc w:val="both"/>
      </w:pPr>
      <w:r>
        <w:rPr>
          <w:rFonts w:ascii="Barlow Semi Condensed" w:cs="Barlow Semi Condensed" w:eastAsia="Barlow Semi Condensed" w:hAnsi="Barlow Semi Condensed"/>
          <w:b/>
          <w:bCs/>
          <w:sz w:val="24"/>
          <w:szCs w:val="24"/>
        </w:rPr>
        <w:t xml:space="preserve">La firma italiana. Moro sottoscrisse l'Atto finale nella sua duplice qualità di presidente del Consiglio italiano e presidente di turno della Comunità europea, e — secondo le fonti — ottenne il coinvolgimento formale della Comunità nella firma sfidando l'insofferenza del segretario di Stato americano. Il 30 luglio 1975 tenne a Helsinki un discorso nel quale affermò che l'Atto finale non cristallizzava la realtà politica europea ma riaffermava il diritto di autodecisione e di autodeterminazione.</w:t>
      </w:r>
    </w:p>
    <w:p>
      <w:pPr>
        <w:spacing w:after="120" w:line="276"/>
        <w:jc w:val="both"/>
      </w:pPr>
      <w:r>
        <w:rPr>
          <w:rFonts w:ascii="Barlow Semi Condensed" w:cs="Barlow Semi Condensed" w:eastAsia="Barlow Semi Condensed" w:hAnsi="Barlow Semi Condensed"/>
          <w:b/>
          <w:bCs/>
          <w:sz w:val="24"/>
          <w:szCs w:val="24"/>
        </w:rPr>
        <w:t xml:space="preserve">La rappresentanza vaticana. La Santa Sede fu rappresentata da monsignor Agostino Casaroli e monsignor Achille Silvestrini, che ottennero l'inclusione del principio della libertà religiosa.</w:t>
      </w:r>
    </w:p>
    <w:p>
      <w:pPr>
        <w:spacing w:after="120" w:line="276"/>
        <w:jc w:val="both"/>
      </w:pPr>
      <w:r>
        <w:rPr>
          <w:rFonts w:ascii="Barlow Semi Condensed" w:cs="Barlow Semi Condensed" w:eastAsia="Barlow Semi Condensed" w:hAnsi="Barlow Semi Condensed"/>
          <w:b/>
          <w:bCs/>
          <w:sz w:val="24"/>
          <w:szCs w:val="24"/>
        </w:rPr>
        <w:t xml:space="preserve">La presenza portoghese. Il Portogallo firmò l'Atto finale come Stato partecipante. Il mutamento della propria delegazione dopo il 25 aprile 1974 — dal regime dell'Estado Novo al Portogallo democratico — non è documentato nel dettaglio dalle fonti reperite, e va chiuso presso l'Arquivo Histórico-Diplomático portoghese. Si registra come Stato Zero.</w:t>
      </w:r>
    </w:p>
    <w:p>
      <w:pPr>
        <w:spacing w:after="120" w:line="276"/>
        <w:jc w:val="both"/>
      </w:pPr>
      <w:r>
        <w:rPr>
          <w:rFonts w:ascii="Barlow Semi Condensed" w:cs="Barlow Semi Condensed" w:eastAsia="Barlow Semi Condensed" w:hAnsi="Barlow Semi Condensed"/>
          <w:b/>
          <w:bCs/>
          <w:sz w:val="24"/>
          <w:szCs w:val="24"/>
        </w:rPr>
        <w:t xml:space="preserve">La qualificazione della triangolazione va enunciata con la massima precisione, perché è il punto in cui la tentazione di dire di più è massima. Il 1 agosto 1975 i tre vertici del triangolo sottoscrissero il medesimo atto: l'Italia per mano di Moro, la Santa Sede per mano di Casaroli, il Portogallo post-rivoluzionario per mano dei propri rappresentanti.</w:t>
      </w:r>
    </w:p>
    <w:p>
      <w:pPr>
        <w:spacing w:after="120" w:line="276"/>
        <w:jc w:val="both"/>
      </w:pPr>
      <w:r>
        <w:rPr>
          <w:rFonts w:ascii="Barlow Semi Condensed" w:cs="Barlow Semi Condensed" w:eastAsia="Barlow Semi Condensed" w:hAnsi="Barlow Semi Condensed"/>
          <w:b/>
          <w:bCs/>
          <w:sz w:val="24"/>
          <w:szCs w:val="24"/>
        </w:rPr>
        <w:t xml:space="preserve">Ciò che questo stabilisce: una simultaneità di firma e una comunanza di consesso, documentate.</w:t>
      </w:r>
    </w:p>
    <w:p>
      <w:pPr>
        <w:spacing w:after="120" w:line="276"/>
        <w:jc w:val="both"/>
      </w:pPr>
      <w:r>
        <w:rPr>
          <w:rFonts w:ascii="Barlow Semi Condensed" w:cs="Barlow Semi Condensed" w:eastAsia="Barlow Semi Condensed" w:hAnsi="Barlow Semi Condensed"/>
          <w:b/>
          <w:bCs/>
          <w:sz w:val="24"/>
          <w:szCs w:val="24"/>
        </w:rPr>
        <w:t xml:space="preserve">Ciò che questo non stabilisce, e va detto con eguale forza: la materia era la sicurezza europea e non la questione coloniale; la firma è posteriore ai mandati di Moro agli Esteri, essendo egli allora presidente del Consiglio; e nessuna fonte documenta un coordinamento fra le tre delegazioni né un rapporto fra la firma e le vicende dei cinque anni precedenti.</w:t>
      </w:r>
    </w:p>
    <w:p>
      <w:pPr>
        <w:spacing w:after="120" w:line="276"/>
        <w:jc w:val="both"/>
      </w:pPr>
      <w:r>
        <w:rPr>
          <w:rFonts w:ascii="Barlow Semi Condensed" w:cs="Barlow Semi Condensed" w:eastAsia="Barlow Semi Condensed" w:hAnsi="Barlow Semi Condensed"/>
          <w:b/>
          <w:bCs/>
          <w:sz w:val="24"/>
          <w:szCs w:val="24"/>
        </w:rPr>
        <w:t xml:space="preserve">Un rilievo di ordine cronologico chiude il capitolo. Cinque anni e un mese separano l'udienza pontificia del 1 luglio 1970, che produsse il richiamo di un ambasciatore portoghese, dalla firma congiunta del 1 agosto 1975. Fra i due termini stanno il massacro, la denuncia, l'espulsione e la rivoluzione. La sequenza è di fatto; che essa costituisca un processo non è stabilito da alcuna delle fonti reperite, e non va inferito dalla sua ordinata successione.</w:t>
      </w:r>
    </w:p>
    <w:p>
      <w:pPr>
        <w:pStyle w:val="Heading2"/>
        <w:spacing w:after="100" w:before="200"/>
      </w:pPr>
      <w:r>
        <w:rPr>
          <w:rFonts w:ascii="Barlow Semi Condensed" w:cs="Barlow Semi Condensed" w:eastAsia="Barlow Semi Condensed" w:hAnsi="Barlow Semi Condensed"/>
          <w:sz w:val="24"/>
          <w:szCs w:val="24"/>
        </w:rPr>
        <w:t xml:space="preserve">Capitolo nono — Gli atti parlamentari italiani: uno Stato Zero con causa dichiarata</w:t>
      </w:r>
    </w:p>
    <w:p>
      <w:pPr>
        <w:spacing w:after="120" w:line="276"/>
        <w:jc w:val="both"/>
      </w:pPr>
      <w:r>
        <w:rPr>
          <w:rFonts w:ascii="Barlow Semi Condensed" w:cs="Barlow Semi Condensed" w:eastAsia="Barlow Semi Condensed" w:hAnsi="Barlow Semi Condensed"/>
          <w:b/>
          <w:bCs/>
          <w:sz w:val="24"/>
          <w:szCs w:val="24"/>
        </w:rPr>
        <w:t xml:space="preserve">Il capitolo è breve e la sua brevità è la risultanza. La ricerca estesa ha però mutato lo statuto di questo Stato Zero, individuandone la causa.</w:t>
      </w:r>
    </w:p>
    <w:p>
      <w:pPr>
        <w:spacing w:after="120" w:line="276"/>
        <w:jc w:val="both"/>
      </w:pPr>
      <w:r>
        <w:rPr>
          <w:rFonts w:ascii="Barlow Semi Condensed" w:cs="Barlow Semi Condensed" w:eastAsia="Barlow Semi Condensed" w:hAnsi="Barlow Semi Condensed"/>
          <w:b/>
          <w:bCs/>
          <w:sz w:val="24"/>
          <w:szCs w:val="24"/>
        </w:rPr>
        <w:t xml:space="preserve">La causa, dichiarata. La banca dati degli atti di indirizzo e controllo di Camera e Senato — interrogazioni, interpellanze, mozioni, risoluzioni, ordini del giorno — è consultabile soltanto a partire dalla settima legislatura, cioè dal 5 luglio 1976. L'intero arco 1969-1975, che comprende la quinta e la sesta legislatura, resta fuori dall'indicizzazione per soggetto: gli atti sopravvivono come resoconti stenografici digitalizzati non ricercabili a testo pieno per parola chiave.</w:t>
      </w:r>
    </w:p>
    <w:p>
      <w:pPr>
        <w:spacing w:after="120" w:line="276"/>
        <w:jc w:val="both"/>
      </w:pPr>
      <w:r>
        <w:rPr>
          <w:rFonts w:ascii="Barlow Semi Condensed" w:cs="Barlow Semi Condensed" w:eastAsia="Barlow Semi Condensed" w:hAnsi="Barlow Semi Condensed"/>
          <w:b/>
          <w:bCs/>
          <w:sz w:val="24"/>
          <w:szCs w:val="24"/>
        </w:rPr>
        <w:t xml:space="preserve">Ne discende una conseguenza che va enunciata perché vale oltre questo studio. Non è possibile, con i soli strumenti telematici, confermare né escludere l'esistenza di interrogazioni parlamentari italiane su Wiriyamu, sull'espulsione dei comboniani o sul Portogallo coloniale. L'assenza di riscontro è qui effetto di un limite dello strumento e non indizio sulla realtà, e chiunque la impiegasse come prova dell'inerzia parlamentare italiana commetterebbe un errore che questo capitolo serve a prevenire.</w:t>
      </w:r>
    </w:p>
    <w:p>
      <w:pPr>
        <w:spacing w:after="120" w:line="276"/>
        <w:jc w:val="both"/>
      </w:pPr>
      <w:r>
        <w:rPr>
          <w:rFonts w:ascii="Barlow Semi Condensed" w:cs="Barlow Semi Condensed" w:eastAsia="Barlow Semi Condensed" w:hAnsi="Barlow Semi Condensed"/>
          <w:b/>
          <w:bCs/>
          <w:sz w:val="24"/>
          <w:szCs w:val="24"/>
        </w:rPr>
        <w:t xml:space="preserve">Un elemento nuovo di rilievo è stato però reperito. La scheda dell'Archivio storico del Senato sul Fondo Mario Zagari reca un fascicolo intitolato \Colonie Portoghesi — Angola, Mozambico, Capo Verde\, con la relazione dattiloscritta di Zagari per la Conferenza nazionale di solidarietà di Reggio Emilia del 1973.</w:t>
      </w:r>
    </w:p>
    <w:p>
      <w:pPr>
        <w:spacing w:after="120" w:line="276"/>
        <w:jc w:val="both"/>
      </w:pPr>
      <w:r>
        <w:rPr>
          <w:rFonts w:ascii="Barlow Semi Condensed" w:cs="Barlow Semi Condensed" w:eastAsia="Barlow Semi Condensed" w:hAnsi="Barlow Semi Condensed"/>
          <w:b/>
          <w:bCs/>
          <w:sz w:val="24"/>
          <w:szCs w:val="24"/>
        </w:rPr>
        <w:t xml:space="preserve">Il rilievo e la sua misura. Ciò documenta l'impegno di un esponente socialista di rango parlamentare nel movimento anticolonialista, non una posizione dell'istituzione parlamentare né del governo. La distinzione fra condotta di una persona e condotta dell'istituzione, prescritta dalla disciplina, va qui mantenuta con particolare rigore, poiché la tentazione di leggere l'una come indizio dell'altra è forte.</w:t>
      </w:r>
    </w:p>
    <w:p>
      <w:pPr>
        <w:spacing w:after="120" w:line="276"/>
        <w:jc w:val="both"/>
      </w:pPr>
      <w:r>
        <w:rPr>
          <w:rFonts w:ascii="Barlow Semi Condensed" w:cs="Barlow Semi Condensed" w:eastAsia="Barlow Semi Condensed" w:hAnsi="Barlow Semi Condensed"/>
          <w:b/>
          <w:bCs/>
          <w:sz w:val="24"/>
          <w:szCs w:val="24"/>
        </w:rPr>
        <w:t xml:space="preserve">Sulla data della conferenza reggiana le fonti divergono, e la divergenza va riportata: l'inventario dell'archivio emiliano indica 23-26 marzo 1973; la scheda del Fondo Zagari presso il Senato indica 24-25 marzo 1973. Due strumenti archivistici, due datazioni.</w:t>
      </w:r>
    </w:p>
    <w:p>
      <w:pPr>
        <w:spacing w:after="120" w:line="276"/>
        <w:jc w:val="both"/>
      </w:pPr>
      <w:r>
        <w:rPr>
          <w:rFonts w:ascii="Barlow Semi Condensed" w:cs="Barlow Semi Condensed" w:eastAsia="Barlow Semi Condensed" w:hAnsi="Barlow Semi Condensed"/>
          <w:b/>
          <w:bCs/>
          <w:sz w:val="24"/>
          <w:szCs w:val="24"/>
        </w:rPr>
        <w:t xml:space="preserve">Sugli interventi di Moro. Le fonti indicate — la raccolta ufficiale dei discorsi parlamentari del 1996, l'Edizione Nazionale delle Opere, il portale dell'Università di Bologna, il Fondo Moro presso l'Archivio storico del Senato — non hanno restituito, negli strumenti telematici, alcun discorso o intervento di Moro specificamente dedicato al Portogallo coloniale o alla rivoluzione. L'inventario disponibile descrive per la serie relativa al Ministero degli Affari esteri le sole sottoserie del quarto e quinto governo Moro, cioè dal novembre 1974, posteriori ai mandati qui in esame. Si registra Stato Zero con la medesima riserva strutturale.</w:t>
      </w:r>
    </w:p>
    <w:p>
      <w:pPr>
        <w:pStyle w:val="Heading2"/>
        <w:spacing w:after="100" w:before="200"/>
      </w:pPr>
      <w:r>
        <w:rPr>
          <w:rFonts w:ascii="Barlow Semi Condensed" w:cs="Barlow Semi Condensed" w:eastAsia="Barlow Semi Condensed" w:hAnsi="Barlow Semi Condensed"/>
          <w:sz w:val="24"/>
          <w:szCs w:val="24"/>
        </w:rPr>
        <w:t xml:space="preserve">Capitolo decimo — Gli archivi portoghesi: accessibilità e condizioni</w:t>
      </w:r>
    </w:p>
    <w:p>
      <w:pPr>
        <w:spacing w:after="120" w:line="276"/>
        <w:jc w:val="both"/>
      </w:pPr>
      <w:r>
        <w:rPr>
          <w:rFonts w:ascii="Barlow Semi Condensed" w:cs="Barlow Semi Condensed" w:eastAsia="Barlow Semi Condensed" w:hAnsi="Barlow Semi Condensed"/>
          <w:b/>
          <w:bCs/>
          <w:sz w:val="24"/>
          <w:szCs w:val="24"/>
        </w:rPr>
        <w:t xml:space="preserve">Il capitolo è breve e ha funzione di strumento: esso registra dove andare e a quali condizioni.</w:t>
      </w:r>
    </w:p>
    <w:p>
      <w:pPr>
        <w:spacing w:after="120" w:line="276"/>
        <w:jc w:val="both"/>
      </w:pPr>
      <w:r>
        <w:rPr>
          <w:rFonts w:ascii="Barlow Semi Condensed" w:cs="Barlow Semi Condensed" w:eastAsia="Barlow Semi Condensed" w:hAnsi="Barlow Semi Condensed"/>
          <w:b/>
          <w:bCs/>
          <w:sz w:val="24"/>
          <w:szCs w:val="24"/>
        </w:rPr>
        <w:t xml:space="preserve">L'Arquivo Nacional da Torre do Tombo conserva il fondo PIDE-DGS, il fondo Arquivo Oliveira Salazar, il fondo Negócios Estrangeiros e altri. L'accesso è libero ai maggiori di sedici anni con iscrizione alla piattaforma CRAV, mentre la documentazione PIDE-DGS è soggetta a regolamento proprio. La piattaforma digitale è Digitarq, nella nuova versione del 2025. Il portale europeo per il patrimonio dell'olocausto descrive le collezioni.</w:t>
      </w:r>
    </w:p>
    <w:p>
      <w:pPr>
        <w:spacing w:after="120" w:line="276"/>
        <w:jc w:val="both"/>
      </w:pPr>
      <w:r>
        <w:rPr>
          <w:rFonts w:ascii="Barlow Semi Condensed" w:cs="Barlow Semi Condensed" w:eastAsia="Barlow Semi Condensed" w:hAnsi="Barlow Semi Condensed"/>
          <w:b/>
          <w:bCs/>
          <w:sz w:val="24"/>
          <w:szCs w:val="24"/>
        </w:rPr>
        <w:t xml:space="preserve">L'Arquivo Histórico-Diplomático del Ministério dos Negócios Estrangeiros, la Fundação Mário Soares e il Centro de Documentação 25 de Abril dell'Università di Coimbra — che ospita gli studi di Dhada su Wiriyamu — completano il quadro.</w:t>
      </w:r>
    </w:p>
    <w:p>
      <w:pPr>
        <w:spacing w:after="120" w:line="276"/>
        <w:jc w:val="both"/>
      </w:pPr>
      <w:r>
        <w:rPr>
          <w:rFonts w:ascii="Barlow Semi Condensed" w:cs="Barlow Semi Condensed" w:eastAsia="Barlow Semi Condensed" w:hAnsi="Barlow Semi Condensed"/>
          <w:b/>
          <w:bCs/>
          <w:sz w:val="24"/>
          <w:szCs w:val="24"/>
        </w:rPr>
        <w:t xml:space="preserve">Che cosa non è stato reperito. Non risulta online un inventario che isoli la corrispondenza dell'ambasciata portoghese a Roma o presso la Santa Sede per il 1969-1975, né la documentazione del richiamo dell'ambasciatore del luglio 1970. Il fatto del richiamo è accertato; il documento che lo dispose non è individuato.</w:t>
      </w:r>
    </w:p>
    <w:p>
      <w:pPr>
        <w:spacing w:after="120" w:line="276"/>
        <w:jc w:val="both"/>
      </w:pPr>
      <w:r>
        <w:rPr>
          <w:rFonts w:ascii="Barlow Semi Condensed" w:cs="Barlow Semi Condensed" w:eastAsia="Barlow Semi Condensed" w:hAnsi="Barlow Semi Condensed"/>
          <w:b/>
          <w:bCs/>
          <w:sz w:val="24"/>
          <w:szCs w:val="24"/>
        </w:rPr>
        <w:t xml:space="preserve">Sul dossier Aginter Press si conferma lo Stato Zero integrale. La ricerca estesa non ha prodotto, entro il proprio perimetro, fonti primarie o studi peer-reviewed che ne documentino un ruolo nelle vicende trattate. La materia non viene pertanto trattata per rassegna generica, e la tesi circolante nella pubblicistica va considerata, allo stato, non sostenuta dalle fonti primarie. La sede è il fondo PIDE-DGS, soggetto a regolamento proprio, e l'accesso non è surrogabile per via telematica.</w:t>
      </w:r>
    </w:p>
    <w:p>
      <w:pPr>
        <w:spacing w:after="120" w:line="276"/>
        <w:jc w:val="both"/>
      </w:pPr>
      <w:r>
        <w:rPr>
          <w:rFonts w:ascii="Barlow Semi Condensed" w:cs="Barlow Semi Condensed" w:eastAsia="Barlow Semi Condensed" w:hAnsi="Barlow Semi Condensed"/>
          <w:b/>
          <w:bCs/>
          <w:sz w:val="24"/>
          <w:szCs w:val="24"/>
        </w:rPr>
        <w:t xml:space="preserve">Una osservazione di metodo chiude il capitolo, e vale oltre il suo oggetto. L'apertura degli archivi della polizia politica portoghese avvenne in conseguenza della caduta del regime che li teneva chiusi. Il progetto ha registrato altrove, come regolarità empirica, che nessun archivio di apparato di sicurezza si è mai aperto volontariamente e che tutte le aperture sono conseguite a pressione esterna. Il caso portoghese ne costituisce l'esempio più netto: l'archivio si aprì perché il potere che lo custodiva cessò di esistere.</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riclassificate secondo quattro gradi</w:t>
      </w:r>
    </w:p>
    <w:p>
      <w:pPr>
        <w:spacing w:after="120" w:line="276"/>
        <w:jc w:val="both"/>
      </w:pPr>
      <w:r>
        <w:rPr>
          <w:rFonts w:ascii="Barlow Semi Condensed" w:cs="Barlow Semi Condensed" w:eastAsia="Barlow Semi Condensed" w:hAnsi="Barlow Semi Condensed"/>
          <w:b/>
          <w:bCs/>
          <w:sz w:val="24"/>
          <w:szCs w:val="24"/>
        </w:rPr>
        <w:t xml:space="preserve">La ricerca estesa consente di riclassificare le triangolazioni in quattro gradi distinti, e la classificazione è essa stessa la risultanza analitica di questa ricognizione.</w:t>
      </w:r>
    </w:p>
    <w:p>
      <w:pPr>
        <w:spacing w:after="120" w:line="276"/>
        <w:jc w:val="both"/>
      </w:pPr>
      <w:r>
        <w:rPr>
          <w:rFonts w:ascii="Barlow Semi Condensed" w:cs="Barlow Semi Condensed" w:eastAsia="Barlow Semi Condensed" w:hAnsi="Barlow Semi Condensed"/>
          <w:b/>
          <w:bCs/>
          <w:sz w:val="24"/>
          <w:szCs w:val="24"/>
        </w:rPr>
        <w:t xml:space="preserve">Primo grado: convergenza di obiettivo documentata. Essa sussiste fra una parte della Chiesa missionaria e i movimenti di liberazione, e le sue prove sono quattro: l'udienza pontificia del 1 luglio 1970; il ritiro dei quarantotto Padri Bianchi da Beira e Tete nel maggio 1971; la denuncia di Wiriyamu del luglio 1973, opera di un membro della medesima congregazione; il documento \Imperativo di Coscienza\ del 1974 e l'espulsione che ne seguì.</w:t>
      </w:r>
    </w:p>
    <w:p>
      <w:pPr>
        <w:spacing w:after="120" w:line="276"/>
        <w:jc w:val="both"/>
      </w:pPr>
      <w:r>
        <w:rPr>
          <w:rFonts w:ascii="Barlow Semi Condensed" w:cs="Barlow Semi Condensed" w:eastAsia="Barlow Semi Condensed" w:hAnsi="Barlow Semi Condensed"/>
          <w:b/>
          <w:bCs/>
          <w:sz w:val="24"/>
          <w:szCs w:val="24"/>
        </w:rPr>
        <w:t xml:space="preserve">Ciò che questo grado non comprende, e va detto con forza: esso non coinvolge in modo documentato né Moro né il governo italiano, e va attribuito a soggetti ecclesiali determinati — comboniani, Padri di Burgos, Padri Bianchi, il vescovo di Nampula — e non alla Santa Sede come istituzione monolitica. La gerarchia portoghese, e segnatamente il patriarca di Lisbona, non risulta avere condiviso quelle posizioni.</w:t>
      </w:r>
    </w:p>
    <w:p>
      <w:pPr>
        <w:spacing w:after="120" w:line="276"/>
        <w:jc w:val="both"/>
      </w:pPr>
      <w:r>
        <w:rPr>
          <w:rFonts w:ascii="Barlow Semi Condensed" w:cs="Barlow Semi Condensed" w:eastAsia="Barlow Semi Condensed" w:hAnsi="Barlow Semi Condensed"/>
          <w:b/>
          <w:bCs/>
          <w:sz w:val="24"/>
          <w:szCs w:val="24"/>
        </w:rPr>
        <w:t xml:space="preserve">Secondo grado: simultaneità di reazione a un medesimo evento. Essa è visibile nella firma dell'Atto finale di Helsinki del 1 agosto 1975, dove Moro, il Portogallo democratico e la Santa Sede di Casaroli e Silvestrini agirono nel medesimo consesso. Ma su materia di sicurezza europea e non coloniale, e fuori dai mandati di Moro agli Esteri.</w:t>
      </w:r>
    </w:p>
    <w:p>
      <w:pPr>
        <w:spacing w:after="120" w:line="276"/>
        <w:jc w:val="both"/>
      </w:pPr>
      <w:r>
        <w:rPr>
          <w:rFonts w:ascii="Barlow Semi Condensed" w:cs="Barlow Semi Condensed" w:eastAsia="Barlow Semi Condensed" w:hAnsi="Barlow Semi Condensed"/>
          <w:b/>
          <w:bCs/>
          <w:sz w:val="24"/>
          <w:szCs w:val="24"/>
        </w:rPr>
        <w:t xml:space="preserve">Terzo grado: comunanza di ambiente istituzionale. Il Trattato del Laterano del 1929 fa di Roma l'unico caso al mondo in cui le due missioni diplomatiche reciproche sono accreditate nella medesima città. Il ministro degli Esteri italiano operava dunque a pochi passi dalla Segreteria di Stato. A ciò si aggiunge la contemporaneità dei dossier concordatari: il Protocollo portoghese del 15 febbraio 1975 e l'iter lateranense verso l'Accordo del 18 febbraio 1984. La prossimità facilita la comunanza ma non prova il coordinamento, e nessun documento reperito la trasforma in nesso.</w:t>
      </w:r>
    </w:p>
    <w:p>
      <w:pPr>
        <w:spacing w:after="120" w:line="276"/>
        <w:jc w:val="both"/>
      </w:pPr>
      <w:r>
        <w:rPr>
          <w:rFonts w:ascii="Barlow Semi Condensed" w:cs="Barlow Semi Condensed" w:eastAsia="Barlow Semi Condensed" w:hAnsi="Barlow Semi Condensed"/>
          <w:b/>
          <w:bCs/>
          <w:sz w:val="24"/>
          <w:szCs w:val="24"/>
        </w:rPr>
        <w:t xml:space="preserve">Quarto grado: mera contemporaneità cronologica, che non stabilisce nulla. Vi appartengono la coincidenza fra il referendum italiano sul divorzio del maggio 1974 e il Protocollo portoghese sull'articolo ventiquattresimo del febbraio 1975; e la coincidenza fra la Ostpolitik di Casaroli e la questione coloniale portoghese, fra le quali nessuna fonte reperita documenta alcun nesso.</w:t>
      </w:r>
    </w:p>
    <w:p>
      <w:pPr>
        <w:spacing w:after="120" w:line="276"/>
        <w:jc w:val="both"/>
      </w:pPr>
      <w:r>
        <w:rPr>
          <w:rFonts w:ascii="Barlow Semi Condensed" w:cs="Barlow Semi Condensed" w:eastAsia="Barlow Semi Condensed" w:hAnsi="Barlow Semi Condensed"/>
          <w:b/>
          <w:bCs/>
          <w:sz w:val="24"/>
          <w:szCs w:val="24"/>
        </w:rPr>
        <w:t xml:space="preserve">La conclusione storiografica, che va enunciata per intero perché è il risultato di cinque ricognizioni. Le fonti accessibili documentano un triangolo Roma-Vaticano-Lisbona nel quale i due vertici attivi sulla questione coloniale furono la società civile italiana di sinistra, con enti locali quali Reggio Emilia, e una parte della Chiesa missionaria; mentre il vertice governativo italiano — e con esso Moro ministro — resta, allo stato della documentazione accessibile, silente o non documentato.</w:t>
      </w:r>
    </w:p>
    <w:p>
      <w:pPr>
        <w:spacing w:after="120" w:line="276"/>
        <w:jc w:val="both"/>
      </w:pPr>
      <w:r>
        <w:rPr>
          <w:rFonts w:ascii="Barlow Semi Condensed" w:cs="Barlow Semi Condensed" w:eastAsia="Barlow Semi Condensed" w:hAnsi="Barlow Semi Condensed"/>
          <w:b/>
          <w:bCs/>
          <w:sz w:val="24"/>
          <w:szCs w:val="24"/>
        </w:rPr>
        <w:t xml:space="preserve">E una precisazione finale, che è la più importante. Ciò non equivale a provare un'inerzia deliberata: equivale a constatare un'assenza di fonti, da colmare in archivio. La differenza fra le due proposizioni è l'intera differenza fra questa ricognizione e la pubblicistica su questa materia.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nota sul limite raggiunto</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e con la soglia che modificherebbe le conclusioni.</w:t>
      </w:r>
    </w:p>
    <w:p>
      <w:pPr>
        <w:spacing w:after="120" w:line="276"/>
        <w:jc w:val="both"/>
      </w:pPr>
      <w:r>
        <w:rPr>
          <w:rFonts w:ascii="Barlow Semi Condensed" w:cs="Barlow Semi Condensed" w:eastAsia="Barlow Semi Condensed" w:hAnsi="Barlow Semi Condensed"/>
          <w:b/>
          <w:bCs/>
          <w:sz w:val="24"/>
          <w:szCs w:val="24"/>
        </w:rPr>
        <w:t xml:space="preserve">Prima voce, rendimento massimo. Gli atti italiani sull'espulsione del 13 aprile 1974 e sugli interrogatori del dicembre 1973 - febbraio 1974: note verbali, telegrammi, interventi consolari. Sede: Archivio storico diplomatico della Farnesina, serie affari politici, Portogallo e Mozambico 1974; registri del consolato di Lourenço Marques e dell'ambasciata di Lisbona. Soglia: il reperimento di una qualsiasi nota consolare o diplomatica italiana muterebbe la conclusione generale di questo studio.</w:t>
      </w:r>
    </w:p>
    <w:p>
      <w:pPr>
        <w:spacing w:after="120" w:line="276"/>
        <w:jc w:val="both"/>
      </w:pPr>
      <w:r>
        <w:rPr>
          <w:rFonts w:ascii="Barlow Semi Condensed" w:cs="Barlow Semi Condensed" w:eastAsia="Barlow Semi Condensed" w:hAnsi="Barlow Semi Condensed"/>
          <w:b/>
          <w:bCs/>
          <w:sz w:val="24"/>
          <w:szCs w:val="24"/>
        </w:rPr>
        <w:t xml:space="preserve">Seconda voce. Le annate 1974-1976 di Nigrizia e l'articolo di Eugenio Enea in \Lusitania Sacra\ numero cinquantuno del 2025. Sede: Archivio Comboniano di Roma; richiesta all'editore della rivista. È la voce di maggior rendimento fra quelle conseguibili senza accesso ad archivi di Stato.</w:t>
      </w:r>
    </w:p>
    <w:p>
      <w:pPr>
        <w:spacing w:after="120" w:line="276"/>
        <w:jc w:val="both"/>
      </w:pPr>
      <w:r>
        <w:rPr>
          <w:rFonts w:ascii="Barlow Semi Condensed" w:cs="Barlow Semi Condensed" w:eastAsia="Barlow Semi Condensed" w:hAnsi="Barlow Semi Condensed"/>
          <w:b/>
          <w:bCs/>
          <w:sz w:val="24"/>
          <w:szCs w:val="24"/>
        </w:rPr>
        <w:t xml:space="preserve">Terza voce. Gli atti parlamentari della sesta legislatura per aprile-luglio 1974, per spoglio manuale dei resoconti stenografici, non essendo la banca dati estesa a prima del luglio 1976. Soglia: l'individuazione di una interrogazione o di un intervento di Moro sul Portogallo.</w:t>
      </w:r>
    </w:p>
    <w:p>
      <w:pPr>
        <w:spacing w:after="120" w:line="276"/>
        <w:jc w:val="both"/>
      </w:pPr>
      <w:r>
        <w:rPr>
          <w:rFonts w:ascii="Barlow Semi Condensed" w:cs="Barlow Semi Condensed" w:eastAsia="Barlow Semi Condensed" w:hAnsi="Barlow Semi Condensed"/>
          <w:b/>
          <w:bCs/>
          <w:sz w:val="24"/>
          <w:szCs w:val="24"/>
        </w:rPr>
        <w:t xml:space="preserve">Quarta voce. La serie italiana del portale Diplomacia e Revolução del ministero portoghese e i corrispondenti fondi dell'Arquivo Histórico-Diplomático, per consultazione manuale essendo l'accesso automatizzato bloccato. Contiene documenti sulla reazione italiana al 25 aprile 1974, ed è la sola sede in cui l'atto italiano risulta esistere.</w:t>
      </w:r>
    </w:p>
    <w:p>
      <w:pPr>
        <w:spacing w:after="120" w:line="276"/>
        <w:jc w:val="both"/>
      </w:pPr>
      <w:r>
        <w:rPr>
          <w:rFonts w:ascii="Barlow Semi Condensed" w:cs="Barlow Semi Condensed" w:eastAsia="Barlow Semi Condensed" w:hAnsi="Barlow Semi Condensed"/>
          <w:b/>
          <w:bCs/>
          <w:sz w:val="24"/>
          <w:szCs w:val="24"/>
        </w:rPr>
        <w:t xml:space="preserve">Quinta voce. La monografia di Francis Nolan del 2017 sul ritiro dei Padri Bianchi e gli archivi dei Missionari d'Africa, per la genealogia della denuncia esposta al Capitolo quarto.</w:t>
      </w:r>
    </w:p>
    <w:p>
      <w:pPr>
        <w:spacing w:after="120" w:line="276"/>
        <w:jc w:val="both"/>
      </w:pPr>
      <w:r>
        <w:rPr>
          <w:rFonts w:ascii="Barlow Semi Condensed" w:cs="Barlow Semi Condensed" w:eastAsia="Barlow Semi Condensed" w:hAnsi="Barlow Semi Condensed"/>
          <w:b/>
          <w:bCs/>
          <w:sz w:val="24"/>
          <w:szCs w:val="24"/>
        </w:rPr>
        <w:t xml:space="preserve">Sesta voce. Il documento che dispose il richiamo dell'ambasciatore portoghese presso la Santa Sede nel luglio 1970, e i ruoli del patriarca Cerejeira, del successore Ribeiro e del nunzio a Lisbona. Sedi: Arquivo Histórico-Diplomático; archivi vaticani, non aperti per il pontificato di Paolo VI.</w:t>
      </w:r>
    </w:p>
    <w:p>
      <w:pPr>
        <w:spacing w:after="120" w:line="276"/>
        <w:jc w:val="both"/>
      </w:pPr>
      <w:r>
        <w:rPr>
          <w:rFonts w:ascii="Barlow Semi Condensed" w:cs="Barlow Semi Condensed" w:eastAsia="Barlow Semi Condensed" w:hAnsi="Barlow Semi Condensed"/>
          <w:b/>
          <w:bCs/>
          <w:sz w:val="24"/>
          <w:szCs w:val="24"/>
        </w:rPr>
        <w:t xml:space="preserve">Settima voce. Le riprese della Conferenza romana del giugno 1970 e la conferenza stampa di Agostino Neto presso l'Archivio audiovisivo del movimento operaio e democratico. È la sola fonte primaria italiana individuata su quella settimana, ed è consultabile.</w:t>
      </w:r>
    </w:p>
    <w:p>
      <w:pPr>
        <w:spacing w:after="120" w:line="276"/>
        <w:jc w:val="both"/>
      </w:pPr>
      <w:r>
        <w:rPr>
          <w:rFonts w:ascii="Barlow Semi Condensed" w:cs="Barlow Semi Condensed" w:eastAsia="Barlow Semi Condensed" w:hAnsi="Barlow Semi Condensed"/>
          <w:b/>
          <w:bCs/>
          <w:sz w:val="24"/>
          <w:szCs w:val="24"/>
        </w:rPr>
        <w:t xml:space="preserve">Ottava voce. La posizione italiana su Algeri, Lusaka, Alvor, Timor e in sede atlantica e comunitaria nel 1975. Sedi: Farnesina, archivi della NATO, archivi del Consiglio europeo, atti delle Nazioni Unite.</w:t>
      </w:r>
    </w:p>
    <w:p>
      <w:pPr>
        <w:pStyle w:val="Heading2"/>
        <w:spacing w:after="100" w:before="200"/>
      </w:pPr>
      <w:r>
        <w:rPr>
          <w:rFonts w:ascii="Barlow Semi Condensed" w:cs="Barlow Semi Condensed" w:eastAsia="Barlow Semi Condensed" w:hAnsi="Barlow Semi Condensed"/>
          <w:sz w:val="24"/>
          <w:szCs w:val="24"/>
        </w:rPr>
        <w:t xml:space="preserve">Nota sul limite raggiunto, che chiude cinque ricognizioni.</w:t>
      </w:r>
    </w:p>
    <w:p>
      <w:pPr>
        <w:spacing w:after="120" w:line="276"/>
        <w:jc w:val="both"/>
      </w:pPr>
      <w:r>
        <w:rPr>
          <w:rFonts w:ascii="Barlow Semi Condensed" w:cs="Barlow Semi Condensed" w:eastAsia="Barlow Semi Condensed" w:hAnsi="Barlow Semi Condensed"/>
          <w:b/>
          <w:bCs/>
          <w:sz w:val="24"/>
          <w:szCs w:val="24"/>
        </w:rPr>
        <w:t xml:space="preserve">Questa è la seconda ricognizione sul perimetro portoghese e la quinta sull'oggetto complessivo. La ricerca estesa, condotta sulle sei lacune dichiarate, ne ha colmate quattro e ne ha qualificate due come non conseguibili per via telematica, indicandone la causa strutturale.</w:t>
      </w:r>
    </w:p>
    <w:p>
      <w:pPr>
        <w:spacing w:after="120" w:line="276"/>
        <w:jc w:val="both"/>
      </w:pPr>
      <w:r>
        <w:rPr>
          <w:rFonts w:ascii="Barlow Semi Condensed" w:cs="Barlow Semi Condensed" w:eastAsia="Barlow Semi Condensed" w:hAnsi="Barlow Semi Condensed"/>
          <w:b/>
          <w:bCs/>
          <w:sz w:val="24"/>
          <w:szCs w:val="24"/>
        </w:rPr>
        <w:t xml:space="preserve">Ne discende che il perimetro è esaurito quanto alle fonti accessibili. Una sesta ricognizione sul medesimo oggetto restituirebbe il medesimo materiale, e le otto voci della tavola richiedono, senza eccezione, un accesso fisico a un archivio — a Roma, a Lisbona, a Coimbra, in Vaticano.</w:t>
      </w:r>
    </w:p>
    <w:p>
      <w:pPr>
        <w:spacing w:after="120" w:line="276"/>
        <w:jc w:val="both"/>
      </w:pPr>
      <w:r>
        <w:rPr>
          <w:rFonts w:ascii="Barlow Semi Condensed" w:cs="Barlow Semi Condensed" w:eastAsia="Barlow Semi Condensed" w:hAnsi="Barlow Semi Condensed"/>
          <w:b/>
          <w:bCs/>
          <w:sz w:val="24"/>
          <w:szCs w:val="24"/>
        </w:rPr>
        <w:t xml:space="preserve">Una osservazione conclusiva, che vale oltre l'oggetto e che cinque ricognizioni hanno consolidato. Il perimetro portoghese ha prodotto assai più del perimetro spagnolo — quattro nodi documentati contro uno — e la ragione non è che l'Italia agisse più verso Lisbona. È che la materia coloniale portoghese mise in movimento istituzioni che tengono archivio e che pubblicano: congregazioni religiose che conservano i diari dei propri superiori con le ore e i minuti degli interrogatori; vescovi che firmano documenti; riviste missionarie che stampano; quotidiani che aprono la prima pagina.</w:t>
      </w:r>
    </w:p>
    <w:p>
      <w:pPr>
        <w:spacing w:after="120" w:line="276"/>
        <w:jc w:val="both"/>
      </w:pPr>
      <w:r>
        <w:rPr>
          <w:rFonts w:ascii="Barlow Semi Condensed" w:cs="Barlow Semi Condensed" w:eastAsia="Barlow Semi Condensed" w:hAnsi="Barlow Semi Condensed"/>
          <w:b/>
          <w:bCs/>
          <w:sz w:val="24"/>
          <w:szCs w:val="24"/>
        </w:rPr>
        <w:t xml:space="preserve">Dove agiscono soggetti che scrivono e conservano, resta traccia anche a mezzo secolo di distanza. Dove agiscono soltanto governi, e gli archivi dei governi non sono accessibili o non sono indicizzati, non resta nulla — e l'assenza di traccia non va confusa con l'assenza dell'atto. È la lezione di questi cinque studi, e la si consegna come tale.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 · Aldo Moro Alla Farnesina, Il Portogallo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 5.152 parole in 9 sezioni; la più ampia è §9 Altre sezioni, con 4.377.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 93 paragrafi in 9 sezioni, 10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VII — Aldo Moro Alla Farnesina, Il Portogallo E L'Opus Dei</w:t>
      </w:r>
    </w:p>
    <w:p>
      <w:pPr>
        <w:pStyle w:val="Heading1"/>
        <w:spacing w:after="120" w:before="240"/>
      </w:pPr>
      <w:r>
        <w:rPr>
          <w:rFonts w:ascii="Barlow Semi Condensed" w:cs="Barlow Semi Condensed" w:eastAsia="Barlow Semi Condensed" w:hAnsi="Barlow Semi Condensed"/>
          <w:sz w:val="24"/>
          <w:szCs w:val="24"/>
        </w:rPr>
        <w:t xml:space="preserve">ALDO MORO ALLA FARNESINA, IL PORTOGALLO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../originali/portogallo-opus-dei.md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16,2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Sesta ricognizione: il ribaltamento iberico</w:t>
      </w:r>
    </w:p>
    <w:p>
      <w:pPr>
        <w:pStyle w:val="Heading2"/>
        <w:spacing w:after="100" w:before="200"/>
      </w:pPr>
      <w:r>
        <w:rPr>
          <w:rFonts w:ascii="Barlow Semi Condensed" w:cs="Barlow Semi Condensed" w:eastAsia="Barlow Semi Condensed" w:hAnsi="Barlow Semi Condensed"/>
          <w:sz w:val="24"/>
          <w:szCs w:val="24"/>
        </w:rPr>
        <w:t xml:space="preserve">In Spagna ministri, in Portogallo un fascicolo di polizia</w:t>
      </w:r>
    </w:p>
    <w:p>
      <w:pPr>
        <w:pStyle w:val="Heading2"/>
        <w:spacing w:after="100" w:before="200"/>
      </w:pPr>
      <w:r>
        <w:rPr>
          <w:rFonts w:ascii="Barlow Semi Condensed" w:cs="Barlow Semi Condensed" w:eastAsia="Barlow Semi Condensed" w:hAnsi="Barlow Semi Condensed"/>
          <w:sz w:val="24"/>
          <w:szCs w:val="24"/>
        </w:rPr>
        <w:t xml:space="preserve">Dodici Capitoli — quattro assi ridotti a un nodo — cinque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ribaltamento, enunciato per primo</w:t>
      </w:r>
    </w:p>
    <w:p>
      <w:pPr>
        <w:spacing w:after="120" w:line="276"/>
        <w:jc w:val="both"/>
      </w:pPr>
      <w:r>
        <w:rPr>
          <w:rFonts w:ascii="Barlow Semi Condensed" w:cs="Barlow Semi Condensed" w:eastAsia="Barlow Semi Condensed" w:hAnsi="Barlow Semi Condensed"/>
          <w:b/>
          <w:bCs/>
          <w:sz w:val="24"/>
          <w:szCs w:val="24"/>
        </w:rPr>
        <w:t xml:space="preserve">È la sesta ricognizione sull'attività ministeriale di Aldo Moro e la prima sulla combinazione Portogallo e Opus Dei. Essa produce un risultato che rovescia l'aspettativa implicita nella domanda, e conviene enunciarlo prima di ogni altra cosa perché governa i dodici capitoli.</w:t>
      </w:r>
    </w:p>
    <w:p>
      <w:pPr>
        <w:spacing w:after="120" w:line="276"/>
        <w:jc w:val="both"/>
      </w:pPr>
      <w:r>
        <w:rPr>
          <w:rFonts w:ascii="Barlow Semi Condensed" w:cs="Barlow Semi Condensed" w:eastAsia="Barlow Semi Condensed" w:hAnsi="Barlow Semi Condensed"/>
          <w:b/>
          <w:bCs/>
          <w:sz w:val="24"/>
          <w:szCs w:val="24"/>
        </w:rPr>
        <w:t xml:space="preserve">In Spagna l'Opus Dei fornì ministri al regime franchista. In Portogallo la polizia politica lo sorvegliò per decenni sospettandone una cospirazione, e non riuscì mai a provarla.</w:t>
      </w:r>
    </w:p>
    <w:p>
      <w:pPr>
        <w:spacing w:after="120" w:line="276"/>
        <w:jc w:val="both"/>
      </w:pPr>
      <w:r>
        <w:rPr>
          <w:rFonts w:ascii="Barlow Semi Condensed" w:cs="Barlow Semi Condensed" w:eastAsia="Barlow Semi Condensed" w:hAnsi="Barlow Semi Condensed"/>
          <w:b/>
          <w:bCs/>
          <w:sz w:val="24"/>
          <w:szCs w:val="24"/>
        </w:rPr>
        <w:t xml:space="preserve">Le due esperienze iberiche non sono varianti della medesima: sono opposte. Nella prima l'istituzione entrò nel governo; nella seconda fu oggetto di fascicolo. E la ragione della divergenza — questa è la seconda risultanza — non è una diversa strategia dell'ente, ma una diversa struttura di società, di Chiesa e di élites, colta da una recensione peer-reviewed della rivista di storia religiosa dell'Università Cattolica Portoghese.</w:t>
      </w:r>
    </w:p>
    <w:p>
      <w:pPr>
        <w:spacing w:after="120" w:line="276"/>
        <w:jc w:val="both"/>
      </w:pPr>
      <w:r>
        <w:rPr>
          <w:rFonts w:ascii="Barlow Semi Condensed" w:cs="Barlow Semi Condensed" w:eastAsia="Barlow Semi Condensed" w:hAnsi="Barlow Semi Condensed"/>
          <w:b/>
          <w:bCs/>
          <w:sz w:val="24"/>
          <w:szCs w:val="24"/>
        </w:rPr>
        <w:t xml:space="preserve">Ne discende che chi cercasse nel Portogallo una replica del caso spagnolo cercherebbe un fatto che non avvenne, e che la sua assenza è essa stessa la risultanza principale di questa ricognizione.</w:t>
      </w:r>
    </w:p>
    <w:p>
      <w:pPr>
        <w:spacing w:after="120" w:line="276"/>
        <w:jc w:val="both"/>
      </w:pPr>
      <w:r>
        <w:rPr>
          <w:rFonts w:ascii="Barlow Semi Condensed" w:cs="Barlow Semi Condensed" w:eastAsia="Barlow Semi Condensed" w:hAnsi="Barlow Semi Condensed"/>
          <w:b/>
          <w:bCs/>
          <w:sz w:val="24"/>
          <w:szCs w:val="24"/>
        </w:rPr>
        <w:t xml:space="preserve">Sulla disciplina applicata. Vale in modo assoluto, e in questa materia più che in ogni altra, la prescrizione secondo cui l'appartenenza di una persona a un'organizzazione non è prova di una condotta dell'organizzazione. Essa è vincolante due volte in questo studio: una volta per i nomi che la polizia politica portoghese annotò senza provare nulla; una seconda per il politico portoghese la cui appartenenza è documentata e la cui azione fu di partito e non di ente.</w:t>
      </w:r>
    </w:p>
    <w:p>
      <w:pPr>
        <w:spacing w:after="120" w:line="276"/>
        <w:jc w:val="both"/>
      </w:pPr>
      <w:r>
        <w:rPr>
          <w:rFonts w:ascii="Barlow Semi Condensed" w:cs="Barlow Semi Condensed" w:eastAsia="Barlow Semi Condensed" w:hAnsi="Barlow Semi Condensed"/>
          <w:b/>
          <w:bCs/>
          <w:sz w:val="24"/>
          <w:szCs w:val="24"/>
        </w:rPr>
        <w:t xml:space="preserve">Sulla natura delle fonti, che qui è particolarmente disomogenea e va dichiarata. La cronologia dell'insediamento proviene dalla fonte ufficiale dell'istituzione, impiegabile per i dati di fatto sui propri membri e non per le valutazioni di responsabilità. Il vaglio critico proviene da una recensione peer-reviewed. La sorveglianza poliziesca proviene da un libro di inchiesta giornalistica fondato su fascicoli d'archivio: va trattato come pubblicistica che cita fonti primarie, non come studio scientifico, e le sue tesi vanno qualificate come tali. Sono escluse le due fonti che il committente ha posto fra le non citabili.</w:t>
      </w:r>
    </w:p>
    <w:p>
      <w:pPr>
        <w:spacing w:after="120" w:line="276"/>
        <w:jc w:val="both"/>
      </w:pPr>
      <w:r>
        <w:rPr>
          <w:rFonts w:ascii="Barlow Semi Condensed" w:cs="Barlow Semi Condensed" w:eastAsia="Barlow Semi Condensed" w:hAnsi="Barlow Semi Condensed"/>
          <w:b/>
          <w:bCs/>
          <w:sz w:val="24"/>
          <w:szCs w:val="24"/>
        </w:rPr>
        <w:t xml:space="preserve">Sulla misura. Come nelle cinque ricognizioni anteriori si adotta la proporzionalità: ogni capitolo è lungo quanto il materiale che lo sostiene. I capitoli secondo, terzo, quarto e nono sono i più fitti; il quinto e il settimo dichiarano Stati Zero e si chiudono dove il materiale finisce.</w:t>
      </w:r>
    </w:p>
    <w:p>
      <w:pPr>
        <w:pStyle w:val="Heading2"/>
        <w:spacing w:after="100" w:before="200"/>
      </w:pPr>
      <w:r>
        <w:rPr>
          <w:rFonts w:ascii="Barlow Semi Condensed" w:cs="Barlow Semi Condensed" w:eastAsia="Barlow Semi Condensed" w:hAnsi="Barlow Semi Condensed"/>
          <w:sz w:val="24"/>
          <w:szCs w:val="24"/>
        </w:rPr>
        <w:t xml:space="preserve">Capitolo secondo — L'insediamento in Portogallo: il 1945, Fátima e una correzione erudita</w:t>
      </w:r>
    </w:p>
    <w:p>
      <w:pPr>
        <w:spacing w:after="120" w:line="276"/>
        <w:jc w:val="both"/>
      </w:pPr>
      <w:r>
        <w:rPr>
          <w:rFonts w:ascii="Barlow Semi Condensed" w:cs="Barlow Semi Condensed" w:eastAsia="Barlow Semi Condensed" w:hAnsi="Barlow Semi Condensed"/>
          <w:b/>
          <w:bCs/>
          <w:sz w:val="24"/>
          <w:szCs w:val="24"/>
        </w:rPr>
        <w:t xml:space="preserve">La cronologia ufficiale. La fonte dell'istituzione data l'inizio della presenza in Portogallo al 5 febbraio 1945, con la prima visita del fondatore Josemaría Escrivá de Balaguer. Il viaggio fu — secondo la ricostruzione dell'ente e la biografia di Hugo de Azevedo, \O fundador do Opus Dei em Portugal\, Lisbona, Lucerna, 2021 — sollecitato da suor Lúcia, veggente di Fátima, conosciuta a Tui.</w:t>
      </w:r>
    </w:p>
    <w:p>
      <w:pPr>
        <w:spacing w:after="120" w:line="276"/>
        <w:jc w:val="both"/>
      </w:pPr>
      <w:r>
        <w:rPr>
          <w:rFonts w:ascii="Barlow Semi Condensed" w:cs="Barlow Semi Condensed" w:eastAsia="Barlow Semi Condensed" w:hAnsi="Barlow Semi Condensed"/>
          <w:b/>
          <w:bCs/>
          <w:sz w:val="24"/>
          <w:szCs w:val="24"/>
        </w:rPr>
        <w:t xml:space="preserve">Escrivá, accompagnato dal vescovo di Tui, incontrò il cardinale patriarca di Lisbona e i vescovi di Braga, Porto, Coimbra e Leiria, e decise l'avvio immediato dell'apostolato. Un anno dopo giunsero a Coimbra alcuni membri in studi post-laurea, che aprirono una residenza universitaria; seguirono le residenze di Porto nel 1948 e di Lisbona nel 1951.</w:t>
      </w:r>
    </w:p>
    <w:p>
      <w:pPr>
        <w:spacing w:after="120" w:line="276"/>
        <w:jc w:val="both"/>
      </w:pPr>
      <w:r>
        <w:rPr>
          <w:rFonts w:ascii="Barlow Semi Condensed" w:cs="Barlow Semi Condensed" w:eastAsia="Barlow Semi Condensed" w:hAnsi="Barlow Semi Condensed"/>
          <w:b/>
          <w:bCs/>
          <w:sz w:val="24"/>
          <w:szCs w:val="24"/>
        </w:rPr>
        <w:t xml:space="preserve">La correzione erudita, che è il primo ritrovamento del capitolo. Una recensione peer-reviewed pubblicata su Lusitania Sacra, rivista del Centro de Estudos de História Religiosa dell'Università Cattolica Portoghese, a firma di Miguel de Salis Amaral della Pontificia Università della Santa Croce, con identificativo digitale 10.34632/lusitaniasacra.2022.11811, apporta due precisazioni al racconto ufficiale.</w:t>
      </w:r>
    </w:p>
    <w:p>
      <w:pPr>
        <w:spacing w:after="120" w:line="276"/>
        <w:jc w:val="both"/>
      </w:pPr>
      <w:r>
        <w:rPr>
          <w:rFonts w:ascii="Barlow Semi Condensed" w:cs="Barlow Semi Condensed" w:eastAsia="Barlow Semi Condensed" w:hAnsi="Barlow Semi Condensed"/>
          <w:b/>
          <w:bCs/>
          <w:sz w:val="24"/>
          <w:szCs w:val="24"/>
        </w:rPr>
        <w:t xml:space="preserve">Prima: il primo portoghese entrato nell'Opus Dei fu Armando Serrano, nell'anno accademico 1942-43\\, dunque tre anni prima della visita del fondatore. \\Seconda: una prima visita esplorativa di José Luis Múzquiz avvenne nel marzo 1941.</w:t>
      </w:r>
    </w:p>
    <w:p>
      <w:pPr>
        <w:spacing w:after="120" w:line="276"/>
        <w:jc w:val="both"/>
      </w:pPr>
      <w:r>
        <w:rPr>
          <w:rFonts w:ascii="Barlow Semi Condensed" w:cs="Barlow Semi Condensed" w:eastAsia="Barlow Semi Condensed" w:hAnsi="Barlow Semi Condensed"/>
          <w:b/>
          <w:bCs/>
          <w:sz w:val="24"/>
          <w:szCs w:val="24"/>
        </w:rPr>
        <w:t xml:space="preserve">Ne discende una conseguenza sull'attribuzione causale, e va enunciata con precisione. Se l'idea di iniziare il lavoro in Portogallo esisteva già nel 1941 e un portoghese era membro dal 1942-43, allora l'incontro con suor Lúcia fu concausa e non causa esclusiva dell'insediamento — che è esattamente la qualificazione che la recensione adotta.</w:t>
      </w:r>
    </w:p>
    <w:p>
      <w:pPr>
        <w:spacing w:after="120" w:line="276"/>
        <w:jc w:val="both"/>
      </w:pPr>
      <w:r>
        <w:rPr>
          <w:rFonts w:ascii="Barlow Semi Condensed" w:cs="Barlow Semi Condensed" w:eastAsia="Barlow Semi Condensed" w:hAnsi="Barlow Semi Condensed"/>
          <w:b/>
          <w:bCs/>
          <w:sz w:val="24"/>
          <w:szCs w:val="24"/>
        </w:rPr>
        <w:t xml:space="preserve">Questo è il tipo di correzione che soltanto una fonte critica può apportare a una fonte ufficiale, e la si registra per quello che è: non una smentita, ma una precisazione della sequenza.</w:t>
      </w:r>
    </w:p>
    <w:p>
      <w:pPr>
        <w:spacing w:after="120" w:line="276"/>
        <w:jc w:val="both"/>
      </w:pPr>
      <w:r>
        <w:rPr>
          <w:rFonts w:ascii="Barlow Semi Condensed" w:cs="Barlow Semi Condensed" w:eastAsia="Barlow Semi Condensed" w:hAnsi="Barlow Semi Condensed"/>
          <w:b/>
          <w:bCs/>
          <w:sz w:val="24"/>
          <w:szCs w:val="24"/>
        </w:rPr>
        <w:t xml:space="preserve">La divergenza sulla data d'ingresso stabile va riportata. L'inchiesta giornalistica colloca l'ingresso stabile nel 1946, con l'arrivo di un gruppo di cinque universitari spagnoli e un cubano; la fonte ufficiale indica il 1945 come inizio della presenza. Due fonti, due datazioni, e la differenza sta nel definire cosa costituisca inizio: la prima visita o la residenza permanente.</w:t>
      </w:r>
    </w:p>
    <w:p>
      <w:pPr>
        <w:spacing w:after="120" w:line="276"/>
        <w:jc w:val="both"/>
      </w:pPr>
      <w:r>
        <w:rPr>
          <w:rFonts w:ascii="Barlow Semi Condensed" w:cs="Barlow Semi Condensed" w:eastAsia="Barlow Semi Condensed" w:hAnsi="Barlow Semi Condensed"/>
          <w:b/>
          <w:bCs/>
          <w:sz w:val="24"/>
          <w:szCs w:val="24"/>
        </w:rPr>
        <w:t xml:space="preserve">La consistenza numerica, documentata. La pagina storica ufficiale parla di circa millequattrocento fedeli. L'agenzia di stampa portoghese, ripresa dalla radiotelevisione pubblica, riferì di circa milleseicentoventicinque membri all'inizio del 2020. Per i dati di dicembre 2021, il vicario regionale José Rafael Espírito Santo, in un'intervista del 5 febbraio 2022, dichiarò milleseicentoquindici membri in totale: milledodici donne e seicentotré uomini, dei quali cinquecentocinque celibatari e millecentodieci sposati o celibi senza il vincolo del celibato.</w:t>
      </w:r>
    </w:p>
    <w:p>
      <w:pPr>
        <w:spacing w:after="120" w:line="276"/>
        <w:jc w:val="both"/>
      </w:pPr>
      <w:r>
        <w:rPr>
          <w:rFonts w:ascii="Barlow Semi Condensed" w:cs="Barlow Semi Condensed" w:eastAsia="Barlow Semi Condensed" w:hAnsi="Barlow Semi Condensed"/>
          <w:b/>
          <w:bCs/>
          <w:sz w:val="24"/>
          <w:szCs w:val="24"/>
        </w:rPr>
        <w:t xml:space="preserve">Il dato va notato per la sua misura. Milleseicentoquindici membri in un Paese di dieci milioni di abitanti è una presenza modesta, e la disaggregazione — due terzi di donne, due terzi non celibatari — descrive un'istituzione di laici sposati e non un corpo di quadri.</w:t>
      </w:r>
    </w:p>
    <w:p>
      <w:pPr>
        <w:spacing w:after="120" w:line="276"/>
        <w:jc w:val="both"/>
      </w:pPr>
      <w:r>
        <w:rPr>
          <w:rFonts w:ascii="Barlow Semi Condensed" w:cs="Barlow Semi Condensed" w:eastAsia="Barlow Semi Condensed" w:hAnsi="Barlow Semi Condensed"/>
          <w:b/>
          <w:bCs/>
          <w:sz w:val="24"/>
          <w:szCs w:val="24"/>
        </w:rPr>
        <w:t xml:space="preserve">I centri documentati sono a Braga, Porto, Miramar, Viseu, Coimbra, Lisbona, Montemor-o-Novo e Ponta Delgada. Fra le opere collegate a membri, un volume collettivo diretto da José Freire Antunes menziona il Colégio Universitário Montes Claros, il Colégio Horizonte di Porto, il Colégio Mira Rio, la Residência Universitária dos Álamos, una scuola di direzione d'impresa e un istituto di solidarietà e cooperazione.</w:t>
      </w:r>
    </w:p>
    <w:p>
      <w:pPr>
        <w:pStyle w:val="Heading2"/>
        <w:spacing w:after="100" w:before="200"/>
      </w:pPr>
      <w:r>
        <w:rPr>
          <w:rFonts w:ascii="Barlow Semi Condensed" w:cs="Barlow Semi Condensed" w:eastAsia="Barlow Semi Condensed" w:hAnsi="Barlow Semi Condensed"/>
          <w:sz w:val="24"/>
          <w:szCs w:val="24"/>
        </w:rPr>
        <w:t xml:space="preserve">Capitolo terzo — La sorveglianza: che cosa la polizia politica portoghese sospettava</w:t>
      </w:r>
    </w:p>
    <w:p>
      <w:pPr>
        <w:spacing w:after="120" w:line="276"/>
        <w:jc w:val="both"/>
      </w:pPr>
      <w:r>
        <w:rPr>
          <w:rFonts w:ascii="Barlow Semi Condensed" w:cs="Barlow Semi Condensed" w:eastAsia="Barlow Semi Condensed" w:hAnsi="Barlow Semi Condensed"/>
          <w:b/>
          <w:bCs/>
          <w:sz w:val="24"/>
          <w:szCs w:val="24"/>
        </w:rPr>
        <w:t xml:space="preserve">È il capitolo di massima densità documentale, e il più esposto all'errore interpretativo. Va perciò letto con la qualificazione che lo apre e che lo chiude.</w:t>
      </w:r>
    </w:p>
    <w:p>
      <w:pPr>
        <w:spacing w:after="120" w:line="276"/>
        <w:jc w:val="both"/>
      </w:pPr>
      <w:r>
        <w:rPr>
          <w:rFonts w:ascii="Barlow Semi Condensed" w:cs="Barlow Semi Condensed" w:eastAsia="Barlow Semi Condensed" w:hAnsi="Barlow Semi Condensed"/>
          <w:b/>
          <w:bCs/>
          <w:sz w:val="24"/>
          <w:szCs w:val="24"/>
        </w:rPr>
        <w:t xml:space="preserve">La fonte. Un libro di inchiesta di António José Vilela e Pedro Ramos Brandão, \Salazar e a Conspiração do Opus Dei\, Casa das Letras, 2011, fondato su fascicoli della polizia politica conservati all'Arquivo Nacional da Torre do Tombo. È pubblicistica d'inchiesta che cita fonti primarie, e non studio peer-reviewed.</w:t>
      </w:r>
    </w:p>
    <w:p>
      <w:pPr>
        <w:spacing w:after="120" w:line="276"/>
        <w:jc w:val="both"/>
      </w:pPr>
      <w:r>
        <w:rPr>
          <w:rFonts w:ascii="Barlow Semi Condensed" w:cs="Barlow Semi Condensed" w:eastAsia="Barlow Semi Condensed" w:hAnsi="Barlow Semi Condensed"/>
          <w:b/>
          <w:bCs/>
          <w:sz w:val="24"/>
          <w:szCs w:val="24"/>
        </w:rPr>
        <w:t xml:space="preserve">Che cosa la polizia sospettava. Secondo l'inchiesta, la PIDE riteneva esistesse una cospirazione dell'Opus Dei per dominare il regime, sul modello di quanto essa credeva avvenuto nella Spagna franchista, dove a suo giudizio il fondatore avrebbe voluto conquistare le élites di sostegno a Salazar.</w:t>
      </w:r>
    </w:p>
    <w:p>
      <w:pPr>
        <w:spacing w:after="120" w:line="276"/>
        <w:jc w:val="both"/>
      </w:pPr>
      <w:r>
        <w:rPr>
          <w:rFonts w:ascii="Barlow Semi Condensed" w:cs="Barlow Semi Condensed" w:eastAsia="Barlow Semi Condensed" w:hAnsi="Barlow Semi Condensed"/>
          <w:b/>
          <w:bCs/>
          <w:sz w:val="24"/>
          <w:szCs w:val="24"/>
        </w:rPr>
        <w:t xml:space="preserve">Il documento più citato. Un rapporto del settembre 1963 contiene la frase, riportata dagli autori, secondo cui i rappresentanti spagnoli avrebbero sempre cercato di trovare come dirigente in Portogallo un uomo con nome politico e prestigio sufficienti da portarlo un giorno a far parte del governo.</w:t>
      </w:r>
    </w:p>
    <w:p>
      <w:pPr>
        <w:spacing w:after="120" w:line="276"/>
        <w:jc w:val="both"/>
      </w:pPr>
      <w:r>
        <w:rPr>
          <w:rFonts w:ascii="Barlow Semi Condensed" w:cs="Barlow Semi Condensed" w:eastAsia="Barlow Semi Condensed" w:hAnsi="Barlow Semi Condensed"/>
          <w:b/>
          <w:bCs/>
          <w:sz w:val="24"/>
          <w:szCs w:val="24"/>
        </w:rPr>
        <w:t xml:space="preserve">Gli altri atti individuati. Una nota non firmata del 1961 indirizzata a Salazar e conservata alla Torre do Tombo, intitolata \As Actividades do Opus Dei em Portugal\. Un relatório del gennaio 1964 dedicato ai tentativi di penetrazione dell'Opus Dei nella politica interna portoghese.</w:t>
      </w:r>
    </w:p>
    <w:p>
      <w:pPr>
        <w:spacing w:after="120" w:line="276"/>
        <w:jc w:val="both"/>
      </w:pPr>
      <w:r>
        <w:rPr>
          <w:rFonts w:ascii="Barlow Semi Condensed" w:cs="Barlow Semi Condensed" w:eastAsia="Barlow Semi Condensed" w:hAnsi="Barlow Semi Condensed"/>
          <w:b/>
          <w:bCs/>
          <w:sz w:val="24"/>
          <w:szCs w:val="24"/>
        </w:rPr>
        <w:t xml:space="preserve">Le operazioni condotte, secondo l'inchiesta. La polizia deviò corrispondenza, annotò nomi e rilevò l'ingresso di diciotto milioni di pesetas. Fra i nomi annotati figurano Marcello Caetano e Adriano Moreira, oltre all'ex ministro Daniel Barbosa. Lo spagnolo Gregório Ortega Pardo è indicato come l'uomo che faceva da collegamento fra quegli ex governanti e l'istituzione.</w:t>
      </w:r>
    </w:p>
    <w:p>
      <w:pPr>
        <w:spacing w:after="120" w:line="276"/>
        <w:jc w:val="both"/>
      </w:pPr>
      <w:r>
        <w:rPr>
          <w:rFonts w:ascii="Barlow Semi Condensed" w:cs="Barlow Semi Condensed" w:eastAsia="Barlow Semi Condensed" w:hAnsi="Barlow Semi Condensed"/>
          <w:b/>
          <w:bCs/>
          <w:sz w:val="24"/>
          <w:szCs w:val="24"/>
        </w:rPr>
        <w:t xml:space="preserve">E qui va enunciata la qualificazione che vale per l'intero capitolo, e che è la cosa più importante che esso contenga.</w:t>
      </w:r>
    </w:p>
    <w:p>
      <w:pPr>
        <w:spacing w:after="120" w:line="276"/>
        <w:jc w:val="both"/>
      </w:pPr>
      <w:r>
        <w:rPr>
          <w:rFonts w:ascii="Barlow Semi Condensed" w:cs="Barlow Semi Condensed" w:eastAsia="Barlow Semi Condensed" w:hAnsi="Barlow Semi Condensed"/>
          <w:b/>
          <w:bCs/>
          <w:sz w:val="24"/>
          <w:szCs w:val="24"/>
        </w:rPr>
        <w:t xml:space="preserve">Tutto ciò è quanto la polizia politica sospettava e annotava. Non è quanto l'istituzione o le persone fecero. Gli stessi resoconti sottolineano che la polizia non riuscì mai a provare i legami, e che Marcello Caetano e Adriano Moreira — quest'ultimo indicato in alcuni rapporti come possibile successore del capo del governo — avrebbero resistito alle sollecitazioni. Nomi come Leite Pinto, Vieira Barbosa e Cavaleiro Ferreira comparivano come presunti membri senza prova documentale.</w:t>
      </w:r>
    </w:p>
    <w:p>
      <w:pPr>
        <w:spacing w:after="120" w:line="276"/>
        <w:jc w:val="both"/>
      </w:pPr>
      <w:r>
        <w:rPr>
          <w:rFonts w:ascii="Barlow Semi Condensed" w:cs="Barlow Semi Condensed" w:eastAsia="Barlow Semi Condensed" w:hAnsi="Barlow Semi Condensed"/>
          <w:b/>
          <w:bCs/>
          <w:sz w:val="24"/>
          <w:szCs w:val="24"/>
        </w:rPr>
        <w:t xml:space="preserve">Ne discende la formula da adottare per ogni uso futuro di questo materiale: esso è prova di ciò che il regime temeva, non di ciò che l'Opus Dei fece. Un fascicolo di polizia politica attesta un sospetto e le operazioni condotte per verificarlo; quando la verifica non riesce, il fascicolo resta documento sulla polizia e non sul sorvegliato.</w:t>
      </w:r>
    </w:p>
    <w:p>
      <w:pPr>
        <w:spacing w:after="120" w:line="276"/>
        <w:jc w:val="both"/>
      </w:pPr>
      <w:r>
        <w:rPr>
          <w:rFonts w:ascii="Barlow Semi Condensed" w:cs="Barlow Semi Condensed" w:eastAsia="Barlow Semi Condensed" w:hAnsi="Barlow Semi Condensed"/>
          <w:b/>
          <w:bCs/>
          <w:sz w:val="24"/>
          <w:szCs w:val="24"/>
        </w:rPr>
        <w:t xml:space="preserve">La tesi cospirativa complessiva va qualificata. L'inchiesta collega suor Lúcia, il controllo di un istituto bancario agricolo e un'alleanza tacita e frustrata con il cardinale patriarca. Non trovando riscontro in fonti primarie autonome, essa va considerata non sostenuta — ed è precisamente il genere di tesi che la disciplina di questa ricognizione impone di riportare e di non accogliere.</w:t>
      </w:r>
    </w:p>
    <w:p>
      <w:pPr>
        <w:pStyle w:val="Heading2"/>
        <w:spacing w:after="100" w:before="200"/>
      </w:pPr>
      <w:r>
        <w:rPr>
          <w:rFonts w:ascii="Barlow Semi Condensed" w:cs="Barlow Semi Condensed" w:eastAsia="Barlow Semi Condensed" w:hAnsi="Barlow Semi Condensed"/>
          <w:sz w:val="24"/>
          <w:szCs w:val="24"/>
        </w:rPr>
        <w:t xml:space="preserve">Capitolo quarto — Il confronto iberico: la spiegazione strutturale della divergenza</w:t>
      </w:r>
    </w:p>
    <w:p>
      <w:pPr>
        <w:spacing w:after="120" w:line="276"/>
        <w:jc w:val="both"/>
      </w:pPr>
      <w:r>
        <w:rPr>
          <w:rFonts w:ascii="Barlow Semi Condensed" w:cs="Barlow Semi Condensed" w:eastAsia="Barlow Semi Condensed" w:hAnsi="Barlow Semi Condensed"/>
          <w:b/>
          <w:bCs/>
          <w:sz w:val="24"/>
          <w:szCs w:val="24"/>
        </w:rPr>
        <w:t xml:space="preserve">Il capitolo risponde alla domanda storiografica centrale, e la risposta non è quella che la simmetria geografica suggerirebbe.</w:t>
      </w:r>
    </w:p>
    <w:p>
      <w:pPr>
        <w:spacing w:after="120" w:line="276"/>
        <w:jc w:val="both"/>
      </w:pPr>
      <w:r>
        <w:rPr>
          <w:rFonts w:ascii="Barlow Semi Condensed" w:cs="Barlow Semi Condensed" w:eastAsia="Barlow Semi Condensed" w:hAnsi="Barlow Semi Condensed"/>
          <w:b/>
          <w:bCs/>
          <w:sz w:val="24"/>
          <w:szCs w:val="24"/>
        </w:rPr>
        <w:t xml:space="preserve">Il termine spagnolo, già acquisito. Alcuni membri dell'Opus Dei giunsero al governo dal 1957 — Alberto Ullastres al Commercio, Mariano Navarro Rubio alle Finanze — e con maggiore visibilità nel gabinetto del 1969. Secondo la fonte ufficiale dell'ente, otto ministri su centosedici appartennero all'istituzione nell'intero arco franchista. Figure come Gregorio López Bravo agli Esteri dall'ottobre 1969 e Laureano López Rodó dal giugno 1973 furono associate allo sviluppismo.</w:t>
      </w:r>
    </w:p>
    <w:p>
      <w:pPr>
        <w:spacing w:after="120" w:line="276"/>
        <w:jc w:val="both"/>
      </w:pPr>
      <w:r>
        <w:rPr>
          <w:rFonts w:ascii="Barlow Semi Condensed" w:cs="Barlow Semi Condensed" w:eastAsia="Barlow Semi Condensed" w:hAnsi="Barlow Semi Condensed"/>
          <w:b/>
          <w:bCs/>
          <w:sz w:val="24"/>
          <w:szCs w:val="24"/>
        </w:rPr>
        <w:t xml:space="preserve">Due avvertenze che le fonti impongono. La storiografia spagnola — Paul Preston, \Franco\, 1994 — avverte che l'arrivo dei tecnocrati non fu né sinistro né astuto, ma piuttosto una risposta pragmatica e senza schema fisso. E l'istituzione medesima insiste che né tutti i tecnocrati furono dell'Opus Dei, né tutti i membri dell'Opus Dei furono tecnocrati.</w:t>
      </w:r>
    </w:p>
    <w:p>
      <w:pPr>
        <w:spacing w:after="120" w:line="276"/>
        <w:jc w:val="both"/>
      </w:pPr>
      <w:r>
        <w:rPr>
          <w:rFonts w:ascii="Barlow Semi Condensed" w:cs="Barlow Semi Condensed" w:eastAsia="Barlow Semi Condensed" w:hAnsi="Barlow Semi Condensed"/>
          <w:b/>
          <w:bCs/>
          <w:sz w:val="24"/>
          <w:szCs w:val="24"/>
        </w:rPr>
        <w:t xml:space="preserve">Il termine portoghese: nulla di comparabile risulta. Nessun ministro portoghese appartenente all'istituzione è documentato; l'istituzione fu sorvegliata anziché cooptata.</w:t>
      </w:r>
    </w:p>
    <w:p>
      <w:pPr>
        <w:spacing w:after="120" w:line="276"/>
        <w:jc w:val="both"/>
      </w:pPr>
      <w:r>
        <w:rPr>
          <w:rFonts w:ascii="Barlow Semi Condensed" w:cs="Barlow Semi Condensed" w:eastAsia="Barlow Semi Condensed" w:hAnsi="Barlow Semi Condensed"/>
          <w:b/>
          <w:bCs/>
          <w:sz w:val="24"/>
          <w:szCs w:val="24"/>
        </w:rPr>
        <w:t xml:space="preserve">La spiegazione, e proviene da fonte peer-reviewed. La recensione di Salis Amaral su \Lusitania Sacra\ individua quattro fattori di divergenza:</w:t>
      </w:r>
    </w:p>
    <w:p>
      <w:pPr>
        <w:spacing w:after="120" w:line="276"/>
        <w:jc w:val="both"/>
      </w:pPr>
      <w:r>
        <w:rPr>
          <w:rFonts w:ascii="Barlow Semi Condensed" w:cs="Barlow Semi Condensed" w:eastAsia="Barlow Semi Condensed" w:hAnsi="Barlow Semi Condensed"/>
          <w:b/>
          <w:bCs/>
          <w:sz w:val="24"/>
          <w:szCs w:val="24"/>
        </w:rPr>
        <w:t xml:space="preserve">Primo, il diverso grado di secolarizzazione e di preparazione religiosa della gioventù universitaria portoghese rispetto a quella spagnola.</w:t>
      </w:r>
    </w:p>
    <w:p>
      <w:pPr>
        <w:spacing w:after="120" w:line="276"/>
        <w:jc w:val="both"/>
      </w:pPr>
      <w:r>
        <w:rPr>
          <w:rFonts w:ascii="Barlow Semi Condensed" w:cs="Barlow Semi Condensed" w:eastAsia="Barlow Semi Condensed" w:hAnsi="Barlow Semi Condensed"/>
          <w:b/>
          <w:bCs/>
          <w:sz w:val="24"/>
          <w:szCs w:val="24"/>
        </w:rPr>
        <w:t xml:space="preserve">Secondo, il diverso rapporto Chiesa-Stato: il cardinale Cerejeira era amico personale di Salazar dai tempi di Coimbra, ma la Chiesa portoghese era meno organicamente fusa con il regime di quanto lo fosse quella spagnola nel nazionalcattolicesimo.</w:t>
      </w:r>
    </w:p>
    <w:p>
      <w:pPr>
        <w:spacing w:after="120" w:line="276"/>
        <w:jc w:val="both"/>
      </w:pPr>
      <w:r>
        <w:rPr>
          <w:rFonts w:ascii="Barlow Semi Condensed" w:cs="Barlow Semi Condensed" w:eastAsia="Barlow Semi Condensed" w:hAnsi="Barlow Semi Condensed"/>
          <w:b/>
          <w:bCs/>
          <w:sz w:val="24"/>
          <w:szCs w:val="24"/>
        </w:rPr>
        <w:t xml:space="preserve">Terzo, una situazione socio-economica non paragonabile a quella di una Spagna appena uscita dalla guerra civile.</w:t>
      </w:r>
    </w:p>
    <w:p>
      <w:pPr>
        <w:spacing w:after="120" w:line="276"/>
        <w:jc w:val="both"/>
      </w:pPr>
      <w:r>
        <w:rPr>
          <w:rFonts w:ascii="Barlow Semi Condensed" w:cs="Barlow Semi Condensed" w:eastAsia="Barlow Semi Condensed" w:hAnsi="Barlow Semi Condensed"/>
          <w:b/>
          <w:bCs/>
          <w:sz w:val="24"/>
          <w:szCs w:val="24"/>
        </w:rPr>
        <w:t xml:space="preserve">Quarto, una politica portoghese durante la Seconda guerra mondiale differente da quella spagnola.</w:t>
      </w:r>
    </w:p>
    <w:p>
      <w:pPr>
        <w:spacing w:after="120" w:line="276"/>
        <w:jc w:val="both"/>
      </w:pPr>
      <w:r>
        <w:rPr>
          <w:rFonts w:ascii="Barlow Semi Condensed" w:cs="Barlow Semi Condensed" w:eastAsia="Barlow Semi Condensed" w:hAnsi="Barlow Semi Condensed"/>
          <w:b/>
          <w:bCs/>
          <w:sz w:val="24"/>
          <w:szCs w:val="24"/>
        </w:rPr>
        <w:t xml:space="preserve">A questi va aggiunto un fattore ecclesiale che è, secondo me, il più decisivo, ed è documentato dall'agenzia della Conferenza episcopale portoghese sulla scorta della storiografia del Concilio. Il cardinale Cerejeira fu costantemente reticente verso i movimenti di origine straniera, con l'argomento che l'Azione Cattolica Portoghese supplisse alle necessità. Ne conseguì che Opus Dei, Legione di Maria, Casais de Nossa Senhora, Graal e il Movimento degli Industriali si impiantarono a partire da diocesi diverse da quella di Lisbona.</w:t>
      </w:r>
    </w:p>
    <w:p>
      <w:pPr>
        <w:spacing w:after="120" w:line="276"/>
        <w:jc w:val="both"/>
      </w:pPr>
      <w:r>
        <w:rPr>
          <w:rFonts w:ascii="Barlow Semi Condensed" w:cs="Barlow Semi Condensed" w:eastAsia="Barlow Semi Condensed" w:hAnsi="Barlow Semi Condensed"/>
          <w:b/>
          <w:bCs/>
          <w:sz w:val="24"/>
          <w:szCs w:val="24"/>
        </w:rPr>
        <w:t xml:space="preserve">Ne discende la risultanza del capitolo. La divergenza fra i due casi iberici non fu di strategia dell'ente ma di domanda sociale e di accoglienza ecclesiastica. In Spagna esisteva un ceto universitario cattolico da cui si potevano trarre quadri, e una Chiesa fusa con lo Stato; in Portogallo il patriarca della capitale sbarrava la porta ai movimenti stranieri e l'istituzione dovette entrare dalla periferia diocesana.</w:t>
      </w:r>
    </w:p>
    <w:p>
      <w:pPr>
        <w:spacing w:after="120" w:line="276"/>
        <w:jc w:val="both"/>
      </w:pPr>
      <w:r>
        <w:rPr>
          <w:rFonts w:ascii="Barlow Semi Condensed" w:cs="Barlow Semi Condensed" w:eastAsia="Barlow Semi Condensed" w:hAnsi="Barlow Semi Condensed"/>
          <w:b/>
          <w:bCs/>
          <w:sz w:val="24"/>
          <w:szCs w:val="24"/>
        </w:rPr>
        <w:t xml:space="preserve">Un elemento concordatario conferma il quadro per via indipendente. La dissertazione di dottorato di Bruno Cardoso Reis sulla Concordata del 1940, presso l'Università Nuova di Lisbona, rileva che Salazar impose i propri punti di vista, concludendo un accordo i cui benefici per la Chiesa restarono molto al di sotto dei vantaggi offerti in altri concordati, come quello italiano o quello spagnolo.</w:t>
      </w:r>
    </w:p>
    <w:p>
      <w:pPr>
        <w:spacing w:after="120" w:line="276"/>
        <w:jc w:val="both"/>
      </w:pPr>
      <w:r>
        <w:rPr>
          <w:rFonts w:ascii="Barlow Semi Condensed" w:cs="Barlow Semi Condensed" w:eastAsia="Barlow Semi Condensed" w:hAnsi="Barlow Semi Condensed"/>
          <w:b/>
          <w:bCs/>
          <w:sz w:val="24"/>
          <w:szCs w:val="24"/>
        </w:rPr>
        <w:t xml:space="preserve">È l'indice di una Chiesa portoghese meno premiata dallo Stato di quanto lo fosse quella spagnola — e una Chiesa meno premiata è anche una Chiesa meno utile come canale d'accesso al potere.</w:t>
      </w:r>
    </w:p>
    <w:p>
      <w:pPr>
        <w:pStyle w:val="Heading2"/>
        <w:spacing w:after="100" w:before="200"/>
      </w:pPr>
      <w:r>
        <w:rPr>
          <w:rFonts w:ascii="Barlow Semi Condensed" w:cs="Barlow Semi Condensed" w:eastAsia="Barlow Semi Condensed" w:hAnsi="Barlow Semi Condensed"/>
          <w:sz w:val="24"/>
          <w:szCs w:val="24"/>
        </w:rPr>
        <w:t xml:space="preserve">Capitolo quinto — L'Opus Dei e le guerre coloniali: Stato Zero dichiarato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 Diluirlo con generalità sarebbe metodologicamente scorretto, e lo si dichiara.</w:t>
      </w:r>
    </w:p>
    <w:p>
      <w:pPr>
        <w:spacing w:after="120" w:line="276"/>
        <w:jc w:val="both"/>
      </w:pPr>
      <w:r>
        <w:rPr>
          <w:rFonts w:ascii="Barlow Semi Condensed" w:cs="Barlow Semi Condensed" w:eastAsia="Barlow Semi Condensed" w:hAnsi="Barlow Semi Condensed"/>
          <w:b/>
          <w:bCs/>
          <w:sz w:val="24"/>
          <w:szCs w:val="24"/>
        </w:rPr>
        <w:t xml:space="preserve">Il quadro generale è documentato. La Concordata e l'Accordo missionario del 7 maggio 1940 conferivano alla Chiesa una utilità imperiale e un senso civilizzatore associati al nazionalismo portoghese, secondo João Marques de Almeida su \Lusitania Sacra\. Nel colonialismo tardo, fra il 1961 e il 1974, si aprì il conflitto fra paradigmi missionari nazionalisti e paradigmi della liberazione, culminato — come già acquisito nelle ricognizioni anteriori — nell'espulsione del vescovo di Nampula e dei comboniani dopo il documento \Imperativo di Coscienza\.</w:t>
      </w:r>
    </w:p>
    <w:p>
      <w:pPr>
        <w:spacing w:after="120" w:line="276"/>
        <w:jc w:val="both"/>
      </w:pPr>
      <w:r>
        <w:rPr>
          <w:rFonts w:ascii="Barlow Semi Condensed" w:cs="Barlow Semi Condensed" w:eastAsia="Barlow Semi Condensed" w:hAnsi="Barlow Semi Condensed"/>
          <w:b/>
          <w:bCs/>
          <w:sz w:val="24"/>
          <w:szCs w:val="24"/>
        </w:rPr>
        <w:t xml:space="preserve">Che cosa non è stato reperito.\\ Non è stato reperito \\alcun documento che attribuisca all'Opus Dei come istituzione una posizione specifica e distinta sulle guerre coloniali o sulla questione africana, né a favore né contro.</w:t>
      </w:r>
    </w:p>
    <w:p>
      <w:pPr>
        <w:spacing w:after="120" w:line="276"/>
        <w:jc w:val="both"/>
      </w:pPr>
      <w:r>
        <w:rPr>
          <w:rFonts w:ascii="Barlow Semi Condensed" w:cs="Barlow Semi Condensed" w:eastAsia="Barlow Semi Condensed" w:hAnsi="Barlow Semi Condensed"/>
          <w:b/>
          <w:bCs/>
          <w:sz w:val="24"/>
          <w:szCs w:val="24"/>
        </w:rPr>
        <w:t xml:space="preserve">Il volume collettivo di Freire Antunes contiene testimonianze individuali che intersecano l'Africa portoghese — una sezione sui mutilati della guerra d'Africa, il caso di un membro nella riconquista di una località angolana — ma si tratta di vicende personali di membri, che il metodo impone di non trasformare in condotta dell'ente.</w:t>
      </w:r>
    </w:p>
    <w:p>
      <w:pPr>
        <w:spacing w:after="120" w:line="276"/>
        <w:jc w:val="both"/>
      </w:pPr>
      <w:r>
        <w:rPr>
          <w:rFonts w:ascii="Barlow Semi Condensed" w:cs="Barlow Semi Condensed" w:eastAsia="Barlow Semi Condensed" w:hAnsi="Barlow Semi Condensed"/>
          <w:b/>
          <w:bCs/>
          <w:sz w:val="24"/>
          <w:szCs w:val="24"/>
        </w:rPr>
        <w:t xml:space="preserve">Si registra Stato Zero parziale. La sede per l'accertamento è l'Archivio Generale della Prelatura a Roma e i fondi diocesani portoghesi — Nampula, Beira, Tete, Patriarcato di Lisbona. Condizione di chiusura: reperimento di un documento istituzionale, non di una testimonianza individuale.</w:t>
      </w:r>
    </w:p>
    <w:p>
      <w:pPr>
        <w:spacing w:after="120" w:line="276"/>
        <w:jc w:val="both"/>
      </w:pPr>
      <w:r>
        <w:rPr>
          <w:rFonts w:ascii="Barlow Semi Condensed" w:cs="Barlow Semi Condensed" w:eastAsia="Barlow Semi Condensed" w:hAnsi="Barlow Semi Condensed"/>
          <w:b/>
          <w:bCs/>
          <w:sz w:val="24"/>
          <w:szCs w:val="24"/>
        </w:rPr>
        <w:t xml:space="preserve">Un'osservazione che vale la pena fare. L'assenza di una posizione istituzionale documentata su una guerra durata tredici anni, in un Paese dove l'istituzione era presente da venticinque, è essa stessa un dato — ma non se ne può inferire il silenzio, perché ciò che manca è la documentazione accessibile e non necessariamente l'atto.</w:t>
      </w:r>
    </w:p>
    <w:p>
      <w:pPr>
        <w:pStyle w:val="Heading2"/>
        <w:spacing w:after="100" w:before="200"/>
      </w:pPr>
      <w:r>
        <w:rPr>
          <w:rFonts w:ascii="Barlow Semi Condensed" w:cs="Barlow Semi Condensed" w:eastAsia="Barlow Semi Condensed" w:hAnsi="Barlow Semi Condensed"/>
          <w:sz w:val="24"/>
          <w:szCs w:val="24"/>
        </w:rPr>
        <w:t xml:space="preserve">Capitolo sesto — La transizione e il caso Amaro da Costa: appartenenza documentata, azione di partito</w:t>
      </w:r>
    </w:p>
    <w:p>
      <w:pPr>
        <w:spacing w:after="120" w:line="276"/>
        <w:jc w:val="both"/>
      </w:pPr>
      <w:r>
        <w:rPr>
          <w:rFonts w:ascii="Barlow Semi Condensed" w:cs="Barlow Semi Condensed" w:eastAsia="Barlow Semi Condensed" w:hAnsi="Barlow Semi Condensed"/>
          <w:b/>
          <w:bCs/>
          <w:sz w:val="24"/>
          <w:szCs w:val="24"/>
        </w:rPr>
        <w:t xml:space="preserve">Il 25 aprile 1974 la Rivoluzione dei garofani rovesciò l'Estado Novo, aprendo il processo rivoluzionario del 1974-1975. Il capitolo espone che cosa ne risulta per l'istituzione e per il solo suo membro che entrò nella politica portoghese.</w:t>
      </w:r>
    </w:p>
    <w:p>
      <w:pPr>
        <w:spacing w:after="120" w:line="276"/>
        <w:jc w:val="both"/>
      </w:pPr>
      <w:r>
        <w:rPr>
          <w:rFonts w:ascii="Barlow Semi Condensed" w:cs="Barlow Semi Condensed" w:eastAsia="Barlow Semi Condensed" w:hAnsi="Barlow Semi Condensed"/>
          <w:b/>
          <w:bCs/>
          <w:sz w:val="24"/>
          <w:szCs w:val="24"/>
        </w:rPr>
        <w:t xml:space="preserve">Sul biennio rivoluzionario. La fonte ufficiale dell'ente e la letteratura testimoniale — il volume collettivo diretto da Freire Antunes, che dedica una sezione specifica al 25 aprile 1974 — non documentano persecuzioni sistematiche, occupazioni di sedi o espulsioni di membri dell'Opus Dei in quanto tali durante il biennio; e nessun documento indipendente le attesta. Si registra come esito negativo.</w:t>
      </w:r>
    </w:p>
    <w:p>
      <w:pPr>
        <w:spacing w:after="120" w:line="276"/>
        <w:jc w:val="both"/>
      </w:pPr>
      <w:r>
        <w:rPr>
          <w:rFonts w:ascii="Barlow Semi Condensed" w:cs="Barlow Semi Condensed" w:eastAsia="Barlow Semi Condensed" w:hAnsi="Barlow Semi Condensed"/>
          <w:b/>
          <w:bCs/>
          <w:sz w:val="24"/>
          <w:szCs w:val="24"/>
        </w:rPr>
        <w:t xml:space="preserve">La figura in cui la traiettoria dell'istituzione tocca la politica portoghese. Adelino Amaro da Costa, cofondatore del Centro Democratico Sociale. Secondo il sito ufficiale del Parlamento portoghese, egli fu membro fondatore del partito nel 1974 e suo primo segretario generale fino al febbraio 1975; il partito fu fondato il 19 luglio 1974.</w:t>
      </w:r>
    </w:p>
    <w:p>
      <w:pPr>
        <w:spacing w:after="120" w:line="276"/>
        <w:jc w:val="both"/>
      </w:pPr>
      <w:r>
        <w:rPr>
          <w:rFonts w:ascii="Barlow Semi Condensed" w:cs="Barlow Semi Condensed" w:eastAsia="Barlow Semi Condensed" w:hAnsi="Barlow Semi Condensed"/>
          <w:b/>
          <w:bCs/>
          <w:sz w:val="24"/>
          <w:szCs w:val="24"/>
        </w:rPr>
        <w:t xml:space="preserve">L'appartenenza è documentata. Una fonte enciclopedica portoghese riferisce che nel 1979 egli si sposò, rompendo così i voti di castità fatti quando anni prima aveva aderito all'istituzione. La biografia di Célia Pedroso e Maria do Rosário Carneiro, \Adelino Amaro da Costa, Histórias de Uma Vida Interrompida\, Casa das Letras, 2010, raccoglie testimonianze che pongono l'importanza centrale dell'Opus Dei nella vita di Amaro da Costa fino al matrimonio del 1979, datando l'ingresso in residenza a dopo la laurea in ingegneria civile del 1966.</w:t>
      </w:r>
    </w:p>
    <w:p>
      <w:pPr>
        <w:spacing w:after="120" w:line="276"/>
        <w:jc w:val="both"/>
      </w:pPr>
      <w:r>
        <w:rPr>
          <w:rFonts w:ascii="Barlow Semi Condensed" w:cs="Barlow Semi Condensed" w:eastAsia="Barlow Semi Condensed" w:hAnsi="Barlow Semi Condensed"/>
          <w:b/>
          <w:bCs/>
          <w:sz w:val="24"/>
          <w:szCs w:val="24"/>
        </w:rPr>
        <w:t xml:space="preserve">E qui vale in modo assoluto la prescrizione che apre questo studio. L'appartenenza di Amaro da Costa all'Opus Dei non costituisce prova di una condotta politica dell'Opus Dei come istituzione. Egli agì come uomo politico del proprio partito, e le testimonianze raccolte descrivono un impegno personale, non una direttiva dell'ente.</w:t>
      </w:r>
    </w:p>
    <w:p>
      <w:pPr>
        <w:spacing w:after="120" w:line="276"/>
        <w:jc w:val="both"/>
      </w:pPr>
      <w:r>
        <w:rPr>
          <w:rFonts w:ascii="Barlow Semi Condensed" w:cs="Barlow Semi Condensed" w:eastAsia="Barlow Semi Condensed" w:hAnsi="Barlow Semi Condensed"/>
          <w:b/>
          <w:bCs/>
          <w:sz w:val="24"/>
          <w:szCs w:val="24"/>
        </w:rPr>
        <w:t xml:space="preserve">La traiettoria successiva, per completezza. Amaro da Costa contribuì alla stesura del programma del primo governo provvisorio su richiesta del ministro Veiga Simão, fu poi ministro della Difesa nel governo dell'Alleanza Democratica nel 1980, e morì nel disastro aereo di Camarate il 4 dicembre 1980 insieme al primo ministro Francisco Sá Carneiro.</w:t>
      </w:r>
    </w:p>
    <w:p>
      <w:pPr>
        <w:spacing w:after="120" w:line="276"/>
        <w:jc w:val="both"/>
      </w:pPr>
      <w:r>
        <w:rPr>
          <w:rFonts w:ascii="Barlow Semi Condensed" w:cs="Barlow Semi Condensed" w:eastAsia="Barlow Semi Condensed" w:hAnsi="Barlow Semi Condensed"/>
          <w:b/>
          <w:bCs/>
          <w:sz w:val="24"/>
          <w:szCs w:val="24"/>
        </w:rPr>
        <w:t xml:space="preserve">Si registra che la vicenda di Camarate è oggetto in Portogallo di una lunga controversia sulle cause del disastro, materia estranea al perimetro di questo studio e che non viene qui trattata.</w:t>
      </w:r>
    </w:p>
    <w:p>
      <w:pPr>
        <w:spacing w:after="120" w:line="276"/>
        <w:jc w:val="both"/>
      </w:pPr>
      <w:r>
        <w:rPr>
          <w:rFonts w:ascii="Barlow Semi Condensed" w:cs="Barlow Semi Condensed" w:eastAsia="Barlow Semi Condensed" w:hAnsi="Barlow Semi Condensed"/>
          <w:b/>
          <w:bCs/>
          <w:sz w:val="24"/>
          <w:szCs w:val="24"/>
        </w:rPr>
        <w:t xml:space="preserve">Il capitolo resta contenuto per insufficienza di documentazione sulle vicende collettive dell'ente nel periodo rivoluzionario, e non per scelta di brevità.</w:t>
      </w:r>
    </w:p>
    <w:p>
      <w:pPr>
        <w:pStyle w:val="Heading2"/>
        <w:spacing w:after="100" w:before="200"/>
      </w:pPr>
      <w:r>
        <w:rPr>
          <w:rFonts w:ascii="Barlow Semi Condensed" w:cs="Barlow Semi Condensed" w:eastAsia="Barlow Semi Condensed" w:hAnsi="Barlow Semi Condensed"/>
          <w:sz w:val="24"/>
          <w:szCs w:val="24"/>
        </w:rPr>
        <w:t xml:space="preserve">Capitolo settimo — Moro ministro e il Portogallo: cornice senza documenti</w:t>
      </w:r>
    </w:p>
    <w:p>
      <w:pPr>
        <w:spacing w:after="120" w:line="276"/>
        <w:jc w:val="both"/>
      </w:pPr>
      <w:r>
        <w:rPr>
          <w:rFonts w:ascii="Barlow Semi Condensed" w:cs="Barlow Semi Condensed" w:eastAsia="Barlow Semi Condensed" w:hAnsi="Barlow Semi Condensed"/>
          <w:b/>
          <w:bCs/>
          <w:sz w:val="24"/>
          <w:szCs w:val="24"/>
        </w:rPr>
        <w:t xml:space="preserve">Il capitolo registra quanto è accertato sulla collocazione di Moro e quanto non è stato reperito sul suo rapporto specifico col Portogallo.</w:t>
      </w:r>
    </w:p>
    <w:p>
      <w:pPr>
        <w:spacing w:after="120" w:line="276"/>
        <w:jc w:val="both"/>
      </w:pPr>
      <w:r>
        <w:rPr>
          <w:rFonts w:ascii="Barlow Semi Condensed" w:cs="Barlow Semi Condensed" w:eastAsia="Barlow Semi Condensed" w:hAnsi="Barlow Semi Condensed"/>
          <w:b/>
          <w:bCs/>
          <w:sz w:val="24"/>
          <w:szCs w:val="24"/>
        </w:rPr>
        <w:t xml:space="preserve">La collocazione. Moro fu ministro degli Affari Esteri dal 5 agosto 1969 al 26 giugno 1972 — governi Rumor terzo, Colombo primo, Andreotti primo — e di nuovo dal 7 luglio 1973 al 23 novembre 1974, nel quarto e quinto Rumor.</w:t>
      </w:r>
    </w:p>
    <w:p>
      <w:pPr>
        <w:spacing w:after="120" w:line="276"/>
        <w:jc w:val="both"/>
      </w:pPr>
      <w:r>
        <w:rPr>
          <w:rFonts w:ascii="Barlow Semi Condensed" w:cs="Barlow Semi Condensed" w:eastAsia="Barlow Semi Condensed" w:hAnsi="Barlow Semi Condensed"/>
          <w:b/>
          <w:bCs/>
          <w:sz w:val="24"/>
          <w:szCs w:val="24"/>
        </w:rPr>
        <w:t xml:space="preserve">La qualificazione storiografica. La storiografia lo definisce iniziatore della fase mediterranea delle relazioni internazionali italiane. La \Nuova Rivista Storica\ lo descrive come colui che, legando al quadro europeo la politica araba dell'Italia, tentò dal 1973 di conciliare filoarabismo energetico e costruzione europea; parallelamente fu protagonista della Conferenza per la sicurezza e la cooperazione in Europa.</w:t>
      </w:r>
    </w:p>
    <w:p>
      <w:pPr>
        <w:spacing w:after="120" w:line="276"/>
        <w:jc w:val="both"/>
      </w:pPr>
      <w:r>
        <w:rPr>
          <w:rFonts w:ascii="Barlow Semi Condensed" w:cs="Barlow Semi Condensed" w:eastAsia="Barlow Semi Condensed" w:hAnsi="Barlow Semi Condensed"/>
          <w:b/>
          <w:bCs/>
          <w:sz w:val="24"/>
          <w:szCs w:val="24"/>
        </w:rPr>
        <w:t xml:space="preserve">Che cosa non è stato reperito.\\ \\Nessun documento diplomatico specifico che colleghi Moro alla situazione portoghese anteriore alla rivoluzione, e nessuna iniziativa morotea riguardante il Portogallo di Caetano.</w:t>
      </w:r>
    </w:p>
    <w:p>
      <w:pPr>
        <w:spacing w:after="120" w:line="276"/>
        <w:jc w:val="both"/>
      </w:pPr>
      <w:r>
        <w:rPr>
          <w:rFonts w:ascii="Barlow Semi Condensed" w:cs="Barlow Semi Condensed" w:eastAsia="Barlow Semi Condensed" w:hAnsi="Barlow Semi Condensed"/>
          <w:b/>
          <w:bCs/>
          <w:sz w:val="24"/>
          <w:szCs w:val="24"/>
        </w:rPr>
        <w:t xml:space="preserve">Il contesto della reazione italiana alla rivoluzione, per quanto documentato. Essa fu soprattutto di parte, con forte coinvolgimento socialista e comunista — la letteratura specialistica documenta il dibattito della sinistra italiana sulla rivoluzione portoghese — mentre l'orientamento atlantico italiano si allineava alla preoccupazione dell'Alleanza.</w:t>
      </w:r>
    </w:p>
    <w:p>
      <w:pPr>
        <w:spacing w:after="120" w:line="276"/>
        <w:jc w:val="both"/>
      </w:pPr>
      <w:r>
        <w:rPr>
          <w:rFonts w:ascii="Barlow Semi Condensed" w:cs="Barlow Semi Condensed" w:eastAsia="Barlow Semi Condensed" w:hAnsi="Barlow Semi Condensed"/>
          <w:b/>
          <w:bCs/>
          <w:sz w:val="24"/>
          <w:szCs w:val="24"/>
        </w:rPr>
        <w:t xml:space="preserve">Un enunciato statunitense va riportato perché precisa la natura di quella preoccupazione, e proviene dalla serie dei \Foreign Relations of the United States\: il timore del segretario di Stato non era una presa di potere comunista, ma un regime neutralista di sinistra che restasse all'interno della NATO.</w:t>
      </w:r>
    </w:p>
    <w:p>
      <w:pPr>
        <w:spacing w:after="120" w:line="276"/>
        <w:jc w:val="both"/>
      </w:pPr>
      <w:r>
        <w:rPr>
          <w:rFonts w:ascii="Barlow Semi Condensed" w:cs="Barlow Semi Condensed" w:eastAsia="Barlow Semi Condensed" w:hAnsi="Barlow Semi Condensed"/>
          <w:b/>
          <w:bCs/>
          <w:sz w:val="24"/>
          <w:szCs w:val="24"/>
        </w:rPr>
        <w:t xml:space="preserve">La distinzione è di rilievo analitico. Ciò che allarmava Washington non era la perdita del Portogallo, ma la sua permanenza nell'Alleanza con un governo non allineato — che è precisamente la questione che Moro affrontava in Italia con la propria strategia verso il Partito Comunista.</w:t>
      </w:r>
    </w:p>
    <w:p>
      <w:pPr>
        <w:spacing w:after="120" w:line="276"/>
        <w:jc w:val="both"/>
      </w:pPr>
      <w:r>
        <w:rPr>
          <w:rFonts w:ascii="Barlow Semi Condensed" w:cs="Barlow Semi Condensed" w:eastAsia="Barlow Semi Condensed" w:hAnsi="Barlow Semi Condensed"/>
          <w:b/>
          <w:bCs/>
          <w:sz w:val="24"/>
          <w:szCs w:val="24"/>
        </w:rPr>
        <w:t xml:space="preserve">Si registra Stato Zero sul rapporto Moro-Portogallo. La sede è l'Archivio Storico Diplomatico del Ministero degli Affari Esteri italiano, serie Portogallo 1969-1974, presso cui la ricerca resta interamente da condurre, con particolare riguardo ai telespressi dell'ambasciata di Lisbona e agli appunti della Direzione generale affari politici.</w:t>
      </w:r>
    </w:p>
    <w:p>
      <w:pPr>
        <w:pStyle w:val="Heading2"/>
        <w:spacing w:after="100" w:before="200"/>
      </w:pPr>
      <w:r>
        <w:rPr>
          <w:rFonts w:ascii="Barlow Semi Condensed" w:cs="Barlow Semi Condensed" w:eastAsia="Barlow Semi Condensed" w:hAnsi="Barlow Semi Condensed"/>
          <w:sz w:val="24"/>
          <w:szCs w:val="24"/>
        </w:rPr>
        <w:t xml:space="preserve">Capitolo ottavo — Moro e l'Opus Dei: lo Stato Zero confermato, e perché la conferma vale</w:t>
      </w:r>
    </w:p>
    <w:p>
      <w:pPr>
        <w:spacing w:after="120" w:line="276"/>
        <w:jc w:val="both"/>
      </w:pPr>
      <w:r>
        <w:rPr>
          <w:rFonts w:ascii="Barlow Semi Condensed" w:cs="Barlow Semi Condensed" w:eastAsia="Barlow Semi Condensed" w:hAnsi="Barlow Semi Condensed"/>
          <w:b/>
          <w:bCs/>
          <w:sz w:val="24"/>
          <w:szCs w:val="24"/>
        </w:rPr>
        <w:t xml:space="preserve">Il capitolo conferma per la seconda volta un esito negativo, e la conferma ha valore proprio.</w:t>
      </w:r>
    </w:p>
    <w:p>
      <w:pPr>
        <w:spacing w:after="120" w:line="276"/>
        <w:jc w:val="both"/>
      </w:pPr>
      <w:r>
        <w:rPr>
          <w:rFonts w:ascii="Barlow Semi Condensed" w:cs="Barlow Semi Condensed" w:eastAsia="Barlow Semi Condensed" w:hAnsi="Barlow Semi Condensed"/>
          <w:b/>
          <w:bCs/>
          <w:sz w:val="24"/>
          <w:szCs w:val="24"/>
        </w:rPr>
        <w:t xml:space="preserve">La presenza dell'ente in Italia. L'Opus Dei è presente dal 1946, come attesta la fonte ufficiale, che documenta anche la mediazione del cardinale Giovanni Battista Montini, poi Paolo VI, nel riconoscimento pontificio del 1947 mediante il decreto \Primum inter\.</w:t>
      </w:r>
    </w:p>
    <w:p>
      <w:pPr>
        <w:spacing w:after="120" w:line="276"/>
        <w:jc w:val="both"/>
      </w:pPr>
      <w:r>
        <w:rPr>
          <w:rFonts w:ascii="Barlow Semi Condensed" w:cs="Barlow Semi Condensed" w:eastAsia="Barlow Semi Condensed" w:hAnsi="Barlow Semi Condensed"/>
          <w:b/>
          <w:bCs/>
          <w:sz w:val="24"/>
          <w:szCs w:val="24"/>
        </w:rPr>
        <w:t xml:space="preserve">L'esito.\\ \\Non è stato reperito alcun documento, atto, corrispondenza o testimonianza che colleghi Aldo Moro all'Opus Dei in qualunque veste.</w:t>
      </w:r>
    </w:p>
    <w:p>
      <w:pPr>
        <w:spacing w:after="120" w:line="276"/>
        <w:jc w:val="both"/>
      </w:pPr>
      <w:r>
        <w:rPr>
          <w:rFonts w:ascii="Barlow Semi Condensed" w:cs="Barlow Semi Condensed" w:eastAsia="Barlow Semi Condensed" w:hAnsi="Barlow Semi Condensed"/>
          <w:b/>
          <w:bCs/>
          <w:sz w:val="24"/>
          <w:szCs w:val="24"/>
        </w:rPr>
        <w:t xml:space="preserve">La ragione culturale, che spiega l'esito anziché limitarsi a registrarlo, e che è il contributo di questo capitolo. La biografia intellettuale di Moro lo colloca senza ambiguità in una tradizione determinata: la Federazione universitaria cattolica italiana, di cui fu presidente dal 1939 al 1943; il Movimento dei Laureati Cattolici; la rivista Studium; la componente dossettiana della sinistra democristiana.</w:t>
      </w:r>
    </w:p>
    <w:p>
      <w:pPr>
        <w:spacing w:after="120" w:line="276"/>
        <w:jc w:val="both"/>
      </w:pPr>
      <w:r>
        <w:rPr>
          <w:rFonts w:ascii="Barlow Semi Condensed" w:cs="Barlow Semi Condensed" w:eastAsia="Barlow Semi Condensed" w:hAnsi="Barlow Semi Condensed"/>
          <w:b/>
          <w:bCs/>
          <w:sz w:val="24"/>
          <w:szCs w:val="24"/>
        </w:rPr>
        <w:t xml:space="preserve">È un cattolicesimo democratico distante per cultura, per teologia politica e per collocazione dall'ambiente dell'Opus Dei. La letteratura recente — la biografia di Paolo Acanfora, il volume di Iannuzzi e Losacco \Aldo Moro. Le idee, il metodo, l'eredità\ — descrive un uomo non di appartenenza confessionale chiusa, ma un credente che considera la politica un servizio alla libertà.</w:t>
      </w:r>
    </w:p>
    <w:p>
      <w:pPr>
        <w:spacing w:after="120" w:line="276"/>
        <w:jc w:val="both"/>
      </w:pPr>
      <w:r>
        <w:rPr>
          <w:rFonts w:ascii="Barlow Semi Condensed" w:cs="Barlow Semi Condensed" w:eastAsia="Barlow Semi Condensed" w:hAnsi="Barlow Semi Condensed"/>
          <w:b/>
          <w:bCs/>
          <w:sz w:val="24"/>
          <w:szCs w:val="24"/>
        </w:rPr>
        <w:t xml:space="preserve">Ne discende che l'assenza di documenti non è una lacuna d'archivio da colmare a ogni costo, ma è coerente con la collocazione culturale del soggetto. Le due cose vanno tenute distinte: la coerenza rende l'assenza attesa; non la rende provata.</w:t>
      </w:r>
    </w:p>
    <w:p>
      <w:pPr>
        <w:spacing w:after="120" w:line="276"/>
        <w:jc w:val="both"/>
      </w:pPr>
      <w:r>
        <w:rPr>
          <w:rFonts w:ascii="Barlow Semi Condensed" w:cs="Barlow Semi Condensed" w:eastAsia="Barlow Semi Condensed" w:hAnsi="Barlow Semi Condensed"/>
          <w:b/>
          <w:bCs/>
          <w:sz w:val="24"/>
          <w:szCs w:val="24"/>
        </w:rPr>
        <w:t xml:space="preserve">Perché la conferma di un esito negativo ha valore proprio, e va detto. In materia tanto esposta alla pubblicistica congetturale, la smentita documentale è un'acquisizione. Chiunque, in futuro, proponga un nesso fra Moro e l'istituzione dovrà produrre un documento; e questo studio, con il precedente, gli indica esattamente dove cercarlo e con quale esito la ricerca è stata già condotta.</w:t>
      </w:r>
    </w:p>
    <w:p>
      <w:pPr>
        <w:spacing w:after="120" w:line="276"/>
        <w:jc w:val="both"/>
      </w:pPr>
      <w:r>
        <w:rPr>
          <w:rFonts w:ascii="Barlow Semi Condensed" w:cs="Barlow Semi Condensed" w:eastAsia="Barlow Semi Condensed" w:hAnsi="Barlow Semi Condensed"/>
          <w:b/>
          <w:bCs/>
          <w:sz w:val="24"/>
          <w:szCs w:val="24"/>
        </w:rPr>
        <w:t xml:space="preserve">Si registra Stato Zero confermato. La verifica ulteriore andrebbe condotta nell'Archivio Aldo Moro, inventariato fra Archivio storico del Senato e Archivio Centrale dello Stato, e nell'archivio della Fondazione Aldo Moro. Condizione di chiusura: spoglio integrale.</w:t>
      </w:r>
    </w:p>
    <w:p>
      <w:pPr>
        <w:pStyle w:val="Heading2"/>
        <w:spacing w:after="100" w:before="200"/>
      </w:pPr>
      <w:r>
        <w:rPr>
          <w:rFonts w:ascii="Barlow Semi Condensed" w:cs="Barlow Semi Condensed" w:eastAsia="Barlow Semi Condensed" w:hAnsi="Barlow Semi Condensed"/>
          <w:sz w:val="24"/>
          <w:szCs w:val="24"/>
        </w:rPr>
        <w:t xml:space="preserve">Capitolo nono — I documenti desecretati: un esito negativo di grande significato</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negativo più notevole di questa ricognizione, e va letto insieme al Capitolo quarto perché ne costituisce la conferma per via indipendente.</w:t>
      </w:r>
    </w:p>
    <w:p>
      <w:pPr>
        <w:spacing w:after="120" w:line="276"/>
        <w:jc w:val="both"/>
      </w:pPr>
      <w:r>
        <w:rPr>
          <w:rFonts w:ascii="Barlow Semi Condensed" w:cs="Barlow Semi Condensed" w:eastAsia="Barlow Semi Condensed" w:hAnsi="Barlow Semi Condensed"/>
          <w:b/>
          <w:bCs/>
          <w:sz w:val="24"/>
          <w:szCs w:val="24"/>
        </w:rPr>
        <w:t xml:space="preserve">Il termine di confronto spagnolo, accertato. Esiste, per la Spagna, il rapporto della Central Intelligence Agency del 22 maggio 1970, protocollo CIA-RDP85T00875R001500020027-1, originariamente SEGRETO, sul gabinetto franchista e sull'assegnazione del maggior numero di dicasteri a membri o associati dell'Opus Dei.</w:t>
      </w:r>
    </w:p>
    <w:p>
      <w:pPr>
        <w:spacing w:after="120" w:line="276"/>
        <w:jc w:val="both"/>
      </w:pPr>
      <w:r>
        <w:rPr>
          <w:rFonts w:ascii="Barlow Semi Condensed" w:cs="Barlow Semi Condensed" w:eastAsia="Barlow Semi Condensed" w:hAnsi="Barlow Semi Condensed"/>
          <w:b/>
          <w:bCs/>
          <w:sz w:val="24"/>
          <w:szCs w:val="24"/>
        </w:rPr>
        <w:t xml:space="preserve">L'esito portoghese.\\ \\Non esiste alcun documento analogo per il Portogallo.</w:t>
      </w:r>
    </w:p>
    <w:p>
      <w:pPr>
        <w:spacing w:after="120" w:line="276"/>
        <w:jc w:val="both"/>
      </w:pPr>
      <w:r>
        <w:rPr>
          <w:rFonts w:ascii="Barlow Semi Condensed" w:cs="Barlow Semi Condensed" w:eastAsia="Barlow Semi Condensed" w:hAnsi="Barlow Semi Condensed"/>
          <w:b/>
          <w:bCs/>
          <w:sz w:val="24"/>
          <w:szCs w:val="24"/>
        </w:rPr>
        <w:t xml:space="preserve">Che cosa è stato verificato, una voce per volta. Le carte della Central Intelligence Agency sull'Opus Dei reperite riguardano esclusivamente la Spagna, segnatamente una nota informativa intitolata \Opus Dei in Barcelona\, protocollo CIA-RDP82-00457R015000010003-5, della serie degli anni Quaranta e Cinquanta.</w:t>
      </w:r>
    </w:p>
    <w:p>
      <w:pPr>
        <w:spacing w:after="120" w:line="276"/>
        <w:jc w:val="both"/>
      </w:pPr>
      <w:r>
        <w:rPr>
          <w:rFonts w:ascii="Barlow Semi Condensed" w:cs="Barlow Semi Condensed" w:eastAsia="Barlow Semi Condensed" w:hAnsi="Barlow Semi Condensed"/>
          <w:b/>
          <w:bCs/>
          <w:sz w:val="24"/>
          <w:szCs w:val="24"/>
        </w:rPr>
        <w:t xml:space="preserve">I profili biografici statunitensi su Caetano — documenti C06790244 e C06790246, rilasciati il 12 luglio 2019 — e su Salazar — documento 06782148 del 1 settembre 1968 — pur dettagliati sul conservatore ragionevole Caetano, sui rimpasti del gennaio 1970 e sulla fede religiosa di Salazar, non menzionano in alcun punto l'Opus Dei.</w:t>
      </w:r>
    </w:p>
    <w:p>
      <w:pPr>
        <w:spacing w:after="120" w:line="276"/>
        <w:jc w:val="both"/>
      </w:pPr>
      <w:r>
        <w:rPr>
          <w:rFonts w:ascii="Barlow Semi Condensed" w:cs="Barlow Semi Condensed" w:eastAsia="Barlow Semi Condensed" w:hAnsi="Barlow Semi Condensed"/>
          <w:b/>
          <w:bCs/>
          <w:sz w:val="24"/>
          <w:szCs w:val="24"/>
        </w:rPr>
        <w:t xml:space="preserve">Nella serie dei \Foreign Relations of the United States\ per il periodo 1969-1976, volume E-15 parte seconda, la sezione portoghese — documenti da centoventitré a centosettantotto — non contiene alcun riferimento all'Opus Dei né a tecnocrati cattolici, concentrandosi su rivoluzione, minaccia comunista, adesione atlantica e aiuti occidentali.</w:t>
      </w:r>
    </w:p>
    <w:p>
      <w:pPr>
        <w:spacing w:after="120" w:line="276"/>
        <w:jc w:val="both"/>
      </w:pPr>
      <w:r>
        <w:rPr>
          <w:rFonts w:ascii="Barlow Semi Condensed" w:cs="Barlow Semi Condensed" w:eastAsia="Barlow Semi Condensed" w:hAnsi="Barlow Semi Condensed"/>
          <w:b/>
          <w:bCs/>
          <w:sz w:val="24"/>
          <w:szCs w:val="24"/>
        </w:rPr>
        <w:t xml:space="preserve">L'unico riferimento all'Opus Dei nell'intero ciclo della serie è nella sezione spagnola, volume quarantunesimo, documento trecentotré, in una nota redazionale sullo scandalo MATESA che ricorda l'incriminazione di due ex ministri membri dell'istituzione.</w:t>
      </w:r>
    </w:p>
    <w:p>
      <w:pPr>
        <w:spacing w:after="120" w:line="276"/>
        <w:jc w:val="both"/>
      </w:pPr>
      <w:r>
        <w:rPr>
          <w:rFonts w:ascii="Barlow Semi Condensed" w:cs="Barlow Semi Condensed" w:eastAsia="Barlow Semi Condensed" w:hAnsi="Barlow Semi Condensed"/>
          <w:b/>
          <w:bCs/>
          <w:sz w:val="24"/>
          <w:szCs w:val="24"/>
        </w:rPr>
        <w:t xml:space="preserve">Un elemento collaterale conferma il quadro. Il contenzioso promosso fra il 2009 e il 2011 da un ricercatore statunitense con un'organizzazione di tutela dei consumatori per ottenere le carte dell'agenzia sull'Opus Dei verteva anch'esso sulla Spagna franchista.</w:t>
      </w:r>
    </w:p>
    <w:p>
      <w:pPr>
        <w:spacing w:after="120" w:line="276"/>
        <w:jc w:val="both"/>
      </w:pPr>
      <w:r>
        <w:rPr>
          <w:rFonts w:ascii="Barlow Semi Condensed" w:cs="Barlow Semi Condensed" w:eastAsia="Barlow Semi Condensed" w:hAnsi="Barlow Semi Condensed"/>
          <w:b/>
          <w:bCs/>
          <w:sz w:val="24"/>
          <w:szCs w:val="24"/>
        </w:rPr>
        <w:t xml:space="preserve">La conclusione, distinguendo il documento dall'inferenza. L'intelligence statunitense tracciò l'Opus Dei nel contesto spagnolo e non in quello portoghese. E l'unica traccia documentale del nesso fra l'istituzione e il Portogallo resta nei fondi della polizia politica portoghese — cioè in intelligence domestica portoghese e non statunitense.</w:t>
      </w:r>
    </w:p>
    <w:p>
      <w:pPr>
        <w:spacing w:after="120" w:line="276"/>
        <w:jc w:val="both"/>
      </w:pPr>
      <w:r>
        <w:rPr>
          <w:rFonts w:ascii="Barlow Semi Condensed" w:cs="Barlow Semi Condensed" w:eastAsia="Barlow Semi Condensed" w:hAnsi="Barlow Semi Condensed"/>
          <w:b/>
          <w:bCs/>
          <w:sz w:val="24"/>
          <w:szCs w:val="24"/>
        </w:rPr>
        <w:t xml:space="preserve">Ne discende una risultanza che vale oltre l'oggetto. Due servizi diversi guardarono la medesima istituzione in due Paesi confinanti e la classificarono in modo opposto: gli americani come componente di un governo alleato in Spagna, i portoghesi come minaccia interna da sorvegliare. La differenza non è nell'istituzione: è nel rapporto fra essa e i due poteri.</w:t>
      </w:r>
    </w:p>
    <w:p>
      <w:pPr>
        <w:spacing w:after="120" w:line="276"/>
        <w:jc w:val="both"/>
      </w:pPr>
      <w:r>
        <w:rPr>
          <w:rFonts w:ascii="Barlow Semi Condensed" w:cs="Barlow Semi Condensed" w:eastAsia="Barlow Semi Condensed" w:hAnsi="Barlow Semi Condensed"/>
          <w:b/>
          <w:bCs/>
          <w:sz w:val="24"/>
          <w:szCs w:val="24"/>
        </w:rPr>
        <w:t xml:space="preserve">Il limite tecnico va dichiarato. L'interfaccia di ricerca interna del readingroom non è stata interrogabile direttamente. Non si può escludere l'esistenza di un cablogramma non indicizzato o pesantemente espurgato; nulla è emerso su oltre dieci interrogazioni mirate, e questo è il grado di certezza raggiunto.</w:t>
      </w:r>
    </w:p>
    <w:p>
      <w:pPr>
        <w:pStyle w:val="Heading2"/>
        <w:spacing w:after="100" w:before="200"/>
      </w:pPr>
      <w:r>
        <w:rPr>
          <w:rFonts w:ascii="Barlow Semi Condensed" w:cs="Barlow Semi Condensed" w:eastAsia="Barlow Semi Condensed" w:hAnsi="Barlow Semi Condensed"/>
          <w:sz w:val="24"/>
          <w:szCs w:val="24"/>
        </w:rPr>
        <w:t xml:space="preserve">Capitolo decimo — Gli archivi e la misura dell'inesplorato</w:t>
      </w:r>
    </w:p>
    <w:p>
      <w:pPr>
        <w:spacing w:after="120" w:line="276"/>
        <w:jc w:val="both"/>
      </w:pPr>
      <w:r>
        <w:rPr>
          <w:rFonts w:ascii="Barlow Semi Condensed" w:cs="Barlow Semi Condensed" w:eastAsia="Barlow Semi Condensed" w:hAnsi="Barlow Semi Condensed"/>
          <w:b/>
          <w:bCs/>
          <w:sz w:val="24"/>
          <w:szCs w:val="24"/>
        </w:rPr>
        <w:t xml:space="preserve">Il capitolo ha funzione di strumento e registra dove andare, a quali condizioni, e quanto resti da vedere.</w:t>
      </w:r>
    </w:p>
    <w:p>
      <w:pPr>
        <w:spacing w:after="120" w:line="276"/>
        <w:jc w:val="both"/>
      </w:pPr>
      <w:r>
        <w:rPr>
          <w:rFonts w:ascii="Barlow Semi Condensed" w:cs="Barlow Semi Condensed" w:eastAsia="Barlow Semi Condensed" w:hAnsi="Barlow Semi Condensed"/>
          <w:b/>
          <w:bCs/>
          <w:sz w:val="24"/>
          <w:szCs w:val="24"/>
        </w:rPr>
        <w:t xml:space="preserve">L'Arquivo Nacional da Torre do Tombo. Accesso libero a chi abbia più di sedici anni, diciotto per talune richieste telematiche; la documentazione della polizia politica è soggetta a regolamento proprio ma consultabile su richiesta al servizio di riferimento. I fondi rilevanti sono il fondo PIDE-DGS, l'Arquivo Oliveira Salazar e l'Arquivo Marcello Caetano.</w:t>
      </w:r>
    </w:p>
    <w:p>
      <w:pPr>
        <w:spacing w:after="120" w:line="276"/>
        <w:jc w:val="both"/>
      </w:pPr>
      <w:r>
        <w:rPr>
          <w:rFonts w:ascii="Barlow Semi Condensed" w:cs="Barlow Semi Condensed" w:eastAsia="Barlow Semi Condensed" w:hAnsi="Barlow Semi Condensed"/>
          <w:b/>
          <w:bCs/>
          <w:sz w:val="24"/>
          <w:szCs w:val="24"/>
        </w:rPr>
        <w:t xml:space="preserve">La misura dell'inesplorato, ed è il dato che più colpisce di questo capitolo. Il capo divisione dell'archivio, Paulo Tremoceiro, ha dichiarato in un servizio radiofonico del 23 aprile 2019 che, per la propria esperienza quotidiana, metà della documentazione esistente nei depositi è ancora da consultare — pur essendo già numerata dai tecnici.</w:t>
      </w:r>
    </w:p>
    <w:p>
      <w:pPr>
        <w:spacing w:after="120" w:line="276"/>
        <w:jc w:val="both"/>
      </w:pPr>
      <w:r>
        <w:rPr>
          <w:rFonts w:ascii="Barlow Semi Condensed" w:cs="Barlow Semi Condensed" w:eastAsia="Barlow Semi Condensed" w:hAnsi="Barlow Semi Condensed"/>
          <w:b/>
          <w:bCs/>
          <w:sz w:val="24"/>
          <w:szCs w:val="24"/>
        </w:rPr>
        <w:t xml:space="preserve">Ne discende che il potenziale di reperimento è tuttora aperto in misura considerevole, e che un esito negativo ottenuto per via telematica su questo fondo ha valore molto limitato: si è cercato in un catalogo, non nei depositi.</w:t>
      </w:r>
    </w:p>
    <w:p>
      <w:pPr>
        <w:spacing w:after="120" w:line="276"/>
        <w:jc w:val="both"/>
      </w:pPr>
      <w:r>
        <w:rPr>
          <w:rFonts w:ascii="Barlow Semi Condensed" w:cs="Barlow Semi Condensed" w:eastAsia="Barlow Semi Condensed" w:hAnsi="Barlow Semi Condensed"/>
          <w:b/>
          <w:bCs/>
          <w:sz w:val="24"/>
          <w:szCs w:val="24"/>
        </w:rPr>
        <w:t xml:space="preserve">L'Arquivo Histórico-Diplomático del ministero portoghese è accessibile e descritto attraverso l'Istituto Diplomatico, con serie sulle relazioni diplomatiche dal 1640.</w:t>
      </w:r>
    </w:p>
    <w:p>
      <w:pPr>
        <w:spacing w:after="120" w:line="276"/>
        <w:jc w:val="both"/>
      </w:pPr>
      <w:r>
        <w:rPr>
          <w:rFonts w:ascii="Barlow Semi Condensed" w:cs="Barlow Semi Condensed" w:eastAsia="Barlow Semi Condensed" w:hAnsi="Barlow Semi Condensed"/>
          <w:b/>
          <w:bCs/>
          <w:sz w:val="24"/>
          <w:szCs w:val="24"/>
        </w:rPr>
        <w:t xml:space="preserve">Gli archivi dell'istituzione — l'Archivio Generale della Prelatura a Roma e la Biblioteca dell'Università di Navarra — sono ad accesso ristretto e mediato dall'Istituto Storico intitolato al fondatore, il quale ha però promosso l'edizione critica e monografie fondate su diari e corrispondenza interni, fra cui l'opera di Onésimo Díaz \Expansión: El desarrollo del Opus Dei entre los años 1940 y 1945\, Madrid, Rialp, 2020, che è la fonte della cronologia dell'insediamento.</w:t>
      </w:r>
    </w:p>
    <w:p>
      <w:pPr>
        <w:spacing w:after="120" w:line="276"/>
        <w:jc w:val="both"/>
      </w:pPr>
      <w:r>
        <w:rPr>
          <w:rFonts w:ascii="Barlow Semi Condensed" w:cs="Barlow Semi Condensed" w:eastAsia="Barlow Semi Condensed" w:hAnsi="Barlow Semi Condensed"/>
          <w:b/>
          <w:bCs/>
          <w:sz w:val="24"/>
          <w:szCs w:val="24"/>
        </w:rPr>
        <w:t xml:space="preserve">L'Archivio Storico Diplomatico italiano conserva la serie Portogallo per il 1969-1974, non ancora spogliata ai fini di questa ricerca.</w:t>
      </w:r>
    </w:p>
    <w:p>
      <w:pPr>
        <w:spacing w:after="120" w:line="276"/>
        <w:jc w:val="both"/>
      </w:pPr>
      <w:r>
        <w:rPr>
          <w:rFonts w:ascii="Barlow Semi Condensed" w:cs="Barlow Semi Condensed" w:eastAsia="Barlow Semi Condensed" w:hAnsi="Barlow Semi Condensed"/>
          <w:b/>
          <w:bCs/>
          <w:sz w:val="24"/>
          <w:szCs w:val="24"/>
        </w:rPr>
        <w:t xml:space="preserve">Un'osservazione di metodo che le sei ricognizioni hanno consolidato. Il fondo della polizia politica portoghese si aprì in conseguenza della caduta del regime che lo teneva chiuso. Il progetto ha registrato altrove, come regolarità empirica, che nessun archivio di apparato di sicurezza si è mai aperto volontariamente. Il caso portoghese ne è l'esempio più netto, e il fatto che metà di esso sia ancora da leggere dopo cinquant'anni aggiunge un corollario: l'apertura di un archivio non equivale alla sua lettura.</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ridotte a un solo nodo</w:t>
      </w:r>
    </w:p>
    <w:p>
      <w:pPr>
        <w:spacing w:after="120" w:line="276"/>
        <w:jc w:val="both"/>
      </w:pPr>
      <w:r>
        <w:rPr>
          <w:rFonts w:ascii="Barlow Semi Condensed" w:cs="Barlow Semi Condensed" w:eastAsia="Barlow Semi Condensed" w:hAnsi="Barlow Semi Condensed"/>
          <w:b/>
          <w:bCs/>
          <w:sz w:val="24"/>
          <w:szCs w:val="24"/>
        </w:rPr>
        <w:t xml:space="preserve">Il capitolo applica ai quattro assi la disciplina dei gradi, e ne registra l'esito che è di riduzione.</w:t>
      </w:r>
    </w:p>
    <w:p>
      <w:pPr>
        <w:spacing w:after="120" w:line="276"/>
        <w:jc w:val="both"/>
      </w:pPr>
      <w:r>
        <w:rPr>
          <w:rFonts w:ascii="Barlow Semi Condensed" w:cs="Barlow Semi Condensed" w:eastAsia="Barlow Semi Condensed" w:hAnsi="Barlow Semi Condensed"/>
          <w:b/>
          <w:bCs/>
          <w:sz w:val="24"/>
          <w:szCs w:val="24"/>
        </w:rPr>
        <w:t xml:space="preserve">Primo asse: Moro e l'Opus Dei. Nessun punto di contatto documentato. La triangolazione non esiste sul piano delle fonti, e la contemporaneità fra il ministero di Moro e la fase spagnola dei ministri dell'istituzione non stabilisce nulla.</w:t>
      </w:r>
    </w:p>
    <w:p>
      <w:pPr>
        <w:spacing w:after="120" w:line="276"/>
        <w:jc w:val="both"/>
      </w:pPr>
      <w:r>
        <w:rPr>
          <w:rFonts w:ascii="Barlow Semi Condensed" w:cs="Barlow Semi Condensed" w:eastAsia="Barlow Semi Condensed" w:hAnsi="Barlow Semi Condensed"/>
          <w:b/>
          <w:bCs/>
          <w:sz w:val="24"/>
          <w:szCs w:val="24"/>
        </w:rPr>
        <w:t xml:space="preserve">Secondo asse: Moro e il Portogallo.\\ Soltanto cornice diplomatica generale, senza documenti specifici reperiti. \\Ciò che non si stabilisce è qualunque iniziativa morotea mirata al Portogallo.</w:t>
      </w:r>
    </w:p>
    <w:p>
      <w:pPr>
        <w:spacing w:after="120" w:line="276"/>
        <w:jc w:val="both"/>
      </w:pPr>
      <w:r>
        <w:rPr>
          <w:rFonts w:ascii="Barlow Semi Condensed" w:cs="Barlow Semi Condensed" w:eastAsia="Barlow Semi Condensed" w:hAnsi="Barlow Semi Condensed"/>
          <w:b/>
          <w:bCs/>
          <w:sz w:val="24"/>
          <w:szCs w:val="24"/>
        </w:rPr>
        <w:t xml:space="preserve">Terzo asse: l'Opus Dei e il Portogallo. Contatto documentato con la gerarchia — rapporti dapprima tesi e poi ricomposti nel 1972 con il cardinale patriarca, e con il successore dal 1971 — e sorveglianza poliziesca documentata dai fondi archivistici. Ciò che tale documentazione non stabilisce è una condotta politica effettiva dell'ente, restando essa prova di sospetto e non di azione.</w:t>
      </w:r>
    </w:p>
    <w:p>
      <w:pPr>
        <w:spacing w:after="120" w:line="276"/>
        <w:jc w:val="both"/>
      </w:pPr>
      <w:r>
        <w:rPr>
          <w:rFonts w:ascii="Barlow Semi Condensed" w:cs="Barlow Semi Condensed" w:eastAsia="Barlow Semi Condensed" w:hAnsi="Barlow Semi Condensed"/>
          <w:b/>
          <w:bCs/>
          <w:sz w:val="24"/>
          <w:szCs w:val="24"/>
        </w:rPr>
        <w:t xml:space="preserve">Quarto asse: il confronto col caso spagnolo. Comunanza di ambiente istituzionale cattolico ma divergenza netta di esito politico. E qui va detta una cosa che vale come correzione di impostazione: una divergenza non è una triangolazione. Due esiti opposti nel medesimo ambiente non collegano i due casi: li distinguono.</w:t>
      </w:r>
    </w:p>
    <w:p>
      <w:pPr>
        <w:spacing w:after="120" w:line="276"/>
        <w:jc w:val="both"/>
      </w:pPr>
      <w:r>
        <w:rPr>
          <w:rFonts w:ascii="Barlow Semi Condensed" w:cs="Barlow Semi Condensed" w:eastAsia="Barlow Semi Condensed" w:hAnsi="Barlow Semi Condensed"/>
          <w:b/>
          <w:bCs/>
          <w:sz w:val="24"/>
          <w:szCs w:val="24"/>
        </w:rPr>
        <w:t xml:space="preserve">Il solo nodo comune reale è la mediazione della Santa Sede. Paolo VI mediò per il riconoscimento dell'istituzione nel 1947; e la Santa Sede fu interlocutrice tanto del Portogallo — Concordato e Accordo missionario del 7 maggio 1940, Protocollo addizionale del 15 febbraio 1975 firmato da Villot e Salgado Zenha, già acquisiti nelle ricognizioni anteriori — quanto dell'Italia concordataria.</w:t>
      </w:r>
    </w:p>
    <w:p>
      <w:pPr>
        <w:spacing w:after="120" w:line="276"/>
        <w:jc w:val="both"/>
      </w:pPr>
      <w:r>
        <w:rPr>
          <w:rFonts w:ascii="Barlow Semi Condensed" w:cs="Barlow Semi Condensed" w:eastAsia="Barlow Semi Condensed" w:hAnsi="Barlow Semi Condensed"/>
          <w:b/>
          <w:bCs/>
          <w:sz w:val="24"/>
          <w:szCs w:val="24"/>
        </w:rPr>
        <w:t xml:space="preserve">Ma anche questo nodo va qualificato per quello che è: comunanza di interlocutore, non convergenza di obiettivo documentata fra Moro e l'Opus Dei. Che due soggetti si rivolgano al medesimo terzo non li mette in rapporto fra loro.</w:t>
      </w:r>
    </w:p>
    <w:p>
      <w:pPr>
        <w:spacing w:after="120" w:line="276"/>
        <w:jc w:val="both"/>
      </w:pPr>
      <w:r>
        <w:rPr>
          <w:rFonts w:ascii="Barlow Semi Condensed" w:cs="Barlow Semi Condensed" w:eastAsia="Barlow Semi Condensed" w:hAnsi="Barlow Semi Condensed"/>
          <w:b/>
          <w:bCs/>
          <w:sz w:val="24"/>
          <w:szCs w:val="24"/>
        </w:rPr>
        <w:t xml:space="preserve">La risultanza generale del capitolo. Nessuna delle triangolazioni esaminate stabilisce un nesso operativo fra l'azione diplomatica di Moro, la vicenda portoghese e l'Opus Dei. La contemporaneità cronologica, qui come nelle cinque ricognizioni anteriori, non prova alcun legame.</w:t>
      </w:r>
    </w:p>
    <w:p>
      <w:pPr>
        <w:spacing w:after="120" w:line="276"/>
        <w:jc w:val="both"/>
      </w:pPr>
      <w:r>
        <w:rPr>
          <w:rFonts w:ascii="Barlow Semi Condensed" w:cs="Barlow Semi Condensed" w:eastAsia="Barlow Semi Condensed" w:hAnsi="Barlow Semi Condensed"/>
          <w:b/>
          <w:bCs/>
          <w:sz w:val="24"/>
          <w:szCs w:val="24"/>
        </w:rPr>
        <w:t xml:space="preserve">E una constatazione sul metodo, che le sei ricognizioni consegnano insieme. Ogni volta che si è cercata una triangolazione a tre termini, essa si è ridotta a due — o a uno. Le triangolazioni vere sono rare, e la loro rarità è la ragione per cui vale la pena cercarle: se fossero frequenti, non discriminerebbero fra le ipotesi.</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sei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con la soglia che modificherebbe la valutazione.</w:t>
      </w:r>
    </w:p>
    <w:p>
      <w:pPr>
        <w:spacing w:after="120" w:line="276"/>
        <w:jc w:val="both"/>
      </w:pPr>
      <w:r>
        <w:rPr>
          <w:rFonts w:ascii="Barlow Semi Condensed" w:cs="Barlow Semi Condensed" w:eastAsia="Barlow Semi Condensed" w:hAnsi="Barlow Semi Condensed"/>
          <w:b/>
          <w:bCs/>
          <w:sz w:val="24"/>
          <w:szCs w:val="24"/>
        </w:rPr>
        <w:t xml:space="preserve">Prima voce. Le carte diplomatiche italiane su Moro e il Portogallo: Archivio Storico Diplomatico della Farnesina, serie Portogallo 1969-1974, telespressi dell'ambasciata di Lisbona e appunti della Direzione generale affari politici. Soglia: il rinvenimento anche di un solo documento firmato o siglato da Moro sul Portogallo trasformerebbe lo Stato Zero del Capitolo settimo in accertamento.</w:t>
      </w:r>
    </w:p>
    <w:p>
      <w:pPr>
        <w:spacing w:after="120" w:line="276"/>
        <w:jc w:val="both"/>
      </w:pPr>
      <w:r>
        <w:rPr>
          <w:rFonts w:ascii="Barlow Semi Condensed" w:cs="Barlow Semi Condensed" w:eastAsia="Barlow Semi Condensed" w:hAnsi="Barlow Semi Condensed"/>
          <w:b/>
          <w:bCs/>
          <w:sz w:val="24"/>
          <w:szCs w:val="24"/>
        </w:rPr>
        <w:t xml:space="preserve">Seconda voce. I fascicoli originali della polizia politica sull'Opus Dei — la nota del 1961, i rapporti del settembre 1963 e del gennaio 1964 — presso la Torre do Tombo, per verificare autonomamente le citazioni della pubblicistica e distinguere il testo primario dalla parafrasi giornalistica. Soglia: la conferma verbatim della frase del rapporto del 1963 e dei nomi annotati. Condizione: richiesta al servizio di riferimento e vaglio del regolamento speciale.</w:t>
      </w:r>
    </w:p>
    <w:p>
      <w:pPr>
        <w:spacing w:after="120" w:line="276"/>
        <w:jc w:val="both"/>
      </w:pPr>
      <w:r>
        <w:rPr>
          <w:rFonts w:ascii="Barlow Semi Condensed" w:cs="Barlow Semi Condensed" w:eastAsia="Barlow Semi Condensed" w:hAnsi="Barlow Semi Condensed"/>
          <w:b/>
          <w:bCs/>
          <w:sz w:val="24"/>
          <w:szCs w:val="24"/>
        </w:rPr>
        <w:t xml:space="preserve">Terza voce. La posizione dell'ente come istituzione sulle guerre coloniali: Archivio Generale della Prelatura a Roma e fondi diocesani portoghesi. Soglia: reperimento di un documento istituzionale, non di una testimonianza individuale.</w:t>
      </w:r>
    </w:p>
    <w:p>
      <w:pPr>
        <w:spacing w:after="120" w:line="276"/>
        <w:jc w:val="both"/>
      </w:pPr>
      <w:r>
        <w:rPr>
          <w:rFonts w:ascii="Barlow Semi Condensed" w:cs="Barlow Semi Condensed" w:eastAsia="Barlow Semi Condensed" w:hAnsi="Barlow Semi Condensed"/>
          <w:b/>
          <w:bCs/>
          <w:sz w:val="24"/>
          <w:szCs w:val="24"/>
        </w:rPr>
        <w:t xml:space="preserve">Quarta voce. Lo spoglio integrale dell'Archivio Aldo Moro e della Fondazione, per la chiusura definitiva dello Stato Zero del Capitolo ottavo.</w:t>
      </w:r>
    </w:p>
    <w:p>
      <w:pPr>
        <w:spacing w:after="120" w:line="276"/>
        <w:jc w:val="both"/>
      </w:pPr>
      <w:r>
        <w:rPr>
          <w:rFonts w:ascii="Barlow Semi Condensed" w:cs="Barlow Semi Condensed" w:eastAsia="Barlow Semi Condensed" w:hAnsi="Barlow Semi Condensed"/>
          <w:b/>
          <w:bCs/>
          <w:sz w:val="24"/>
          <w:szCs w:val="24"/>
        </w:rPr>
        <w:t xml:space="preserve">Quinta voce. L'eventuale documento statunitense non indicizzato che menzioni Opus Dei e Portogallo: interrogazione diretta dell'indice interno del readingroom e richiesta di accesso mirata.</w:t>
      </w:r>
    </w:p>
    <w:p>
      <w:pPr>
        <w:pStyle w:val="Heading2"/>
        <w:spacing w:after="100" w:before="200"/>
      </w:pPr>
      <w:r>
        <w:rPr>
          <w:rFonts w:ascii="Barlow Semi Condensed" w:cs="Barlow Semi Condensed" w:eastAsia="Barlow Semi Condensed" w:hAnsi="Barlow Semi Condensed"/>
          <w:sz w:val="24"/>
          <w:szCs w:val="24"/>
        </w:rPr>
        <w:t xml:space="preserve">Nota sul bilancio delle sei ricognizioni, che chiude questo studio.</w:t>
      </w:r>
    </w:p>
    <w:p>
      <w:pPr>
        <w:spacing w:after="120" w:line="276"/>
        <w:jc w:val="both"/>
      </w:pPr>
      <w:r>
        <w:rPr>
          <w:rFonts w:ascii="Barlow Semi Condensed" w:cs="Barlow Semi Condensed" w:eastAsia="Barlow Semi Condensed" w:hAnsi="Barlow Semi Condensed"/>
          <w:b/>
          <w:bCs/>
          <w:sz w:val="24"/>
          <w:szCs w:val="24"/>
        </w:rPr>
        <w:t xml:space="preserve">Sei ricognizioni hanno percorso l'attività ministeriale di Moro verso quattro oggetti: la Spagna, la Santa Sede, l'Opus Dei nel contesto spagnolo, il Portogallo con la Santa Sede, il Portogallo con l'Opus Dei.</w:t>
      </w:r>
    </w:p>
    <w:p>
      <w:pPr>
        <w:spacing w:after="120" w:line="276"/>
        <w:jc w:val="both"/>
      </w:pPr>
      <w:r>
        <w:rPr>
          <w:rFonts w:ascii="Barlow Semi Condensed" w:cs="Barlow Semi Condensed" w:eastAsia="Barlow Semi Condensed" w:hAnsi="Barlow Semi Condensed"/>
          <w:b/>
          <w:bCs/>
          <w:sz w:val="24"/>
          <w:szCs w:val="24"/>
        </w:rPr>
        <w:t xml:space="preserve">L'esito costante è che il governo italiano non compare. Verso Madrid: nessuna iniziativa documentata. Verso Lisbona: nessun atto reperito, nemmeno sull'espulsione di nove propri cittadini. Verso l'Opus Dei: nessun contatto documentato, in nessuno dei due perimetri iberici.</w:t>
      </w:r>
    </w:p>
    <w:p>
      <w:pPr>
        <w:spacing w:after="120" w:line="276"/>
        <w:jc w:val="both"/>
      </w:pPr>
      <w:r>
        <w:rPr>
          <w:rFonts w:ascii="Barlow Semi Condensed" w:cs="Barlow Semi Condensed" w:eastAsia="Barlow Semi Condensed" w:hAnsi="Barlow Semi Condensed"/>
          <w:b/>
          <w:bCs/>
          <w:sz w:val="24"/>
          <w:szCs w:val="24"/>
        </w:rPr>
        <w:t xml:space="preserve">E ciò che compare, ogni volta, sono soggetti diversi dallo Stato. La società civile italiana di sinistra e gli enti locali, per la conferenza romana del 1970. Le congregazioni religiose, per la denuncia coloniale e per l'espulsione. La Santa Sede, per l'udienza pontificia e per gli atti concordatari. La polizia politica portoghese, per la sorveglianza dell'Opus Dei.</w:t>
      </w:r>
    </w:p>
    <w:p>
      <w:pPr>
        <w:spacing w:after="120" w:line="276"/>
        <w:jc w:val="both"/>
      </w:pPr>
      <w:r>
        <w:rPr>
          <w:rFonts w:ascii="Barlow Semi Condensed" w:cs="Barlow Semi Condensed" w:eastAsia="Barlow Semi Condensed" w:hAnsi="Barlow Semi Condensed"/>
          <w:b/>
          <w:bCs/>
          <w:sz w:val="24"/>
          <w:szCs w:val="24"/>
        </w:rPr>
        <w:t xml:space="preserve">Ne discende la constatazione conclusiva, che le sei ricognizioni hanno prodotto insieme e che nessuna di esse avrebbe prodotto da sola. Dove agiscono soggetti che tengono archivio e che pubblicano — congregazioni, riviste missionarie, apparati di polizia, cancellerie ecclesiastiche — resta traccia anche a mezzo secolo di distanza. Dove agiscono i governi, e i loro archivi non sono accessibili o non sono indicizzati,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 È la sola lezione che sei ricognizioni consegnano con certezza, e la si consegna come tale.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VII · Aldo Moro Alla Farnesina, Il Portogallo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 4.786 parole in 9 sezioni; la più ampia è §9 Altre sezioni, con 3.883.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 109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VIII — Aldo Moro Alla Farnesina, La Turchia E La Santa Sede</w:t>
      </w:r>
    </w:p>
    <w:p>
      <w:pPr>
        <w:pStyle w:val="Heading1"/>
        <w:spacing w:after="120" w:before="240"/>
      </w:pPr>
      <w:r>
        <w:rPr>
          <w:rFonts w:ascii="Barlow Semi Condensed" w:cs="Barlow Semi Condensed" w:eastAsia="Barlow Semi Condensed" w:hAnsi="Barlow Semi Condensed"/>
          <w:sz w:val="24"/>
          <w:szCs w:val="24"/>
        </w:rPr>
        <w:t xml:space="preserve">ALDO MORO ALLA FARNESINA, LA TURCHIA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../originali/santa-sede-turchia-attentato-giovanni-paolo-ii.md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23,5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Settima ricognizione: l'attentato del 13 maggio 1981</w:t>
      </w:r>
    </w:p>
    <w:p>
      <w:pPr>
        <w:pStyle w:val="Heading2"/>
        <w:spacing w:after="100" w:before="200"/>
      </w:pPr>
      <w:r>
        <w:rPr>
          <w:rFonts w:ascii="Barlow Semi Condensed" w:cs="Barlow Semi Condensed" w:eastAsia="Barlow Semi Condensed" w:hAnsi="Barlow Semi Condensed"/>
          <w:sz w:val="24"/>
          <w:szCs w:val="24"/>
        </w:rPr>
        <w:t xml:space="preserve">La pista bulgara non provata e la convergenza di due apparati</w:t>
      </w:r>
    </w:p>
    <w:p>
      <w:pPr>
        <w:pStyle w:val="Heading2"/>
        <w:spacing w:after="100" w:before="200"/>
      </w:pPr>
      <w:r>
        <w:rPr>
          <w:rFonts w:ascii="Barlow Semi Condensed" w:cs="Barlow Semi Condensed" w:eastAsia="Barlow Semi Condensed" w:hAnsi="Barlow Semi Condensed"/>
          <w:sz w:val="24"/>
          <w:szCs w:val="24"/>
        </w:rPr>
        <w:t xml:space="preserve">Dodici Capitoli — quattro triangolazioni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limite strutturale, enunciato per primo</w:t>
      </w:r>
    </w:p>
    <w:p>
      <w:pPr>
        <w:spacing w:after="120" w:line="276"/>
        <w:jc w:val="both"/>
      </w:pPr>
      <w:r>
        <w:rPr>
          <w:rFonts w:ascii="Barlow Semi Condensed" w:cs="Barlow Semi Condensed" w:eastAsia="Barlow Semi Condensed" w:hAnsi="Barlow Semi Condensed"/>
          <w:b/>
          <w:bCs/>
          <w:sz w:val="24"/>
          <w:szCs w:val="24"/>
        </w:rPr>
        <w:t xml:space="preserve">È la settima ricognizione sull'attività ministeriale di Aldo Moro e la seconda sul perimetro turco. La prima aveva incrociato la Turchia con l'Opus Dei e prodotto uno Stato Zero; la presente vi sostituisce il Vaticano e produce, per la prima volta nell'intera serie, un accertamento che conviene enunciare prima di ogni altra cosa perché governa i dodici capitoli e vale oltre il loro oggetto.</w:t>
      </w:r>
    </w:p>
    <w:p>
      <w:pPr>
        <w:spacing w:after="120" w:line="276"/>
        <w:jc w:val="both"/>
      </w:pPr>
      <w:r>
        <w:rPr>
          <w:rFonts w:ascii="Barlow Semi Condensed" w:cs="Barlow Semi Condensed" w:eastAsia="Barlow Semi Condensed" w:hAnsi="Barlow Semi Condensed"/>
          <w:b/>
          <w:bCs/>
          <w:sz w:val="24"/>
          <w:szCs w:val="24"/>
        </w:rPr>
        <w:t xml:space="preserve">L'Archivio Apostolico Vaticano è consultabile soltanto fino all'ottobre 1958, data della morte di Pio XII, il cui pontificato è stato aperto alla consultazione a partire dal marzo 2020. Ne consegue che i pontificati di Giovanni XXIII, Paolo VI e Giovanni Paolo II non sono aperti, e con essi l'intera documentazione vaticana relativa alle relazioni diplomatiche con la Turchia dal 1960, al dialogo cattolico-ortodosso posteriore al Concilio, alla partecipazione alla Conferenza per la sicurezza e la cooperazione in Europa, e all'attentato del 1981.</w:t>
      </w:r>
    </w:p>
    <w:p>
      <w:pPr>
        <w:spacing w:after="120" w:line="276"/>
        <w:jc w:val="both"/>
      </w:pPr>
      <w:r>
        <w:rPr>
          <w:rFonts w:ascii="Barlow Semi Condensed" w:cs="Barlow Semi Condensed" w:eastAsia="Barlow Semi Condensed" w:hAnsi="Barlow Semi Condensed"/>
          <w:b/>
          <w:bCs/>
          <w:sz w:val="24"/>
          <w:szCs w:val="24"/>
        </w:rPr>
        <w:t xml:space="preserve">Questo non è un esito della ricerca: è una condizione della ricerca. Non si tratta di documenti non reperiti, ma di documenti che per chiunque, oggi, sono inaccessibili. La differenza è di natura e non di grado, e va scritta perché nelle sei ricognizioni anteriori gli Stati Zero erano tutti riconducibili a limiti di strumento o di spoglio; qui il limite è istituzionale e insuperabile allo stato.</w:t>
      </w:r>
    </w:p>
    <w:p>
      <w:pPr>
        <w:spacing w:after="120" w:line="276"/>
        <w:jc w:val="both"/>
      </w:pPr>
      <w:r>
        <w:rPr>
          <w:rFonts w:ascii="Barlow Semi Condensed" w:cs="Barlow Semi Condensed" w:eastAsia="Barlow Semi Condensed" w:hAnsi="Barlow Semi Condensed"/>
          <w:b/>
          <w:bCs/>
          <w:sz w:val="24"/>
          <w:szCs w:val="24"/>
        </w:rPr>
        <w:t xml:space="preserve">Va aggiunto un dato che aggrava il quadro sul versante roncalliano. Anche la documentazione del quinquennio 1940-1945, relativa all'azione di Angelo Roncalli in Turchia durante la guerra, non risulta pienamente consultabile, come segnalato da Rinaldo Marmara, che ne ha avviato la catalogazione.</w:t>
      </w:r>
    </w:p>
    <w:p>
      <w:pPr>
        <w:spacing w:after="120" w:line="276"/>
        <w:jc w:val="both"/>
      </w:pPr>
      <w:r>
        <w:rPr>
          <w:rFonts w:ascii="Barlow Semi Condensed" w:cs="Barlow Semi Condensed" w:eastAsia="Barlow Semi Condensed" w:hAnsi="Barlow Semi Condensed"/>
          <w:b/>
          <w:bCs/>
          <w:sz w:val="24"/>
          <w:szCs w:val="24"/>
        </w:rPr>
        <w:t xml:space="preserve">L'oggetto prioritario di questa ricognizione è l'attentato del 13 maggio 1981 a Giovanni Paolo II, in quanto nodo che collega la Turchia al Vaticano in modo più diretto e documentato di ogni altro elemento della serie. Esso cade fuori dal mandato ministeriale di Moro, morto nel 1978; ma appartiene di pieno diritto al perimetro del progetto, che dispone già di materiale proprio su questa materia.</w:t>
      </w:r>
    </w:p>
    <w:p>
      <w:pPr>
        <w:spacing w:after="120" w:line="276"/>
        <w:jc w:val="both"/>
      </w:pPr>
      <w:r>
        <w:rPr>
          <w:rFonts w:ascii="Barlow Semi Condensed" w:cs="Barlow Semi Condensed" w:eastAsia="Barlow Semi Condensed" w:hAnsi="Barlow Semi Condensed"/>
          <w:b/>
          <w:bCs/>
          <w:sz w:val="24"/>
          <w:szCs w:val="24"/>
        </w:rPr>
        <w:t xml:space="preserve">Sulla disciplina, che in questo capitolo è più stringente che in ogni altro dei sette studi. La cosiddetta pista bulgara non fu giudizialmente provata, e viene qualificata come tale ogni volta che sia menzionata. Le dichiarazioni successive di Mehmet Ali Ağca — vivente — ripetutamente contraddittorie e ritrattate, sono trattate come fatti pubblici, cioè come circostanza che egli le abbia rese, e non come fonti sul merito. L'appartenenza di una persona a un'organizzazione non è prova di una condotta dell'organizzazione, e ciò vale in modo assoluto per i Lupi Grigi e per i servizi di sicurezza di ogni Paese menzionato.</w:t>
      </w:r>
    </w:p>
    <w:p>
      <w:pPr>
        <w:spacing w:after="120" w:line="276"/>
        <w:jc w:val="both"/>
      </w:pPr>
      <w:r>
        <w:rPr>
          <w:rFonts w:ascii="Barlow Semi Condensed" w:cs="Barlow Semi Condensed" w:eastAsia="Barlow Semi Condensed" w:hAnsi="Barlow Semi Condensed"/>
          <w:b/>
          <w:bCs/>
          <w:sz w:val="24"/>
          <w:szCs w:val="24"/>
        </w:rPr>
        <w:t xml:space="preserve">Sulla misura. Come nelle sei ricognizioni anteriori si adotta la proporzionalità. I capitoli terzo, quarto e quinto sono i più fitti perché la materia giudiziaria e desecretata è abbondante; il secondo e il decimo dichiarano Stati Zero e si chiudono dove il materiale finisce.</w:t>
      </w:r>
    </w:p>
    <w:p>
      <w:pPr>
        <w:pStyle w:val="Heading2"/>
        <w:spacing w:after="100" w:before="200"/>
      </w:pPr>
      <w:r>
        <w:rPr>
          <w:rFonts w:ascii="Barlow Semi Condensed" w:cs="Barlow Semi Condensed" w:eastAsia="Barlow Semi Condensed" w:hAnsi="Barlow Semi Condensed"/>
          <w:sz w:val="24"/>
          <w:szCs w:val="24"/>
        </w:rPr>
        <w:t xml:space="preserve">Capitolo secondo — Moro, la Turchia e la questione confessionale: Stato Zero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 Diluirlo con generalità sarebbe scorretto, e lo si dichiara.</w:t>
      </w:r>
    </w:p>
    <w:p>
      <w:pPr>
        <w:spacing w:after="120" w:line="276"/>
        <w:jc w:val="both"/>
      </w:pPr>
      <w:r>
        <w:rPr>
          <w:rFonts w:ascii="Barlow Semi Condensed" w:cs="Barlow Semi Condensed" w:eastAsia="Barlow Semi Condensed" w:hAnsi="Barlow Semi Condensed"/>
          <w:b/>
          <w:bCs/>
          <w:sz w:val="24"/>
          <w:szCs w:val="24"/>
        </w:rPr>
        <w:t xml:space="preserve">Che cosa è accertato sulla collocazione. Moro tenne la Farnesina dal 5 agosto 1969 al 26 giugno 1972 e dal 7 luglio 1973 al 23 novembre 1974. La collocazione della Turchia nella sua politica estera è, secondo la storiografia, comunitaria e mediterranea e non confessionale: il capitolo di riferimento di Federico Imperato nel volume curato con Rosario Milano e Luciano Monzali, \Fra diplomazia e petrolio\, Cacucci, Bari 2018, è intitolato \Un aspetto della politica mediterranea dell'Italia: le relazioni con la Turchia, 1946-1974\, alle pagine 119-154, e colloca il rapporto italo-turco nella proiezione mediterranea dell'Italia repubblicana.</w:t>
      </w:r>
    </w:p>
    <w:p>
      <w:pPr>
        <w:spacing w:after="120" w:line="276"/>
        <w:jc w:val="both"/>
      </w:pPr>
      <w:r>
        <w:rPr>
          <w:rFonts w:ascii="Barlow Semi Condensed" w:cs="Barlow Semi Condensed" w:eastAsia="Barlow Semi Condensed" w:hAnsi="Barlow Semi Condensed"/>
          <w:b/>
          <w:bCs/>
          <w:sz w:val="24"/>
          <w:szCs w:val="24"/>
        </w:rPr>
        <w:t xml:space="preserve">Il dato istituzionale più solido, già acquisito nella ricognizione anteriore, resta la firma di Moro a nome del Consiglio delle Comunità europee dell'Accordo provvisorio CEE-Turchia del 27 luglio 1971, attestata dal preambolo del Regolamento CEE 1842/71 che lo nomina insieme a Franco Maria Malfatti presidente della Commissione, con Osman Olcay per la Turchia.</w:t>
      </w:r>
    </w:p>
    <w:p>
      <w:pPr>
        <w:spacing w:after="120" w:line="276"/>
        <w:jc w:val="both"/>
      </w:pPr>
      <w:r>
        <w:rPr>
          <w:rFonts w:ascii="Barlow Semi Condensed" w:cs="Barlow Semi Condensed" w:eastAsia="Barlow Semi Condensed" w:hAnsi="Barlow Semi Condensed"/>
          <w:b/>
          <w:bCs/>
          <w:sz w:val="24"/>
          <w:szCs w:val="24"/>
        </w:rPr>
        <w:t xml:space="preserve">Che cosa la ricerca non ha trovato, ed è il punto del capitolo. Nessuna presa di posizione documentata di Moro, o della Farnesina sotto la sua guida, sulla condizione delle minoranze cristiane in Turchia, sulla chiusura della Scuola teologica di Halki del 1971, o sullo statuto del Patriarcato ecumenico. Nessuna traccia di contatti fra la Farnesina e la Segreteria di Stato su tali materie.</w:t>
      </w:r>
    </w:p>
    <w:p>
      <w:pPr>
        <w:spacing w:after="120" w:line="276"/>
        <w:jc w:val="both"/>
      </w:pPr>
      <w:r>
        <w:rPr>
          <w:rFonts w:ascii="Barlow Semi Condensed" w:cs="Barlow Semi Condensed" w:eastAsia="Barlow Semi Condensed" w:hAnsi="Barlow Semi Condensed"/>
          <w:b/>
          <w:bCs/>
          <w:sz w:val="24"/>
          <w:szCs w:val="24"/>
        </w:rPr>
        <w:t xml:space="preserve">La sede di accertamento è l'Archivio Storico Diplomatico del Ministero degli Affari Esteri, serie Turchia e serie Santa Sede 1969-1975, con l'avvertenza già accertata dell'esclusione temporanea dei Telegrammi 1942-1970 per lavori di ristrutturazione.</w:t>
      </w:r>
    </w:p>
    <w:p>
      <w:pPr>
        <w:spacing w:after="120" w:line="276"/>
        <w:jc w:val="both"/>
      </w:pPr>
      <w:r>
        <w:rPr>
          <w:rFonts w:ascii="Barlow Semi Condensed" w:cs="Barlow Semi Condensed" w:eastAsia="Barlow Semi Condensed" w:hAnsi="Barlow Semi Condensed"/>
          <w:b/>
          <w:bCs/>
          <w:sz w:val="24"/>
          <w:szCs w:val="24"/>
        </w:rPr>
        <w:t xml:space="preserve">Un elemento che rende l'assenza più notevole di quanto sarebbe altrove. La comunità italiana di Istanbul e Smirne è qualificata dalle fonti diplomatiche e culturali italiane come la più antica collettività italiana all'estero, discendente dai coloni genovesi e veneziani e radicata nel Mediterraneo orientale dai tempi delle Crociate; e le parrocchie latine di Istanbul — proprio quelle escluse dalle tutele del Trattato di Losanna, come si vedrà al Capitolo nono — ne costituivano il riferimento religioso naturale.</w:t>
      </w:r>
    </w:p>
    <w:p>
      <w:pPr>
        <w:spacing w:after="120" w:line="276"/>
        <w:jc w:val="both"/>
      </w:pPr>
      <w:r>
        <w:rPr>
          <w:rFonts w:ascii="Barlow Semi Condensed" w:cs="Barlow Semi Condensed" w:eastAsia="Barlow Semi Condensed" w:hAnsi="Barlow Semi Condensed"/>
          <w:b/>
          <w:bCs/>
          <w:sz w:val="24"/>
          <w:szCs w:val="24"/>
        </w:rPr>
        <w:t xml:space="preserve">Ne discende che l'Italia aveva, in Turchia, un interesse consolare e comunitario che si sovrapponeva esattamente al perimetro delle minoranze cattoliche escluse dalla tutela. Che di tale sovrapposizione non risulti azione documentata è un dato; ma non ne si può inferire l'inazione, perché la documentazione italiana per quel periodo non è stata spogliata e la serie telegrafica è esclusa dalla consultazione.</w:t>
      </w:r>
    </w:p>
    <w:p>
      <w:pPr>
        <w:pStyle w:val="Heading2"/>
        <w:spacing w:after="100" w:before="200"/>
      </w:pPr>
      <w:r>
        <w:rPr>
          <w:rFonts w:ascii="Barlow Semi Condensed" w:cs="Barlow Semi Condensed" w:eastAsia="Barlow Semi Condensed" w:hAnsi="Barlow Semi Condensed"/>
          <w:sz w:val="24"/>
          <w:szCs w:val="24"/>
        </w:rPr>
        <w:t xml:space="preserve">Capitolo terzo — La traiettoria turca di Mehmet Ali Ağca, per date</w:t>
      </w:r>
    </w:p>
    <w:p>
      <w:pPr>
        <w:spacing w:after="120" w:line="276"/>
        <w:jc w:val="both"/>
      </w:pPr>
      <w:r>
        <w:rPr>
          <w:rFonts w:ascii="Barlow Semi Condensed" w:cs="Barlow Semi Condensed" w:eastAsia="Barlow Semi Condensed" w:hAnsi="Barlow Semi Condensed"/>
          <w:b/>
          <w:bCs/>
          <w:sz w:val="24"/>
          <w:szCs w:val="24"/>
        </w:rPr>
        <w:t xml:space="preserve">Il capitolo espone i fatti accertati della traiettoria dell'attentatore, distinguendoli con la massima cura da quanto è congetturale.</w:t>
      </w:r>
    </w:p>
    <w:p>
      <w:pPr>
        <w:spacing w:after="120" w:line="276"/>
        <w:jc w:val="both"/>
      </w:pPr>
      <w:r>
        <w:rPr>
          <w:rFonts w:ascii="Barlow Semi Condensed" w:cs="Barlow Semi Condensed" w:eastAsia="Barlow Semi Condensed" w:hAnsi="Barlow Semi Condensed"/>
          <w:b/>
          <w:bCs/>
          <w:sz w:val="24"/>
          <w:szCs w:val="24"/>
        </w:rPr>
        <w:t xml:space="preserve">Nascita e origine. Mehmet Ali Ağca è nato il 9 gennaio 1958 a Malatya, in Anatolia; alcune fonti indicano il villaggio di Hekimhan nella medesima provincia. La divergenza si registra.</w:t>
      </w:r>
    </w:p>
    <w:p>
      <w:pPr>
        <w:spacing w:after="120" w:line="276"/>
        <w:jc w:val="both"/>
      </w:pPr>
      <w:r>
        <w:rPr>
          <w:rFonts w:ascii="Barlow Semi Condensed" w:cs="Barlow Semi Condensed" w:eastAsia="Barlow Semi Condensed" w:hAnsi="Barlow Semi Condensed"/>
          <w:b/>
          <w:bCs/>
          <w:sz w:val="24"/>
          <w:szCs w:val="24"/>
        </w:rPr>
        <w:t xml:space="preserve">1 febbraio 1979: l'omicidio İpekçi. Ağca partecipò all'omicidio di Abdi İpekçi, nato il 9 agosto 1929, direttore ed editorialista del quotidiano \Milliyet\, uno dei principali giornali turchi. İpekçi fu ucciso con colpi d'arma da fuoco nella propria automobile davanti alla sua abitazione a Istanbul. Le fonti indicano che l'azione fu compiuta insieme a Oral Çelik, coetaneo e amico d'infanzia di Ağca.</w:t>
      </w:r>
    </w:p>
    <w:p>
      <w:pPr>
        <w:spacing w:after="120" w:line="276"/>
        <w:jc w:val="both"/>
      </w:pPr>
      <w:r>
        <w:rPr>
          <w:rFonts w:ascii="Barlow Semi Condensed" w:cs="Barlow Semi Condensed" w:eastAsia="Barlow Semi Condensed" w:hAnsi="Barlow Semi Condensed"/>
          <w:b/>
          <w:bCs/>
          <w:sz w:val="24"/>
          <w:szCs w:val="24"/>
        </w:rPr>
        <w:t xml:space="preserve">Una divergenza sulla dinamica va riportata perché è significativa. Alcune ricostruzioni riferiscono la confessione di Ağca — di aver sparato quattro o cinque volte — mentre sul luogo del delitto furono rinvenuti tredici bossoli, circostanza che alimentò l'ipotesi della presenza di più esecutori. Questa resta un'inferenza e non un accertamento, e la si registra come tale.</w:t>
      </w:r>
    </w:p>
    <w:p>
      <w:pPr>
        <w:spacing w:after="120" w:line="276"/>
        <w:jc w:val="both"/>
      </w:pPr>
      <w:r>
        <w:rPr>
          <w:rFonts w:ascii="Barlow Semi Condensed" w:cs="Barlow Semi Condensed" w:eastAsia="Barlow Semi Condensed" w:hAnsi="Barlow Semi Condensed"/>
          <w:b/>
          <w:bCs/>
          <w:sz w:val="24"/>
          <w:szCs w:val="24"/>
        </w:rPr>
        <w:t xml:space="preserve">25 novembre 1979: l'evasione. Condannato per l'omicidio İpekçi, Ağca evase dal carcere militare di massima sicurezza di Kartal-Maltepe. Le fonti concordano sul carattere anomalo della fuga: egli sarebbe uscito indossando una divisa militare e passando dall'ingresso, circostanza che la stampa turca dell'epoca giudicò indicativa di complicità interne.</w:t>
      </w:r>
    </w:p>
    <w:p>
      <w:pPr>
        <w:spacing w:after="120" w:line="276"/>
        <w:jc w:val="both"/>
      </w:pPr>
      <w:r>
        <w:rPr>
          <w:rFonts w:ascii="Barlow Semi Condensed" w:cs="Barlow Semi Condensed" w:eastAsia="Barlow Semi Condensed" w:hAnsi="Barlow Semi Condensed"/>
          <w:b/>
          <w:bCs/>
          <w:sz w:val="24"/>
          <w:szCs w:val="24"/>
        </w:rPr>
        <w:t xml:space="preserve">La cautela è qui obbligata.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b/>
          <w:bCs/>
          <w:sz w:val="24"/>
          <w:szCs w:val="24"/>
        </w:rPr>
        <w:t xml:space="preserve">27 novembre 1979: la lettera minatoria. Due giorni dopo l'evasione, Ağca inviò a \Milliyet\ una lettera nella quale annunciava che avrebbe colpito il pontefice in occasione del viaggio in Turchia. Il testo, ampiamente citato, recita nella parte riportata: le Potenze dell'imperialismo occidentale temono che la Turchia possa costruire una coalizione politica, economica e militare in Medio Oriente con gli altri Paesi islamici fratelli, perciò mandano in Turchia, in quel momento delicato, papa Giovanni Paolo II, il Capo dei crociati; e che se la visita non fosse stata cancellata egli avrebbe certamente colpito il papa.</w:t>
      </w:r>
    </w:p>
    <w:p>
      <w:pPr>
        <w:spacing w:after="120" w:line="276"/>
        <w:jc w:val="both"/>
      </w:pPr>
      <w:r>
        <w:rPr>
          <w:rFonts w:ascii="Barlow Semi Condensed" w:cs="Barlow Semi Condensed" w:eastAsia="Barlow Semi Condensed" w:hAnsi="Barlow Semi Condensed"/>
          <w:b/>
          <w:bCs/>
          <w:sz w:val="24"/>
          <w:szCs w:val="24"/>
        </w:rPr>
        <w:t xml:space="preserve">Il rilievo cronologico va enunciato con precisione. La lettera precede l'attentato di quasi diciotto mesi e costituisce, sul piano documentale, il primo collegamento esplicito e datato fra Ağca e il progetto di colpire il pontefice.</w:t>
      </w:r>
    </w:p>
    <w:p>
      <w:pPr>
        <w:spacing w:after="120" w:line="276"/>
        <w:jc w:val="both"/>
      </w:pPr>
      <w:r>
        <w:rPr>
          <w:rFonts w:ascii="Barlow Semi Condensed" w:cs="Barlow Semi Condensed" w:eastAsia="Barlow Semi Condensed" w:hAnsi="Barlow Semi Condensed"/>
          <w:b/>
          <w:bCs/>
          <w:sz w:val="24"/>
          <w:szCs w:val="24"/>
        </w:rPr>
        <w:t xml:space="preserve">28-30 novembre 1979: il viaggio si svolge. Il viaggio di Giovanni Paolo II in Turchia ebbe luogo regolarmente e senza attentati, e ne si tratta al Capitolo settimo.</w:t>
      </w:r>
    </w:p>
    <w:p>
      <w:pPr>
        <w:spacing w:after="120" w:line="276"/>
        <w:jc w:val="both"/>
      </w:pPr>
      <w:r>
        <w:rPr>
          <w:rFonts w:ascii="Barlow Semi Condensed" w:cs="Barlow Semi Condensed" w:eastAsia="Barlow Semi Condensed" w:hAnsi="Barlow Semi Condensed"/>
          <w:b/>
          <w:bCs/>
          <w:sz w:val="24"/>
          <w:szCs w:val="24"/>
        </w:rPr>
        <w:t xml:space="preserve">13 maggio 1981: l'attentato. Nel pomeriggio, in piazza San Pietro, durante l'udienza generale, Ağca sparò contro Giovanni Paolo II. Il papa fu gravemente ferito, trasportato al policlinico Gemelli, sottoposto a interventi chirurgici e sopravvisse. Sul numero dei colpi e su alcuni dettagli materiali persistono divergenze nella pubblicistica che non incidono sull'accertamento del fatto principale.</w:t>
      </w:r>
    </w:p>
    <w:p>
      <w:pPr>
        <w:spacing w:after="120" w:line="276"/>
        <w:jc w:val="both"/>
      </w:pPr>
      <w:r>
        <w:rPr>
          <w:rFonts w:ascii="Barlow Semi Condensed" w:cs="Barlow Semi Condensed" w:eastAsia="Barlow Semi Condensed" w:hAnsi="Barlow Semi Condensed"/>
          <w:b/>
          <w:bCs/>
          <w:sz w:val="24"/>
          <w:szCs w:val="24"/>
        </w:rPr>
        <w:t xml:space="preserve">22 luglio 1981: la condanna. Il processo di primo grado si tenne con procedura rapida — alcune ricostruzioni indicano l'avvio del dibattimento all'8 luglio e la sentenza al 22 luglio, altre riassumono in tre giorni di processo — e si concluse con la condanna all'ergastolo. Ağca rinunciò all'appello.</w:t>
      </w:r>
    </w:p>
    <w:p>
      <w:pPr>
        <w:spacing w:after="120" w:line="276"/>
        <w:jc w:val="both"/>
      </w:pPr>
      <w:r>
        <w:rPr>
          <w:rFonts w:ascii="Barlow Semi Condensed" w:cs="Barlow Semi Condensed" w:eastAsia="Barlow Semi Condensed" w:hAnsi="Barlow Semi Condensed"/>
          <w:b/>
          <w:bCs/>
          <w:sz w:val="24"/>
          <w:szCs w:val="24"/>
        </w:rPr>
        <w:t xml:space="preserve">Un elemento va isolato con nettezza, e vale per l'intero studio. Le dichiarazioni successive di Ağca — sulla natura solitaria o concertata dell'azione, sui presunti mandanti, sulle piste bulgara e vaticana, fino alle affermazioni recenti collegate al caso Orlandi e alle sue autoproclamazioni messianiche — sono, per costante contraddittorietà e ritrattazione, prive di valore di accertamento. Questo studio le registra come fatti pubblici, cioè come circostanza che egli le abbia rese, e non come fonti sul merito.</w:t>
      </w:r>
    </w:p>
    <w:p>
      <w:pPr>
        <w:pStyle w:val="Heading2"/>
        <w:spacing w:after="100" w:before="200"/>
      </w:pPr>
      <w:r>
        <w:rPr>
          <w:rFonts w:ascii="Barlow Semi Condensed" w:cs="Barlow Semi Condensed" w:eastAsia="Barlow Semi Condensed" w:hAnsi="Barlow Semi Condensed"/>
          <w:sz w:val="24"/>
          <w:szCs w:val="24"/>
        </w:rPr>
        <w:t xml:space="preserve">Capitolo quarto — La pista bulgara: istruttoria, processo, assoluzioni</w:t>
      </w:r>
    </w:p>
    <w:p>
      <w:pPr>
        <w:spacing w:after="120" w:line="276"/>
        <w:jc w:val="both"/>
      </w:pPr>
      <w:r>
        <w:rPr>
          <w:rFonts w:ascii="Barlow Semi Condensed" w:cs="Barlow Semi Condensed" w:eastAsia="Barlow Semi Condensed" w:hAnsi="Barlow Semi Condensed"/>
          <w:b/>
          <w:bCs/>
          <w:sz w:val="24"/>
          <w:szCs w:val="24"/>
        </w:rPr>
        <w:t xml:space="preserve">È il capitolo di massima densità documentale e il più esposto all'errore. La qualificazione va posta in apertura e ripetuta in chiusura.</w:t>
      </w:r>
    </w:p>
    <w:p>
      <w:pPr>
        <w:spacing w:after="120" w:line="276"/>
        <w:jc w:val="both"/>
      </w:pPr>
      <w:r>
        <w:rPr>
          <w:rFonts w:ascii="Barlow Semi Condensed" w:cs="Barlow Semi Condensed" w:eastAsia="Barlow Semi Condensed" w:hAnsi="Barlow Semi Condensed"/>
          <w:b/>
          <w:bCs/>
          <w:sz w:val="24"/>
          <w:szCs w:val="24"/>
        </w:rPr>
        <w:t xml:space="preserve">Agosto 1982: l'origine pubblicistica della pista. Dopo la condanna di Ağca la Procura di Roma proseguì le indagini sugli eventuali mandanti, affidando il supplemento istruttorio al giudice istruttore Ilario Martella. Nell'agosto 1982 la giornalista statunitense Claire Sterling, sul \Reader's Digest\, sostenne che Ağca avesse agito su mandato dei servizi bulgari e sovietici. È in questa sede pubblicistica, e non in sede istruttoria, che la pista bulgara emerse per la prima volta, come registrano concordemente le ricostruzioni italiane.</w:t>
      </w:r>
    </w:p>
    <w:p>
      <w:pPr>
        <w:spacing w:after="120" w:line="276"/>
        <w:jc w:val="both"/>
      </w:pPr>
      <w:r>
        <w:rPr>
          <w:rFonts w:ascii="Barlow Semi Condensed" w:cs="Barlow Semi Condensed" w:eastAsia="Barlow Semi Condensed" w:hAnsi="Barlow Semi Condensed"/>
          <w:b/>
          <w:bCs/>
          <w:sz w:val="24"/>
          <w:szCs w:val="24"/>
        </w:rPr>
        <w:t xml:space="preserve">25 novembre 1982: l'arresto di Antonov. Fu arrestato a Roma Sergej Ivanov Antonov, indicato da Ağca come uno dei complici. Le fonti lo descrivono come rappresentante a Roma della compagnia aerea bulgara Balkan Airlines, funzionario della compagnia e non diplomatico, rimasto nella capitale dopo l'attentato fino all'arresto. Con lui furono coinvolti i bulgari Todor Ajvazov e Jelio Vassilev, e i cittadini turchi Musa Serdar Çelebi, Omar Bağci, Oral Çelik e Bekir Çelenk.</w:t>
      </w:r>
    </w:p>
    <w:p>
      <w:pPr>
        <w:spacing w:after="120" w:line="276"/>
        <w:jc w:val="both"/>
      </w:pPr>
      <w:r>
        <w:rPr>
          <w:rFonts w:ascii="Barlow Semi Condensed" w:cs="Barlow Semi Condensed" w:eastAsia="Barlow Semi Condensed" w:hAnsi="Barlow Semi Condensed"/>
          <w:b/>
          <w:bCs/>
          <w:sz w:val="24"/>
          <w:szCs w:val="24"/>
        </w:rPr>
        <w:t xml:space="preserve">28 maggio 1985 - 29 marzo 1986: il processo e la sentenza. Il dibattimento davanti alla Corte d'assise di Roma si aprì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w:t>
      </w:r>
    </w:p>
    <w:p>
      <w:pPr>
        <w:spacing w:after="120" w:line="276"/>
        <w:jc w:val="both"/>
      </w:pPr>
      <w:r>
        <w:rPr>
          <w:rFonts w:ascii="Barlow Semi Condensed" w:cs="Barlow Semi Condensed" w:eastAsia="Barlow Semi Condensed" w:hAnsi="Barlow Semi Condensed"/>
          <w:b/>
          <w:bCs/>
          <w:sz w:val="24"/>
          <w:szCs w:val="24"/>
        </w:rPr>
        <w:t xml:space="preserve">L'annotazione giuridica va riportata perché è decisiva e viene spesso omessa. Nell'ordinamento allora vigente l'assoluzione per insufficienza di prove era distinta dall'accertamento dell'innocenza: significava che il giudice non aveva raggiunto la certezza necessaria per condannare, non che avesse provato l'estraneità degli imputati.</w:t>
      </w:r>
    </w:p>
    <w:p>
      <w:pPr>
        <w:spacing w:after="120" w:line="276"/>
        <w:jc w:val="both"/>
      </w:pPr>
      <w:r>
        <w:rPr>
          <w:rFonts w:ascii="Barlow Semi Condensed" w:cs="Barlow Semi Condensed" w:eastAsia="Barlow Semi Condensed" w:hAnsi="Barlow Semi Condensed"/>
          <w:b/>
          <w:bCs/>
          <w:sz w:val="24"/>
          <w:szCs w:val="24"/>
        </w:rPr>
        <w:t xml:space="preserve">Ma questa distinzione non converte un'ipotesi non provata in un fatto, e va detto con nettezza.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b/>
          <w:bCs/>
          <w:sz w:val="24"/>
          <w:szCs w:val="24"/>
        </w:rPr>
        <w:t xml:space="preserve">La Commissione parlamentare Mitrokhin. Gli atti sono accessibili sul sito del Parlamento. La Commissione, presieduta dal senatore Paolo Guzzanti, produsse un documento conclusivo del presidente che non fu approvato per mancanza del numero legale il 15 marzo 2006, e una relazione conclusiva dei commissari di minoranza depositata il 23 marzo 2006, pubblicata come 'mitrokhindoc.377.pdf'.</w:t>
      </w:r>
    </w:p>
    <w:p>
      <w:pPr>
        <w:spacing w:after="120" w:line="276"/>
        <w:jc w:val="both"/>
      </w:pPr>
      <w:r>
        <w:rPr>
          <w:rFonts w:ascii="Barlow Semi Condensed" w:cs="Barlow Semi Condensed" w:eastAsia="Barlow Semi Condensed" w:hAnsi="Barlow Semi Condensed"/>
          <w:b/>
          <w:bCs/>
          <w:sz w:val="24"/>
          <w:szCs w:val="24"/>
        </w:rPr>
        <w:t xml:space="preserve">Quella relazione di minoranza contiene una valutazione che va riportata per intero perché è di parte e proprio per questo va qualificata: essa afferma che la maggioranza avrebbe insistito in modo pedissequo sulla pista bulgara, già percorsa dalla magistratura senza però pervenire ad alcun risultato stabile e certo, e definisce l'operato della Commissione uno dei momenti più bassi e umilianti della nostra storia istituzionale.</w:t>
      </w:r>
    </w:p>
    <w:p>
      <w:pPr>
        <w:spacing w:after="120" w:line="276"/>
        <w:jc w:val="both"/>
      </w:pPr>
      <w:r>
        <w:rPr>
          <w:rFonts w:ascii="Barlow Semi Condensed" w:cs="Barlow Semi Condensed" w:eastAsia="Barlow Semi Condensed" w:hAnsi="Barlow Semi Condensed"/>
          <w:b/>
          <w:bCs/>
          <w:sz w:val="24"/>
          <w:szCs w:val="24"/>
        </w:rPr>
        <w:t xml:space="preserve">Si tratta di una posizione di parte politica in sede parlamentare, e come tale la si registra: attesta il giudizio dei commissari di minoranza, non un accertamento della Commissione, che del resto non ne produsse alcuno approvato.</w:t>
      </w:r>
    </w:p>
    <w:p>
      <w:pPr>
        <w:pStyle w:val="Heading2"/>
        <w:spacing w:after="100" w:before="200"/>
      </w:pPr>
      <w:r>
        <w:rPr>
          <w:rFonts w:ascii="Barlow Semi Condensed" w:cs="Barlow Semi Condensed" w:eastAsia="Barlow Semi Condensed" w:hAnsi="Barlow Semi Condensed"/>
          <w:sz w:val="24"/>
          <w:szCs w:val="24"/>
        </w:rPr>
        <w:t xml:space="preserve">Capitolo quinto — I documenti desecretati statunitensi: la prudenza dell'intelligence</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più notevole di questa ricognizione, e la sua notevolezza sta nel convergere con le sentenze italiane anziché contraddirle.</w:t>
      </w:r>
    </w:p>
    <w:p>
      <w:pPr>
        <w:spacing w:after="120" w:line="276"/>
        <w:jc w:val="both"/>
      </w:pPr>
      <w:r>
        <w:rPr>
          <w:rFonts w:ascii="Barlow Semi Condensed" w:cs="Barlow Semi Condensed" w:eastAsia="Barlow Semi Condensed" w:hAnsi="Barlow Semi Condensed"/>
          <w:b/>
          <w:bCs/>
          <w:sz w:val="24"/>
          <w:szCs w:val="24"/>
        </w:rPr>
        <w:t xml:space="preserve">La fonte. La raccolta \Foreign Relations of the United States, 1981-1988\, volume decimo, edita dall'Office of the Historian del Dipartimento di Stato, riproduce tre documenti dell'intelligence statunitense sulla materia.</w:t>
      </w:r>
    </w:p>
    <w:p>
      <w:pPr>
        <w:spacing w:after="120" w:line="276"/>
        <w:jc w:val="both"/>
      </w:pPr>
      <w:r>
        <w:rPr>
          <w:rFonts w:ascii="Barlow Semi Condensed" w:cs="Barlow Semi Condensed" w:eastAsia="Barlow Semi Condensed" w:hAnsi="Barlow Semi Condensed"/>
          <w:b/>
          <w:bCs/>
          <w:sz w:val="24"/>
          <w:szCs w:val="24"/>
        </w:rPr>
        <w:t xml:space="preserve">Documento 370. Riproduce un memorandum del direttore della Central Intelligence Agency William J. Casey e l'allegata analisi dell'Agenzia intitolata \Bulgarian Complicity in the Papal Assassination Attempt\. L'introduzione afferma testualmente di non essere in grado, a quel punto, di sviluppare un quadro chiaro e conclusivo del coinvolgimento bulgaro con l'aspirante assassino del papa Mehmet Ali Ağca.</w:t>
      </w:r>
    </w:p>
    <w:p>
      <w:pPr>
        <w:spacing w:after="120" w:line="276"/>
        <w:jc w:val="both"/>
      </w:pPr>
      <w:r>
        <w:rPr>
          <w:rFonts w:ascii="Barlow Semi Condensed" w:cs="Barlow Semi Condensed" w:eastAsia="Barlow Semi Condensed" w:hAnsi="Barlow Semi Condensed"/>
          <w:b/>
          <w:bCs/>
          <w:sz w:val="24"/>
          <w:szCs w:val="24"/>
        </w:rPr>
        <w:t xml:space="preserve">Il medesimo documento riporta la valutazione dell'ambasciata statunitense a Sofia secondo cui sarebbe stato difficile credere a un coinvolgimento diretto dei servizi bulgari perché sarebbe stato così stupido, pur precisando che la considerazione non escludeva la possibilità di un coinvolgimento ufficiale.</w:t>
      </w:r>
    </w:p>
    <w:p>
      <w:pPr>
        <w:spacing w:after="120" w:line="276"/>
        <w:jc w:val="both"/>
      </w:pPr>
      <w:r>
        <w:rPr>
          <w:rFonts w:ascii="Barlow Semi Condensed" w:cs="Barlow Semi Condensed" w:eastAsia="Barlow Semi Condensed" w:hAnsi="Barlow Semi Condensed"/>
          <w:b/>
          <w:bCs/>
          <w:sz w:val="24"/>
          <w:szCs w:val="24"/>
        </w:rPr>
        <w:t xml:space="preserve">Documento 376. Un memorandum dell'Agenzia sulla valutazione della responsabilità per l'attentato contiene la conclusione secondo cui gran parte della tesi della Procura italiana che allega la complicità del blocco orientale appare dipendere unicamente dalla testimonianza di Ağca, e questi non è sempre stato veritiero o coerente nel periodo della detenzione. Il documento aggiunge che, anche qualora Ağca avesse avuto contatti con i bulgari accusati, questi avrebbero potuto riguardare stupefacenti o traffici d'armi piuttosto che una cospirazione per uccidere il pontefice. La lettera di accompagnamento redatta in ambito Consiglio per la sicurezza nazionale osservava che la CIA ha pochissime prove in un senso o nell'altro.</w:t>
      </w:r>
    </w:p>
    <w:p>
      <w:pPr>
        <w:spacing w:after="120" w:line="276"/>
        <w:jc w:val="both"/>
      </w:pPr>
      <w:r>
        <w:rPr>
          <w:rFonts w:ascii="Barlow Semi Condensed" w:cs="Barlow Semi Condensed" w:eastAsia="Barlow Semi Condensed" w:hAnsi="Barlow Semi Condensed"/>
          <w:b/>
          <w:bCs/>
          <w:sz w:val="24"/>
          <w:szCs w:val="24"/>
        </w:rPr>
        <w:t xml:space="preserve">Documento 377. Una \Intelligence Assessment\ del dicembre 1984 dell'Office of European Analysis dichiara espressamente di non affrontare la questione ultima della colpevolezza o innocenza della Bulgaria, e riconosce che il processo italiano avrebbe potuto condannare Antonov unicamente sulla base della testimonianza di Ağca.</w:t>
      </w:r>
    </w:p>
    <w:p>
      <w:pPr>
        <w:spacing w:after="120" w:line="276"/>
        <w:jc w:val="both"/>
      </w:pPr>
      <w:r>
        <w:rPr>
          <w:rFonts w:ascii="Barlow Semi Condensed" w:cs="Barlow Semi Condensed" w:eastAsia="Barlow Semi Condensed" w:hAnsi="Barlow Semi Condensed"/>
          <w:b/>
          <w:bCs/>
          <w:sz w:val="24"/>
          <w:szCs w:val="24"/>
        </w:rPr>
        <w:t xml:space="preserve">Ne discende la risultanza del capitolo, e va enunciata per quello che è. L'intelligence statunitense, che avrebbe avuto ogni interesse politico ad affermare la responsabilità sovietica, non la affermò come provata, e ne segnalò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b/>
          <w:bCs/>
          <w:sz w:val="24"/>
          <w:szCs w:val="24"/>
        </w:rPr>
        <w:t xml:space="preserve">Un elemento di contrasto interno va registrato per completezza. L'ex analista della CIA Melvin A. Goodman, già responsabile della divisione sugli affari sovietici, testimoniò davanti alla Commissione ristretta del Senato sull'intelligence sostenendo che l'Agenzia non disponeva di prove che collegassero il servizio sovietico o i bulgari al complotto, e che vi erano state pressioni interne per orientare i rapporti verso la tesi del complotto sovietico.</w:t>
      </w:r>
    </w:p>
    <w:p>
      <w:pPr>
        <w:spacing w:after="120" w:line="276"/>
        <w:jc w:val="both"/>
      </w:pPr>
      <w:r>
        <w:rPr>
          <w:rFonts w:ascii="Barlow Semi Condensed" w:cs="Barlow Semi Condensed" w:eastAsia="Barlow Semi Condensed" w:hAnsi="Barlow Semi Condensed"/>
          <w:b/>
          <w:bCs/>
          <w:sz w:val="24"/>
          <w:szCs w:val="24"/>
        </w:rPr>
        <w:t xml:space="preserve">Sulla data di quella testimonianza le fonti divergono e la divergenza va risolta a favore della fonte primaria. Alcune fonti secondarie indicano il 1990; il verbale ufficiale del Senato colloca la sessione sulla politicizzazione dell'analisi al 1 ottobre 1991, nel contesto delle audizioni di conferma di Robert Gates alla direzione dell'Agenzia. Si adotta la datazione del verbale.</w:t>
      </w:r>
    </w:p>
    <w:p>
      <w:pPr>
        <w:spacing w:after="120" w:line="276"/>
        <w:jc w:val="both"/>
      </w:pPr>
      <w:r>
        <w:rPr>
          <w:rFonts w:ascii="Barlow Semi Condensed" w:cs="Barlow Semi Condensed" w:eastAsia="Barlow Semi Condensed" w:hAnsi="Barlow Semi Condensed"/>
          <w:b/>
          <w:bCs/>
          <w:sz w:val="24"/>
          <w:szCs w:val="24"/>
        </w:rPr>
        <w:t xml:space="preserve">La qualificazione della testimonianza di Goodman. Essa non prova né smentisce alcunché sul merito dei mandanti: attesta lo stato delle conoscenze e delle tensioni interne all'intelligence statunitense, e come tale va letta.</w:t>
      </w:r>
    </w:p>
    <w:p>
      <w:pPr>
        <w:spacing w:after="120" w:line="276"/>
        <w:jc w:val="both"/>
      </w:pPr>
      <w:r>
        <w:rPr>
          <w:rFonts w:ascii="Barlow Semi Condensed" w:cs="Barlow Semi Condensed" w:eastAsia="Barlow Semi Condensed" w:hAnsi="Barlow Semi Condensed"/>
          <w:b/>
          <w:bCs/>
          <w:sz w:val="24"/>
          <w:szCs w:val="24"/>
        </w:rPr>
        <w:t xml:space="preserve">Le porzioni non desecretate. I documenti 370 e 376 contengono parti coperte. Non si può escludere che esse contengano elementi ulteriori, e la loro eventuale desecretazione è iscritta in tavola come la sola acquisizione che potrebbe mutare il quadro probatorio.</w:t>
      </w:r>
    </w:p>
    <w:p>
      <w:pPr>
        <w:pStyle w:val="Heading2"/>
        <w:spacing w:after="100" w:before="200"/>
      </w:pPr>
      <w:r>
        <w:rPr>
          <w:rFonts w:ascii="Barlow Semi Condensed" w:cs="Barlow Semi Condensed" w:eastAsia="Barlow Semi Condensed" w:hAnsi="Barlow Semi Condensed"/>
          <w:sz w:val="24"/>
          <w:szCs w:val="24"/>
        </w:rPr>
        <w:t xml:space="preserve">Capitolo sesto — I Lupi Grigi e il divieto di inferenza collettiva</w:t>
      </w:r>
    </w:p>
    <w:p>
      <w:pPr>
        <w:spacing w:after="120" w:line="276"/>
        <w:jc w:val="both"/>
      </w:pPr>
      <w:r>
        <w:rPr>
          <w:rFonts w:ascii="Barlow Semi Condensed" w:cs="Barlow Semi Condensed" w:eastAsia="Barlow Semi Condensed" w:hAnsi="Barlow Semi Condensed"/>
          <w:b/>
          <w:bCs/>
          <w:sz w:val="24"/>
          <w:szCs w:val="24"/>
        </w:rPr>
        <w:t xml:space="preserve">Il capitolo è breve perché il suo contenuto principale è una prescrizione di metodo, e la prescrizione va enunciata più che argomentata.</w:t>
      </w:r>
    </w:p>
    <w:p>
      <w:pPr>
        <w:spacing w:after="120" w:line="276"/>
        <w:jc w:val="both"/>
      </w:pPr>
      <w:r>
        <w:rPr>
          <w:rFonts w:ascii="Barlow Semi Condensed" w:cs="Barlow Semi Condensed" w:eastAsia="Barlow Semi Condensed" w:hAnsi="Barlow Semi Condensed"/>
          <w:b/>
          <w:bCs/>
          <w:sz w:val="24"/>
          <w:szCs w:val="24"/>
        </w:rPr>
        <w:t xml:space="preserve">Il quadro. I Lupi Grigi — \Bozkurtlar\, ufficialmente \Ülkücüler\, organizzati nei focolari \Ülkü Ocakları\ — sono un movimento del nazionalismo turco radicale di matrice panturchista, collegato al Milliyetçi Hareket Partisi fondato dal colonnello Alparslan Türkeş nel 1969, di cui costituivano la sezione giovanile e, secondo numerose ricostruzioni, l'ala paramilitare. Le fonti convergono nell'attribuire al movimento un'attività violenta rilevante nel decennio che precedette il colpo di Stato militare del generale Kenan Evren del settembre 1980, il quale mise al bando tanto i Lupi Grigi quanto il partito.</w:t>
      </w:r>
    </w:p>
    <w:p>
      <w:pPr>
        <w:spacing w:after="120" w:line="276"/>
        <w:jc w:val="both"/>
      </w:pPr>
      <w:r>
        <w:rPr>
          <w:rFonts w:ascii="Barlow Semi Condensed" w:cs="Barlow Semi Condensed" w:eastAsia="Barlow Semi Condensed" w:hAnsi="Barlow Semi Condensed"/>
          <w:b/>
          <w:bCs/>
          <w:sz w:val="24"/>
          <w:szCs w:val="24"/>
        </w:rPr>
        <w:t xml:space="preserve">Sulle attribuzioni ulteriori la cautela è massima. Si menzionano rapporti con ambienti dell'anticomunismo occidentale in funzione antisovietica e, dopo la messa al bando e la diaspora dei quadri in Germania, Francia e Austria, un coinvolgimento in traffici illeciti; lo storico tedesco Nikolaus Brauns è citato per la tesi dell'insediamento in Germania favorito da apparati locali in chiave anticomunista. Tutte queste attribuzioni sono documentate in modo disuguale e vanno prese come ipotesi, non come accertamenti.</w:t>
      </w:r>
    </w:p>
    <w:p>
      <w:pPr>
        <w:spacing w:after="120" w:line="276"/>
        <w:jc w:val="both"/>
      </w:pPr>
      <w:r>
        <w:rPr>
          <w:rFonts w:ascii="Barlow Semi Condensed" w:cs="Barlow Semi Condensed" w:eastAsia="Barlow Semi Condensed" w:hAnsi="Barlow Semi Condensed"/>
          <w:b/>
          <w:bCs/>
          <w:sz w:val="24"/>
          <w:szCs w:val="24"/>
        </w:rPr>
        <w:t xml:space="preserve">E qui la prescrizione, che è il contenuto del capitolo. L'appartenenza — o la contiguità — di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al movimento lo fa in prevalenza sul piano biografico e ambientale.</w:t>
      </w:r>
    </w:p>
    <w:p>
      <w:pPr>
        <w:spacing w:after="120" w:line="276"/>
        <w:jc w:val="both"/>
      </w:pPr>
      <w:r>
        <w:rPr>
          <w:rFonts w:ascii="Barlow Semi Condensed" w:cs="Barlow Semi Condensed" w:eastAsia="Barlow Semi Condensed" w:hAnsi="Barlow Semi Condensed"/>
          <w:b/>
          <w:bCs/>
          <w:sz w:val="24"/>
          <w:szCs w:val="24"/>
        </w:rPr>
        <w:t xml:space="preserve">Trattare la militanza individuale come prova di responsabilità collettiva sarebbe un salto logico che questo studio rifiuta espressamente, coerentemente con il vincolo secondo cui la comunanza di ambiente non equivale a convergenza di obiettivo documentata.</w:t>
      </w:r>
    </w:p>
    <w:p>
      <w:pPr>
        <w:spacing w:after="120" w:line="276"/>
        <w:jc w:val="both"/>
      </w:pPr>
      <w:r>
        <w:rPr>
          <w:rFonts w:ascii="Barlow Semi Condensed" w:cs="Barlow Semi Condensed" w:eastAsia="Barlow Semi Condensed" w:hAnsi="Barlow Semi Condensed"/>
          <w:b/>
          <w:bCs/>
          <w:sz w:val="24"/>
          <w:szCs w:val="24"/>
        </w:rPr>
        <w:t xml:space="preserve">La medesima prescrizione vale per Oral Çelik, indicato come complice nell'omicidio İpekçi e negli sviluppi successivi: che egli appartenga al medesimo ambiente non prova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b/>
          <w:bCs/>
          <w:sz w:val="24"/>
          <w:szCs w:val="24"/>
        </w:rPr>
        <w:t xml:space="preserve">Un'osservazione che vale oltre l'oggetto. In questa materia la tentazione dell'inferenza collettiva è forte perché l'ambiente è documentato e il mandante non lo è: dove manca il secondo, il primo tende a occuparne il posto. È esattamente il meccanismo che questo progetto ha imparato a riconoscere nella propria manutenzione metodologica, e il caso dei Lupi Grigi ne è un esempio di scuola.</w:t>
      </w:r>
    </w:p>
    <w:p>
      <w:pPr>
        <w:pStyle w:val="Heading2"/>
        <w:spacing w:after="100" w:before="200"/>
      </w:pPr>
      <w:r>
        <w:rPr>
          <w:rFonts w:ascii="Barlow Semi Condensed" w:cs="Barlow Semi Condensed" w:eastAsia="Barlow Semi Condensed" w:hAnsi="Barlow Semi Condensed"/>
          <w:sz w:val="24"/>
          <w:szCs w:val="24"/>
        </w:rPr>
        <w:t xml:space="preserve">Capitolo settimo — Il viaggio del novembre 1979 e l'avvio del dialogo teologico</w:t>
      </w:r>
    </w:p>
    <w:p>
      <w:pPr>
        <w:spacing w:after="120" w:line="276"/>
        <w:jc w:val="both"/>
      </w:pPr>
      <w:r>
        <w:rPr>
          <w:rFonts w:ascii="Barlow Semi Condensed" w:cs="Barlow Semi Condensed" w:eastAsia="Barlow Semi Condensed" w:hAnsi="Barlow Semi Condensed"/>
          <w:b/>
          <w:bCs/>
          <w:sz w:val="24"/>
          <w:szCs w:val="24"/>
        </w:rPr>
        <w:t xml:space="preserve">Il capitolo espone l'atto pontificio che precede l'attentato di diciotto mesi e che ne costituisce il contesto immediato.</w:t>
      </w:r>
    </w:p>
    <w:p>
      <w:pPr>
        <w:spacing w:after="120" w:line="276"/>
        <w:jc w:val="both"/>
      </w:pPr>
      <w:r>
        <w:rPr>
          <w:rFonts w:ascii="Barlow Semi Condensed" w:cs="Barlow Semi Condensed" w:eastAsia="Barlow Semi Condensed" w:hAnsi="Barlow Semi Condensed"/>
          <w:b/>
          <w:bCs/>
          <w:sz w:val="24"/>
          <w:szCs w:val="24"/>
        </w:rPr>
        <w:t xml:space="preserve">Le date. Il viaggio apostolico di Giovanni Paolo II in Turchia si svolse dal 28 al 30 novembre 1979. Nel discorso alla partenza del 28 novembre il pontefice dichiarò di recarsi in Turchia seguendo le orme del predecessore Paolo VI, che vi era andato alla fine di luglio del 1967, per continuare lo sforzo verso l'unità dei cristiani e per mostrare l'importanza che la Chiesa cattolica dà al rapporto con le Chiese ortodosse alla vigilia dell'inizio di un dialogo teologico.</w:t>
      </w:r>
    </w:p>
    <w:p>
      <w:pPr>
        <w:spacing w:after="120" w:line="276"/>
        <w:jc w:val="both"/>
      </w:pPr>
      <w:r>
        <w:rPr>
          <w:rFonts w:ascii="Barlow Semi Condensed" w:cs="Barlow Semi Condensed" w:eastAsia="Barlow Semi Condensed" w:hAnsi="Barlow Semi Condensed"/>
          <w:b/>
          <w:bCs/>
          <w:sz w:val="24"/>
          <w:szCs w:val="24"/>
        </w:rPr>
        <w:t xml:space="preserve">Il programma. Omaggio alle autorità della Repubblica ad Ankara, dove il papa si rivolse alla comunità cattolica ricordandone la condizione di piccola minoranza in quelle terre; celebrazione a Istanbul nella Cattedrale dello Spirito Santo il 29 novembre, con incontro anche del patriarca armeno Shnorhk Kalustian e della comunità armeno-cattolica.</w:t>
      </w:r>
    </w:p>
    <w:p>
      <w:pPr>
        <w:spacing w:after="120" w:line="276"/>
        <w:jc w:val="both"/>
      </w:pPr>
      <w:r>
        <w:rPr>
          <w:rFonts w:ascii="Barlow Semi Condensed" w:cs="Barlow Semi Condensed" w:eastAsia="Barlow Semi Condensed" w:hAnsi="Barlow Semi Condensed"/>
          <w:b/>
          <w:bCs/>
          <w:sz w:val="24"/>
          <w:szCs w:val="24"/>
        </w:rPr>
        <w:t xml:space="preserve">Il momento culminante. Il 29 e 30 novembre l'incontro con il patriarca ecumenico Dimitrios I al Fanar. Nel discorso del 29 novembre il papa salutò il patriarca e il Santo Sinodo; e come egli stesso avrebbe rievocato nell'omelia del 6 dicembre 1987, poté allora annunciare insieme che l'inizio del dialogo teologico fra la Chiesa cattolica e la Chiesa ortodossa era imminente, e rendere pubblici i nomi dei membri della Commissione mista.</w:t>
      </w:r>
    </w:p>
    <w:p>
      <w:pPr>
        <w:spacing w:after="120" w:line="276"/>
        <w:jc w:val="both"/>
      </w:pPr>
      <w:r>
        <w:rPr>
          <w:rFonts w:ascii="Barlow Semi Condensed" w:cs="Barlow Semi Condensed" w:eastAsia="Barlow Semi Condensed" w:hAnsi="Barlow Semi Condensed"/>
          <w:b/>
          <w:bCs/>
          <w:sz w:val="24"/>
          <w:szCs w:val="24"/>
        </w:rPr>
        <w:t xml:space="preserve">30 novembre 1979. In occasione della festa di Sant'Andrea fu proclamato l'avvio del dialogo teologico ufficiale cattolico-ortodosso.</w:t>
      </w:r>
    </w:p>
    <w:p>
      <w:pPr>
        <w:spacing w:after="120" w:line="276"/>
        <w:jc w:val="both"/>
      </w:pPr>
      <w:r>
        <w:rPr>
          <w:rFonts w:ascii="Barlow Semi Condensed" w:cs="Barlow Semi Condensed" w:eastAsia="Barlow Semi Condensed" w:hAnsi="Barlow Semi Condensed"/>
          <w:b/>
          <w:bCs/>
          <w:sz w:val="24"/>
          <w:szCs w:val="24"/>
        </w:rPr>
        <w:t xml:space="preserve">Un elemento italiano va registrato. Il discorso di conclusione del pellegrinaggio ringrazia il ministro degli Interni Virginio Rognoni, presente in rappresentanza del governo italiano. È la sola presenza istituzionale italiana documentata nel viaggio, e non è della Farnesina.</w:t>
      </w:r>
    </w:p>
    <w:p>
      <w:pPr>
        <w:spacing w:after="120" w:line="276"/>
        <w:jc w:val="both"/>
      </w:pPr>
      <w:r>
        <w:rPr>
          <w:rFonts w:ascii="Barlow Semi Condensed" w:cs="Barlow Semi Condensed" w:eastAsia="Barlow Semi Condensed" w:hAnsi="Barlow Semi Condensed"/>
          <w:b/>
          <w:bCs/>
          <w:sz w:val="24"/>
          <w:szCs w:val="24"/>
        </w:rPr>
        <w:t xml:space="preserve">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b/>
          <w:bCs/>
          <w:sz w:val="24"/>
          <w:szCs w:val="24"/>
        </w:rPr>
        <w:t xml:space="preserve">Il collegamento con il nodo prioritario va qualificato con la massima cautela. La lettera minatoria di Ağca del 27 novembre 1979 fu inviata proprio in occasione di questo viaggio, che si svolse senza incidenti. La contemporaneità fra la minaccia e il viaggio è un fatto; essa non stabilisce alcun nesso causale con l'attentato del 1981, avvenuto a diciotto mesi di distanza e in altro luogo.</w:t>
      </w:r>
    </w:p>
    <w:p>
      <w:pPr>
        <w:spacing w:after="120" w:line="276"/>
        <w:jc w:val="both"/>
      </w:pPr>
      <w:r>
        <w:rPr>
          <w:rFonts w:ascii="Barlow Semi Condensed" w:cs="Barlow Semi Condensed" w:eastAsia="Barlow Semi Condensed" w:hAnsi="Barlow Semi Condensed"/>
          <w:b/>
          <w:bCs/>
          <w:sz w:val="24"/>
          <w:szCs w:val="24"/>
        </w:rPr>
        <w:t xml:space="preserve">Ciò che collega i due termini è la persona dell'attentatore e la continuità del suo proposito dichiarato — come Ağca stesso avrebbe poi affermato rinviando alle motivazioni espresse nel 1979 — ma la ricostruzione delle cause e degli eventuali mandanti dell'attacco del 1981 resta quella, giudizialmente non conclusiva, esposta ai Capitoli quarto e quinto.</w:t>
      </w:r>
    </w:p>
    <w:p>
      <w:pPr>
        <w:pStyle w:val="Heading2"/>
        <w:spacing w:after="100" w:before="200"/>
      </w:pPr>
      <w:r>
        <w:rPr>
          <w:rFonts w:ascii="Barlow Semi Condensed" w:cs="Barlow Semi Condensed" w:eastAsia="Barlow Semi Condensed" w:hAnsi="Barlow Semi Condensed"/>
          <w:sz w:val="24"/>
          <w:szCs w:val="24"/>
        </w:rPr>
        <w:t xml:space="preserve">Capitolo ottavo — Il decennio turco di Roncalli e il dialogo cattolico-ortodosso</w:t>
      </w:r>
    </w:p>
    <w:p>
      <w:pPr>
        <w:spacing w:after="120" w:line="276"/>
        <w:jc w:val="both"/>
      </w:pPr>
      <w:r>
        <w:rPr>
          <w:rFonts w:ascii="Barlow Semi Condensed" w:cs="Barlow Semi Condensed" w:eastAsia="Barlow Semi Condensed" w:hAnsi="Barlow Semi Condensed"/>
          <w:b/>
          <w:bCs/>
          <w:sz w:val="24"/>
          <w:szCs w:val="24"/>
        </w:rPr>
        <w:t xml:space="preserve">Il capitolo espone le due radici positive del rapporto fra Santa Sede e Turchia, e le espone insieme perché la seconda discende in parte dalla prima.</w:t>
      </w:r>
    </w:p>
    <w:p>
      <w:pPr>
        <w:spacing w:after="120" w:line="276"/>
        <w:jc w:val="both"/>
      </w:pPr>
      <w:r>
        <w:rPr>
          <w:rFonts w:ascii="Barlow Semi Condensed" w:cs="Barlow Semi Condensed" w:eastAsia="Barlow Semi Condensed" w:hAnsi="Barlow Semi Condensed"/>
          <w:b/>
          <w:bCs/>
          <w:sz w:val="24"/>
          <w:szCs w:val="24"/>
        </w:rPr>
        <w:t xml:space="preserve">Il decennio roncalliano, con le divergenze di data mantenute. Sulla nomina di Angelo Giuseppe Roncalli a delegato apostolico in Turchia le fonti divergono: alcune indicano il 24 novembre 1934, altre genericamente il 1934 con l'incarico congiunto per Turchia e Grecia e l'amministrazione apostolica del Vicariato di Istanbul, altre ancora — fra cui uno studio del \Journal of Ecclesiastical History\ del gennaio 1989 — parlano di delegato apostolico da gennaio 1935 a dicembre 1944. Concordano invece sull'arrivo a Istanbul, proveniente da Sofia, il 5 gennaio 1935, e sulla conclusione alla fine del 1944 con la partenza per la nunziatura di Francia, datata al 27 dicembre 1944.</w:t>
      </w:r>
    </w:p>
    <w:p>
      <w:pPr>
        <w:spacing w:after="120" w:line="276"/>
        <w:jc w:val="both"/>
      </w:pPr>
      <w:r>
        <w:rPr>
          <w:rFonts w:ascii="Barlow Semi Condensed" w:cs="Barlow Semi Condensed" w:eastAsia="Barlow Semi Condensed" w:hAnsi="Barlow Semi Condensed"/>
          <w:b/>
          <w:bCs/>
          <w:sz w:val="24"/>
          <w:szCs w:val="24"/>
        </w:rPr>
        <w:t xml:space="preserve">La comunità. Le fonti oscillano fra trentamila fedeli al suo arrivo e trentacinquemila, con tendenza alla diminuzione. Roncalli operava in un contesto segnato dalla laicizzazione kemalista: la Repubblica non riconosceva ufficialmente la rappresentanza pontificia, sicché egli si muoveva con discrezione, presentandosi agli uffici di polizia per i documenti.</w:t>
      </w:r>
    </w:p>
    <w:p>
      <w:pPr>
        <w:spacing w:after="120" w:line="276"/>
        <w:jc w:val="both"/>
      </w:pPr>
      <w:r>
        <w:rPr>
          <w:rFonts w:ascii="Barlow Semi Condensed" w:cs="Barlow Semi Condensed" w:eastAsia="Barlow Semi Condensed" w:hAnsi="Barlow Semi Condensed"/>
          <w:b/>
          <w:bCs/>
          <w:sz w:val="24"/>
          <w:szCs w:val="24"/>
        </w:rPr>
        <w:t xml:space="preserve">L'innovazione liturgica, con divergenza cronologica. Roncalli introdusse la lingua turca nella liturgia e nelle comunicazioni della diocesi: una fonte colloca l'iniziativa fin dal 1935, un'altra al gennaio 1936 per preghiere e canti, una terza riferisce della lettura del Vangelo in turco nel 1938. L'iniziativa suscitò consensi nell'ambiente musulmano e contestazioni nella comunità cattolica occidentale, soprattutto francese, che si considerava prima destinataria delle cure pastorali. Quando una legge turca proibì l'abito religioso in pubblico, Roncalli si adeguò, annotando con ironia che il provvedimento favoriva i contatti con i capi religiosi ortodossi e musulmani.</w:t>
      </w:r>
    </w:p>
    <w:p>
      <w:pPr>
        <w:spacing w:after="120" w:line="276"/>
        <w:jc w:val="both"/>
      </w:pPr>
      <w:r>
        <w:rPr>
          <w:rFonts w:ascii="Barlow Semi Condensed" w:cs="Barlow Semi Condensed" w:eastAsia="Barlow Semi Condensed" w:hAnsi="Barlow Semi Condensed"/>
          <w:b/>
          <w:bCs/>
          <w:sz w:val="24"/>
          <w:szCs w:val="24"/>
        </w:rPr>
        <w:t xml:space="preserve">L'assistenza ai profughi ebrei. Le fonti concordano sul valore dell'azione e sul suo carattere personale e riservato; la cifra ricorrente è di circa venticinquemila ebrei concretamente aiutati, con la cautela che tali stime impongono. Roncalli si avvalse dei rapporti con l'ambasciatore tedesco a Istanbul Franz von Papen, cattolico ed ex cancelliere del Reich; le fonti, citando fra l'altro la testimonianza resa da von Papen a Norimberga, riferiscono che migliaia di ebrei furono salvati anche grazie alle formalità amministrative alle quali l'ambasciatore si piegò sotto la pressione di Roncalli. Gli interventi si estesero a ebrei di Slovacchia, Bulgaria e Ungheria.</w:t>
      </w:r>
    </w:p>
    <w:p>
      <w:pPr>
        <w:spacing w:after="120" w:line="276"/>
        <w:jc w:val="both"/>
      </w:pPr>
      <w:r>
        <w:rPr>
          <w:rFonts w:ascii="Barlow Semi Condensed" w:cs="Barlow Semi Condensed" w:eastAsia="Barlow Semi Condensed" w:hAnsi="Barlow Semi Condensed"/>
          <w:b/>
          <w:bCs/>
          <w:sz w:val="24"/>
          <w:szCs w:val="24"/>
        </w:rPr>
        <w:t xml:space="preserve">Il limite documentale, già enunciato al Capitolo primo, va ripetuto qui. La documentazione del quinquennio 1940-1945 non è pienamente consultabile.</w:t>
      </w:r>
    </w:p>
    <w:p>
      <w:pPr>
        <w:spacing w:after="120" w:line="276"/>
        <w:jc w:val="both"/>
      </w:pPr>
      <w:r>
        <w:rPr>
          <w:rFonts w:ascii="Barlow Semi Condensed" w:cs="Barlow Semi Condensed" w:eastAsia="Barlow Semi Condensed" w:hAnsi="Barlow Semi Condensed"/>
          <w:b/>
          <w:bCs/>
          <w:sz w:val="24"/>
          <w:szCs w:val="24"/>
        </w:rPr>
        <w:t xml:space="preserve">Il rilievo per il rapporto successivo. La memoria pubblica turca — una via di Istanbul intitolata a Roncalli, una statua — e la stessa Santa Sede attestano il valore di quella stagione: nel discorso al nuovo ambasciatore di Turchia del 19 gennaio 1967 Paolo VI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b/>
          <w:bCs/>
          <w:sz w:val="24"/>
          <w:szCs w:val="24"/>
        </w:rPr>
        <w:t xml:space="preserve">Il dialogo cattolico-ortodosso, per date. 5 gennaio 1964: incontro di Gerusalemme fra Paolo VI e Atenagora I sul Monte degli Ulivi, primo atto ufficiale congiunto dallo scisma del 1054. Aprile 1965: delegazione romana a Istanbul con i cardinali Willebrands e Bea. 9 ottobre 1965: nell'udienza al metropolita Emilianos Timiadis si decide la costituzione di una commissione mista. 7 dicembre 1965: la Dichiarazione comune è letta simultaneamente a Roma, nella sessione solenne del Concilio, e al Fanar; essa precisa che le scomuniche del 1054 fra Leone IX e Michele Cerulario riguardavano le persone e non le Chiese, e dispone di cancellare dalla memoria e dal seno della Chiesa quelle sentenze. 25-26 luglio 1967: Paolo VI a Istanbul, Efeso e Smirne, con incontro di Atenagora nella chiesa patriarcale di San Giorgio il 25. 26 ottobre 1967: Atenagora a Roma. Luglio 1972: morte di Atenagora, con divergenza fra il 6 e il 7 mantenuta, e successione di Dimitrios I. 29 maggio - 4 giugno 1980: prima sessione plenaria della Commissione mista internazionale a Patmos e Rodi, con l'obiezione di alcuni delegati ortodossi alla presenza dei rappresentanti delle Chiese cattoliche orientali. 28 giugno 1985: nel discorso al Sacro Collegio Giovanni Paolo II ricorda il primo frutto documentale, un documento redatto in comune sul mistero della Chiesa e dell'Eucaristia alla luce del mistero della Santissima Trinità.</w:t>
      </w:r>
    </w:p>
    <w:p>
      <w:pPr>
        <w:pStyle w:val="Heading2"/>
        <w:spacing w:after="100" w:before="200"/>
      </w:pPr>
      <w:r>
        <w:rPr>
          <w:rFonts w:ascii="Barlow Semi Condensed" w:cs="Barlow Semi Condensed" w:eastAsia="Barlow Semi Condensed" w:hAnsi="Barlow Semi Condensed"/>
          <w:sz w:val="24"/>
          <w:szCs w:val="24"/>
        </w:rPr>
        <w:t xml:space="preserve">Capitolo nono — Il Trattato di Losanna e l'esclusione dei cattolici latini</w:t>
      </w:r>
    </w:p>
    <w:p>
      <w:pPr>
        <w:spacing w:after="120" w:line="276"/>
        <w:jc w:val="both"/>
      </w:pPr>
      <w:r>
        <w:rPr>
          <w:rFonts w:ascii="Barlow Semi Condensed" w:cs="Barlow Semi Condensed" w:eastAsia="Barlow Semi Condensed" w:hAnsi="Barlow Semi Condensed"/>
          <w:b/>
          <w:bCs/>
          <w:sz w:val="24"/>
          <w:szCs w:val="24"/>
        </w:rPr>
        <w:t xml:space="preserve">Il capitolo espone il dato giuridico che determina in senso restrittivo lo statuto delle comunità cattoliche di Turchia, ed è il capitolo in cui la documentazione normativa è più solida.</w:t>
      </w:r>
    </w:p>
    <w:p>
      <w:pPr>
        <w:spacing w:after="120" w:line="276"/>
        <w:jc w:val="both"/>
      </w:pPr>
      <w:r>
        <w:rPr>
          <w:rFonts w:ascii="Barlow Semi Condensed" w:cs="Barlow Semi Condensed" w:eastAsia="Barlow Semi Condensed" w:hAnsi="Barlow Semi Condensed"/>
          <w:b/>
          <w:bCs/>
          <w:sz w:val="24"/>
          <w:szCs w:val="24"/>
        </w:rPr>
        <w:t xml:space="preserve">La norma. Il Trattato di Losanna del 24 luglio 1923, firmato fra la Turchia e le potenze dell'Intesa, pose fine alla guerra greco-turca, ridisegnò i confini stabiliti dal Trattato di Sèvres, sancì la rinuncia turca a Cipro e legittimò lo scambio di popolazioni fra Grecia e Turchia. La sezione dedicata ai diritti delle minoranze è nella parte prima, sezione terza, articoli dal trentasette al quarantacinque.</w:t>
      </w:r>
    </w:p>
    <w:p>
      <w:pPr>
        <w:spacing w:after="120" w:line="276"/>
        <w:jc w:val="both"/>
      </w:pPr>
      <w:r>
        <w:rPr>
          <w:rFonts w:ascii="Barlow Semi Condensed" w:cs="Barlow Semi Condensed" w:eastAsia="Barlow Semi Condensed" w:hAnsi="Barlow Semi Condensed"/>
          <w:b/>
          <w:bCs/>
          <w:sz w:val="24"/>
          <w:szCs w:val="24"/>
        </w:rPr>
        <w:t xml:space="preserve">L'interpretazione, e la sua conseguenza. L'interpretazione consolidata dalle autorità turche riconosce come minoranze non musulmane soltanto i greco-ortodossi, gli armeni e gli ebrei. Ne restano esclusi i cattolici latini, i caldei e i siro-cattolici.</w:t>
      </w:r>
    </w:p>
    <w:p>
      <w:pPr>
        <w:spacing w:after="120" w:line="276"/>
        <w:jc w:val="both"/>
      </w:pPr>
      <w:r>
        <w:rPr>
          <w:rFonts w:ascii="Barlow Semi Condensed" w:cs="Barlow Semi Condensed" w:eastAsia="Barlow Semi Condensed" w:hAnsi="Barlow Semi Condensed"/>
          <w:b/>
          <w:bCs/>
          <w:sz w:val="24"/>
          <w:szCs w:val="24"/>
        </w:rPr>
        <w:t xml:space="preserve">La conseguenza pratica è documentata con nettezza, e la si riporta perché è il punto in cui una clausola del 1923 produce effetti novant'anni dopo: a proposito del decreto turco di restituzione dei beni alle fondazioni religiose, una fonte confessionale osserva che nulla tornerà invece ai cattolici latini, perché questi non compaiono fra le minoranze religiose indicate nel Trattato di Losanna, mentre beneficiari della restituzione risultavano greco-ortodossi, armeni, caldei cattolici ed ebrei.</w:t>
      </w:r>
    </w:p>
    <w:p>
      <w:pPr>
        <w:spacing w:after="120" w:line="276"/>
        <w:jc w:val="both"/>
      </w:pPr>
      <w:r>
        <w:rPr>
          <w:rFonts w:ascii="Barlow Semi Condensed" w:cs="Barlow Semi Condensed" w:eastAsia="Barlow Semi Condensed" w:hAnsi="Barlow Semi Condensed"/>
          <w:b/>
          <w:bCs/>
          <w:sz w:val="24"/>
          <w:szCs w:val="24"/>
        </w:rPr>
        <w:t xml:space="preserve">L'articolazione delle comunità. Vicariato apostolico di Istanbul, Arcidiocesi di Smirne, Vicariato apostolico dell'Anatolia, Arcieparchia armeno-cattolica di Istanbul, comunità caldea e siro-cattolica, Esarcato apostolico per i cattolici di rito bizantino.</w:t>
      </w:r>
    </w:p>
    <w:p>
      <w:pPr>
        <w:spacing w:after="120" w:line="276"/>
        <w:jc w:val="both"/>
      </w:pPr>
      <w:r>
        <w:rPr>
          <w:rFonts w:ascii="Barlow Semi Condensed" w:cs="Barlow Semi Condensed" w:eastAsia="Barlow Semi Condensed" w:hAnsi="Barlow Semi Condensed"/>
          <w:b/>
          <w:bCs/>
          <w:sz w:val="24"/>
          <w:szCs w:val="24"/>
        </w:rPr>
        <w:t xml:space="preserve">Le consistenze, con le divergenze mantenute. Per il rito latino in epoca recente: oltre milletrecento fedeli a Smirne, quindicimila nel Vicariato di Istanbul, circa millecinquecento in Anatolia. Per il totale: una fonte indica circa trentacinquemila cattolici, pari allo zero virgola zero cinque per cento della popolazione; la ricognizione anteriore aveva registrato stime oscillanti fra venticinquemila-trentamila e sessantamila. Le divergenze si riportano.</w:t>
      </w:r>
    </w:p>
    <w:p>
      <w:pPr>
        <w:spacing w:after="120" w:line="276"/>
        <w:jc w:val="both"/>
      </w:pPr>
      <w:r>
        <w:rPr>
          <w:rFonts w:ascii="Barlow Semi Condensed" w:cs="Barlow Semi Condensed" w:eastAsia="Barlow Semi Condensed" w:hAnsi="Barlow Semi Condensed"/>
          <w:b/>
          <w:bCs/>
          <w:sz w:val="24"/>
          <w:szCs w:val="24"/>
        </w:rPr>
        <w:t xml:space="preserve">Un elemento storico che spiega la perdita di tutela. Nel diciannovesimo secolo, grazie all'influsso francese, quattro Chiese cattoliche — armeno-cattolica, caldea, greco-melchita e sira — avevano ottenuto sotto gli Ottomani lo statuto di millet. La rivoluzione kemalista, sopprimendo il sistema del millet, rimosse quella tutela; e Losanna non la ripristinò per i cattolici.</w:t>
      </w:r>
    </w:p>
    <w:p>
      <w:pPr>
        <w:spacing w:after="120" w:line="276"/>
        <w:jc w:val="both"/>
      </w:pPr>
      <w:r>
        <w:rPr>
          <w:rFonts w:ascii="Barlow Semi Condensed" w:cs="Barlow Semi Condensed" w:eastAsia="Barlow Semi Condensed" w:hAnsi="Barlow Semi Condensed"/>
          <w:b/>
          <w:bCs/>
          <w:sz w:val="24"/>
          <w:szCs w:val="24"/>
        </w:rPr>
        <w:t xml:space="preserve">Il regime delle fondazioni. Mancando il riconoscimento come minoranza, i cattolici latini non godono delle tutele patrimoniali riconosciute alle tre minoranze di Losanna, e le loro proprietà — monasteri, parrocchie — hanno storicamente sofferto della mancata personalità giuridica.</w:t>
      </w:r>
    </w:p>
    <w:p>
      <w:pPr>
        <w:spacing w:after="120" w:line="276"/>
        <w:jc w:val="both"/>
      </w:pPr>
      <w:r>
        <w:rPr>
          <w:rFonts w:ascii="Barlow Semi Condensed" w:cs="Barlow Semi Condensed" w:eastAsia="Barlow Semi Condensed" w:hAnsi="Barlow Semi Condensed"/>
          <w:b/>
          <w:bCs/>
          <w:sz w:val="24"/>
          <w:szCs w:val="24"/>
        </w:rPr>
        <w:t xml:space="preserve">Che cosa non è stato reperito. La posizione della Santa Sede sull'esclusione, per il periodo 1969-1985, non emerge dalle fonti reperite in forma di un atto formale e specifico di protesta: le rivendicazioni documentate appartengono per lo più a epoca successiva. La sede di accertamento è l'archivio della Segreteria di Stato per il pontificato di Paolo VI, non aperto — e qui il limite strutturale del Capitolo primo produce il suo effetto più diretto.</w:t>
      </w:r>
    </w:p>
    <w:p>
      <w:pPr>
        <w:pStyle w:val="Heading2"/>
        <w:spacing w:after="100" w:before="200"/>
      </w:pPr>
      <w:r>
        <w:rPr>
          <w:rFonts w:ascii="Barlow Semi Condensed" w:cs="Barlow Semi Condensed" w:eastAsia="Barlow Semi Condensed" w:hAnsi="Barlow Semi Condensed"/>
          <w:sz w:val="24"/>
          <w:szCs w:val="24"/>
        </w:rPr>
        <w:t xml:space="preserve">Capitolo decimo — La CSCE: il punto di intersezione documentato e le sue due lacune</w:t>
      </w:r>
    </w:p>
    <w:p>
      <w:pPr>
        <w:spacing w:after="120" w:line="276"/>
        <w:jc w:val="both"/>
      </w:pPr>
      <w:r>
        <w:rPr>
          <w:rFonts w:ascii="Barlow Semi Condensed" w:cs="Barlow Semi Condensed" w:eastAsia="Barlow Semi Condensed" w:hAnsi="Barlow Semi Condensed"/>
          <w:b/>
          <w:bCs/>
          <w:sz w:val="24"/>
          <w:szCs w:val="24"/>
        </w:rPr>
        <w:t xml:space="preserve">Il capitolo espone il solo momento in cui i tre soggetti agirono nel medesimo consesso, e dichiara ciò che di esso non si sa.</w:t>
      </w:r>
    </w:p>
    <w:p>
      <w:pPr>
        <w:spacing w:after="120" w:line="276"/>
        <w:jc w:val="both"/>
      </w:pPr>
      <w:r>
        <w:rPr>
          <w:rFonts w:ascii="Barlow Semi Condensed" w:cs="Barlow Semi Condensed" w:eastAsia="Barlow Semi Condensed" w:hAnsi="Barlow Semi Condensed"/>
          <w:b/>
          <w:bCs/>
          <w:sz w:val="24"/>
          <w:szCs w:val="24"/>
        </w:rPr>
        <w:t xml:space="preserve">La partecipazione vaticana. La Santa Sede partecipò alla Conferenza per la sicurezza e la cooperazione in Europa come membro a pieno titolo — la prima volta, dopo il Congresso di Vienna del 1815, che ciò avvenisse in un congresso di Stati. La delegazione fu guidata da Agostino Casaroli, segretario del Consiglio per gli affari pubblici della Chiesa, e da Achille Silvestrini, allora sottosegretario del medesimo Consiglio. La partecipazione avvenne fin dalle riunioni preparatorie.</w:t>
      </w:r>
    </w:p>
    <w:p>
      <w:pPr>
        <w:spacing w:after="120" w:line="276"/>
        <w:jc w:val="both"/>
      </w:pPr>
      <w:r>
        <w:rPr>
          <w:rFonts w:ascii="Barlow Semi Condensed" w:cs="Barlow Semi Condensed" w:eastAsia="Barlow Semi Condensed" w:hAnsi="Barlow Semi Condensed"/>
          <w:b/>
          <w:bCs/>
          <w:sz w:val="24"/>
          <w:szCs w:val="24"/>
        </w:rPr>
        <w:t xml:space="preserve">Il contributo caratteristico. Silvestrini ha rievocato l'emozione con cui il 7 marzo 1973 fu presentata, nell'ambito dei principi destinati a reggere i rapporti fra gli Stati, una proposta sulla libertà religiosa, ricordando che nella storia d'Europa esisteva una comune cultura, quella cristiana. La proposta, accolta secondo il suo racconto come una bomba, confluì nel settimo principio dell'Atto finale, che afferma il rispetto dei diritti dell'uomo e delle libertà fondamentali, inclusa la libertà di pensiero, coscienza, religione o credo.</w:t>
      </w:r>
    </w:p>
    <w:p>
      <w:pPr>
        <w:spacing w:after="120" w:line="276"/>
        <w:jc w:val="both"/>
      </w:pPr>
      <w:r>
        <w:rPr>
          <w:rFonts w:ascii="Barlow Semi Condensed" w:cs="Barlow Semi Condensed" w:eastAsia="Barlow Semi Condensed" w:hAnsi="Barlow Semi Condensed"/>
          <w:b/>
          <w:bCs/>
          <w:sz w:val="24"/>
          <w:szCs w:val="24"/>
        </w:rPr>
        <w:t xml:space="preserve">La firma del 1 agosto 1975. L'Atto finale fu sottoscritto da trentacinque Stati partecipanti. Vi apposero la firma la Santa Sede, la Turchia e, per l'Italia, Aldo Moro nella duplice qualità di presidente del Consiglio e presidente di turno della Comunità europea.</w:t>
      </w:r>
    </w:p>
    <w:p>
      <w:pPr>
        <w:spacing w:after="120" w:line="276"/>
        <w:jc w:val="both"/>
      </w:pPr>
      <w:r>
        <w:rPr>
          <w:rFonts w:ascii="Barlow Semi Condensed" w:cs="Barlow Semi Condensed" w:eastAsia="Barlow Semi Condensed" w:hAnsi="Barlow Semi Condensed"/>
          <w:b/>
          <w:bCs/>
          <w:sz w:val="24"/>
          <w:szCs w:val="24"/>
        </w:rPr>
        <w:t xml:space="preserve">Questa è la triangolazione certa dell'intero studio, e va enunciata per quello che è: una convergenza di firma e una comunanza di consesso, documentate, fra i tre soggetti, sul medesimo atto internazionale.</w:t>
      </w:r>
    </w:p>
    <w:p>
      <w:pPr>
        <w:spacing w:after="120" w:line="276"/>
        <w:jc w:val="both"/>
      </w:pPr>
      <w:r>
        <w:rPr>
          <w:rFonts w:ascii="Barlow Semi Condensed" w:cs="Barlow Semi Condensed" w:eastAsia="Barlow Semi Condensed" w:hAnsi="Barlow Semi Condensed"/>
          <w:b/>
          <w:bCs/>
          <w:sz w:val="24"/>
          <w:szCs w:val="24"/>
        </w:rPr>
        <w:t xml:space="preserve">E adesso le due lacune, che vanno dichiarate con eguale forza.</w:t>
      </w:r>
    </w:p>
    <w:p>
      <w:pPr>
        <w:spacing w:after="120" w:line="276"/>
        <w:jc w:val="both"/>
      </w:pPr>
      <w:r>
        <w:rPr>
          <w:rFonts w:ascii="Barlow Semi Condensed" w:cs="Barlow Semi Condensed" w:eastAsia="Barlow Semi Condensed" w:hAnsi="Barlow Semi Condensed"/>
          <w:b/>
          <w:bCs/>
          <w:sz w:val="24"/>
          <w:szCs w:val="24"/>
        </w:rPr>
        <w:t xml:space="preserve">Prima lacuna. Non risulta che la questione delle minoranze cristiane in Turchia e la chiusura di Halki siano state sollevate formalmente dalla delegazione vaticana o da altra delegazione, né nella sede del 1975 né nelle riunioni di seguito di Belgrado e Madrid. Il tema della libertà religiosa fu posto dalla Santa Sede in termini generali e principalmente in funzione della condizione dei cattolici nei Paesi del blocco orientale, secondo la logica della Ostpolitik, e non come rivendicazione puntuale verso Ankara.</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merita di essere formulata. La Santa Sede ottenne a Helsinki l'inscrizione della libertà religiosa fra i principi, e la ottenne guardando a Oriente. Che il medesimo principio potesse essere invocato verso un alleato atlantico che aveva chiuso il seminario del Patriarcato quattro anni prima non risulta essere stato fatto valere. Questo è un dato; e la sua interpretazione — se prudenza diplomatica, se priorità gerarchica dei dossier, se altro — non è accertata da alcuna fonte reperita.</w:t>
      </w:r>
    </w:p>
    <w:p>
      <w:pPr>
        <w:spacing w:after="120" w:line="276"/>
        <w:jc w:val="both"/>
      </w:pPr>
      <w:r>
        <w:rPr>
          <w:rFonts w:ascii="Barlow Semi Condensed" w:cs="Barlow Semi Condensed" w:eastAsia="Barlow Semi Condensed" w:hAnsi="Barlow Semi Condensed"/>
          <w:b/>
          <w:bCs/>
          <w:sz w:val="24"/>
          <w:szCs w:val="24"/>
        </w:rPr>
        <w:t xml:space="preserve">Seconda lacuna. La posizione turca sui principi relativi ai diritti umani e alle minoranze in quella sede non è documentata con la specificità necessaria dalle fonti raccolte.</w:t>
      </w:r>
    </w:p>
    <w:p>
      <w:pPr>
        <w:spacing w:after="120" w:line="276"/>
        <w:jc w:val="both"/>
      </w:pPr>
      <w:r>
        <w:rPr>
          <w:rFonts w:ascii="Barlow Semi Condensed" w:cs="Barlow Semi Condensed" w:eastAsia="Barlow Semi Condensed" w:hAnsi="Barlow Semi Condensed"/>
          <w:b/>
          <w:bCs/>
          <w:sz w:val="24"/>
          <w:szCs w:val="24"/>
        </w:rPr>
        <w:t xml:space="preserve">Le sedi di accertamento sono gli atti della Conferenza, l'archivio della Segreteria di Stato — non aperto — e gli archivi diplomatici turchi.</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e il loro grado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Prima triangolazione: la firma di Helsinki del 1 agosto 1975. Grado alto quanto al fatto. Contenuto: Santa Sede, Turchia e Italia di Moro sottoscrivono il medesimo atto internazionale; la Santa Sede vi ha ottenuto l'inscrizione della libertà religiosa nel settimo principio. Ciò che non stabilisce: la materia era la sicurezza europea e non la condizione delle minoranze cristiane in Turchia; nessuna fonte documenta un coordinamento fra le delegazioni. È una convergenza di consesso, e nulla di più.</w:t>
      </w:r>
    </w:p>
    <w:p>
      <w:pPr>
        <w:spacing w:after="120" w:line="276"/>
        <w:jc w:val="both"/>
      </w:pPr>
      <w:r>
        <w:rPr>
          <w:rFonts w:ascii="Barlow Semi Condensed" w:cs="Barlow Semi Condensed" w:eastAsia="Barlow Semi Condensed" w:hAnsi="Barlow Semi Condensed"/>
          <w:b/>
          <w:bCs/>
          <w:sz w:val="24"/>
          <w:szCs w:val="24"/>
        </w:rPr>
        <w:t xml:space="preserve">Seconda triangolazione: la sovrapposizione fra collettività italiana e minoranza latina. Grado medio. Contenuto: la comunità italiana di Istanbul e Smirne è la più antica collettività italiana all'estero, e le parrocchie latine — escluse dalle tutele di Losanna — ne erano il riferimento religioso. Ciò che non stabilisce: nessuna azione coordinata della Farnesina in loro favore risulta documentata nel periodo. È una sovrapposizione di perimetro senza azione accertata.</w:t>
      </w:r>
    </w:p>
    <w:p>
      <w:pPr>
        <w:spacing w:after="120" w:line="276"/>
        <w:jc w:val="both"/>
      </w:pPr>
      <w:r>
        <w:rPr>
          <w:rFonts w:ascii="Barlow Semi Condensed" w:cs="Barlow Semi Condensed" w:eastAsia="Barlow Semi Condensed" w:hAnsi="Barlow Semi Condensed"/>
          <w:b/>
          <w:bCs/>
          <w:sz w:val="24"/>
          <w:szCs w:val="24"/>
        </w:rPr>
        <w:t xml:space="preserve">Terza triangolazione: l'eredità roncalliana come titolo diplomatico. Grado alto quanto al riconoscimento. Contenuto: nel discorso al nuovo ambasciatore turco del 19 gennaio 1967 Paolo VI collega l'avvio delle relazioni diplomatiche al pontificato di Giovanni XXIII, cioè all'uomo che era stato delegato apostolico a Istanbul per un decennio. Ciò che non stabilisce: nulla riguardo all'Italia come Stato, il cui ruolo in quella genealogia è inesistente. È una triangolazione fra Santa Sede e Turchia dalla quale l'Italia è assente, pur essendo Roncalli italiano.</w:t>
      </w:r>
    </w:p>
    <w:p>
      <w:pPr>
        <w:spacing w:after="120" w:line="276"/>
        <w:jc w:val="both"/>
      </w:pPr>
      <w:r>
        <w:rPr>
          <w:rFonts w:ascii="Barlow Semi Condensed" w:cs="Barlow Semi Condensed" w:eastAsia="Barlow Semi Condensed" w:hAnsi="Barlow Semi Condensed"/>
          <w:b/>
          <w:bCs/>
          <w:sz w:val="24"/>
          <w:szCs w:val="24"/>
        </w:rPr>
        <w:t xml:space="preserve">Quarta triangolazione: l'attentato del 1981. Grado alto quanto ai fatti materiali, nullo quanto ai mandanti. Contenuto: un cittadino turco, proveniente da un ambiente politico radicale, dopo aver ucciso un direttore di giornale ed essere evaso da un carcere militare, minaccia per iscritto il pontefice nel novembre 1979 e gli spara in piazza San Pietro nel maggio 1981. Ciò che non stabilisce: la pista bulgara non fu giudizialmente provata; i mandanti non sono accertati; nessun mandato organizzativo dei Lupi Grigi è stato accertato. È il collegamento più diretto fra Turchia e Vaticano dell'intera serie, e simultaneamente quello di cui si sa meno.</w:t>
      </w:r>
    </w:p>
    <w:p>
      <w:pPr>
        <w:spacing w:after="120" w:line="276"/>
        <w:jc w:val="both"/>
      </w:pPr>
      <w:r>
        <w:rPr>
          <w:rFonts w:ascii="Barlow Semi Condensed" w:cs="Barlow Semi Condensed" w:eastAsia="Barlow Semi Condensed" w:hAnsi="Barlow Semi Condensed"/>
          <w:b/>
          <w:bCs/>
          <w:sz w:val="24"/>
          <w:szCs w:val="24"/>
        </w:rPr>
        <w:t xml:space="preserve">Il bilancio, ed è la risultanza generale. Nessuna delle quattro triangolazioni coinvolge l'Italia come attore documentato, e questa è la settima volta consecutiva che questo studio giunge alla medesima conclusione. Nella prima l'Italia è cofirmataria; nella seconda è titolare di un interesse consolare non esercitato; nella terza è assente; nella quarta è il territorio su cui il fatto avviene e la giurisdizione che lo giudica.</w:t>
      </w:r>
    </w:p>
    <w:p>
      <w:pPr>
        <w:spacing w:after="120" w:line="276"/>
        <w:jc w:val="both"/>
      </w:pPr>
      <w:r>
        <w:rPr>
          <w:rFonts w:ascii="Barlow Semi Condensed" w:cs="Barlow Semi Condensed" w:eastAsia="Barlow Semi Condensed" w:hAnsi="Barlow Semi Condensed"/>
          <w:b/>
          <w:bCs/>
          <w:sz w:val="24"/>
          <w:szCs w:val="24"/>
        </w:rPr>
        <w:t xml:space="preserve">Un'osservazione che vale come chiusura analitica. Nella quarta triangolazione l'Italia compare come sede giudiziaria: fu la magistratura italiana a istruire, processare e assolvere. E il suo esito — l'assoluzione per insufficienza di prove del 29 marzo 1986 — converge con la valutazione dell'intelligence statunitense che, disponendo di ogni interesse politico contrario, scrisse di non poter sviluppare un quadro conclusivo. Due apparati indipendenti, con interessi divergenti, giunsero alla medesima non-conclusione. Questa convergenza è, secondo me, il dato più solido che questo studio produca sulla materia.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dei sette studi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con la condizione di chiusura.</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 condizione non nelle nostre mani. La documentazione della Segreteria di Stato, sezione Rapporti con gli Stati, per il pontificato di Paolo VI: Turchia, minoranze cattoliche, Halki, CSCE. Condizione di chiusura: l'apertura del pontificato alla consultazione, oggi non disposta. È la sola voce che, aperta, riscriverebbe i Capitoli nono e decimo.</w:t>
      </w:r>
    </w:p>
    <w:p>
      <w:pPr>
        <w:spacing w:after="120" w:line="276"/>
        <w:jc w:val="both"/>
      </w:pPr>
      <w:r>
        <w:rPr>
          <w:rFonts w:ascii="Barlow Semi Condensed" w:cs="Barlow Semi Condensed" w:eastAsia="Barlow Semi Condensed" w:hAnsi="Barlow Semi Condensed"/>
          <w:b/>
          <w:bCs/>
          <w:sz w:val="24"/>
          <w:szCs w:val="24"/>
        </w:rPr>
        <w:t xml:space="preserve">Seconda voce, di rendimento alto e condizione eseguibile. La posizione della Farnesina di Moro sulle minoranze cristiane, su Halki e sul Patriarcato, e l'esistenza di contatti con la Segreteria di Stato. Sede: Archivio Storico Diplomatico del Ministero degli Affari Esteri, serie Turchia e serie Santa Sede 1969-1975. Condizione: consultazione diretta, tenuto conto dell'esclusione dei Telegrammi 1942-1970. Soglia che muterebbe la valutazione: il rinvenimento di anche un solo telegramma o appunto che tratti Halki, il Patriarcato o le parrocchie latine.</w:t>
      </w:r>
    </w:p>
    <w:p>
      <w:pPr>
        <w:spacing w:after="120" w:line="276"/>
        <w:jc w:val="both"/>
      </w:pPr>
      <w:r>
        <w:rPr>
          <w:rFonts w:ascii="Barlow Semi Condensed" w:cs="Barlow Semi Condensed" w:eastAsia="Barlow Semi Condensed" w:hAnsi="Barlow Semi Condensed"/>
          <w:b/>
          <w:bCs/>
          <w:sz w:val="24"/>
          <w:szCs w:val="24"/>
        </w:rPr>
        <w:t xml:space="preserve">Terza voce. L'eventuale trattazione della questione delle minoranze cristiane turche nelle sedi CSCE del 1975 e nelle riunioni di seguito. Sedi: atti della Conferenza, archivio della Segreteria di Stato, archivi diplomatici turchi. Condizione: spoglio sistematico dei verbali.</w:t>
      </w:r>
    </w:p>
    <w:p>
      <w:pPr>
        <w:spacing w:after="120" w:line="276"/>
        <w:jc w:val="both"/>
      </w:pPr>
      <w:r>
        <w:rPr>
          <w:rFonts w:ascii="Barlow Semi Condensed" w:cs="Barlow Semi Condensed" w:eastAsia="Barlow Semi Condensed" w:hAnsi="Barlow Semi Condensed"/>
          <w:b/>
          <w:bCs/>
          <w:sz w:val="24"/>
          <w:szCs w:val="24"/>
        </w:rPr>
        <w:t xml:space="preserve">Quarta voce. La documentazione roncalliana del 1940-1945 sull'assistenza agli ebrei. Sede: Archivio Apostolico Vaticano. Condizione: apertura integrale del fondo.</w:t>
      </w:r>
    </w:p>
    <w:p>
      <w:pPr>
        <w:spacing w:after="120" w:line="276"/>
        <w:jc w:val="both"/>
      </w:pPr>
      <w:r>
        <w:rPr>
          <w:rFonts w:ascii="Barlow Semi Condensed" w:cs="Barlow Semi Condensed" w:eastAsia="Barlow Semi Condensed" w:hAnsi="Barlow Semi Condensed"/>
          <w:b/>
          <w:bCs/>
          <w:sz w:val="24"/>
          <w:szCs w:val="24"/>
        </w:rPr>
        <w:t xml:space="preserve">Quinta voce. Le circostanze dell'evasione di Ağca da Kartal-Maltepe e i suoi rapporti d'ambiente, sul versante turco. Sede: archivi giudiziari turchi. Condizione: la loro accessibilità, non verificata.</w:t>
      </w:r>
    </w:p>
    <w:p>
      <w:pPr>
        <w:spacing w:after="120" w:line="276"/>
        <w:jc w:val="both"/>
      </w:pPr>
      <w:r>
        <w:rPr>
          <w:rFonts w:ascii="Barlow Semi Condensed" w:cs="Barlow Semi Condensed" w:eastAsia="Barlow Semi Condensed" w:hAnsi="Barlow Semi Condensed"/>
          <w:b/>
          <w:bCs/>
          <w:sz w:val="24"/>
          <w:szCs w:val="24"/>
        </w:rPr>
        <w:t xml:space="preserve">Sesta voce, di rendimento incerto ma decisiva sul merito. Il testo integrale delle porzioni non desecretate dei documenti statunitensi 370 e 376. Sede: CIA FOIA Electronic Reading Room. Condizione: ulteriore desecretazione. È la sola voce che potrebbe mutare il quadro probatorio sulla pista bulgara.</w:t>
      </w:r>
    </w:p>
    <w:p>
      <w:pPr>
        <w:spacing w:after="120" w:line="276"/>
        <w:jc w:val="both"/>
      </w:pPr>
      <w:r>
        <w:rPr>
          <w:rFonts w:ascii="Barlow Semi Condensed" w:cs="Barlow Semi Condensed" w:eastAsia="Barlow Semi Condensed" w:hAnsi="Barlow Semi Condensed"/>
          <w:b/>
          <w:bCs/>
          <w:sz w:val="24"/>
          <w:szCs w:val="24"/>
        </w:rPr>
        <w:t xml:space="preserve">Settima voce. I fascicoli processuali dell'attentato. Sedi: Archivio Centrale dello Stato o Corte d'assise di Roma. Condizione: autorizzazione all'accesso.</w:t>
      </w:r>
    </w:p>
    <w:p>
      <w:pPr>
        <w:pStyle w:val="Heading2"/>
        <w:spacing w:after="100" w:before="200"/>
      </w:pPr>
      <w:r>
        <w:rPr>
          <w:rFonts w:ascii="Barlow Semi Condensed" w:cs="Barlow Semi Condensed" w:eastAsia="Barlow Semi Condensed" w:hAnsi="Barlow Semi Condensed"/>
          <w:sz w:val="24"/>
          <w:szCs w:val="24"/>
        </w:rPr>
        <w:t xml:space="preserve">Nota sul bilancio dei sette studi, che chiude questa ricognizione.</w:t>
      </w:r>
    </w:p>
    <w:p>
      <w:pPr>
        <w:spacing w:after="120" w:line="276"/>
        <w:jc w:val="both"/>
      </w:pPr>
      <w:r>
        <w:rPr>
          <w:rFonts w:ascii="Barlow Semi Condensed" w:cs="Barlow Semi Condensed" w:eastAsia="Barlow Semi Condensed" w:hAnsi="Barlow Semi Condensed"/>
          <w:b/>
          <w:bCs/>
          <w:sz w:val="24"/>
          <w:szCs w:val="24"/>
        </w:rPr>
        <w:t xml:space="preserve">Sette ricognizioni hanno percorso l'attività ministeriale di Moro verso Spagna, Portogallo, Grecia, Cipro e Turchia, incrociandola con la Santa Sede e con l'Opus Dei. L'esito è costante e va enunciato senza attenuazioni: il governo italiano non compare come attore documentato in nessuno dei cinque perimetri.</w:t>
      </w:r>
    </w:p>
    <w:p>
      <w:pPr>
        <w:spacing w:after="120" w:line="276"/>
        <w:jc w:val="both"/>
      </w:pPr>
      <w:r>
        <w:rPr>
          <w:rFonts w:ascii="Barlow Semi Condensed" w:cs="Barlow Semi Condensed" w:eastAsia="Barlow Semi Condensed" w:hAnsi="Barlow Semi Condensed"/>
          <w:b/>
          <w:bCs/>
          <w:sz w:val="24"/>
          <w:szCs w:val="24"/>
        </w:rPr>
        <w:t xml:space="preserve">Verso Madrid, nessuna iniziativa. Verso Lisbona, nessun atto reperito nemmeno sull'espulsione di nove propri cittadini. Verso Atene, un solo atto forte — la seduta del Consiglio d'Europa del dicembre 1969 — e per il resto assorbimento nelle sedi multilaterali. Verso Nicosia, esclusione dalle potenze garanti, dal Consiglio di Sicurezza e dai contributori della forza di pace. Verso Ankara, presenza comunitaria documentata e assenza confessionale.</w:t>
      </w:r>
    </w:p>
    <w:p>
      <w:pPr>
        <w:spacing w:after="120" w:line="276"/>
        <w:jc w:val="both"/>
      </w:pPr>
      <w:r>
        <w:rPr>
          <w:rFonts w:ascii="Barlow Semi Condensed" w:cs="Barlow Semi Condensed" w:eastAsia="Barlow Semi Condensed" w:hAnsi="Barlow Semi Condensed"/>
          <w:b/>
          <w:bCs/>
          <w:sz w:val="24"/>
          <w:szCs w:val="24"/>
        </w:rPr>
        <w:t xml:space="preserve">E ciò che compare, ogni volta, sono soggetti diversi dallo Stato. Congregazioni religiose. Enti locali di sinistra. Cancellerie ecclesiastiche. Polizie politiche. Magistrature. Servizi di intelligence stranieri.</w:t>
      </w:r>
    </w:p>
    <w:p>
      <w:pPr>
        <w:spacing w:after="120" w:line="276"/>
        <w:jc w:val="both"/>
      </w:pPr>
      <w:r>
        <w:rPr>
          <w:rFonts w:ascii="Barlow Semi Condensed" w:cs="Barlow Semi Condensed" w:eastAsia="Barlow Semi Condensed" w:hAnsi="Barlow Semi Condensed"/>
          <w:b/>
          <w:bCs/>
          <w:sz w:val="24"/>
          <w:szCs w:val="24"/>
        </w:rPr>
        <w:t xml:space="preserve">Ne discende la constatazione che i sette studi consegnano insieme, e che nessuno di essi avrebbe prodotto da solo. Dove agiscono soggetti che tengono archivio e che pubblicano,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 È la sola lezione che sette ricognizioni consegnano con certezza. In questo settimo studio essa acquista però una forma più netta che negli altri sei: qui l'inaccessibilità non è un difetto di ricerca ma una disposizione istituzionale, e la ricerca ne prende atto anziché supplirvi con l'inferenza.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VIII · Aldo Moro Alla Farnesina, La Turchia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VIII: 5.915 parole in 9 sezioni; la più ampia è §9 Altre sezioni, con 5.049.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VIII: 109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IX — Moro, Il Mediterraneo Orientale E L'Opus Dei</w:t>
      </w:r>
    </w:p>
    <w:p>
      <w:pPr>
        <w:pStyle w:val="Heading1"/>
        <w:spacing w:after="120" w:before="240"/>
      </w:pPr>
      <w:r>
        <w:rPr>
          <w:rFonts w:ascii="Barlow Semi Condensed" w:cs="Barlow Semi Condensed" w:eastAsia="Barlow Semi Condensed" w:hAnsi="Barlow Semi Condensed"/>
          <w:sz w:val="24"/>
          <w:szCs w:val="24"/>
        </w:rPr>
        <w:t xml:space="preserve">MORO, IL MEDITERRANEO ORIENTALE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../originali/grecia-opus-dei-1969-1985.md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7,0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Ottava ricognizione: Grecia, Cipro, Turchia consolidate</w:t>
      </w:r>
    </w:p>
    <w:p>
      <w:pPr>
        <w:pStyle w:val="Heading2"/>
        <w:spacing w:after="100" w:before="200"/>
      </w:pPr>
      <w:r>
        <w:rPr>
          <w:rFonts w:ascii="Barlow Semi Condensed" w:cs="Barlow Semi Condensed" w:eastAsia="Barlow Semi Condensed" w:hAnsi="Barlow Semi Condensed"/>
          <w:sz w:val="24"/>
          <w:szCs w:val="24"/>
        </w:rPr>
        <w:t xml:space="preserve">Tre assenze verificate e il modello che esse stabiliscono</w:t>
      </w:r>
    </w:p>
    <w:p>
      <w:pPr>
        <w:pStyle w:val="Heading2"/>
        <w:spacing w:after="100" w:before="200"/>
      </w:pPr>
      <w:r>
        <w:rPr>
          <w:rFonts w:ascii="Barlow Semi Condensed" w:cs="Barlow Semi Condensed" w:eastAsia="Barlow Semi Condensed" w:hAnsi="Barlow Semi Condensed"/>
          <w:sz w:val="24"/>
          <w:szCs w:val="24"/>
        </w:rPr>
        <w:t xml:space="preserve">Dodici Capitoli — sette triangolazioni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Perché tre casi valgono più di tre studi separati</w:t>
      </w:r>
    </w:p>
    <w:p>
      <w:pPr>
        <w:spacing w:after="120" w:line="276"/>
        <w:jc w:val="both"/>
      </w:pPr>
      <w:r>
        <w:rPr>
          <w:rFonts w:ascii="Barlow Semi Condensed" w:cs="Barlow Semi Condensed" w:eastAsia="Barlow Semi Condensed" w:hAnsi="Barlow Semi Condensed"/>
          <w:b/>
          <w:bCs/>
          <w:sz w:val="24"/>
          <w:szCs w:val="24"/>
        </w:rPr>
        <w:t xml:space="preserve">Questo documento consolida tre ricognizioni condotte separatamente sul Mediterraneo orientale — Grecia, Cipro, Turchia — ciascuna incrociata con l'Opus Dei, e nessuna delle quali era finora entrata nel corpus del progetto come documento. Esse esistevano come rapporti di ricerca; qui diventano un solo studio, e la ragione non è di ordine editoriale.</w:t>
      </w:r>
    </w:p>
    <w:p>
      <w:pPr>
        <w:spacing w:after="120" w:line="276"/>
        <w:jc w:val="both"/>
      </w:pPr>
      <w:r>
        <w:rPr>
          <w:rFonts w:ascii="Barlow Semi Condensed" w:cs="Barlow Semi Condensed" w:eastAsia="Barlow Semi Condensed" w:hAnsi="Barlow Semi Condensed"/>
          <w:b/>
          <w:bCs/>
          <w:sz w:val="24"/>
          <w:szCs w:val="24"/>
        </w:rPr>
        <w:t xml:space="preserve">I tre casi, presi insieme, stabiliscono una proposizione che nessuno di essi stabilirebbe da solo. Presi separatamente, ciascuno produce un esito negativo: l'Opus Dei non è presente né in Grecia, né a Cipro, né in Turchia. Presi insieme, e confrontati con i casi iberici già studiati, essi isolano la variabile che determina l'insediamento dell'istituzione, e la isolano per via controfattuale.</w:t>
      </w:r>
    </w:p>
    <w:p>
      <w:pPr>
        <w:spacing w:after="120" w:line="276"/>
        <w:jc w:val="both"/>
      </w:pPr>
      <w:r>
        <w:rPr>
          <w:rFonts w:ascii="Barlow Semi Condensed" w:cs="Barlow Semi Condensed" w:eastAsia="Barlow Semi Condensed" w:hAnsi="Barlow Semi Condensed"/>
          <w:b/>
          <w:bCs/>
          <w:sz w:val="24"/>
          <w:szCs w:val="24"/>
        </w:rPr>
        <w:t xml:space="preserve">La proposizione è questa. La presenza dell'Opus Dei in un Paese del Mediterraneo non correla con la natura autoritaria del regime, né con la mera presenza di minoranze cattoliche; correla con la compresenza di una maggioranza cattolica e di un ceto universitario e professionale cattolico su cui l'apostolato dell'ente possa radicarsi.</w:t>
      </w:r>
    </w:p>
    <w:p>
      <w:pPr>
        <w:spacing w:after="120" w:line="276"/>
        <w:jc w:val="both"/>
      </w:pPr>
      <w:r>
        <w:rPr>
          <w:rFonts w:ascii="Barlow Semi Condensed" w:cs="Barlow Semi Condensed" w:eastAsia="Barlow Semi Condensed" w:hAnsi="Barlow Semi Condensed"/>
          <w:b/>
          <w:bCs/>
          <w:sz w:val="24"/>
          <w:szCs w:val="24"/>
        </w:rPr>
        <w:t xml:space="preserve">La dimostrazione richiede i tre casi in questo ordine, e va enunciata subito perché è l'architettura dello studio.</w:t>
      </w:r>
    </w:p>
    <w:p>
      <w:pPr>
        <w:spacing w:after="120" w:line="276"/>
        <w:jc w:val="both"/>
      </w:pPr>
      <w:r>
        <w:rPr>
          <w:rFonts w:ascii="Barlow Semi Condensed" w:cs="Barlow Semi Condensed" w:eastAsia="Barlow Semi Condensed" w:hAnsi="Barlow Semi Condensed"/>
          <w:b/>
          <w:bCs/>
          <w:sz w:val="24"/>
          <w:szCs w:val="24"/>
        </w:rPr>
        <w:t xml:space="preserve">La Grecia esclude la variabile del regime: conobbe una dittatura di destra coeva a quelle iberiche, dal 21 aprile 1967 al 23 luglio 1974, e l'ente vi è assente. Se il regime autoritario fosse la condizione dell'insediamento, la Grecia sarebbe stata un terreno propizio; non lo fu.</w:t>
      </w:r>
    </w:p>
    <w:p>
      <w:pPr>
        <w:spacing w:after="120" w:line="276"/>
        <w:jc w:val="both"/>
      </w:pPr>
      <w:r>
        <w:rPr>
          <w:rFonts w:ascii="Barlow Semi Condensed" w:cs="Barlow Semi Condensed" w:eastAsia="Barlow Semi Condensed" w:hAnsi="Barlow Semi Condensed"/>
          <w:b/>
          <w:bCs/>
          <w:sz w:val="24"/>
          <w:szCs w:val="24"/>
        </w:rPr>
        <w:t xml:space="preserve">Cipro esclude la variabile della mera presenza cattolica, ed è per questo il caso più probante dei tre. Cipro possiede minoranze cattoliche antiche, strutturate e riconosciute dalla Costituzione del 1960 — maroniti e latini — dotate di gerarchia propria, di parrocchie, di villaggi interi. Se la presenza di cattolici fosse condizione sufficiente, Cipro avrebbe dovuto ospitare l'ente; non lo ospita.</w:t>
      </w:r>
    </w:p>
    <w:p>
      <w:pPr>
        <w:spacing w:after="120" w:line="276"/>
        <w:jc w:val="both"/>
      </w:pPr>
      <w:r>
        <w:rPr>
          <w:rFonts w:ascii="Barlow Semi Condensed" w:cs="Barlow Semi Condensed" w:eastAsia="Barlow Semi Condensed" w:hAnsi="Barlow Semi Condensed"/>
          <w:b/>
          <w:bCs/>
          <w:sz w:val="24"/>
          <w:szCs w:val="24"/>
        </w:rPr>
        <w:t xml:space="preserve">La Turchia è il caso sovradeterminato: somma maggioranza musulmana, laicità dello Stato con controllo dell'istruzione religiosa, e minoranza cattolica minima e in larga parte straniera. Vi si aggiunge un dettaglio che merita attenzione e che è esposto al Capitolo nono: la medesima legge che nel 1971 chiuse il seminario del Patriarcato ecumenico vietava l'istruzione superiore privata non affiliata alle università di Stato, precludendo così anche l'eventuale radicamento educativo di enti confessionali.</w:t>
      </w:r>
    </w:p>
    <w:p>
      <w:pPr>
        <w:spacing w:after="120" w:line="276"/>
        <w:jc w:val="both"/>
      </w:pPr>
      <w:r>
        <w:rPr>
          <w:rFonts w:ascii="Barlow Semi Condensed" w:cs="Barlow Semi Condensed" w:eastAsia="Barlow Semi Condensed" w:hAnsi="Barlow Semi Condensed"/>
          <w:b/>
          <w:bCs/>
          <w:sz w:val="24"/>
          <w:szCs w:val="24"/>
        </w:rPr>
        <w:t xml:space="preserve">Il termine di confronto positivo regionale è il Libano, dal 1996, dove esiste un ceto cattolico autoctono di dimensione significativa. Dove esso esiste l'ente si insedia; dove non esiste no.</w:t>
      </w:r>
    </w:p>
    <w:p>
      <w:pPr>
        <w:spacing w:after="120" w:line="276"/>
        <w:jc w:val="both"/>
      </w:pPr>
      <w:r>
        <w:rPr>
          <w:rFonts w:ascii="Barlow Semi Condensed" w:cs="Barlow Semi Condensed" w:eastAsia="Barlow Semi Condensed" w:hAnsi="Barlow Semi Condensed"/>
          <w:b/>
          <w:bCs/>
          <w:sz w:val="24"/>
          <w:szCs w:val="24"/>
        </w:rPr>
        <w:t xml:space="preserve">Sulla natura della fonte impiegata per l'accertamento, che va dichiarata. L'assenza dei tre Paesi è verificata sull'elenco ufficiale dell'istituzione medesima relativo alle date di inizio del lavoro stabile nei vari Paesi, e sull'elenco delle sue circoscrizioni regionali. Si tratta della fonte migliore possibile su questo specifico dato, per la ragione ordinaria che un'organizzazione è la fonte più attendibile sui propri insediamenti — e la peggiore sulle proprie responsabilità, il che qui non rileva perché non si tratta di responsabilità ma di geografia.</w:t>
      </w:r>
    </w:p>
    <w:p>
      <w:pPr>
        <w:pStyle w:val="Heading2"/>
        <w:spacing w:after="100" w:before="200"/>
      </w:pPr>
      <w:r>
        <w:rPr>
          <w:rFonts w:ascii="Barlow Semi Condensed" w:cs="Barlow Semi Condensed" w:eastAsia="Barlow Semi Condensed" w:hAnsi="Barlow Semi Condensed"/>
          <w:sz w:val="24"/>
          <w:szCs w:val="24"/>
        </w:rPr>
        <w:t xml:space="preserve">Capitolo secondo — L'elenco ufficiale e le tre assenze</w:t>
      </w:r>
    </w:p>
    <w:p>
      <w:pPr>
        <w:spacing w:after="120" w:line="276"/>
        <w:jc w:val="both"/>
      </w:pPr>
      <w:r>
        <w:rPr>
          <w:rFonts w:ascii="Barlow Semi Condensed" w:cs="Barlow Semi Condensed" w:eastAsia="Barlow Semi Condensed" w:hAnsi="Barlow Semi Condensed"/>
          <w:b/>
          <w:bCs/>
          <w:sz w:val="24"/>
          <w:szCs w:val="24"/>
        </w:rPr>
        <w:t xml:space="preserve">Il capitolo espone il dato documentale su cui poggia l'intero studio, e lo espone per intero perché la verifica sia riproducibile.</w:t>
      </w:r>
    </w:p>
    <w:p>
      <w:pPr>
        <w:spacing w:after="120" w:line="276"/>
        <w:jc w:val="both"/>
      </w:pPr>
      <w:r>
        <w:rPr>
          <w:rFonts w:ascii="Barlow Semi Condensed" w:cs="Barlow Semi Condensed" w:eastAsia="Barlow Semi Condensed" w:hAnsi="Barlow Semi Condensed"/>
          <w:b/>
          <w:bCs/>
          <w:sz w:val="24"/>
          <w:szCs w:val="24"/>
        </w:rPr>
        <w:t xml:space="preserve">La fonte. L'Opus Dei pubblica sul proprio sito istituzionale, nell'articolo dedicato alla propria storia, l'elenco intitolato date di inizio del lavoro stabile dell'Opus Dei nei vari Paesi, e dichiara nella medesima pagina di essere presente in sessantotto Paesi.</w:t>
      </w:r>
    </w:p>
    <w:p>
      <w:pPr>
        <w:spacing w:after="120" w:line="276"/>
        <w:jc w:val="both"/>
      </w:pPr>
      <w:r>
        <w:rPr>
          <w:rFonts w:ascii="Barlow Semi Condensed" w:cs="Barlow Semi Condensed" w:eastAsia="Barlow Semi Condensed" w:hAnsi="Barlow Semi Condensed"/>
          <w:b/>
          <w:bCs/>
          <w:sz w:val="24"/>
          <w:szCs w:val="24"/>
        </w:rPr>
        <w:t xml:space="preserve">L'elenco, verificato integralmente.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La Spagna, patria di fondazione, è indicata nel racconto fondativo con la data del 2 ottobre 1928.</w:t>
      </w:r>
    </w:p>
    <w:p>
      <w:pPr>
        <w:spacing w:after="120" w:line="276"/>
        <w:jc w:val="both"/>
      </w:pPr>
      <w:r>
        <w:rPr>
          <w:rFonts w:ascii="Barlow Semi Condensed" w:cs="Barlow Semi Condensed" w:eastAsia="Barlow Semi Condensed" w:hAnsi="Barlow Semi Condensed"/>
          <w:b/>
          <w:bCs/>
          <w:sz w:val="24"/>
          <w:szCs w:val="24"/>
        </w:rPr>
        <w:t xml:space="preserve">Grecia, Cipro e Turchia non compaiono in alcuna posizione, a nessun anno.</w:t>
      </w:r>
    </w:p>
    <w:p>
      <w:pPr>
        <w:spacing w:after="120" w:line="276"/>
        <w:jc w:val="both"/>
      </w:pPr>
      <w:r>
        <w:rPr>
          <w:rFonts w:ascii="Barlow Semi Condensed" w:cs="Barlow Semi Condensed" w:eastAsia="Barlow Semi Condensed" w:hAnsi="Barlow Semi Condensed"/>
          <w:b/>
          <w:bCs/>
          <w:sz w:val="24"/>
          <w:szCs w:val="24"/>
        </w:rPr>
        <w:t xml:space="preserve">Il riscontro sul secondo elenco. L'articolo dedicato alle circoscrizioni regionali della Prelatura — riorganizzate in trentuno circoscrizioni a partire dal 2021, comprendenti circa settanta Paesi, e in altra versione dell'elenco indicate in ventitré — non include nessuno dei tre Paesi, né come regione, né come delegazione, né come territorio aggregato ad altra circoscrizione.</w:t>
      </w:r>
    </w:p>
    <w:p>
      <w:pPr>
        <w:spacing w:after="120" w:line="276"/>
        <w:jc w:val="both"/>
      </w:pPr>
      <w:r>
        <w:rPr>
          <w:rFonts w:ascii="Barlow Semi Condensed" w:cs="Barlow Semi Condensed" w:eastAsia="Barlow Semi Condensed" w:hAnsi="Barlow Semi Condensed"/>
          <w:b/>
          <w:bCs/>
          <w:sz w:val="24"/>
          <w:szCs w:val="24"/>
        </w:rPr>
        <w:t xml:space="preserve">Un'avvertenza che va posta per prevenire un errore. Le pagine del sito dell'ente recano, nel selettore di lingua, la voce in caratteri greci con l'indicazione della Grecia. Si tratta esclusivamente di un'opzione di localizzazione linguistica, poiché l'ente offre contenuti in lingua greca; non è una dichiarazione di presenza apostolica stabile. La distinzione è metodologicamente essenziale e va tenuta ferma, perché è il genere di dettaglio da cui nascono le attribuzioni infondate.</w:t>
      </w:r>
    </w:p>
    <w:p>
      <w:pPr>
        <w:spacing w:after="120" w:line="276"/>
        <w:jc w:val="both"/>
      </w:pPr>
      <w:r>
        <w:rPr>
          <w:rFonts w:ascii="Barlow Semi Condensed" w:cs="Barlow Semi Condensed" w:eastAsia="Barlow Semi Condensed" w:hAnsi="Barlow Semi Condensed"/>
          <w:b/>
          <w:bCs/>
          <w:sz w:val="24"/>
          <w:szCs w:val="24"/>
        </w:rPr>
        <w:t xml:space="preserve">Due occorrenze spurie del binomio Opus Dei-Turchia vanno segnalate e qualificate. La prima è una testimonianza, pubblicata dall'ente medesimo, di studenti musulmani e di un turco ortodosso ospiti di una residenza universitaria diretta da membri dell'istituzione a Strasburgo, in Francia — dunque fuori dalla Turchia. La seconda è un articolo di un quotidiano turco del 22 gennaio 2015 che accosta, sul piano puramente comparativo e polemico, la struttura di un movimento religioso turco a quella dell'Opus Dei: accostamento giornalistico privo di valore probatorio di alcuna presenza istituzionale.</w:t>
      </w:r>
    </w:p>
    <w:p>
      <w:pPr>
        <w:spacing w:after="120" w:line="276"/>
        <w:jc w:val="both"/>
      </w:pPr>
      <w:r>
        <w:rPr>
          <w:rFonts w:ascii="Barlow Semi Condensed" w:cs="Barlow Semi Condensed" w:eastAsia="Barlow Semi Condensed" w:hAnsi="Barlow Semi Condensed"/>
          <w:b/>
          <w:bCs/>
          <w:sz w:val="24"/>
          <w:szCs w:val="24"/>
        </w:rPr>
        <w:t xml:space="preserve">Un unico frammento storico collega l'ente alla Grecia, e va riportato con la massima cautela. Secondo la testimonianza di un ex membro, riportata in un'intervista giornalistica, il fondatore e Álvaro del Portillo si sarebbero recati in Grecia nel 1967 per valutare se fosse possibile portare l'Opus Dei nella Chiesa ortodossa greca, progetto presto abbandonato come impraticabile. È testimonianza unica di ex membro, controversa, relativa a un'idea esplorativa abbandonata: non attesta alcuna presenza e non muta l'esito.</w:t>
      </w:r>
    </w:p>
    <w:p>
      <w:pPr>
        <w:spacing w:after="120" w:line="276"/>
        <w:jc w:val="both"/>
      </w:pPr>
      <w:r>
        <w:rPr>
          <w:rFonts w:ascii="Barlow Semi Condensed" w:cs="Barlow Semi Condensed" w:eastAsia="Barlow Semi Condensed" w:hAnsi="Barlow Semi Condensed"/>
          <w:b/>
          <w:bCs/>
          <w:sz w:val="24"/>
          <w:szCs w:val="24"/>
        </w:rPr>
        <w:t xml:space="preserve">Si registra inoltre l'esistenza, in lingua greca, di un libello polemico intitolato all'Opus Dei in Grecia, di taglio cospirazionista, che confonde l'istituzione con movimenti laicali ortodossi greci. Non è fonte attendibile e non documenta alcun insediamento.</w:t>
      </w:r>
    </w:p>
    <w:p>
      <w:pPr>
        <w:pStyle w:val="Heading2"/>
        <w:spacing w:after="100" w:before="200"/>
      </w:pPr>
      <w:r>
        <w:rPr>
          <w:rFonts w:ascii="Barlow Semi Condensed" w:cs="Barlow Semi Condensed" w:eastAsia="Barlow Semi Condensed" w:hAnsi="Barlow Semi Condensed"/>
          <w:sz w:val="24"/>
          <w:szCs w:val="24"/>
        </w:rPr>
        <w:t xml:space="preserve">Capitolo terzo — La Grecia: il caso che esclude la variabile del regime</w:t>
      </w:r>
    </w:p>
    <w:p>
      <w:pPr>
        <w:spacing w:after="120" w:line="276"/>
        <w:jc w:val="both"/>
      </w:pPr>
      <w:r>
        <w:rPr>
          <w:rFonts w:ascii="Barlow Semi Condensed" w:cs="Barlow Semi Condensed" w:eastAsia="Barlow Semi Condensed" w:hAnsi="Barlow Semi Condensed"/>
          <w:b/>
          <w:bCs/>
          <w:sz w:val="24"/>
          <w:szCs w:val="24"/>
        </w:rPr>
        <w:t xml:space="preserve">Il capitolo espone il primo dei tre casi, e la sua funzione dimostrativa.</w:t>
      </w:r>
    </w:p>
    <w:p>
      <w:pPr>
        <w:spacing w:after="120" w:line="276"/>
        <w:jc w:val="both"/>
      </w:pPr>
      <w:r>
        <w:rPr>
          <w:rFonts w:ascii="Barlow Semi Condensed" w:cs="Barlow Semi Condensed" w:eastAsia="Barlow Semi Condensed" w:hAnsi="Barlow Semi Condensed"/>
          <w:b/>
          <w:bCs/>
          <w:sz w:val="24"/>
          <w:szCs w:val="24"/>
        </w:rPr>
        <w:t xml:space="preserve">Il regime. La Grecia conobbe una dittatura militare dal colpo di Stato del 21 aprile 1967 al crollo della giunta del 23 luglio 1974, coeva quindi al franchismo spagnolo e all'Estado Novo portoghese. Se la natura autoritaria del regime fosse la condizione dell'insediamento dell'Opus Dei, la Grecia sarebbe stata terreno propizio; l'ente non vi si insediò.</w:t>
      </w:r>
    </w:p>
    <w:p>
      <w:pPr>
        <w:spacing w:after="120" w:line="276"/>
        <w:jc w:val="both"/>
      </w:pPr>
      <w:r>
        <w:rPr>
          <w:rFonts w:ascii="Barlow Semi Condensed" w:cs="Barlow Semi Condensed" w:eastAsia="Barlow Semi Condensed" w:hAnsi="Barlow Semi Condensed"/>
          <w:b/>
          <w:bCs/>
          <w:sz w:val="24"/>
          <w:szCs w:val="24"/>
        </w:rPr>
        <w:t xml:space="preserve">La ragione, documentata, è demografico-religiosa e costituzionale. I cattolici greci sono una minoranza esigua. Una fonte vaticana del dicembre 2021 indica che essi costituiscono lo zero virgola cinque per cento della popolazione, circa cinquantamila persone, con la maggioranza ad Atene, e con Syros a ottomila e Tinos a tremila che hanno villaggi e parrocchie interamente cattolici, oltre a nuclei a Corfù, Patrasso, Salonicco, Volos e Kavala.</w:t>
      </w:r>
    </w:p>
    <w:p>
      <w:pPr>
        <w:spacing w:after="120" w:line="276"/>
        <w:jc w:val="both"/>
      </w:pPr>
      <w:r>
        <w:rPr>
          <w:rFonts w:ascii="Barlow Semi Condensed" w:cs="Barlow Semi Condensed" w:eastAsia="Barlow Semi Condensed" w:hAnsi="Barlow Semi Condensed"/>
          <w:b/>
          <w:bCs/>
          <w:sz w:val="24"/>
          <w:szCs w:val="24"/>
        </w:rPr>
        <w:t xml:space="preserve">Le stime divergono e la divergenza va riportata. Altre fonti vaticane indicano l'uno virgola due per cento, circa centotrentatremila su undici milioni; la Chiesa cattolica greca nel 2018 stimava fino a quattrocentomila cattolici comprendendo i gruppi stranieri principali — polacchi circa quarantamila, filippini circa quarantacinquemila, albanesi. Le tre cifre non sono confrontabili perché non misurano la medesima cosa.</w:t>
      </w:r>
    </w:p>
    <w:p>
      <w:pPr>
        <w:spacing w:after="120" w:line="276"/>
        <w:jc w:val="both"/>
      </w:pPr>
      <w:r>
        <w:rPr>
          <w:rFonts w:ascii="Barlow Semi Condensed" w:cs="Barlow Semi Condensed" w:eastAsia="Barlow Semi Condensed" w:hAnsi="Barlow Semi Condensed"/>
          <w:b/>
          <w:bCs/>
          <w:sz w:val="24"/>
          <w:szCs w:val="24"/>
        </w:rPr>
        <w:t xml:space="preserve">La struttura ecclesiastica latina si articola nell'arcidiocesi di Atene, nell'arcidiocesi di Naxos-Tinos-Andros-Mykonos, nell'arcidiocesi di Corfù, nella diocesi di Syros e Santorini, oltre all'esarcato apostolico greco-cattolico di rito bizantino, eretto da Pio XI nel 1932, con circa quattromila fedeli.</w:t>
      </w:r>
    </w:p>
    <w:p>
      <w:pPr>
        <w:spacing w:after="120" w:line="276"/>
        <w:jc w:val="both"/>
      </w:pPr>
      <w:r>
        <w:rPr>
          <w:rFonts w:ascii="Barlow Semi Condensed" w:cs="Barlow Semi Condensed" w:eastAsia="Barlow Semi Condensed" w:hAnsi="Barlow Semi Condensed"/>
          <w:b/>
          <w:bCs/>
          <w:sz w:val="24"/>
          <w:szCs w:val="24"/>
        </w:rPr>
        <w:t xml:space="preserve">Il dato costituzionale. La Costituzione greca riconosce alla Chiesa ortodossa orientale la posizione di religione prevalente, all'articolo terzo; e per la maggioranza degli ortodossi greci chi non è ortodosso non è considerato veramente greco, sicché le altre confessioni sono ufficialmente religioni straniere.</w:t>
      </w:r>
    </w:p>
    <w:p>
      <w:pPr>
        <w:spacing w:after="120" w:line="276"/>
        <w:jc w:val="both"/>
      </w:pPr>
      <w:r>
        <w:rPr>
          <w:rFonts w:ascii="Barlow Semi Condensed" w:cs="Barlow Semi Condensed" w:eastAsia="Barlow Semi Condensed" w:hAnsi="Barlow Semi Condensed"/>
          <w:b/>
          <w:bCs/>
          <w:sz w:val="24"/>
          <w:szCs w:val="24"/>
        </w:rPr>
        <w:t xml:space="preserve">Ne discende la constatazione del capitolo. In un contesto simile, un'istituzione di apostolato laicale che opera per santificare ambienti professionali e universitari attraverso una rete di membri cattolici non aveva un bacino sociale su cui radicarsi, indipendentemente dalla natura del regime.</w:t>
      </w:r>
    </w:p>
    <w:p>
      <w:pPr>
        <w:spacing w:after="120" w:line="276"/>
        <w:jc w:val="both"/>
      </w:pPr>
      <w:r>
        <w:rPr>
          <w:rFonts w:ascii="Barlow Semi Condensed" w:cs="Barlow Semi Condensed" w:eastAsia="Barlow Semi Condensed" w:hAnsi="Barlow Semi Condensed"/>
          <w:b/>
          <w:bCs/>
          <w:sz w:val="24"/>
          <w:szCs w:val="24"/>
        </w:rPr>
        <w:t xml:space="preserve">Un dato che conferma per via indipendente l'estraneità. Le relazioni diplomatiche fra Grecia e Santa Sede furono stabilite soltanto nel 1979 — o nel 1980 secondo altra fonte, e la divergenza si riporta — con Nunziatura apostolica ad Atene istituita immediatamente e ambasciatore greco residente inizialmente a Parigi; un'ambasciata greca presso la Santa Sede fu istituita a Roma solo nel 1988.</w:t>
      </w:r>
    </w:p>
    <w:p>
      <w:pPr>
        <w:spacing w:after="120" w:line="276"/>
        <w:jc w:val="both"/>
      </w:pPr>
      <w:r>
        <w:rPr>
          <w:rFonts w:ascii="Barlow Semi Condensed" w:cs="Barlow Semi Condensed" w:eastAsia="Barlow Semi Condensed" w:hAnsi="Barlow Semi Condensed"/>
          <w:b/>
          <w:bCs/>
          <w:sz w:val="24"/>
          <w:szCs w:val="24"/>
        </w:rPr>
        <w:t xml:space="preserve">Il Ministero degli Esteri ellenico collega esplicitamente la decisione del 1979 alle aspirazioni greche di adesione alla Comunità europea, e registra il disagio del Santo Sinodo ortodosso di fronte al riconoscimento del Vaticano come Stato dotato di autorità secolare.</w:t>
      </w:r>
    </w:p>
    <w:p>
      <w:pPr>
        <w:spacing w:after="120" w:line="276"/>
        <w:jc w:val="both"/>
      </w:pPr>
      <w:r>
        <w:rPr>
          <w:rFonts w:ascii="Barlow Semi Condensed" w:cs="Barlow Semi Condensed" w:eastAsia="Barlow Semi Condensed" w:hAnsi="Barlow Semi Condensed"/>
          <w:b/>
          <w:bCs/>
          <w:sz w:val="24"/>
          <w:szCs w:val="24"/>
        </w:rPr>
        <w:t xml:space="preserve">Per l'intero periodo qui rilevante, e a fortiori per gli anni della giunta, non esistevano dunque relazioni diplomatiche piene fra Atene e la Santa Sede. Ciò esclude alla radice l'esistenza di un canale bilaterale su cui potesse innestarsi qualunque triangolazione.</w:t>
      </w:r>
    </w:p>
    <w:p>
      <w:pPr>
        <w:pStyle w:val="Heading2"/>
        <w:spacing w:after="100" w:before="200"/>
      </w:pPr>
      <w:r>
        <w:rPr>
          <w:rFonts w:ascii="Barlow Semi Condensed" w:cs="Barlow Semi Condensed" w:eastAsia="Barlow Semi Condensed" w:hAnsi="Barlow Semi Condensed"/>
          <w:sz w:val="24"/>
          <w:szCs w:val="24"/>
        </w:rPr>
        <w:t xml:space="preserve">Capitolo quarto — Cipro: il caso probante, e perché lo è</w:t>
      </w:r>
    </w:p>
    <w:p>
      <w:pPr>
        <w:spacing w:after="120" w:line="276"/>
        <w:jc w:val="both"/>
      </w:pPr>
      <w:r>
        <w:rPr>
          <w:rFonts w:ascii="Barlow Semi Condensed" w:cs="Barlow Semi Condensed" w:eastAsia="Barlow Semi Condensed" w:hAnsi="Barlow Semi Condensed"/>
          <w:b/>
          <w:bCs/>
          <w:sz w:val="24"/>
          <w:szCs w:val="24"/>
        </w:rPr>
        <w:t xml:space="preserve">Il capitolo espone il secondo caso, che è il più importante dei tre per la dimostrazione, e ne spiega la funzione.</w:t>
      </w:r>
    </w:p>
    <w:p>
      <w:pPr>
        <w:spacing w:after="120" w:line="276"/>
        <w:jc w:val="both"/>
      </w:pPr>
      <w:r>
        <w:rPr>
          <w:rFonts w:ascii="Barlow Semi Condensed" w:cs="Barlow Semi Condensed" w:eastAsia="Barlow Semi Condensed" w:hAnsi="Barlow Semi Condensed"/>
          <w:b/>
          <w:bCs/>
          <w:sz w:val="24"/>
          <w:szCs w:val="24"/>
        </w:rPr>
        <w:t xml:space="preserve">La differenza rispetto alla Grecia va enunciata subito. Cipro possiede minoranze cattoliche antiche, strutturate e costituzionalmente riconosciute, che la Grecia non possiede nella medesima forma. Se ciò nonostante l'ente vi è assente, allora la mera presenza di cattolici non è condizione sufficiente all'insediamento — e questa è precisamente la variabile che il caso cipriota isola.</w:t>
      </w:r>
    </w:p>
    <w:p>
      <w:pPr>
        <w:spacing w:after="120" w:line="276"/>
        <w:jc w:val="both"/>
      </w:pPr>
      <w:r>
        <w:rPr>
          <w:rFonts w:ascii="Barlow Semi Condensed" w:cs="Barlow Semi Condensed" w:eastAsia="Barlow Semi Condensed" w:hAnsi="Barlow Semi Condensed"/>
          <w:b/>
          <w:bCs/>
          <w:sz w:val="24"/>
          <w:szCs w:val="24"/>
        </w:rPr>
        <w:t xml:space="preserve">Il riconoscimento costituzionale. La Costituzione del 1960 riconobbe come gruppi religiosi tre minoranze — maroniti, armeni e latini — imponendo a ciascuna l'obbligo di optare per l'appartenenza alla comunità greca o a quella turca. Le tre scelsero per voto, poco prima dell'indipendenza, la comunità greca, con cui condividevano maggiori elementi.</w:t>
      </w:r>
    </w:p>
    <w:p>
      <w:pPr>
        <w:spacing w:after="120" w:line="276"/>
        <w:jc w:val="both"/>
      </w:pPr>
      <w:r>
        <w:rPr>
          <w:rFonts w:ascii="Barlow Semi Condensed" w:cs="Barlow Semi Condensed" w:eastAsia="Barlow Semi Condensed" w:hAnsi="Barlow Semi Condensed"/>
          <w:b/>
          <w:bCs/>
          <w:sz w:val="24"/>
          <w:szCs w:val="24"/>
        </w:rPr>
        <w:t xml:space="preserve">I maroniti. Cattolici di rito antiocheno siriaco in comunione con Roma, presenti nell'isola per successive ondate migratorie dal Levante a partire dall'ottavo secolo; dopo aver toccato il quindici-venti per cento della popolazione nell'età latina, si ridussero drasticamente sotto la dominazione ottomana. Sul piano ecclesiastico opera l'Arcieparchia maronita di Cipro, retta al momento dell'indipendenza dall'arcivescovo Elie Farah, nominato nel 1954 e in carica fino al ritiro nel 1986.</w:t>
      </w:r>
    </w:p>
    <w:p>
      <w:pPr>
        <w:spacing w:after="120" w:line="276"/>
        <w:jc w:val="both"/>
      </w:pPr>
      <w:r>
        <w:rPr>
          <w:rFonts w:ascii="Barlow Semi Condensed" w:cs="Barlow Semi Condensed" w:eastAsia="Barlow Semi Condensed" w:hAnsi="Barlow Semi Condensed"/>
          <w:b/>
          <w:bCs/>
          <w:sz w:val="24"/>
          <w:szCs w:val="24"/>
        </w:rPr>
        <w:t xml:space="preserve">Le consistenze, con divergenze da riportare. Il primo censimento della Repubblica, nel 1960, registrava duemilasettecentocinquantadue maroniti, principalmente nei quattro villaggi superstiti; altre fonti indicano tremilacinquecento al momento dell'indipendenza; fonti recenti stimano la comunità attorno alle seimila unità; una fonte vaticana la indica all'uno virgola cinque per cento; l'Annuario Pontificio a fine 2013 registrava diecimilaquattrocento battezzati su ottocentotrentottomilaottocentonovantasette abitanti, pari all'uno virgola due per cento.</w:t>
      </w:r>
    </w:p>
    <w:p>
      <w:pPr>
        <w:spacing w:after="120" w:line="276"/>
        <w:jc w:val="both"/>
      </w:pPr>
      <w:r>
        <w:rPr>
          <w:rFonts w:ascii="Barlow Semi Condensed" w:cs="Barlow Semi Condensed" w:eastAsia="Barlow Semi Condensed" w:hAnsi="Barlow Semi Condensed"/>
          <w:b/>
          <w:bCs/>
          <w:sz w:val="24"/>
          <w:szCs w:val="24"/>
        </w:rPr>
        <w:t xml:space="preserve">I quattro villaggi maroniti — Kormakitis il più grande, Asomatos, Karpaseia e Agia Marina — si trovavano tutti nel nord dell'isola e, dopo l'occupazione turca del 1974, restarono al di là della Linea Verde. La maggioranza della comunità fu sfollata verso sud. Una fonte ecclesiastica registra che a Kormakitis la comunità si è ridotta a circa cento residenti permanenti, sui duemilasettecento che un tempo vi vivevano.</w:t>
      </w:r>
    </w:p>
    <w:p>
      <w:pPr>
        <w:spacing w:after="120" w:line="276"/>
        <w:jc w:val="both"/>
      </w:pPr>
      <w:r>
        <w:rPr>
          <w:rFonts w:ascii="Barlow Semi Condensed" w:cs="Barlow Semi Condensed" w:eastAsia="Barlow Semi Condensed" w:hAnsi="Barlow Semi Condensed"/>
          <w:b/>
          <w:bCs/>
          <w:sz w:val="24"/>
          <w:szCs w:val="24"/>
        </w:rPr>
        <w:t xml:space="preserve">Va registrata anche la perdita linguistica, perché è una conseguenza documentata: la dispersione dei parlanti l'arabo cipriota-maronita — il \sanna\, dialetto di ceppo aramaico-arabo — nelle comunità greco-cipriote del sud lo ha reso criticamente in pericolo.</w:t>
      </w:r>
    </w:p>
    <w:p>
      <w:pPr>
        <w:spacing w:after="120" w:line="276"/>
        <w:jc w:val="both"/>
      </w:pPr>
      <w:r>
        <w:rPr>
          <w:rFonts w:ascii="Barlow Semi Condensed" w:cs="Barlow Semi Condensed" w:eastAsia="Barlow Semi Condensed" w:hAnsi="Barlow Semi Condensed"/>
          <w:b/>
          <w:bCs/>
          <w:sz w:val="24"/>
          <w:szCs w:val="24"/>
        </w:rPr>
        <w:t xml:space="preserve">I latini. Eredi della dominazione veneziana e genovese e della fase franca, presenti con continuità dal 1192; la cura pastorale è affidata dal 1847 al Vicariato patriarcale latino di Cipro, dipendente dal Patriarcato latino di Gerusalemme. Il Vicariato conta quattro parrocchie — Nicosia, Pafos, Limassol, Larnaka — di cui una gestita dal Patriarcato e tre affidate ai francescani, presenti nell'isola dagli inizi dell'Ordine e reinsediatisi nel 1593 per concessione della Sublime Porta.</w:t>
      </w:r>
    </w:p>
    <w:p>
      <w:pPr>
        <w:spacing w:after="120" w:line="276"/>
        <w:jc w:val="both"/>
      </w:pPr>
      <w:r>
        <w:rPr>
          <w:rFonts w:ascii="Barlow Semi Condensed" w:cs="Barlow Semi Condensed" w:eastAsia="Barlow Semi Condensed" w:hAnsi="Barlow Semi Condensed"/>
          <w:b/>
          <w:bCs/>
          <w:sz w:val="24"/>
          <w:szCs w:val="24"/>
        </w:rPr>
        <w:t xml:space="preserve">Le relazioni diplomatiche con la Santa Sede, datate. La Nunziatura apostolica a Cipro fu eretta il 12 febbraio 1973, con Pio Laghi Pro-Nunzio dal 28 maggio 1973 al 27 aprile 1974, seguito da William Aquin Carew dal 13 maggio 1974. Il primo ambasciatore di Cipro presso la Santa Sede fu ricevuto da Paolo VI il 24 settembre 1973, in un'allocuzione in cui il pontefice qualificò l'evento come la prima volta che l'isola era così rappresentata presso la Sede Apostolica.</w:t>
      </w:r>
    </w:p>
    <w:p>
      <w:pPr>
        <w:spacing w:after="120" w:line="276"/>
        <w:jc w:val="both"/>
      </w:pPr>
      <w:r>
        <w:rPr>
          <w:rFonts w:ascii="Barlow Semi Condensed" w:cs="Barlow Semi Condensed" w:eastAsia="Barlow Semi Condensed" w:hAnsi="Barlow Semi Condensed"/>
          <w:b/>
          <w:bCs/>
          <w:sz w:val="24"/>
          <w:szCs w:val="24"/>
        </w:rPr>
        <w:t xml:space="preserve">Un elemento cronologico va notato e qualificato. L'erezione della Nunziatura, nel febbraio 1973, e l'accreditamento dell'ambasciatore, nel settembre 1973, cadono entrambi durante il secondo mandato ministeriale di Moro. È cronologia parallela e non nesso: nessuna fonte attesta alcun ruolo italiano in questi atti, che appartengono interamente al bilaterale fra Nicosia e la Santa Sede.</w:t>
      </w:r>
    </w:p>
    <w:p>
      <w:pPr>
        <w:spacing w:after="120" w:line="276"/>
        <w:jc w:val="both"/>
      </w:pPr>
      <w:r>
        <w:rPr>
          <w:rFonts w:ascii="Barlow Semi Condensed" w:cs="Barlow Semi Condensed" w:eastAsia="Barlow Semi Condensed" w:hAnsi="Barlow Semi Condensed"/>
          <w:b/>
          <w:bCs/>
          <w:sz w:val="24"/>
          <w:szCs w:val="24"/>
        </w:rPr>
        <w:t xml:space="preserve">E qui la risultanza del capitolo. Nonostante gerarchia propria, riconoscimento costituzionale, parrocchie, villaggi interi e Nunziatura apostolica dal 1973, l'Opus Dei non risulta avere mai avuto presenza a Cipro. Ne discende che la soglia di insediamento è più alta della semplice esistenza di cattolici: richiede la massa critica maggioritaria e il ceto professionale corrispondente.</w:t>
      </w:r>
    </w:p>
    <w:p>
      <w:pPr>
        <w:pStyle w:val="Heading2"/>
        <w:spacing w:after="100" w:before="200"/>
      </w:pPr>
      <w:r>
        <w:rPr>
          <w:rFonts w:ascii="Barlow Semi Condensed" w:cs="Barlow Semi Condensed" w:eastAsia="Barlow Semi Condensed" w:hAnsi="Barlow Semi Condensed"/>
          <w:sz w:val="24"/>
          <w:szCs w:val="24"/>
        </w:rPr>
        <w:t xml:space="preserve">Capitolo quinto — Makarios: la fusione di autorità che nessun altro caso presenta</w:t>
      </w:r>
    </w:p>
    <w:p>
      <w:pPr>
        <w:spacing w:after="120" w:line="276"/>
        <w:jc w:val="both"/>
      </w:pPr>
      <w:r>
        <w:rPr>
          <w:rFonts w:ascii="Barlow Semi Condensed" w:cs="Barlow Semi Condensed" w:eastAsia="Barlow Semi Condensed" w:hAnsi="Barlow Semi Condensed"/>
          <w:b/>
          <w:bCs/>
          <w:sz w:val="24"/>
          <w:szCs w:val="24"/>
        </w:rPr>
        <w:t xml:space="preserve">Il capitolo espone il tratto che rende Cipro unico nel periodo, e che costituisce il migliore snodo religioso dell'intera serie di ricognizioni.</w:t>
      </w:r>
    </w:p>
    <w:p>
      <w:pPr>
        <w:spacing w:after="120" w:line="276"/>
        <w:jc w:val="both"/>
      </w:pPr>
      <w:r>
        <w:rPr>
          <w:rFonts w:ascii="Barlow Semi Condensed" w:cs="Barlow Semi Condensed" w:eastAsia="Barlow Semi Condensed" w:hAnsi="Barlow Semi Condensed"/>
          <w:b/>
          <w:bCs/>
          <w:sz w:val="24"/>
          <w:szCs w:val="24"/>
        </w:rPr>
        <w:t xml:space="preserve">Il fatto. Michail Christodoulou Mouskos, in religione Makarios, fu simultaneamente arcivescovo primate della Chiesa ortodossa autocefala di Cipro e primo presidente della Repubblica, in una fusione di autorità ecclesiastica e statuale senza equivalenti nell'Europa del tempo.</w:t>
      </w:r>
    </w:p>
    <w:p>
      <w:pPr>
        <w:spacing w:after="120" w:line="276"/>
        <w:jc w:val="both"/>
      </w:pPr>
      <w:r>
        <w:rPr>
          <w:rFonts w:ascii="Barlow Semi Condensed" w:cs="Barlow Semi Condensed" w:eastAsia="Barlow Semi Condensed" w:hAnsi="Barlow Semi Condensed"/>
          <w:b/>
          <w:bCs/>
          <w:sz w:val="24"/>
          <w:szCs w:val="24"/>
        </w:rPr>
        <w:t xml:space="preserve">Le date, con divergenze da riportare. Sull'elevazione ad arcivescovo le fonti indicano il 18 ottobre 1950, il 20 ottobre 1950, e il 18 settembre 1950. La presidenza decorre dal 1960.</w:t>
      </w:r>
    </w:p>
    <w:p>
      <w:pPr>
        <w:spacing w:after="120" w:line="276"/>
        <w:jc w:val="both"/>
      </w:pPr>
      <w:r>
        <w:rPr>
          <w:rFonts w:ascii="Barlow Semi Condensed" w:cs="Barlow Semi Condensed" w:eastAsia="Barlow Semi Condensed" w:hAnsi="Barlow Semi Condensed"/>
          <w:b/>
          <w:bCs/>
          <w:sz w:val="24"/>
          <w:szCs w:val="24"/>
        </w:rPr>
        <w:t xml:space="preserve">Il fondamento canonico. La Chiesa di Cipro gode di autocefalia risalente al Concilio di Efeso del 431, quando ottenne l'indipendenza dal Patriarcato di Antiochia; il suo primate porta il titolo di arcivescovo di Nuova Giustiniana e di tutta Cipro. A questa dignità si sovrapponeva nella tradizione la funzione di etnarca, capo civile riconosciuto della comunità greco-ortodossa, eredità delle prerogative concesse dal sistema ottomano del \millet\ alle gerarchie cristiane.</w:t>
      </w:r>
    </w:p>
    <w:p>
      <w:pPr>
        <w:spacing w:after="120" w:line="276"/>
        <w:jc w:val="both"/>
      </w:pPr>
      <w:r>
        <w:rPr>
          <w:rFonts w:ascii="Barlow Semi Condensed" w:cs="Barlow Semi Condensed" w:eastAsia="Barlow Semi Condensed" w:hAnsi="Barlow Semi Condensed"/>
          <w:b/>
          <w:bCs/>
          <w:sz w:val="24"/>
          <w:szCs w:val="24"/>
        </w:rPr>
        <w:t xml:space="preserve">Ne discende una precisazione di rilievo. La fusione fra autorità ecclesiastica ed etnarcale precede di secoli l'indipendenza; ciò che il 1960 aggiunse fu la sovrapposizione di una terza titolarità, quella presidenziale, entro un ordinamento costituzionale nuovo — bicomunitario, con presidente greco-cipriota e vicepresidente turco-cipriota eletti da collegi separati.</w:t>
      </w:r>
    </w:p>
    <w:p>
      <w:pPr>
        <w:spacing w:after="120" w:line="276"/>
        <w:jc w:val="both"/>
      </w:pPr>
      <w:r>
        <w:rPr>
          <w:rFonts w:ascii="Barlow Semi Condensed" w:cs="Barlow Semi Condensed" w:eastAsia="Barlow Semi Condensed" w:hAnsi="Barlow Semi Condensed"/>
          <w:b/>
          <w:bCs/>
          <w:sz w:val="24"/>
          <w:szCs w:val="24"/>
        </w:rPr>
        <w:t xml:space="preserve">Un rilievo giuridico va enunciato. Le fonti attestano la simultaneità delle cariche e il loro fondamento nei due ordinamenti; non attestano l'esistenza di una norma di raccordo fra essi, sicché la doppia titolarità operò di fatto come cumulo consuetudinario più che come istituto giuridicamente definito.</w:t>
      </w:r>
    </w:p>
    <w:p>
      <w:pPr>
        <w:spacing w:after="120" w:line="276"/>
        <w:jc w:val="both"/>
      </w:pPr>
      <w:r>
        <w:rPr>
          <w:rFonts w:ascii="Barlow Semi Condensed" w:cs="Barlow Semi Condensed" w:eastAsia="Barlow Semi Condensed" w:hAnsi="Barlow Semi Condensed"/>
          <w:b/>
          <w:bCs/>
          <w:sz w:val="24"/>
          <w:szCs w:val="24"/>
        </w:rPr>
        <w:t xml:space="preserve">La controversia dei tre vescovi, per date. Il 2 marzo 1972, nella seduta del Santo Sinodo, i tre metropoliti — Gennadios di Pafos, Anthimos di Kition e Kyprianos di Kyrenia, ossia tre dei cinque membri dell'episcopato — presentarono una mozione chiedendo a Makarios di dimettersi dalla presidenza, sostenendo l'incompatibilità canonica fra ufficio clericale e carica civile. Makarios rispose il 19 marzo 1972 accusandoli di aver cospirato fra loro e con soggetti esterni alla Chiesa, con allusione trasparente alla giunta di Atene e a Gheorghios Grivas, capo dell'organizzazione clandestina rientrata segretamente nell'isola.</w:t>
      </w:r>
    </w:p>
    <w:p>
      <w:pPr>
        <w:spacing w:after="120" w:line="276"/>
        <w:jc w:val="both"/>
      </w:pPr>
      <w:r>
        <w:rPr>
          <w:rFonts w:ascii="Barlow Semi Condensed" w:cs="Barlow Semi Condensed" w:eastAsia="Barlow Semi Condensed" w:hAnsi="Barlow Semi Condensed"/>
          <w:b/>
          <w:bCs/>
          <w:sz w:val="24"/>
          <w:szCs w:val="24"/>
        </w:rPr>
        <w:t xml:space="preserve">L'argomento di Makarios va riportato perché è il punto teorico della vicenda. Egli sostenne che la carica di presidente della Repubblica non potesse dirsi secolare in un tempo in cui i greci ortodossi di Cipro lottavano per la propria sopravvivenza nazionale, saldando così la giustificazione della propria presidenza alla missione etnarcale della Chiesa. È posizione di parte, e come tale la si registra; ed è precisamente ciò che i suoi avversari contestavano sul piano dei canoni, invocando il principio secondo cui a un chierico è precluso l'esercizio di ufficio civile.</w:t>
      </w:r>
    </w:p>
    <w:p>
      <w:pPr>
        <w:spacing w:after="120" w:line="276"/>
        <w:jc w:val="both"/>
      </w:pPr>
      <w:r>
        <w:rPr>
          <w:rFonts w:ascii="Barlow Semi Condensed" w:cs="Barlow Semi Condensed" w:eastAsia="Barlow Semi Condensed" w:hAnsi="Barlow Semi Condensed"/>
          <w:b/>
          <w:bCs/>
          <w:sz w:val="24"/>
          <w:szCs w:val="24"/>
        </w:rPr>
        <w:t xml:space="preserve">L'esito. Rieletto senza avversari l'8 febbraio 1973, Makarios fu convocato dai tre davanti a una sessione straordinaria fissata per il 7 marzo 1973; rispose il 6 marzo dichiarando incostituzionale e invalida la convocazione e rifiutando di comparire. I tre, riuniti fra loro, lo dichiararono deposto dal trono arcivescovile e privato della grazia episcopale, riducendolo al rango di semplice laico col nome di Michail Mouskos, e designando Gennadios locum tenens.</w:t>
      </w:r>
    </w:p>
    <w:p>
      <w:pPr>
        <w:spacing w:after="120" w:line="276"/>
        <w:jc w:val="both"/>
      </w:pPr>
      <w:r>
        <w:rPr>
          <w:rFonts w:ascii="Barlow Semi Condensed" w:cs="Barlow Semi Condensed" w:eastAsia="Barlow Semi Condensed" w:hAnsi="Barlow Semi Condensed"/>
          <w:b/>
          <w:bCs/>
          <w:sz w:val="24"/>
          <w:szCs w:val="24"/>
        </w:rPr>
        <w:t xml:space="preserve">La risposta panortodossa. Makarios convocò un Grande Sinodo, riunito il 6 e 7 luglio 1973, presieduto — in assenza del Patriarca ecumenico — dal Patriarca Nicola VI di Alessandria, con sedici vescovi di fuori isola fra cui il Patriarca di Antiochia; il Patriarca di Gerusalemme non poté partecipare per motivi di salute. Il 6 luglio il Sinodo dichiarò uncanonica e nulla la deposizione; il 14 luglio 1973 depose a sua volta i tre vescovi, riducendoli allo stato laicale con una dichiarazione di circa tremila parole.</w:t>
      </w:r>
    </w:p>
    <w:p>
      <w:pPr>
        <w:spacing w:after="120" w:line="276"/>
        <w:jc w:val="both"/>
      </w:pPr>
      <w:r>
        <w:rPr>
          <w:rFonts w:ascii="Barlow Semi Condensed" w:cs="Barlow Semi Condensed" w:eastAsia="Barlow Semi Condensed" w:hAnsi="Barlow Semi Condensed"/>
          <w:b/>
          <w:bCs/>
          <w:sz w:val="24"/>
          <w:szCs w:val="24"/>
        </w:rPr>
        <w:t xml:space="preserve">Le posizioni delle altre Chiese. Alessandria, Antiochia, Gerusalemme e Mosca sostennero Makarios, seguiti dai primati di Bulgaria, Polonia e Cecoslovacchia; il Patriarca di Antiochia dichiarò l'azione dei tre assolutamente nulla, irregolare e deplorevole, e quello di Mosca nulla e senza effetto.</w:t>
      </w:r>
    </w:p>
    <w:p>
      <w:pPr>
        <w:spacing w:after="120" w:line="276"/>
        <w:jc w:val="both"/>
      </w:pPr>
      <w:r>
        <w:rPr>
          <w:rFonts w:ascii="Barlow Semi Condensed" w:cs="Barlow Semi Condensed" w:eastAsia="Barlow Semi Condensed" w:hAnsi="Barlow Semi Condensed"/>
          <w:b/>
          <w:bCs/>
          <w:sz w:val="24"/>
          <w:szCs w:val="24"/>
        </w:rPr>
        <w:t xml:space="preserve">Una divergenza va riportata perché non è risolvibile con le fonti disponibili. Una fonte attesta il sostegno del Patriarca ecumenico Dimitrios e del Santo Sinodo di Grecia; un'altra fonte cipriota afferma che il Mega-Sinodo non fu presenziato dalla Grecia né dal patriarcato di Istanbul. È possibile che la divergenza dipenda dalla distinzione fra adesione formale alla decisione e presenza fisica al Sinodo, ma le fonti non consentono di scioglierla.</w:t>
      </w:r>
    </w:p>
    <w:p>
      <w:pPr>
        <w:spacing w:after="120" w:line="276"/>
        <w:jc w:val="both"/>
      </w:pPr>
      <w:r>
        <w:rPr>
          <w:rFonts w:ascii="Barlow Semi Condensed" w:cs="Barlow Semi Condensed" w:eastAsia="Barlow Semi Condensed" w:hAnsi="Barlow Semi Condensed"/>
          <w:b/>
          <w:bCs/>
          <w:sz w:val="24"/>
          <w:szCs w:val="24"/>
        </w:rPr>
        <w:t xml:space="preserve">Il nesso con il colpo di Stato del 1974, e il suo limite. I tre vescovi deposti riapparvero dopo il colpo del 15 luglio 1974, quando Nikos Sampson nominò arcivescovo Gennadios di Pafos; al ritorno di Makarios nel dicembre 1974 furono nuovamente destituiti per cospirazione.</w:t>
      </w:r>
    </w:p>
    <w:p>
      <w:pPr>
        <w:spacing w:after="120" w:line="276"/>
        <w:jc w:val="both"/>
      </w:pPr>
      <w:r>
        <w:rPr>
          <w:rFonts w:ascii="Barlow Semi Condensed" w:cs="Barlow Semi Condensed" w:eastAsia="Barlow Semi Condensed" w:hAnsi="Barlow Semi Condensed"/>
          <w:b/>
          <w:bCs/>
          <w:sz w:val="24"/>
          <w:szCs w:val="24"/>
        </w:rPr>
        <w:t xml:space="preserve">Il limite va enunciato con forza. Le fonti attestano che i medesimi ambienti furono indicati da Makarios come mandanti tanto della manovra ecclesiastica quanto del colpo militare, e attestano la riemersione dei vescovi deposti nel governo golpista. Ciò configura una convergenza documentata dalle dichiarazioni di Makarios e dagli eventi, ma non una prova documentale di un piano unitario, che le fonti reperite non forniscono.</w:t>
      </w:r>
    </w:p>
    <w:p>
      <w:pPr>
        <w:pStyle w:val="Heading2"/>
        <w:spacing w:after="100" w:before="200"/>
      </w:pPr>
      <w:r>
        <w:rPr>
          <w:rFonts w:ascii="Barlow Semi Condensed" w:cs="Barlow Semi Condensed" w:eastAsia="Barlow Semi Condensed" w:hAnsi="Barlow Semi Condensed"/>
          <w:sz w:val="24"/>
          <w:szCs w:val="24"/>
        </w:rPr>
        <w:t xml:space="preserve">Capitolo sesto — L'esilio di Makarios e lo Stato Zero romano</w:t>
      </w:r>
    </w:p>
    <w:p>
      <w:pPr>
        <w:spacing w:after="120" w:line="276"/>
        <w:jc w:val="both"/>
      </w:pPr>
      <w:r>
        <w:rPr>
          <w:rFonts w:ascii="Barlow Semi Condensed" w:cs="Barlow Semi Condensed" w:eastAsia="Barlow Semi Condensed" w:hAnsi="Barlow Semi Condensed"/>
          <w:b/>
          <w:bCs/>
          <w:sz w:val="24"/>
          <w:szCs w:val="24"/>
        </w:rPr>
        <w:t xml:space="preserve">Il capitolo espone un accertamento negativo puntuale, e lo espone perché era stato posto come obiettivo prioritario e perché il suo esito ha valore proprio.</w:t>
      </w:r>
    </w:p>
    <w:p>
      <w:pPr>
        <w:spacing w:after="120" w:line="276"/>
        <w:jc w:val="both"/>
      </w:pPr>
      <w:r>
        <w:rPr>
          <w:rFonts w:ascii="Barlow Semi Condensed" w:cs="Barlow Semi Condensed" w:eastAsia="Barlow Semi Condensed" w:hAnsi="Barlow Semi Condensed"/>
          <w:b/>
          <w:bCs/>
          <w:sz w:val="24"/>
          <w:szCs w:val="24"/>
        </w:rPr>
        <w:t xml:space="preserve">La domanda. Se durante l'esilio del 1974 Makarios — arcivescovo ortodosso e presidente deposto — abbia fatto tappa a Roma o in Vaticano, e se vi sia stata udienza pontificia.</w:t>
      </w:r>
    </w:p>
    <w:p>
      <w:pPr>
        <w:spacing w:after="120" w:line="276"/>
        <w:jc w:val="both"/>
      </w:pPr>
      <w:r>
        <w:rPr>
          <w:rFonts w:ascii="Barlow Semi Condensed" w:cs="Barlow Semi Condensed" w:eastAsia="Barlow Semi Condensed" w:hAnsi="Barlow Semi Condensed"/>
          <w:b/>
          <w:bCs/>
          <w:sz w:val="24"/>
          <w:szCs w:val="24"/>
        </w:rPr>
        <w:t xml:space="preserve">L'itinerario, ricostruito per tappe. Fuggito dal palazzo presidenziale dopo il colpo del 15 luglio 1974, Makarios raggiunse Pafos, dove le forze britanniche, su ordine del primo ministro Harold Wilson, lo prelevarono con un elicottero — le fonti collocano l'estrazione nel pomeriggio del 16 luglio, con divergenza rispetto a chi la anticipa al 15 — trasferendolo alla base britannica di Akrotiri, di lì a Malta con un velivolo da trasporto, e infine a Londra. La stampa contemporanea conferma la tappa maltese.</w:t>
      </w:r>
    </w:p>
    <w:p>
      <w:pPr>
        <w:spacing w:after="120" w:line="276"/>
        <w:jc w:val="both"/>
      </w:pPr>
      <w:r>
        <w:rPr>
          <w:rFonts w:ascii="Barlow Semi Condensed" w:cs="Barlow Semi Condensed" w:eastAsia="Barlow Semi Condensed" w:hAnsi="Barlow Semi Condensed"/>
          <w:b/>
          <w:bCs/>
          <w:sz w:val="24"/>
          <w:szCs w:val="24"/>
        </w:rPr>
        <w:t xml:space="preserve">19 luglio 1974: il Consiglio di Sicurezza. Makarios pronunciò il proprio intervento — verbale S/PV.1780 — qualificando gli eventi come chiaramente un'invasione dall'esterno, insieme a una flagrante violazione dell'indipendenza e della sovranità della Repubblica di Cipro, e attribuendo il cosiddetto colpo agli ufficiali greci che componevano e dirigevano la Guardia nazionale.</w:t>
      </w:r>
    </w:p>
    <w:p>
      <w:pPr>
        <w:spacing w:after="120" w:line="276"/>
        <w:jc w:val="both"/>
      </w:pPr>
      <w:r>
        <w:rPr>
          <w:rFonts w:ascii="Barlow Semi Condensed" w:cs="Barlow Semi Condensed" w:eastAsia="Barlow Semi Condensed" w:hAnsi="Barlow Semi Condensed"/>
          <w:b/>
          <w:bCs/>
          <w:sz w:val="24"/>
          <w:szCs w:val="24"/>
        </w:rPr>
        <w:t xml:space="preserve">Le tappe successive. Stabilitosi a Londra, dove alloggiò al Claridge's, vi rimase per circa cinque mesi con spostamenti negli Stati Uniti: il 1 ottobre 1974 si rivolse all'Assemblea generale delle Nazioni Unite alla ventinovesima sessione; il 2 ottobre 1974 ebbe a New York un colloquio con il segretario di Stato Henry Kissinger, documentato dal memorandum di conversazione pubblicato nella serie dei \Foreign Relations of the United States\. Il rientro fu preparato dalla riunione di Atene del 30 novembre 1974 fra Makarios, il presidente reggente Glafkos Klerides e il primo ministro Karamanlis, documentata da un rapporto di intelligence della Defense Intelligence Agency. Il ritorno a Cipro è del 7 dicembre 1974.</w:t>
      </w:r>
    </w:p>
    <w:p>
      <w:pPr>
        <w:spacing w:after="120" w:line="276"/>
        <w:jc w:val="both"/>
      </w:pPr>
      <w:r>
        <w:rPr>
          <w:rFonts w:ascii="Barlow Semi Condensed" w:cs="Barlow Semi Condensed" w:eastAsia="Barlow Semi Condensed" w:hAnsi="Barlow Semi Condensed"/>
          <w:b/>
          <w:bCs/>
          <w:sz w:val="24"/>
          <w:szCs w:val="24"/>
        </w:rPr>
        <w:t xml:space="preserve">L'esito, dichiarato. Nessuna delle fonti che ricostruiscono l'itinerario menziona una sosta a Roma o in Vaticano. La sequenza documentata è Pafos-Akrotiri-Malta-Londra-New York-Londra-New York-Atene-Nicosia.</w:t>
      </w:r>
    </w:p>
    <w:p>
      <w:pPr>
        <w:spacing w:after="120" w:line="276"/>
        <w:jc w:val="both"/>
      </w:pPr>
      <w:r>
        <w:rPr>
          <w:rFonts w:ascii="Barlow Semi Condensed" w:cs="Barlow Semi Condensed" w:eastAsia="Barlow Semi Condensed" w:hAnsi="Barlow Semi Condensed"/>
          <w:b/>
          <w:bCs/>
          <w:sz w:val="24"/>
          <w:szCs w:val="24"/>
        </w:rPr>
        <w:t xml:space="preserve">Due verifiche indipendenti confermano. L'indice ufficiale dei discorsi di Paolo VI per il 1974 non registra alcun incontro con Makarios; l'unico documento pontificio relativo a Cipro in quel torno di tempo è anteriore all'esilio ed è l'allocuzione del 24 settembre 1973 al primo ambasciatore cipriota, nella quale Paolo VI saluta Sua Beatitudine l'Arcivescovo Makarios, Presidente della Repubblica — atto diplomatico del 1973 e non incontro. Inoltre, la lunga intervista rilasciata da Makarios a Oriana Fallaci nel novembre 1974, a circa quattro mesi dal colpo, non contiene riferimenti a una visita romana o a un'udienza papale.</w:t>
      </w:r>
    </w:p>
    <w:p>
      <w:pPr>
        <w:spacing w:after="120" w:line="276"/>
        <w:jc w:val="both"/>
      </w:pPr>
      <w:r>
        <w:rPr>
          <w:rFonts w:ascii="Barlow Semi Condensed" w:cs="Barlow Semi Condensed" w:eastAsia="Barlow Semi Condensed" w:hAnsi="Barlow Semi Condensed"/>
          <w:b/>
          <w:bCs/>
          <w:sz w:val="24"/>
          <w:szCs w:val="24"/>
        </w:rPr>
        <w:t xml:space="preserve">La qualificazione dell'esito. Nessuna fonte afferma in positivo che egli non vi andò; ma da tre verifiche indipendenti una tappa romano-vaticana e un'udienza con Paolo VI durante l'esilio del 1974 non risultano documentate e appaiono non avvenute.</w:t>
      </w:r>
    </w:p>
    <w:p>
      <w:pPr>
        <w:spacing w:after="120" w:line="276"/>
        <w:jc w:val="both"/>
      </w:pPr>
      <w:r>
        <w:rPr>
          <w:rFonts w:ascii="Barlow Semi Condensed" w:cs="Barlow Semi Condensed" w:eastAsia="Barlow Semi Condensed" w:hAnsi="Barlow Semi Condensed"/>
          <w:b/>
          <w:bCs/>
          <w:sz w:val="24"/>
          <w:szCs w:val="24"/>
        </w:rPr>
        <w:t xml:space="preserve">La sede di verifica definitiva sono le biografie di riferimento — Stanley Mayes, \Makarios: A Biography\, 1981 — le memorie di Klerides, \My Deposition\, 1992, e l'Archivio Apostolico Vaticano per il pontificato di Paolo VI, non aperto.</w:t>
      </w:r>
    </w:p>
    <w:p>
      <w:pPr>
        <w:spacing w:after="120" w:line="276"/>
        <w:jc w:val="both"/>
      </w:pPr>
      <w:r>
        <w:rPr>
          <w:rFonts w:ascii="Barlow Semi Condensed" w:cs="Barlow Semi Condensed" w:eastAsia="Barlow Semi Condensed" w:hAnsi="Barlow Semi Condensed"/>
          <w:b/>
          <w:bCs/>
          <w:sz w:val="24"/>
          <w:szCs w:val="24"/>
        </w:rPr>
        <w:t xml:space="preserve">Perché questo esito negativo vale. Un primate ortodosso in esilio, deposto da un colpo di Stato e privato del proprio seggio, che parla alle Nazioni Unite e vede il segretario di Stato americano, non passa per Roma. È un dato sulla distanza fra i due mondi confessionali che nessuna dichiarazione avrebbe attestato con la medesima nettezza.</w:t>
      </w:r>
    </w:p>
    <w:p>
      <w:pPr>
        <w:pStyle w:val="Heading2"/>
        <w:spacing w:after="100" w:before="200"/>
      </w:pPr>
      <w:r>
        <w:rPr>
          <w:rFonts w:ascii="Barlow Semi Condensed" w:cs="Barlow Semi Condensed" w:eastAsia="Barlow Semi Condensed" w:hAnsi="Barlow Semi Condensed"/>
          <w:sz w:val="24"/>
          <w:szCs w:val="24"/>
        </w:rPr>
        <w:t xml:space="preserve">Capitolo settimo — La Turchia: il caso sovradeterminato</w:t>
      </w:r>
    </w:p>
    <w:p>
      <w:pPr>
        <w:spacing w:after="120" w:line="276"/>
        <w:jc w:val="both"/>
      </w:pPr>
      <w:r>
        <w:rPr>
          <w:rFonts w:ascii="Barlow Semi Condensed" w:cs="Barlow Semi Condensed" w:eastAsia="Barlow Semi Condensed" w:hAnsi="Barlow Semi Condensed"/>
          <w:b/>
          <w:bCs/>
          <w:sz w:val="24"/>
          <w:szCs w:val="24"/>
        </w:rPr>
        <w:t xml:space="preserve">Il capitolo espone il terzo caso, che è il più netto e il meno interessante proprio perché il più prevedibile.</w:t>
      </w:r>
    </w:p>
    <w:p>
      <w:pPr>
        <w:spacing w:after="120" w:line="276"/>
        <w:jc w:val="both"/>
      </w:pPr>
      <w:r>
        <w:rPr>
          <w:rFonts w:ascii="Barlow Semi Condensed" w:cs="Barlow Semi Condensed" w:eastAsia="Barlow Semi Condensed" w:hAnsi="Barlow Semi Condensed"/>
          <w:b/>
          <w:bCs/>
          <w:sz w:val="24"/>
          <w:szCs w:val="24"/>
        </w:rPr>
        <w:t xml:space="preserve">I tre fattori che si sommano. Maggioranza musulmana attorno al novantanove per cento della popolazione. Laicità dello Stato con controllo statale dell'istruzione religiosa. Minoranza cattolica minima e in larga parte non autoctona.</w:t>
      </w:r>
    </w:p>
    <w:p>
      <w:pPr>
        <w:spacing w:after="120" w:line="276"/>
        <w:jc w:val="both"/>
      </w:pPr>
      <w:r>
        <w:rPr>
          <w:rFonts w:ascii="Barlow Semi Condensed" w:cs="Barlow Semi Condensed" w:eastAsia="Barlow Semi Condensed" w:hAnsi="Barlow Semi Condensed"/>
          <w:b/>
          <w:bCs/>
          <w:sz w:val="24"/>
          <w:szCs w:val="24"/>
        </w:rPr>
        <w:t xml:space="preserve">Le stime della minoranza, con le divergenze da riportare. Una fonte indica circa trentacinquemila cattolici, pari allo zero virgola zero cinque per cento; un'agenzia ecclesiale nel novembre 2025 indica circa sessantamila, equivalenti allo zero virgola zero sette per cento; una stima più ridotta, su base di un rapporto di istituto, indica venticinquemila-trentamila, meno dello zero virgola zero quattro per cento. Le tre cifre non sono confrontabili e la divergenza si registra.</w:t>
      </w:r>
    </w:p>
    <w:p>
      <w:pPr>
        <w:spacing w:after="120" w:line="276"/>
        <w:jc w:val="both"/>
      </w:pPr>
      <w:r>
        <w:rPr>
          <w:rFonts w:ascii="Barlow Semi Condensed" w:cs="Barlow Semi Condensed" w:eastAsia="Barlow Semi Condensed" w:hAnsi="Barlow Semi Condensed"/>
          <w:b/>
          <w:bCs/>
          <w:sz w:val="24"/>
          <w:szCs w:val="24"/>
        </w:rPr>
        <w:t xml:space="preserve">Il dettaglio della composizione. Vicariato apostolico di Istanbul, circa quindicimila-diciassettemila battezzati; Arcidiocesi di Smirne, poco più di milletrecento fedeli; Vicariato apostolico dell'Anatolia, circa millecinquecento; arcidiocesi armena cattolica di Istanbul, tremilaseicentosettanta; caldei, cinquemilanovecentonovantatré; siri cattolici, duemilacentocinquantacinque.</w:t>
      </w:r>
    </w:p>
    <w:p>
      <w:pPr>
        <w:spacing w:after="120" w:line="276"/>
        <w:jc w:val="both"/>
      </w:pPr>
      <w:r>
        <w:rPr>
          <w:rFonts w:ascii="Barlow Semi Condensed" w:cs="Barlow Semi Condensed" w:eastAsia="Barlow Semi Condensed" w:hAnsi="Barlow Semi Condensed"/>
          <w:b/>
          <w:bCs/>
          <w:sz w:val="24"/>
          <w:szCs w:val="24"/>
        </w:rPr>
        <w:t xml:space="preserve">Un dato di composizione va isolato perché è decisivo per il modello. Una fonte vaticana recente distingue, per il solo vicariato latino di Istanbul, poco più di diecimila fedeli locali e circa trentamila fedeli stranieri, rifugiati o migranti. La comunità cattolica di Turchia è dunque in prevalenza non autoctona — e una comunità non autoctona non genera il ceto universitario e professionale stabile su cui l'apostolato dell'ente si radica.</w:t>
      </w:r>
    </w:p>
    <w:p>
      <w:pPr>
        <w:spacing w:after="120" w:line="276"/>
        <w:jc w:val="both"/>
      </w:pPr>
      <w:r>
        <w:rPr>
          <w:rFonts w:ascii="Barlow Semi Condensed" w:cs="Barlow Semi Condensed" w:eastAsia="Barlow Semi Condensed" w:hAnsi="Barlow Semi Condensed"/>
          <w:b/>
          <w:bCs/>
          <w:sz w:val="24"/>
          <w:szCs w:val="24"/>
        </w:rPr>
        <w:t xml:space="preserve">Il dettaglio legislativo che chiude il caso, e che è il ritrovamento più fine dei tre. La medesima legge turca che nel 1971 determinò la chiusura della Scuola teologica di Halki — vietando l'istruzione superiore privata non affiliata alle università di Stato — precludeva per ciò stesso anche l'eventuale radicamento educativo di enti confessionali cattolici.</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L'Opus Dei opera storicamente attraverso residenze universitarie e opere educative: la sua prima istituzione, l'Accademia DYA del 1933, era rivolta a studenti di Diritto e Architettura. Un ordinamento che vieta l'istruzione superiore privata non affiliata allo Stato rende impraticabile quel modello di insediamento, indipendentemente dalla consistenza della minoranza cattolica.</w:t>
      </w:r>
    </w:p>
    <w:p>
      <w:pPr>
        <w:spacing w:after="120" w:line="276"/>
        <w:jc w:val="both"/>
      </w:pPr>
      <w:r>
        <w:rPr>
          <w:rFonts w:ascii="Barlow Semi Condensed" w:cs="Barlow Semi Condensed" w:eastAsia="Barlow Semi Condensed" w:hAnsi="Barlow Semi Condensed"/>
          <w:b/>
          <w:bCs/>
          <w:sz w:val="24"/>
          <w:szCs w:val="24"/>
        </w:rPr>
        <w:t xml:space="preserve">Ne discende che il caso turco è sovradeterminato: anche rimuovendo uno dei tre fattori, i restanti due sarebbero sufficienti a spiegare l'assenza. È per questo il caso meno probante dei tre sul piano logico, pur essendo il più netto sul piano descrittivo.</w:t>
      </w:r>
    </w:p>
    <w:p>
      <w:pPr>
        <w:spacing w:after="120" w:line="276"/>
        <w:jc w:val="both"/>
      </w:pPr>
      <w:r>
        <w:rPr>
          <w:rFonts w:ascii="Barlow Semi Condensed" w:cs="Barlow Semi Condensed" w:eastAsia="Barlow Semi Condensed" w:hAnsi="Barlow Semi Condensed"/>
          <w:b/>
          <w:bCs/>
          <w:sz w:val="24"/>
          <w:szCs w:val="24"/>
        </w:rPr>
        <w:t xml:space="preserve">Lo statuto giuridico, per completezza. L'interpretazione turca del Trattato di Losanna del 24 luglio 1923, articoli dal trentasette al quarantacinque, riconosce come minoranze non musulmane soltanto greco-ortodossi, armeni ed ebrei; ne restano esclusi cattolici latini, caldei e siro-cattolici, considerati religioni straniere. La rivoluzione kemalista, sopprimendo il sistema del \millet\, aveva rimosso la tutela che nel diciannovesimo secolo quattro Chiese cattoliche avevano ottenuto sotto gli Ottomani; e Losanna non la ripristinò per i cattolici.</w:t>
      </w:r>
    </w:p>
    <w:p>
      <w:pPr>
        <w:pStyle w:val="Heading2"/>
        <w:spacing w:after="100" w:before="200"/>
      </w:pPr>
      <w:r>
        <w:rPr>
          <w:rFonts w:ascii="Barlow Semi Condensed" w:cs="Barlow Semi Condensed" w:eastAsia="Barlow Semi Condensed" w:hAnsi="Barlow Semi Condensed"/>
          <w:sz w:val="24"/>
          <w:szCs w:val="24"/>
        </w:rPr>
        <w:t xml:space="preserve">Capitolo ottavo — L'Italia nei tre casi: un atto, un'esclusione, un'assenza</w:t>
      </w:r>
    </w:p>
    <w:p>
      <w:pPr>
        <w:spacing w:after="120" w:line="276"/>
        <w:jc w:val="both"/>
      </w:pPr>
      <w:r>
        <w:rPr>
          <w:rFonts w:ascii="Barlow Semi Condensed" w:cs="Barlow Semi Condensed" w:eastAsia="Barlow Semi Condensed" w:hAnsi="Barlow Semi Condensed"/>
          <w:b/>
          <w:bCs/>
          <w:sz w:val="24"/>
          <w:szCs w:val="24"/>
        </w:rPr>
        <w:t xml:space="preserve">Il capitolo raccoglie la posizione italiana nei tre perimetri, e la raccoglie insieme perché il confronto è esso stesso la risultanza.</w:t>
      </w:r>
    </w:p>
    <w:p>
      <w:pPr>
        <w:spacing w:after="120" w:line="276"/>
        <w:jc w:val="both"/>
      </w:pPr>
      <w:r>
        <w:rPr>
          <w:rFonts w:ascii="Barlow Semi Condensed" w:cs="Barlow Semi Condensed" w:eastAsia="Barlow Semi Condensed" w:hAnsi="Barlow Semi Condensed"/>
          <w:b/>
          <w:bCs/>
          <w:sz w:val="24"/>
          <w:szCs w:val="24"/>
        </w:rPr>
        <w:t xml:space="preserve">La Grecia: un atto forte, datato, e presieduto da Moro. Il 12 dicembre 1969 il Comitato dei Ministri del Consiglio d'Europa adottò la Risoluzione (69) 51 in materia di Grecia; il governo greco notificò il proprio ritiro il medesimo 12 dicembre 1969, con effetto al 31 dicembre 1970, e denunciò la Convenzione. La seduta decisiva fu presieduta da Aldo Moro nella sua qualità di rappresentante italiano.</w:t>
      </w:r>
    </w:p>
    <w:p>
      <w:pPr>
        <w:spacing w:after="120" w:line="276"/>
        <w:jc w:val="both"/>
      </w:pPr>
      <w:r>
        <w:rPr>
          <w:rFonts w:ascii="Barlow Semi Condensed" w:cs="Barlow Semi Condensed" w:eastAsia="Barlow Semi Condensed" w:hAnsi="Barlow Semi Condensed"/>
          <w:b/>
          <w:bCs/>
          <w:sz w:val="24"/>
          <w:szCs w:val="24"/>
        </w:rPr>
        <w:t xml:space="preserve">Due precisazioni vanno apposte perché la pubblicistica le omette. Primo: la Grecia si ritirò per prevenire il voto ormai certo, non fu espulsa; la formula corrente di espulsione decretata da Moro è pubblicistica. Secondo: l'iniziativa era di matrice tedesca, come attesta la documentazione statunitense secondo cui una maggioranza degli Stati membri si schierò a sostegno di una risoluzione tedesca. Moro presiedeva l'organo che stava per deliberare.</w:t>
      </w:r>
    </w:p>
    <w:p>
      <w:pPr>
        <w:spacing w:after="120" w:line="276"/>
        <w:jc w:val="both"/>
      </w:pPr>
      <w:r>
        <w:rPr>
          <w:rFonts w:ascii="Barlow Semi Condensed" w:cs="Barlow Semi Condensed" w:eastAsia="Barlow Semi Condensed" w:hAnsi="Barlow Semi Condensed"/>
          <w:b/>
          <w:bCs/>
          <w:sz w:val="24"/>
          <w:szCs w:val="24"/>
        </w:rPr>
        <w:t xml:space="preserve">Sulla data della seduta le fonti divergono fra il 12 e il 13 dicembre 1969, e la divergenza si riporta.</w:t>
      </w:r>
    </w:p>
    <w:p>
      <w:pPr>
        <w:spacing w:after="120" w:line="276"/>
        <w:jc w:val="both"/>
      </w:pPr>
      <w:r>
        <w:rPr>
          <w:rFonts w:ascii="Barlow Semi Condensed" w:cs="Barlow Semi Condensed" w:eastAsia="Barlow Semi Condensed" w:hAnsi="Barlow Semi Condensed"/>
          <w:b/>
          <w:bCs/>
          <w:sz w:val="24"/>
          <w:szCs w:val="24"/>
        </w:rPr>
        <w:t xml:space="preserve">Una tesi circolante va segnalata e qualificata. Un autore sostiene che la scelta della data del 12 dicembre 1969 per la strage di piazza Fontana non sarebbe stata casuale, coincidendo con la sconfitta diplomatica greca a Strasburgo. È tesi d'autore in opera di taglio giornalistico-documentario; la contemporaneità non costituisce prova di nesso causale, e la materia appartiene alla storiografia sulla strategia della tensione più che alla biografia diplomatica di Moro. Si registra come ipotesi circolante e non come fatto.</w:t>
      </w:r>
    </w:p>
    <w:p>
      <w:pPr>
        <w:spacing w:after="120" w:line="276"/>
        <w:jc w:val="both"/>
      </w:pPr>
      <w:r>
        <w:rPr>
          <w:rFonts w:ascii="Barlow Semi Condensed" w:cs="Barlow Semi Condensed" w:eastAsia="Barlow Semi Condensed" w:hAnsi="Barlow Semi Condensed"/>
          <w:b/>
          <w:bCs/>
          <w:sz w:val="24"/>
          <w:szCs w:val="24"/>
        </w:rPr>
        <w:t xml:space="preserve">Cipro: tre esclusioni accertate. L'Italia non figurava fra le potenze garanti di Cipro, che erano Grecia, Turchia e Regno Unito. L'Italia non era membro del Consiglio di Sicurezza nel 1974: la composizione dei non permanenti era Australia, Austria, Repubblica Socialista Sovietica Bielorussa, Camerun, Costa Rica, Indonesia, Iraq, Kenya, Mauritania e Perù. L'Italia non figurava fra i Paesi contributori della forza di pace, che erano Austria, Canada, Danimarca, Finlandia, Irlanda, Svezia e Regno Unito, con elemento di polizia civile da Australia, Austria, Danimarca, Nuova Zelanda e Svezia.</w:t>
      </w:r>
    </w:p>
    <w:p>
      <w:pPr>
        <w:spacing w:after="120" w:line="276"/>
        <w:jc w:val="both"/>
      </w:pPr>
      <w:r>
        <w:rPr>
          <w:rFonts w:ascii="Barlow Semi Condensed" w:cs="Barlow Semi Condensed" w:eastAsia="Barlow Semi Condensed" w:hAnsi="Barlow Semi Condensed"/>
          <w:b/>
          <w:bCs/>
          <w:sz w:val="24"/>
          <w:szCs w:val="24"/>
        </w:rPr>
        <w:t xml:space="preserve">Un dato di contrasto va riportato perché precisa la portata dell'esclusione. L'Italia era stata membro non permanente del Consiglio nel biennio precedente: la composizione registrata per la Risoluzione 324 del 12 dicembre 1972 sul rinnovo della forza di pace elenca l'Italia fra i non permanenti. Il voto italiano documentabile sulla questione cipriota si colloca dunque nel 1971-1972 e non nel 1974.</w:t>
      </w:r>
    </w:p>
    <w:p>
      <w:pPr>
        <w:spacing w:after="120" w:line="276"/>
        <w:jc w:val="both"/>
      </w:pPr>
      <w:r>
        <w:rPr>
          <w:rFonts w:ascii="Barlow Semi Condensed" w:cs="Barlow Semi Condensed" w:eastAsia="Barlow Semi Condensed" w:hAnsi="Barlow Semi Condensed"/>
          <w:b/>
          <w:bCs/>
          <w:sz w:val="24"/>
          <w:szCs w:val="24"/>
        </w:rPr>
        <w:t xml:space="preserve">Sull'Assemblea generale. La Risoluzione 3212 del 1 novembre 1974 fu adottata all'unanimità con centodiciassette voti a favore, nessun contrario e nessuna astensione; l'Italia concorse al consenso, ma non risulta un intervento italiano distinto nel dibattito.</w:t>
      </w:r>
    </w:p>
    <w:p>
      <w:pPr>
        <w:spacing w:after="120" w:line="276"/>
        <w:jc w:val="both"/>
      </w:pPr>
      <w:r>
        <w:rPr>
          <w:rFonts w:ascii="Barlow Semi Condensed" w:cs="Barlow Semi Condensed" w:eastAsia="Barlow Semi Condensed" w:hAnsi="Barlow Semi Condensed"/>
          <w:b/>
          <w:bCs/>
          <w:sz w:val="24"/>
          <w:szCs w:val="24"/>
        </w:rPr>
        <w:t xml:space="preserve">Un atto comunitario cade dentro il mandato di Moro e va registrato. L'Accordo di associazione fra Comunità europea e Repubblica di Cipro fu firmato il 19 dicembre 1972 ed entrò in vigore il 1 giugno 1973 — dunque cinque settimane prima dell'insediamento di Moro alla Farnesina il 7 luglio 1973. La firma per la Comunità reca i nomi del presidente in carica del Consiglio Schmelzer e del presidente della Commissione Mansholt, non di un rappresentante italiano.</w:t>
      </w:r>
    </w:p>
    <w:p>
      <w:pPr>
        <w:spacing w:after="120" w:line="276"/>
        <w:jc w:val="both"/>
      </w:pPr>
      <w:r>
        <w:rPr>
          <w:rFonts w:ascii="Barlow Semi Condensed" w:cs="Barlow Semi Condensed" w:eastAsia="Barlow Semi Condensed" w:hAnsi="Barlow Semi Condensed"/>
          <w:b/>
          <w:bCs/>
          <w:sz w:val="24"/>
          <w:szCs w:val="24"/>
        </w:rPr>
        <w:t xml:space="preserve">La Turchia: presenza comunitaria documentata e assenza confessionale. Il dato certo è la firma di Moro, a nome del Consiglio delle Comunità europee, dell'Accordo provvisorio CEE-Turchia del 27 luglio 1971. Il dato negativo è l'assenza di qualunque presa di posizione documentata sulla condizione delle minoranze cristiane, sulla chiusura di Halki o sullo statuto del Patriarcato.</w:t>
      </w:r>
    </w:p>
    <w:p>
      <w:pPr>
        <w:spacing w:after="120" w:line="276"/>
        <w:jc w:val="both"/>
      </w:pPr>
      <w:r>
        <w:rPr>
          <w:rFonts w:ascii="Barlow Semi Condensed" w:cs="Barlow Semi Condensed" w:eastAsia="Barlow Semi Condensed" w:hAnsi="Barlow Semi Condensed"/>
          <w:b/>
          <w:bCs/>
          <w:sz w:val="24"/>
          <w:szCs w:val="24"/>
        </w:rPr>
        <w:t xml:space="preserve">Il confronto dà questo, e va enunciato. Nei tre casi l'Italia compare una volta come attore, una volta come escluso, una volta come firmatario comunitario senza posizione confessionale. In nessuno dei tre compare come titolare di una politica bilaterale autonoma verso la questione religiosa.</w:t>
      </w:r>
    </w:p>
    <w:p>
      <w:pPr>
        <w:pStyle w:val="Heading2"/>
        <w:spacing w:after="100" w:before="200"/>
      </w:pPr>
      <w:r>
        <w:rPr>
          <w:rFonts w:ascii="Barlow Semi Condensed" w:cs="Barlow Semi Condensed" w:eastAsia="Barlow Semi Condensed" w:hAnsi="Barlow Semi Condensed"/>
          <w:sz w:val="24"/>
          <w:szCs w:val="24"/>
        </w:rPr>
        <w:t xml:space="preserve">Capitolo nono — La formula storiografica che spiega l'assenza italiana</w:t>
      </w:r>
    </w:p>
    <w:p>
      <w:pPr>
        <w:spacing w:after="120" w:line="276"/>
        <w:jc w:val="both"/>
      </w:pPr>
      <w:r>
        <w:rPr>
          <w:rFonts w:ascii="Barlow Semi Condensed" w:cs="Barlow Semi Condensed" w:eastAsia="Barlow Semi Condensed" w:hAnsi="Barlow Semi Condensed"/>
          <w:b/>
          <w:bCs/>
          <w:sz w:val="24"/>
          <w:szCs w:val="24"/>
        </w:rPr>
        <w:t xml:space="preserve">Il capitolo espone l'enunciato che, meglio di ogni altro reperito nelle sette ricognizioni, spiega perché l'Italia non compaia.</w:t>
      </w:r>
    </w:p>
    <w:p>
      <w:pPr>
        <w:spacing w:after="120" w:line="276"/>
        <w:jc w:val="both"/>
      </w:pPr>
      <w:r>
        <w:rPr>
          <w:rFonts w:ascii="Barlow Semi Condensed" w:cs="Barlow Semi Condensed" w:eastAsia="Barlow Semi Condensed" w:hAnsi="Barlow Semi Condensed"/>
          <w:b/>
          <w:bCs/>
          <w:sz w:val="24"/>
          <w:szCs w:val="24"/>
        </w:rPr>
        <w:t xml:space="preserve">La formula proviene da fonte scientifica e riguarda il caso portoghese, ma la sua portata è generale: essa inquadra la solidarietà anticoloniale italiana nella dialettica fra una visione internazionalista implicita in certe municipalità di sinistra come Reggio Emilia e Bologna, e la fedeltà atlantica dei governi a maggioranza democristiana.</w:t>
      </w:r>
    </w:p>
    <w:p>
      <w:pPr>
        <w:spacing w:after="120" w:line="276"/>
        <w:jc w:val="both"/>
      </w:pPr>
      <w:r>
        <w:rPr>
          <w:rFonts w:ascii="Barlow Semi Condensed" w:cs="Barlow Semi Condensed" w:eastAsia="Barlow Semi Condensed" w:hAnsi="Barlow Semi Condensed"/>
          <w:b/>
          <w:bCs/>
          <w:sz w:val="24"/>
          <w:szCs w:val="24"/>
        </w:rPr>
        <w:t xml:space="preserve">Applicata ai tre casi del Mediterraneo orientale, essa spiega tre cose insieme.</w:t>
      </w:r>
    </w:p>
    <w:p>
      <w:pPr>
        <w:spacing w:after="120" w:line="276"/>
        <w:jc w:val="both"/>
      </w:pPr>
      <w:r>
        <w:rPr>
          <w:rFonts w:ascii="Barlow Semi Condensed" w:cs="Barlow Semi Condensed" w:eastAsia="Barlow Semi Condensed" w:hAnsi="Barlow Semi Condensed"/>
          <w:b/>
          <w:bCs/>
          <w:sz w:val="24"/>
          <w:szCs w:val="24"/>
        </w:rPr>
        <w:t xml:space="preserve">Primo: perché sulla Grecia dei colonnelli l'atto forte sia venuto in sede multilaterale e non bilaterale. Il Consiglio d'Europa era la sede in cui l'Italia poteva agire senza incrinare il vincolo atlantico, poiché l'organo non ha competenza militare e la materia era quella dei diritti umani. Un'iniziativa bilaterale contro Atene avrebbe toccato un alleato NATO; una risoluzione a Strasburgo no.</w:t>
      </w:r>
    </w:p>
    <w:p>
      <w:pPr>
        <w:spacing w:after="120" w:line="276"/>
        <w:jc w:val="both"/>
      </w:pPr>
      <w:r>
        <w:rPr>
          <w:rFonts w:ascii="Barlow Semi Condensed" w:cs="Barlow Semi Condensed" w:eastAsia="Barlow Semi Condensed" w:hAnsi="Barlow Semi Condensed"/>
          <w:b/>
          <w:bCs/>
          <w:sz w:val="24"/>
          <w:szCs w:val="24"/>
        </w:rPr>
        <w:t xml:space="preserve">Secondo: perché su Cipro l'Italia sia rimasta al margine consultivo. Essa fu inclusa nel circuito informale dell'Alleanza — la convocazione del segretario generale del 4 luglio 1974 agli ambasciatori di Stati Uniti, Regno Unito, Francia, Germania Federale, Italia e Belgio; le consultazioni del 30 agosto 1974 sul ritiro greco — ma non nei negoziati di Ginevra, che erano riservati alle potenze garanti. L'Italia era consultata, non deliberante.</w:t>
      </w:r>
    </w:p>
    <w:p>
      <w:pPr>
        <w:spacing w:after="120" w:line="276"/>
        <w:jc w:val="both"/>
      </w:pPr>
      <w:r>
        <w:rPr>
          <w:rFonts w:ascii="Barlow Semi Condensed" w:cs="Barlow Semi Condensed" w:eastAsia="Barlow Semi Condensed" w:hAnsi="Barlow Semi Condensed"/>
          <w:b/>
          <w:bCs/>
          <w:sz w:val="24"/>
          <w:szCs w:val="24"/>
        </w:rPr>
        <w:t xml:space="preserve">Terzo: perché sulla Turchia la posizione italiana sia comunitaria e non confessionale. La questione delle minoranze cristiane in Turchia avrebbe messo l'Italia in posizione critica verso un alleato del fianco sud in un momento in cui l'Alleanza perdeva la Grecia dalla struttura militare integrata. La fedeltà atlantica prevaleva sulla solidarietà confessionale.</w:t>
      </w:r>
    </w:p>
    <w:p>
      <w:pPr>
        <w:spacing w:after="120" w:line="276"/>
        <w:jc w:val="both"/>
      </w:pPr>
      <w:r>
        <w:rPr>
          <w:rFonts w:ascii="Barlow Semi Condensed" w:cs="Barlow Semi Condensed" w:eastAsia="Barlow Semi Condensed" w:hAnsi="Barlow Semi Condensed"/>
          <w:b/>
          <w:bCs/>
          <w:sz w:val="24"/>
          <w:szCs w:val="24"/>
        </w:rPr>
        <w:t xml:space="preserve">Un elemento vaticano conferma la medesima logica per via indipendente, e va riportato perché è notevole. La Santa Sede ottenne a Helsinki, il 1 agosto 1975, l'inscrizione della libertà religiosa nel settimo principio dell'Atto finale, su proposta presentata il 7 marzo 1973. Ma la ottenne guardando a Oriente, secondo la logica della Ostpolitik e in funzione della condizione dei cattolici nei Paesi del blocco.</w:t>
      </w:r>
    </w:p>
    <w:p>
      <w:pPr>
        <w:spacing w:after="120" w:line="276"/>
        <w:jc w:val="both"/>
      </w:pPr>
      <w:r>
        <w:rPr>
          <w:rFonts w:ascii="Barlow Semi Condensed" w:cs="Barlow Semi Condensed" w:eastAsia="Barlow Semi Condensed" w:hAnsi="Barlow Semi Condensed"/>
          <w:b/>
          <w:bCs/>
          <w:sz w:val="24"/>
          <w:szCs w:val="24"/>
        </w:rPr>
        <w:t xml:space="preserve">E non risulta che il medesimo principio sia stato invocato verso Ankara, che aveva chiuso il seminario del Patriarcato quattro anni prima ed è essa stessa firmataria dell'Atto finale.</w:t>
      </w:r>
    </w:p>
    <w:p>
      <w:pPr>
        <w:spacing w:after="120" w:line="276"/>
        <w:jc w:val="both"/>
      </w:pPr>
      <w:r>
        <w:rPr>
          <w:rFonts w:ascii="Barlow Semi Condensed" w:cs="Barlow Semi Condensed" w:eastAsia="Barlow Semi Condensed" w:hAnsi="Barlow Semi Condensed"/>
          <w:b/>
          <w:bCs/>
          <w:sz w:val="24"/>
          <w:szCs w:val="24"/>
        </w:rPr>
        <w:t xml:space="preserve">Il dato va enunciato senza interpretarlo. Né l'Italia né la Santa Sede risultano avere fatto valere, verso un alleato atlantico, il principio che entrambe sostenevano verso l'avversario. Se ciò fu prudenza diplomatica, priorità gerarchica dei dossier, o altro, non è accertato da alcuna fonte reperita; e le tre spiegazioni restano aperte.</w:t>
      </w:r>
    </w:p>
    <w:p>
      <w:pPr>
        <w:pStyle w:val="Heading2"/>
        <w:spacing w:after="100" w:before="200"/>
      </w:pPr>
      <w:r>
        <w:rPr>
          <w:rFonts w:ascii="Barlow Semi Condensed" w:cs="Barlow Semi Condensed" w:eastAsia="Barlow Semi Condensed" w:hAnsi="Barlow Semi Condensed"/>
          <w:sz w:val="24"/>
          <w:szCs w:val="24"/>
        </w:rPr>
        <w:t xml:space="preserve">Capitolo decimo — Il modello consolidato e la sua forma logica</w:t>
      </w:r>
    </w:p>
    <w:p>
      <w:pPr>
        <w:spacing w:after="120" w:line="276"/>
        <w:jc w:val="both"/>
      </w:pPr>
      <w:r>
        <w:rPr>
          <w:rFonts w:ascii="Barlow Semi Condensed" w:cs="Barlow Semi Condensed" w:eastAsia="Barlow Semi Condensed" w:hAnsi="Barlow Semi Condensed"/>
          <w:b/>
          <w:bCs/>
          <w:sz w:val="24"/>
          <w:szCs w:val="24"/>
        </w:rPr>
        <w:t xml:space="preserve">Il capitolo enuncia la proposizione che i tre casi stabiliscono insieme, e ne espone la struttura dimostrativa perché sia verificabile e confutabile.</w:t>
      </w:r>
    </w:p>
    <w:p>
      <w:pPr>
        <w:spacing w:after="120" w:line="276"/>
        <w:jc w:val="both"/>
      </w:pPr>
      <w:r>
        <w:rPr>
          <w:rFonts w:ascii="Barlow Semi Condensed" w:cs="Barlow Semi Condensed" w:eastAsia="Barlow Semi Condensed" w:hAnsi="Barlow Semi Condensed"/>
          <w:b/>
          <w:bCs/>
          <w:sz w:val="24"/>
          <w:szCs w:val="24"/>
        </w:rPr>
        <w:t xml:space="preserve">La proposizione. L'insediamento dell'Opus Dei in un Paese del Mediterraneo richiede la compresenza di due condizioni: una maggioranza cattolica della popolazione, e la disponibilità di un ceto universitario e professionale cattolico autoctono su cui l'apostolato possa radicarsi.</w:t>
      </w:r>
    </w:p>
    <w:p>
      <w:pPr>
        <w:spacing w:after="120" w:line="276"/>
        <w:jc w:val="both"/>
      </w:pPr>
      <w:r>
        <w:rPr>
          <w:rFonts w:ascii="Barlow Semi Condensed" w:cs="Barlow Semi Condensed" w:eastAsia="Barlow Semi Condensed" w:hAnsi="Barlow Semi Condensed"/>
          <w:b/>
          <w:bCs/>
          <w:sz w:val="24"/>
          <w:szCs w:val="24"/>
        </w:rPr>
        <w:t xml:space="preserve">Il lato positivo, per date. Spagna 1928, Portogallo 1945, Italia 1946 — tre Paesi a maggioranza cattolica con ceti universitari cattolici; Libano 1996 — Paese a forte componente cristiana e cattolica con élite professionali maronite e latine.</w:t>
      </w:r>
    </w:p>
    <w:p>
      <w:pPr>
        <w:spacing w:after="120" w:line="276"/>
        <w:jc w:val="both"/>
      </w:pPr>
      <w:r>
        <w:rPr>
          <w:rFonts w:ascii="Barlow Semi Condensed" w:cs="Barlow Semi Condensed" w:eastAsia="Barlow Semi Condensed" w:hAnsi="Barlow Semi Condensed"/>
          <w:b/>
          <w:bCs/>
          <w:sz w:val="24"/>
          <w:szCs w:val="24"/>
        </w:rPr>
        <w:t xml:space="preserve">Il lato negativo, per esclusione progressiva.</w:t>
      </w:r>
    </w:p>
    <w:p>
      <w:pPr>
        <w:spacing w:after="120" w:line="276"/>
        <w:jc w:val="both"/>
      </w:pPr>
      <w:r>
        <w:rPr>
          <w:rFonts w:ascii="Barlow Semi Condensed" w:cs="Barlow Semi Condensed" w:eastAsia="Barlow Semi Condensed" w:hAnsi="Barlow Semi Condensed"/>
          <w:b/>
          <w:bCs/>
          <w:sz w:val="24"/>
          <w:szCs w:val="24"/>
        </w:rPr>
        <w:t xml:space="preserve">La Grecia esclude la variabile del regime. Dittatura di destra dal 1967 al 1974, coeva a quelle iberiche; ente assente. Se il regime fosse la condizione, la Grecia sarebbe stata propizia.</w:t>
      </w:r>
    </w:p>
    <w:p>
      <w:pPr>
        <w:spacing w:after="120" w:line="276"/>
        <w:jc w:val="both"/>
      </w:pPr>
      <w:r>
        <w:rPr>
          <w:rFonts w:ascii="Barlow Semi Condensed" w:cs="Barlow Semi Condensed" w:eastAsia="Barlow Semi Condensed" w:hAnsi="Barlow Semi Condensed"/>
          <w:b/>
          <w:bCs/>
          <w:sz w:val="24"/>
          <w:szCs w:val="24"/>
        </w:rPr>
        <w:t xml:space="preserve">Cipro esclude la variabile della mera presenza cattolica. Minoranze cattoliche antiche, strutturate, riconosciute dalla Costituzione del 1960, con gerarchia propria, parrocchie e villaggi interi, e Nunziatura apostolica dal 1973; ente assente. Se la presenza di cattolici fosse condizione sufficiente, Cipro l'avrebbe ospitato.</w:t>
      </w:r>
    </w:p>
    <w:p>
      <w:pPr>
        <w:spacing w:after="120" w:line="276"/>
        <w:jc w:val="both"/>
      </w:pPr>
      <w:r>
        <w:rPr>
          <w:rFonts w:ascii="Barlow Semi Condensed" w:cs="Barlow Semi Condensed" w:eastAsia="Barlow Semi Condensed" w:hAnsi="Barlow Semi Condensed"/>
          <w:b/>
          <w:bCs/>
          <w:sz w:val="24"/>
          <w:szCs w:val="24"/>
        </w:rPr>
        <w:t xml:space="preserve">La Turchia conferma per sovradeterminazione. Maggioranza musulmana, laicità con controllo dell'istruzione, minoranza cattolica minima e in prevalenza non autoctona, e divieto legale dell'istruzione superiore privata non affiliata allo Stato che preclude il modello di insediamento educativo dell'ente.</w:t>
      </w:r>
    </w:p>
    <w:p>
      <w:pPr>
        <w:spacing w:after="120" w:line="276"/>
        <w:jc w:val="both"/>
      </w:pPr>
      <w:r>
        <w:rPr>
          <w:rFonts w:ascii="Barlow Semi Condensed" w:cs="Barlow Semi Condensed" w:eastAsia="Barlow Semi Condensed" w:hAnsi="Barlow Semi Condensed"/>
          <w:b/>
          <w:bCs/>
          <w:sz w:val="24"/>
          <w:szCs w:val="24"/>
        </w:rPr>
        <w:t xml:space="preserve">La forma logica dello argomento va dichiarata, perché ne determina la forza. Si tratta di un argomento per casi controfattuali e non di una dimostrazione causale. Esso mostra che due variabili candidate — il regime autoritario e la presenza di cattolici — non sono condizioni sufficienti, e che una terza — maggioranza più ceto professionale — è compatibile con tutti i casi osservati.</w:t>
      </w:r>
    </w:p>
    <w:p>
      <w:pPr>
        <w:spacing w:after="120" w:line="276"/>
        <w:jc w:val="both"/>
      </w:pPr>
      <w:r>
        <w:rPr>
          <w:rFonts w:ascii="Barlow Semi Condensed" w:cs="Barlow Semi Condensed" w:eastAsia="Barlow Semi Condensed" w:hAnsi="Barlow Semi Condensed"/>
          <w:b/>
          <w:bCs/>
          <w:sz w:val="24"/>
          <w:szCs w:val="24"/>
        </w:rPr>
        <w:t xml:space="preserve">Che essa sia condizione necessaria non è dimostrato, e non lo sarebbe nemmeno con dieci casi: sarebbe necessario un caso in cui le due condizioni sussistano e l'ente sia comunque assente, 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confutazione possibile va indicata, perché una proposizione che non la ammetta non è una proposizione. Il modello sarebbe falsificato dal reperimento di un insediamento stabile dell'ente in un Paese a maggioranza non cattolica e privo di ceto cattolico autoctono. L'elenco ufficiale contiene casi che meritano verifica in questa direzione — Giappone 1958, Kenya 1958, Nigeria 1965, India 1993, Kazakhistan 1997, Indonesia 2008, Sri Lanka 2011 — e nessuno di essi è stato esaminato in questa sede.</w:t>
      </w:r>
    </w:p>
    <w:p>
      <w:pPr>
        <w:spacing w:after="120" w:line="276"/>
        <w:jc w:val="both"/>
      </w:pPr>
      <w:r>
        <w:rPr>
          <w:rFonts w:ascii="Barlow Semi Condensed" w:cs="Barlow Semi Condensed" w:eastAsia="Barlow Semi Condensed" w:hAnsi="Barlow Semi Condensed"/>
          <w:b/>
          <w:bCs/>
          <w:sz w:val="24"/>
          <w:szCs w:val="24"/>
        </w:rPr>
        <w:t xml:space="preserve">Ne discende che il modello qui proposto è provvisorio e circoscritto al Mediterraneo, e che la sua estensione richiederebbe l'esame dei casi asiatici e africani. Lo si dichiara perché presentarlo come generale sarebbe l'errore che questo progetto ha imparato a riconoscere: organizzare i casi attorno alla conclusione anziché sottoporla al caso avverso.</w:t>
      </w:r>
    </w:p>
    <w:p>
      <w:pPr>
        <w:spacing w:after="120" w:line="276"/>
        <w:jc w:val="both"/>
      </w:pPr>
      <w:r>
        <w:rPr>
          <w:rFonts w:ascii="Barlow Semi Condensed" w:cs="Barlow Semi Condensed" w:eastAsia="Barlow Semi Condensed" w:hAnsi="Barlow Semi Condensed"/>
          <w:b/>
          <w:bCs/>
          <w:sz w:val="24"/>
          <w:szCs w:val="24"/>
        </w:rPr>
        <w:t xml:space="preserve">Un rilievo finale sulla correzione di impostazione. Nella ricognizione portoghese avevo osservato che una divergenza non è una triangolazione. Qui vale il complemento: tre assenze non sono tre lacune. Sono tre osservazioni negative che, disposte in ordine di esclusione, producono una conoscenza che nessuna presenza avrebbe prodotto.</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nei tre perimetri</w:t>
      </w:r>
    </w:p>
    <w:p>
      <w:pPr>
        <w:spacing w:after="120" w:line="276"/>
        <w:jc w:val="both"/>
      </w:pPr>
      <w:r>
        <w:rPr>
          <w:rFonts w:ascii="Barlow Semi Condensed" w:cs="Barlow Semi Condensed" w:eastAsia="Barlow Semi Condensed" w:hAnsi="Barlow Semi Condensed"/>
          <w:b/>
          <w:bCs/>
          <w:sz w:val="24"/>
          <w:szCs w:val="24"/>
        </w:rPr>
        <w:t xml:space="preserve">Il capitolo raccoglie le triangolazioni reperite nei tre casi,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Sulla Grecia. Prima triangolazione: la seduta del 12 dicembre 1969. Grado alto quanto al fatto: l'atto italiano è documentato dalla risoluzione del Comitato dei Ministri e dalla documentazione statunitense. Ciò che non stabilisce: nessun rapporto con l'Opus Dei, assente dal Paese; nessun ruolo vaticano, in assenza di relazioni diplomatiche fra Atene e la Santa Sede fino al 1979. È una triangolazione a due termini, non a tre.</w:t>
      </w:r>
    </w:p>
    <w:p>
      <w:pPr>
        <w:spacing w:after="120" w:line="276"/>
        <w:jc w:val="both"/>
      </w:pPr>
      <w:r>
        <w:rPr>
          <w:rFonts w:ascii="Barlow Semi Condensed" w:cs="Barlow Semi Condensed" w:eastAsia="Barlow Semi Condensed" w:hAnsi="Barlow Semi Condensed"/>
          <w:b/>
          <w:bCs/>
          <w:sz w:val="24"/>
          <w:szCs w:val="24"/>
        </w:rPr>
        <w:t xml:space="preserve">Sulla Grecia, seconda. La correlazione fra relazioni diplomatiche e adesione europea. Grado medio, su dichiarazione del Ministero ellenico che collega la decisione del 1979 alle aspirazioni comunitarie. Ciò che non stabilisce: nessun ruolo italiano documentato in quella correlazione, pur essendo l'Italia Stato membro.</w:t>
      </w:r>
    </w:p>
    <w:p>
      <w:pPr>
        <w:spacing w:after="120" w:line="276"/>
        <w:jc w:val="both"/>
      </w:pPr>
      <w:r>
        <w:rPr>
          <w:rFonts w:ascii="Barlow Semi Condensed" w:cs="Barlow Semi Condensed" w:eastAsia="Barlow Semi Condensed" w:hAnsi="Barlow Semi Condensed"/>
          <w:b/>
          <w:bCs/>
          <w:sz w:val="24"/>
          <w:szCs w:val="24"/>
        </w:rPr>
        <w:t xml:space="preserve">Su Cipro. Prima triangolazione: la Nunziatura del febbraio 1973 e l'ambasciatore del settembre 1973. Grado alto quanto ai fatti. Ciò che non stabilisce: nessun ruolo italiano; gli atti appartengono interamente al bilaterale fra Nicosia e la Santa Sede, e la coincidenza con il secondo mandato di Moro è mera contemporaneità.</w:t>
      </w:r>
    </w:p>
    <w:p>
      <w:pPr>
        <w:spacing w:after="120" w:line="276"/>
        <w:jc w:val="both"/>
      </w:pPr>
      <w:r>
        <w:rPr>
          <w:rFonts w:ascii="Barlow Semi Condensed" w:cs="Barlow Semi Condensed" w:eastAsia="Barlow Semi Condensed" w:hAnsi="Barlow Semi Condensed"/>
          <w:b/>
          <w:bCs/>
          <w:sz w:val="24"/>
          <w:szCs w:val="24"/>
        </w:rPr>
        <w:t xml:space="preserve">Su Cipro, seconda. La doppia titolarità di Makarios come unicum. Grado alto quanto al fatto canonico e costituzionale. Ciò che non stabilisce: nessun rapporto con la Santa Sede, che non aveva relazioni con Nicosia prima del 1973 e la cui gerarchia locale — maronita e latina — era estranea alla vicenda ecclesiastica ortodossa. È una triangolazione interna al mondo ortodosso.</w:t>
      </w:r>
    </w:p>
    <w:p>
      <w:pPr>
        <w:spacing w:after="120" w:line="276"/>
        <w:jc w:val="both"/>
      </w:pPr>
      <w:r>
        <w:rPr>
          <w:rFonts w:ascii="Barlow Semi Condensed" w:cs="Barlow Semi Condensed" w:eastAsia="Barlow Semi Condensed" w:hAnsi="Barlow Semi Condensed"/>
          <w:b/>
          <w:bCs/>
          <w:sz w:val="24"/>
          <w:szCs w:val="24"/>
        </w:rPr>
        <w:t xml:space="preserve">Su Cipro, terza. Lo Stato Zero romano nell'esilio del 1974. Grado alto quanto all'accertamento negativo, su tre verifiche indipendenti. È il dato più eloquente dei tre casi ciprioti, perché misura la distanza fra i due mondi confessionali meglio di qualunque dichiarazione.</w:t>
      </w:r>
    </w:p>
    <w:p>
      <w:pPr>
        <w:spacing w:after="120" w:line="276"/>
        <w:jc w:val="both"/>
      </w:pPr>
      <w:r>
        <w:rPr>
          <w:rFonts w:ascii="Barlow Semi Condensed" w:cs="Barlow Semi Condensed" w:eastAsia="Barlow Semi Condensed" w:hAnsi="Barlow Semi Condensed"/>
          <w:b/>
          <w:bCs/>
          <w:sz w:val="24"/>
          <w:szCs w:val="24"/>
        </w:rPr>
        <w:t xml:space="preserve">Sulla Turchia. Prima triangolazione: la firma di Helsinki del 1 agosto 1975. Grado alto quanto al fatto: Santa Sede, Turchia e Italia di Moro sottoscrivono il medesimo atto, e la Santa Sede vi ha ottenuto la libertà religiosa nel settimo principio. Ciò che non stabilisce: la materia era la sicurezza europea; nessun coordinamento fra le delegazioni è documentato; e — come esposto al Capitolo nono — non risulta che il principio ottenuto sia stato invocato verso il cofirmatario turco.</w:t>
      </w:r>
    </w:p>
    <w:p>
      <w:pPr>
        <w:spacing w:after="120" w:line="276"/>
        <w:jc w:val="both"/>
      </w:pPr>
      <w:r>
        <w:rPr>
          <w:rFonts w:ascii="Barlow Semi Condensed" w:cs="Barlow Semi Condensed" w:eastAsia="Barlow Semi Condensed" w:hAnsi="Barlow Semi Condensed"/>
          <w:b/>
          <w:bCs/>
          <w:sz w:val="24"/>
          <w:szCs w:val="24"/>
        </w:rPr>
        <w:t xml:space="preserve">Sulla Turchia, seconda. La sovrapposizione fra collettività italiana e minoranza latina. Grado medio. La comunità italiana di Istanbul e Smirne è la più antica collettività italiana all'estero, e le parrocchie latine — escluse dalle tutele di Losanna — ne erano il riferimento religioso. Ciò che non stabilisce: nessuna azione coordinata della Farnesina in loro favore risulta documentata.</w:t>
      </w:r>
    </w:p>
    <w:p>
      <w:pPr>
        <w:spacing w:after="120" w:line="276"/>
        <w:jc w:val="both"/>
      </w:pPr>
      <w:r>
        <w:rPr>
          <w:rFonts w:ascii="Barlow Semi Condensed" w:cs="Barlow Semi Condensed" w:eastAsia="Barlow Semi Condensed" w:hAnsi="Barlow Semi Condensed"/>
          <w:b/>
          <w:bCs/>
          <w:sz w:val="24"/>
          <w:szCs w:val="24"/>
        </w:rPr>
        <w:t xml:space="preserve">Il bilancio complessivo, ed è la settima volta consecutiva. Nessuna delle sette triangolazioni coinvolge insieme i tre termini — Italia di Moro, Santa Sede, Opus Dei — per la ragione elementare che il terzo termine è assente da tutti e tre i Paesi.</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chiude il capitolo. Chiedere le triangolazioni fra Moro e l'Opus Dei nel Mediterraneo orientale equivale a chiedere le intersezioni di un insieme con l'insieme vuoto. L'esito non è una lacuna della ricerca: è una proprietà dell'oggetto. E la sua verifica su tre Paesi consecutivi, contro la fonte ufficiale dell'ente, è quanto questo studio consegna.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degli otto studi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 la sola che possa falsificare il modello. L'esame dei casi asiatici e africani dell'elenco ufficiale — Giappone 1958, Kenya 1958, Nigeria 1965, India 1993, Kazakhistan 1997, Indonesia 2008, Sri Lanka 2011 — per verificare se in essi sussista la doppia condizione di maggioranza cattolica e ceto professionale cattolico, o se il modello vi sia falsificato. Sede: la storiografia sull'espansione dell'ente e le statistiche confessionali dei singoli Paesi. Condizione di chiusura: il reperimento di un insediamento stabile in un Paese a maggioranza non cattolica e privo di ceto cattolico autoctono, che falsificherebbe la proposizione del Capitolo decimo.</w:t>
      </w:r>
    </w:p>
    <w:p>
      <w:pPr>
        <w:spacing w:after="120" w:line="276"/>
        <w:jc w:val="both"/>
      </w:pPr>
      <w:r>
        <w:rPr>
          <w:rFonts w:ascii="Barlow Semi Condensed" w:cs="Barlow Semi Condensed" w:eastAsia="Barlow Semi Condensed" w:hAnsi="Barlow Semi Condensed"/>
          <w:b/>
          <w:bCs/>
          <w:sz w:val="24"/>
          <w:szCs w:val="24"/>
        </w:rPr>
        <w:t xml:space="preserve">Seconda voce. La consultazione integrale del prospetto ufficiale delle date di inizio del lavoro stabile e dell'elenco delle circoscrizioni regionali, per la chiusura formale delle tre assenze. Sede: il sito dell'ente e le sue pubblicazioni istituzionali, oltre al portale storico promosso dal Centro Studi dell'Università di Navarra e dall'Istituto Storico di Roma. Rendimento basso in termini di novità, alto in termini di chiusura.</w:t>
      </w:r>
    </w:p>
    <w:p>
      <w:pPr>
        <w:spacing w:after="120" w:line="276"/>
        <w:jc w:val="both"/>
      </w:pPr>
      <w:r>
        <w:rPr>
          <w:rFonts w:ascii="Barlow Semi Condensed" w:cs="Barlow Semi Condensed" w:eastAsia="Barlow Semi Condensed" w:hAnsi="Barlow Semi Condensed"/>
          <w:b/>
          <w:bCs/>
          <w:sz w:val="24"/>
          <w:szCs w:val="24"/>
        </w:rPr>
        <w:t xml:space="preserve">Terza voce. Gli atti del Consiglio d'Europa relativi alla seduta del 12 o 13 dicembre 1969, per accertare la condotta e le parole di Moro in quella sede e risolvere la divergenza sulla data. Sedi: archivio del Consiglio d'Europa a Strasburgo; 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Quarta voce. La posizione italiana su Cipro nei mesi di luglio-novembre 1974 e la posizione italiana sulla condizione delle minoranze cristiane in Turchia. Sedi: Archivio Storico Diplomatico, serie Grecia, Cipro, Turchia e Santa Sede 1969-1975, con l'avvertenza dell'esclusione dei Telegrammi 1942-1970; resoconti stenografici della sesta legislatura, non indicizzati per soggetto essendo la banca dati del sindacato ispettivo estesa soltanto dal 5 luglio 1976.</w:t>
      </w:r>
    </w:p>
    <w:p>
      <w:pPr>
        <w:spacing w:after="120" w:line="276"/>
        <w:jc w:val="both"/>
      </w:pPr>
      <w:r>
        <w:rPr>
          <w:rFonts w:ascii="Barlow Semi Condensed" w:cs="Barlow Semi Condensed" w:eastAsia="Barlow Semi Condensed" w:hAnsi="Barlow Semi Condensed"/>
          <w:b/>
          <w:bCs/>
          <w:sz w:val="24"/>
          <w:szCs w:val="24"/>
        </w:rPr>
        <w:t xml:space="preserve">Quinta voce. Le biografie di riferimento su Makarios e le memorie di Klerides, per la chiusura definitiva dello Stato Zero romano dell'esilio 1974.</w:t>
      </w:r>
    </w:p>
    <w:p>
      <w:pPr>
        <w:spacing w:after="120" w:line="276"/>
        <w:jc w:val="both"/>
      </w:pPr>
      <w:r>
        <w:rPr>
          <w:rFonts w:ascii="Barlow Semi Condensed" w:cs="Barlow Semi Condensed" w:eastAsia="Barlow Semi Condensed" w:hAnsi="Barlow Semi Condensed"/>
          <w:b/>
          <w:bCs/>
          <w:sz w:val="24"/>
          <w:szCs w:val="24"/>
        </w:rPr>
        <w:t xml:space="preserve">Sesta voce. Gli archivi dell'Arcivescovado di Cipro e della Fondazione Makarios III, per il rapporto fra la crisi ecclesiastica del 1972-1973 e il colpo del 1974.</w:t>
      </w:r>
    </w:p>
    <w:p>
      <w:pPr>
        <w:spacing w:after="120" w:line="276"/>
        <w:jc w:val="both"/>
      </w:pPr>
      <w:r>
        <w:rPr>
          <w:rFonts w:ascii="Barlow Semi Condensed" w:cs="Barlow Semi Condensed" w:eastAsia="Barlow Semi Condensed" w:hAnsi="Barlow Semi Condensed"/>
          <w:b/>
          <w:bCs/>
          <w:sz w:val="24"/>
          <w:szCs w:val="24"/>
        </w:rPr>
        <w:t xml:space="preserve">Settima voce. Il registro dei delegati alla Conferenza per la sicurezza e la cooperazione in Europa conservato presso il centro di documentazione di Praga, per la composizione delle delegazioni greca e turca e per verificare se la questione delle minoranze cristiane sia stata sollevata.</w:t>
      </w:r>
    </w:p>
    <w:p>
      <w:pPr>
        <w:pStyle w:val="Heading2"/>
        <w:spacing w:after="100" w:before="200"/>
      </w:pPr>
      <w:r>
        <w:rPr>
          <w:rFonts w:ascii="Barlow Semi Condensed" w:cs="Barlow Semi Condensed" w:eastAsia="Barlow Semi Condensed" w:hAnsi="Barlow Semi Condensed"/>
          <w:sz w:val="24"/>
          <w:szCs w:val="24"/>
        </w:rPr>
        <w:t xml:space="preserve">Nota sul bilancio degli otto studi, che chiude questa ricognizione.</w:t>
      </w:r>
    </w:p>
    <w:p>
      <w:pPr>
        <w:spacing w:after="120" w:line="276"/>
        <w:jc w:val="both"/>
      </w:pPr>
      <w:r>
        <w:rPr>
          <w:rFonts w:ascii="Barlow Semi Condensed" w:cs="Barlow Semi Condensed" w:eastAsia="Barlow Semi Condensed" w:hAnsi="Barlow Semi Condensed"/>
          <w:b/>
          <w:bCs/>
          <w:sz w:val="24"/>
          <w:szCs w:val="24"/>
        </w:rPr>
        <w:t xml:space="preserve">Otto ricognizioni hanno percorso l'attività ministeriale di Moro verso Spagna, Portogallo, Grecia, Cipro e Turchia, incrociandola con la Santa Sede e con l'Opus Dei. L'esito sul primo termine è costante: il governo italiano non compare come attore documentato in nessuno dei cinque perimetri, e le ragioni sono state esposte al Capitolo nono.</w:t>
      </w:r>
    </w:p>
    <w:p>
      <w:pPr>
        <w:spacing w:after="120" w:line="276"/>
        <w:jc w:val="both"/>
      </w:pPr>
      <w:r>
        <w:rPr>
          <w:rFonts w:ascii="Barlow Semi Condensed" w:cs="Barlow Semi Condensed" w:eastAsia="Barlow Semi Condensed" w:hAnsi="Barlow Semi Condensed"/>
          <w:b/>
          <w:bCs/>
          <w:sz w:val="24"/>
          <w:szCs w:val="24"/>
        </w:rPr>
        <w:t xml:space="preserve">L'esito sul terzo termine è ora consolidato e non più soltanto ripetuto. L'Opus Dei è presente nei due Paesi iberici cattolici e assente nei tre Paesi orientali non cattolici; e la variabile discriminante è confessionale e sociale, non politica.</w:t>
      </w:r>
    </w:p>
    <w:p>
      <w:pPr>
        <w:spacing w:after="120" w:line="276"/>
        <w:jc w:val="both"/>
      </w:pPr>
      <w:r>
        <w:rPr>
          <w:rFonts w:ascii="Barlow Semi Condensed" w:cs="Barlow Semi Condensed" w:eastAsia="Barlow Semi Condensed" w:hAnsi="Barlow Semi Condensed"/>
          <w:b/>
          <w:bCs/>
          <w:sz w:val="24"/>
          <w:szCs w:val="24"/>
        </w:rPr>
        <w:t xml:space="preserve">Ne discende la constatazione che gli otto studi consegnano insieme. Dove agiscono soggetti che tengono archivio e che pubblicano — congregazioni, riviste missionarie, cancellerie ecclesiastiche, polizie politiche, magistrature —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w:t>
      </w:r>
    </w:p>
    <w:p>
      <w:pPr>
        <w:spacing w:after="120" w:line="276"/>
        <w:jc w:val="both"/>
      </w:pPr>
      <w:r>
        <w:rPr>
          <w:rFonts w:ascii="Barlow Semi Condensed" w:cs="Barlow Semi Condensed" w:eastAsia="Barlow Semi Condensed" w:hAnsi="Barlow Semi Condensed"/>
          <w:b/>
          <w:bCs/>
          <w:sz w:val="24"/>
          <w:szCs w:val="24"/>
        </w:rPr>
        <w:t xml:space="preserve">A questa lezione il presente studio aggiunge la propria, che è di segno diverso e più utile. Vi sono assenze che non sono lacune. L'assenza dell'Opus Dei da Grecia, Cipro e Turchia non è un vuoto documentale da colmare: è un insieme vuoto verificato contro il registro ufficiale del soggetto medesimo. E tre insiemi vuoti, disposti in ordine di esclusione progressiva, producono una proposizione confutabile.</w:t>
      </w:r>
    </w:p>
    <w:p>
      <w:pPr>
        <w:spacing w:after="120" w:line="276"/>
        <w:jc w:val="both"/>
      </w:pPr>
      <w:r>
        <w:rPr>
          <w:rFonts w:ascii="Barlow Semi Condensed" w:cs="Barlow Semi Condensed" w:eastAsia="Barlow Semi Condensed" w:hAnsi="Barlow Semi Condensed"/>
          <w:b/>
          <w:bCs/>
          <w:sz w:val="24"/>
          <w:szCs w:val="24"/>
        </w:rPr>
        <w:t xml:space="preserve">Distinguere l'assenza di documenti dall'assenza del fatto è la prima disciplina. Distinguere la lacuna dall'insieme vuoto è la seconda, e questo studio è servito a impararla.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IX · Moro, Il Mediterraneo Orientale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IX: 6.537 parole in 9 sezioni; la più ampia è §9 Altre sezioni, con 5.514.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IX: 128 paragrafi in 9 sezioni, 14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 — Moro, Le Due Germanie E La Santa Sede</w:t>
      </w:r>
    </w:p>
    <w:p>
      <w:pPr>
        <w:pStyle w:val="Heading1"/>
        <w:spacing w:after="120" w:before="240"/>
      </w:pPr>
      <w:r>
        <w:rPr>
          <w:rFonts w:ascii="Barlow Semi Condensed" w:cs="Barlow Semi Condensed" w:eastAsia="Barlow Semi Condensed" w:hAnsi="Barlow Semi Condensed"/>
          <w:sz w:val="24"/>
          <w:szCs w:val="24"/>
        </w:rPr>
        <w:t xml:space="preserve">MORO, LE DUE GERMANIE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../originali/santa-sede-due-germanie-oder-neisse.md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29,4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Nona ricognizione: la sequenza Oder-Neisse accertata</w:t>
      </w:r>
    </w:p>
    <w:p>
      <w:pPr>
        <w:pStyle w:val="Heading2"/>
        <w:spacing w:after="100" w:before="200"/>
      </w:pPr>
      <w:r>
        <w:rPr>
          <w:rFonts w:ascii="Barlow Semi Condensed" w:cs="Barlow Semi Condensed" w:eastAsia="Barlow Semi Condensed" w:hAnsi="Barlow Semi Condensed"/>
          <w:sz w:val="24"/>
          <w:szCs w:val="24"/>
        </w:rPr>
        <w:t xml:space="preserve">Il primo nesso documentato in nove studi, e il silenzio del testo canonico</w:t>
      </w:r>
    </w:p>
    <w:p>
      <w:pPr>
        <w:pStyle w:val="Heading2"/>
        <w:spacing w:after="100" w:before="200"/>
      </w:pPr>
      <w:r>
        <w:rPr>
          <w:rFonts w:ascii="Barlow Semi Condensed" w:cs="Barlow Semi Condensed" w:eastAsia="Barlow Semi Condensed" w:hAnsi="Barlow Semi Condensed"/>
          <w:sz w:val="24"/>
          <w:szCs w:val="24"/>
        </w:rPr>
        <w:t xml:space="preserve">Dodici Capitoli — tre correzioni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primo nesso documentato in nove ricognizioni</w:t>
      </w:r>
    </w:p>
    <w:p>
      <w:pPr>
        <w:spacing w:after="120" w:line="276"/>
        <w:jc w:val="both"/>
      </w:pPr>
      <w:r>
        <w:rPr>
          <w:rFonts w:ascii="Barlow Semi Condensed" w:cs="Barlow Semi Condensed" w:eastAsia="Barlow Semi Condensed" w:hAnsi="Barlow Semi Condensed"/>
          <w:b/>
          <w:bCs/>
          <w:sz w:val="24"/>
          <w:szCs w:val="24"/>
        </w:rPr>
        <w:t xml:space="preserve">È la nona ricognizione sull'attività ministeriale di Aldo Moro, e la prima che produca un risultato di natura diversa da tutte le precedenti. Conviene enunciarlo subito perché governa i dodici capitoli e perché muta il bilancio della serie.</w:t>
      </w:r>
    </w:p>
    <w:p>
      <w:pPr>
        <w:spacing w:after="120" w:line="276"/>
        <w:jc w:val="both"/>
      </w:pPr>
      <w:r>
        <w:rPr>
          <w:rFonts w:ascii="Barlow Semi Condensed" w:cs="Barlow Semi Condensed" w:eastAsia="Barlow Semi Condensed" w:hAnsi="Barlow Semi Condensed"/>
          <w:b/>
          <w:bCs/>
          <w:sz w:val="24"/>
          <w:szCs w:val="24"/>
        </w:rPr>
        <w:t xml:space="preserve">Le otto ricognizioni anteriori hanno prodotto convergenze, simultaneità, comunanze di ambiente e contemporaneità. Nessuna aveva prodotto un nesso, cioè un rapporto fra due atti attestato da documento e non inferito dalla prossimità delle date. Questa lo produce.</w:t>
      </w:r>
    </w:p>
    <w:p>
      <w:pPr>
        <w:spacing w:after="120" w:line="276"/>
        <w:jc w:val="both"/>
      </w:pPr>
      <w:r>
        <w:rPr>
          <w:rFonts w:ascii="Barlow Semi Condensed" w:cs="Barlow Semi Condensed" w:eastAsia="Barlow Semi Condensed" w:hAnsi="Barlow Semi Condensed"/>
          <w:b/>
          <w:bCs/>
          <w:sz w:val="24"/>
          <w:szCs w:val="24"/>
        </w:rPr>
        <w:t xml:space="preserve">Il nesso è il seguente. La Santa Sede attese la ratifica del Trattato di Varsavia prima di erigere le diocesi permanenti a oriente della linea Oder-Neisse. E lo attese dichiaratamente, poiché la comunicazione vaticana che accompagnò l'atto si riferì espressamente al trattato tedesco-polacco.</w:t>
      </w:r>
    </w:p>
    <w:p>
      <w:pPr>
        <w:spacing w:after="120" w:line="276"/>
        <w:jc w:val="both"/>
      </w:pPr>
      <w:r>
        <w:rPr>
          <w:rFonts w:ascii="Barlow Semi Condensed" w:cs="Barlow Semi Condensed" w:eastAsia="Barlow Semi Condensed" w:hAnsi="Barlow Semi Condensed"/>
          <w:b/>
          <w:bCs/>
          <w:sz w:val="24"/>
          <w:szCs w:val="24"/>
        </w:rPr>
        <w:t xml:space="preserve">La sequenza, per date. Il Trattato di Varsavia fra Repubblica Federale di Germania e Repubblica Popolare di Polonia fu firmato il 7 dicembre 1970. Fu ratificato dal Bundestag il 17 maggio 1972. Entrò in vigore con lo scambio degli strumenti di ratifica il 3 giugno 1972. Il 28 giugno 1972 Paolo VI emanò le costituzioni apostoliche che erigevano le nuove diocesi.</w:t>
      </w:r>
    </w:p>
    <w:p>
      <w:pPr>
        <w:spacing w:after="120" w:line="276"/>
        <w:jc w:val="both"/>
      </w:pPr>
      <w:r>
        <w:rPr>
          <w:rFonts w:ascii="Barlow Semi Condensed" w:cs="Barlow Semi Condensed" w:eastAsia="Barlow Semi Condensed" w:hAnsi="Barlow Semi Condensed"/>
          <w:b/>
          <w:bCs/>
          <w:sz w:val="24"/>
          <w:szCs w:val="24"/>
        </w:rPr>
        <w:t xml:space="preserve">Venticinque giorni fra l'entrata in vigore e l'atto pontificio. Quarantadue fra la ratifica e l'atto pontificio.</w:t>
      </w:r>
    </w:p>
    <w:p>
      <w:pPr>
        <w:spacing w:after="120" w:line="276"/>
        <w:jc w:val="both"/>
      </w:pPr>
      <w:r>
        <w:rPr>
          <w:rFonts w:ascii="Barlow Semi Condensed" w:cs="Barlow Semi Condensed" w:eastAsia="Barlow Semi Condensed" w:hAnsi="Barlow Semi Condensed"/>
          <w:b/>
          <w:bCs/>
          <w:sz w:val="24"/>
          <w:szCs w:val="24"/>
        </w:rPr>
        <w:t xml:space="preserve">Perché questo non è contemporaneità, e va argomentato perché è il punto metodologico dello studio. La disciplina del progetto vieta di trattare la successione temporale come prova di nesso, e giustamente. Qui però esistono tre elementi documentali che vanno oltre la successione.</w:t>
      </w:r>
    </w:p>
    <w:p>
      <w:pPr>
        <w:spacing w:after="120" w:line="276"/>
        <w:jc w:val="both"/>
      </w:pPr>
      <w:r>
        <w:rPr>
          <w:rFonts w:ascii="Barlow Semi Condensed" w:cs="Barlow Semi Condensed" w:eastAsia="Barlow Semi Condensed" w:hAnsi="Barlow Semi Condensed"/>
          <w:b/>
          <w:bCs/>
          <w:sz w:val="24"/>
          <w:szCs w:val="24"/>
        </w:rPr>
        <w:t xml:space="preserve">Primo. La Santa Sede aveva una consuetudine dichiarata di non mutare lo status delle diocesi prima di un trattato di pace, e tale consuetudine era stata comunicata al governo di Bonn dal cardinale Julius Döpfner, presidente della Conferenza episcopale tedesca, dopo consultazione a Roma: si teneva fermo a Roma, decisamente, alla nota consuetudine di non mutare nulla nello status dei vescovadi prima di un trattato di pace.</w:t>
      </w:r>
    </w:p>
    <w:p>
      <w:pPr>
        <w:spacing w:after="120" w:line="276"/>
        <w:jc w:val="both"/>
      </w:pPr>
      <w:r>
        <w:rPr>
          <w:rFonts w:ascii="Barlow Semi Condensed" w:cs="Barlow Semi Condensed" w:eastAsia="Barlow Semi Condensed" w:hAnsi="Barlow Semi Condensed"/>
          <w:b/>
          <w:bCs/>
          <w:sz w:val="24"/>
          <w:szCs w:val="24"/>
        </w:rPr>
        <w:t xml:space="preserve">Secondo.\\ La comunicazione vaticana del 28 giugno 1972 \\si riferì espressamente al trattato tedesco-polacco.</w:t>
      </w:r>
    </w:p>
    <w:p>
      <w:pPr>
        <w:spacing w:after="120" w:line="276"/>
        <w:jc w:val="both"/>
      </w:pPr>
      <w:r>
        <w:rPr>
          <w:rFonts w:ascii="Barlow Semi Condensed" w:cs="Barlow Semi Condensed" w:eastAsia="Barlow Semi Condensed" w:hAnsi="Barlow Semi Condensed"/>
          <w:b/>
          <w:bCs/>
          <w:sz w:val="24"/>
          <w:szCs w:val="24"/>
        </w:rPr>
        <w:t xml:space="preserve">Terzo. Roma reagì entro tre settimane dalla ratifica.</w:t>
      </w:r>
    </w:p>
    <w:p>
      <w:pPr>
        <w:spacing w:after="120" w:line="276"/>
        <w:jc w:val="both"/>
      </w:pPr>
      <w:r>
        <w:rPr>
          <w:rFonts w:ascii="Barlow Semi Condensed" w:cs="Barlow Semi Condensed" w:eastAsia="Barlow Semi Condensed" w:hAnsi="Barlow Semi Condensed"/>
          <w:b/>
          <w:bCs/>
          <w:sz w:val="24"/>
          <w:szCs w:val="24"/>
        </w:rPr>
        <w:t xml:space="preserve">La fonte di questi tre elementi va dichiarata perché ne determina il peso. È lo storico Karl-Joseph Hummel, allora direttore della Forschungsstelle della Kommission für Zeitgeschichte di Bonn, nel saggio pubblicato nella rivista \OST-WEST Europäische Perspektiven\, fascicolo quarto del 2005. Non è dunque fonte di parte né pubblicistica: è storiografia scientifica di istituto tedesco.</w:t>
      </w:r>
    </w:p>
    <w:p>
      <w:pPr>
        <w:spacing w:after="120" w:line="276"/>
        <w:jc w:val="both"/>
      </w:pPr>
      <w:r>
        <w:rPr>
          <w:rFonts w:ascii="Barlow Semi Condensed" w:cs="Barlow Semi Condensed" w:eastAsia="Barlow Semi Condensed" w:hAnsi="Barlow Semi Condensed"/>
          <w:b/>
          <w:bCs/>
          <w:sz w:val="24"/>
          <w:szCs w:val="24"/>
        </w:rPr>
        <w:t xml:space="preserve">E adesso la distinzione più fine di tutto lo studio, che va enunciata con la massima precisione perché è ciò che separa un accertamento da un'affermazione.</w:t>
      </w:r>
    </w:p>
    <w:p>
      <w:pPr>
        <w:spacing w:after="120" w:line="276"/>
        <w:jc w:val="both"/>
      </w:pPr>
      <w:r>
        <w:rPr>
          <w:rFonts w:ascii="Barlow Semi Condensed" w:cs="Barlow Semi Condensed" w:eastAsia="Barlow Semi Condensed" w:hAnsi="Barlow Semi Condensed"/>
          <w:b/>
          <w:bCs/>
          <w:sz w:val="24"/>
          <w:szCs w:val="24"/>
        </w:rPr>
        <w:t xml:space="preserve">Il testo canonico non dice questo. Le due costituzioni apostoliche adducono come motivazione una ragione pastorale — reggere più adattamente e da vicino il popolo cristiano — e l'accoglimento della richiesta dell'episcopato polacco. Non contengono alcuna frase che dichiari di aver atteso il trattato.</w:t>
      </w:r>
    </w:p>
    <w:p>
      <w:pPr>
        <w:spacing w:after="120" w:line="276"/>
        <w:jc w:val="both"/>
      </w:pPr>
      <w:r>
        <w:rPr>
          <w:rFonts w:ascii="Barlow Semi Condensed" w:cs="Barlow Semi Condensed" w:eastAsia="Barlow Semi Condensed" w:hAnsi="Barlow Semi Condensed"/>
          <w:b/>
          <w:bCs/>
          <w:sz w:val="24"/>
          <w:szCs w:val="24"/>
        </w:rPr>
        <w:t xml:space="preserve">Ne discende che il nesso è attestato dalla comunicazione di accompagnamento e non dalla bolla. Il documento canonico si tenne, per scelta che il Capitolo sesto argomenta come deliberata, sul solo piano pastorale; la comunicazione diplomatica che lo accompagnava rese esplicito il legame politico.</w:t>
      </w:r>
    </w:p>
    <w:p>
      <w:pPr>
        <w:spacing w:after="120" w:line="276"/>
        <w:jc w:val="both"/>
      </w:pPr>
      <w:r>
        <w:rPr>
          <w:rFonts w:ascii="Barlow Semi Condensed" w:cs="Barlow Semi Condensed" w:eastAsia="Barlow Semi Condensed" w:hAnsi="Barlow Semi Condensed"/>
          <w:b/>
          <w:bCs/>
          <w:sz w:val="24"/>
          <w:szCs w:val="24"/>
        </w:rPr>
        <w:t xml:space="preserve">Questa doppiezza non è un difetto della fonte: è un fatto sulla diplomazia pontificia, e va registrato come tale.</w:t>
      </w:r>
    </w:p>
    <w:p>
      <w:pPr>
        <w:pStyle w:val="Heading2"/>
        <w:spacing w:after="100" w:before="200"/>
      </w:pPr>
      <w:r>
        <w:rPr>
          <w:rFonts w:ascii="Barlow Semi Condensed" w:cs="Barlow Semi Condensed" w:eastAsia="Barlow Semi Condensed" w:hAnsi="Barlow Semi Condensed"/>
          <w:sz w:val="24"/>
          <w:szCs w:val="24"/>
        </w:rPr>
        <w:t xml:space="preserve">Capitolo secondo — La provvisorietà: il principio tenuto fermo per ventisette anni</w:t>
      </w:r>
    </w:p>
    <w:p>
      <w:pPr>
        <w:spacing w:after="120" w:line="276"/>
        <w:jc w:val="both"/>
      </w:pPr>
      <w:r>
        <w:rPr>
          <w:rFonts w:ascii="Barlow Semi Condensed" w:cs="Barlow Semi Condensed" w:eastAsia="Barlow Semi Condensed" w:hAnsi="Barlow Semi Condensed"/>
          <w:b/>
          <w:bCs/>
          <w:sz w:val="24"/>
          <w:szCs w:val="24"/>
        </w:rPr>
        <w:t xml:space="preserve">Il capitolo espone la ragione per cui la Santa Sede poteva attendere, ossia il principio che essa aveva tenuto fermo dal 1945.</w:t>
      </w:r>
    </w:p>
    <w:p>
      <w:pPr>
        <w:spacing w:after="120" w:line="276"/>
        <w:jc w:val="both"/>
      </w:pPr>
      <w:r>
        <w:rPr>
          <w:rFonts w:ascii="Barlow Semi Condensed" w:cs="Barlow Semi Condensed" w:eastAsia="Barlow Semi Condensed" w:hAnsi="Barlow Semi Condensed"/>
          <w:b/>
          <w:bCs/>
          <w:sz w:val="24"/>
          <w:szCs w:val="24"/>
        </w:rPr>
        <w:t xml:space="preserve">La discrasia geografico-ecclesiastica. Le diocesi di Breslavia, dell'Ermland, di Danzica, di Schneidemühl e la prelatura di Kamień-Lubusz-Piła rimasero nominalmente tedesche nella geografia ecclesiastica anche dopo che i territori in cui insistevano furono posti sotto amministrazione polacca in seguito alla Conferenza di Potsdam.</w:t>
      </w:r>
    </w:p>
    <w:p>
      <w:pPr>
        <w:spacing w:after="120" w:line="276"/>
        <w:jc w:val="both"/>
      </w:pPr>
      <w:r>
        <w:rPr>
          <w:rFonts w:ascii="Barlow Semi Condensed" w:cs="Barlow Semi Condensed" w:eastAsia="Barlow Semi Condensed" w:hAnsi="Barlow Semi Condensed"/>
          <w:b/>
          <w:bCs/>
          <w:sz w:val="24"/>
          <w:szCs w:val="24"/>
        </w:rPr>
        <w:t xml:space="preserve">La ragione, dichiarata. L'assetto uscito dalla guerra era provvisorio in attesa di un trattato di pace che regolasse definitivamente i confini; e finché quel trattato mancava, la Santa Sede non poteva mutare in via permanente la titolarità delle sedi. Il principio fu tenuto fermo sotto Pio XII e ribadito sotto Giovanni XXIII.</w:t>
      </w:r>
    </w:p>
    <w:p>
      <w:pPr>
        <w:spacing w:after="120" w:line="276"/>
        <w:jc w:val="both"/>
      </w:pPr>
      <w:r>
        <w:rPr>
          <w:rFonts w:ascii="Barlow Semi Condensed" w:cs="Barlow Semi Condensed" w:eastAsia="Barlow Semi Condensed" w:hAnsi="Barlow Semi Condensed"/>
          <w:b/>
          <w:bCs/>
          <w:sz w:val="24"/>
          <w:szCs w:val="24"/>
        </w:rPr>
        <w:t xml:space="preserve">La soluzione del 1945, e la sua forma canonica. Il 15 agosto 1945 il cardinale August Hlond, primate di Polonia, usando facoltà straordinarie ricevute da Pio XII, istituì cinque amministrazioni apostoliche — non diocesi — nei territori: Danzica-Chełmno con Andrzej Wronka; Warmia-Olsztyn con Teodor Bensch; Opole con Bolesław Kominek; Breslavia con Karol Milik; Gorzów con Edmund Nowicki.</w:t>
      </w:r>
    </w:p>
    <w:p>
      <w:pPr>
        <w:spacing w:after="120" w:line="276"/>
        <w:jc w:val="both"/>
      </w:pPr>
      <w:r>
        <w:rPr>
          <w:rFonts w:ascii="Barlow Semi Condensed" w:cs="Barlow Semi Condensed" w:eastAsia="Barlow Semi Condensed" w:hAnsi="Barlow Semi Condensed"/>
          <w:b/>
          <w:bCs/>
          <w:sz w:val="24"/>
          <w:szCs w:val="24"/>
        </w:rPr>
        <w:t xml:space="preserve">La scelta della forma va notata perché è il punto. L'amministrazione apostolica è provvisoria per natura canonica. La scelta fu deliberata proprio perché il confine non era ancora definito. La Santa Sede iscrisse la provvisorietà politica nella forma giuridica dell'atto ecclesiastico.</w:t>
      </w:r>
    </w:p>
    <w:p>
      <w:pPr>
        <w:spacing w:after="120" w:line="276"/>
        <w:jc w:val="both"/>
      </w:pPr>
      <w:r>
        <w:rPr>
          <w:rFonts w:ascii="Barlow Semi Condensed" w:cs="Barlow Semi Condensed" w:eastAsia="Barlow Semi Condensed" w:hAnsi="Barlow Semi Condensed"/>
          <w:b/>
          <w:bCs/>
          <w:sz w:val="24"/>
          <w:szCs w:val="24"/>
        </w:rPr>
        <w:t xml:space="preserve">La fonte. Lo studioso Michał Białkowski, in un saggio pubblicato nella rivista Zapiski Historyczne, volume ottantaduesimo del 2017, fascicolo terzo, ricostruisce l'intera vicenda e documenta che il termine tecnico impiegato per descrivere quell'assetto fu provvisorietà, in polacco \tymczasowość\.</w:t>
      </w:r>
    </w:p>
    <w:p>
      <w:pPr>
        <w:spacing w:after="120" w:line="276"/>
        <w:jc w:val="both"/>
      </w:pPr>
      <w:r>
        <w:rPr>
          <w:rFonts w:ascii="Barlow Semi Condensed" w:cs="Barlow Semi Condensed" w:eastAsia="Barlow Semi Condensed" w:hAnsi="Barlow Semi Condensed"/>
          <w:b/>
          <w:bCs/>
          <w:sz w:val="24"/>
          <w:szCs w:val="24"/>
        </w:rPr>
        <w:t xml:space="preserve">Un dettaglio va riportato perché è notevole. Perfino il comunicato governativo comunista del 27 gennaio 1951 parlò di liquidazione dello stato di provvisorietà nell'amministrazione ecclesiastica dei territori occidentali. Il regime polacco usava dunque la medesima categoria canonica che la Santa Sede aveva adottato, e la usava per contestarla.</w:t>
      </w:r>
    </w:p>
    <w:p>
      <w:pPr>
        <w:spacing w:after="120" w:line="276"/>
        <w:jc w:val="both"/>
      </w:pPr>
      <w:r>
        <w:rPr>
          <w:rFonts w:ascii="Barlow Semi Condensed" w:cs="Barlow Semi Condensed" w:eastAsia="Barlow Semi Condensed" w:hAnsi="Barlow Semi Condensed"/>
          <w:b/>
          <w:bCs/>
          <w:sz w:val="24"/>
          <w:szCs w:val="24"/>
        </w:rPr>
        <w:t xml:space="preserve">La durata.\\ La provvisorietà attraversò il pontificato di Giovanni XXIII e i lavori del Concilio Vaticano II, dal 1962 al 1965, \\senza mutamenti di sostanza, restando in piedi fino al 1972.</w:t>
      </w:r>
    </w:p>
    <w:p>
      <w:pPr>
        <w:spacing w:after="120" w:line="276"/>
        <w:jc w:val="both"/>
      </w:pPr>
      <w:r>
        <w:rPr>
          <w:rFonts w:ascii="Barlow Semi Condensed" w:cs="Barlow Semi Condensed" w:eastAsia="Barlow Semi Condensed" w:hAnsi="Barlow Semi Condensed"/>
          <w:b/>
          <w:bCs/>
          <w:sz w:val="24"/>
          <w:szCs w:val="24"/>
        </w:rPr>
        <w:t xml:space="preserve">Ventisette anni.\\ È la misura della coerenza del principio, e insieme la misura di ciò che accadde nel giugno 1972: \\non un atto ordinario di riorganizzazione, ma la fine di un regime giuridico durato quasi tre decenni.</w:t>
      </w:r>
    </w:p>
    <w:p>
      <w:pPr>
        <w:spacing w:after="120" w:line="276"/>
        <w:jc w:val="both"/>
      </w:pPr>
      <w:r>
        <w:rPr>
          <w:rFonts w:ascii="Barlow Semi Condensed" w:cs="Barlow Semi Condensed" w:eastAsia="Barlow Semi Condensed" w:hAnsi="Barlow Semi Condensed"/>
          <w:b/>
          <w:bCs/>
          <w:sz w:val="24"/>
          <w:szCs w:val="24"/>
        </w:rPr>
        <w:t xml:space="preserve">Un limite documentale va dichiarato qui una volta per tutte. Gli atti di governo della Santa Sede relativi ai pontificati posteriori all'ottobre 1958 non sono consultabili in Archivio Apostolico Vaticano. La ricostruzione della posizione di Giovanni XXIII e di Paolo VI si fonda dunque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terzo — Lo scambio di lettere del novembre 1965 e ciò che i tedeschi non concessero</w:t>
      </w:r>
    </w:p>
    <w:p>
      <w:pPr>
        <w:spacing w:after="120" w:line="276"/>
        <w:jc w:val="both"/>
      </w:pPr>
      <w:r>
        <w:rPr>
          <w:rFonts w:ascii="Barlow Semi Condensed" w:cs="Barlow Semi Condensed" w:eastAsia="Barlow Semi Condensed" w:hAnsi="Barlow Semi Condensed"/>
          <w:b/>
          <w:bCs/>
          <w:sz w:val="24"/>
          <w:szCs w:val="24"/>
        </w:rPr>
        <w:t xml:space="preserve">Il capitolo espone l'anello ecclesiale che precede l'atto politico di cinque anni, e ne isola il punto in cui i due episcopati non si incontrarono.</w:t>
      </w:r>
    </w:p>
    <w:p>
      <w:pPr>
        <w:spacing w:after="120" w:line="276"/>
        <w:jc w:val="both"/>
      </w:pPr>
      <w:r>
        <w:rPr>
          <w:rFonts w:ascii="Barlow Semi Condensed" w:cs="Barlow Semi Condensed" w:eastAsia="Barlow Semi Condensed" w:hAnsi="Barlow Semi Condensed"/>
          <w:b/>
          <w:bCs/>
          <w:sz w:val="24"/>
          <w:szCs w:val="24"/>
        </w:rPr>
        <w:t xml:space="preserve">Il messaggio polacco, datato. Il 18 novembre 1965, ai margini dell'ultima sessione del Concilio, i vescovi polacchi inviarono ai confratelli tedeschi un messaggio di dodici pagine contenente la frase divenuta emblematica: vi tendiamo le nostre mani accordando perdono e chiedendo perdono — in polacco \Przebaczamy i prosimy o przebaczenie\.</w:t>
      </w:r>
    </w:p>
    <w:p>
      <w:pPr>
        <w:spacing w:after="120" w:line="276"/>
        <w:jc w:val="both"/>
      </w:pPr>
      <w:r>
        <w:rPr>
          <w:rFonts w:ascii="Barlow Semi Condensed" w:cs="Barlow Semi Condensed" w:eastAsia="Barlow Semi Condensed" w:hAnsi="Barlow Semi Condensed"/>
          <w:b/>
          <w:bCs/>
          <w:sz w:val="24"/>
          <w:szCs w:val="24"/>
        </w:rPr>
        <w:t xml:space="preserve">Il documento ripercorreva la storia millenaria del cristianesimo polacco e le difficili relazioni con il popolo tedesco, con esplicito riferimento all'incertezza determinata dalla provvisorietà dei confini post-bellici sull'Oder-Neisse.</w:t>
      </w:r>
    </w:p>
    <w:p>
      <w:pPr>
        <w:spacing w:after="120" w:line="276"/>
        <w:jc w:val="both"/>
      </w:pPr>
      <w:r>
        <w:rPr>
          <w:rFonts w:ascii="Barlow Semi Condensed" w:cs="Barlow Semi Condensed" w:eastAsia="Barlow Semi Condensed" w:hAnsi="Barlow Semi Condensed"/>
          <w:b/>
          <w:bCs/>
          <w:sz w:val="24"/>
          <w:szCs w:val="24"/>
        </w:rPr>
        <w:t xml:space="preserve">La paternità, documentata. Le fonti ecclesiastiche italiane e polacche concordano nell'attribuire il testo all'arcivescovo di Breslavia Bolesław Kominek — il medesimo che nel 1945 era stato amministratore apostolico di Opole — con il concorso di Wincenty Urban, del gruppo dell'Istituto storico polacco di Roma e di gesuiti della Radio Vaticana. Il messaggio fu approvato il 18 novembre 1965 dal primate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b/>
          <w:bCs/>
          <w:sz w:val="24"/>
          <w:szCs w:val="24"/>
        </w:rPr>
        <w:t xml:space="preserve">La risposta tedesca, datata. Il 5 dicembre 1965, sotto il titolo di saluto dei vescovi tedeschi ai fratelli polacchi. Essa esprimeva gratitudine e chiedeva a sua volta perdono, con l'auspicio che mai più lo spirito malvagio dell'odio separi le nostre mani.</w:t>
      </w:r>
    </w:p>
    <w:p>
      <w:pPr>
        <w:spacing w:after="120" w:line="276"/>
        <w:jc w:val="both"/>
      </w:pPr>
      <w:r>
        <w:rPr>
          <w:rFonts w:ascii="Barlow Semi Condensed" w:cs="Barlow Semi Condensed" w:eastAsia="Barlow Semi Condensed" w:hAnsi="Barlow Semi Condensed"/>
          <w:b/>
          <w:bCs/>
          <w:sz w:val="24"/>
          <w:szCs w:val="24"/>
        </w:rPr>
        <w:t xml:space="preserve">E qui il punto che il capitolo serve a isolare.\\ \\La risposta tedesca non accettava le perdite territoriali della Germania a favore della Polonia come esito della guerra.</w:t>
      </w:r>
    </w:p>
    <w:p>
      <w:pPr>
        <w:spacing w:after="120" w:line="276"/>
        <w:jc w:val="both"/>
      </w:pPr>
      <w:r>
        <w:rPr>
          <w:rFonts w:ascii="Barlow Semi Condensed" w:cs="Barlow Semi Condensed" w:eastAsia="Barlow Semi Condensed" w:hAnsi="Barlow Semi Condensed"/>
          <w:b/>
          <w:bCs/>
          <w:sz w:val="24"/>
          <w:szCs w:val="24"/>
        </w:rPr>
        <w:t xml:space="preserve">Ne discende un esito asimmetrico che va enunciato con precisione: sul perdono vi fu reciprocità; sui confini la risposta tedesca rimase su una riserva.</w:t>
      </w:r>
    </w:p>
    <w:p>
      <w:pPr>
        <w:spacing w:after="120" w:line="276"/>
        <w:jc w:val="both"/>
      </w:pPr>
      <w:r>
        <w:rPr>
          <w:rFonts w:ascii="Barlow Semi Condensed" w:cs="Barlow Semi Condensed" w:eastAsia="Barlow Semi Condensed" w:hAnsi="Barlow Semi Condensed"/>
          <w:b/>
          <w:bCs/>
          <w:sz w:val="24"/>
          <w:szCs w:val="24"/>
        </w:rPr>
        <w:t xml:space="preserve">La delusione polacca è attestata da fonte diretta di protagonista, ed è la citazione più eloquente del capitolo. In una lettera del 1970 al cardinale Döpfner, il primate Wyszyński scrisse che la nostra mano, tesa con tanta cordialità, è stata accolta non senza riserve.</w:t>
      </w:r>
    </w:p>
    <w:p>
      <w:pPr>
        <w:spacing w:after="120" w:line="276"/>
        <w:jc w:val="both"/>
      </w:pPr>
      <w:r>
        <w:rPr>
          <w:rFonts w:ascii="Barlow Semi Condensed" w:cs="Barlow Semi Condensed" w:eastAsia="Barlow Semi Condensed" w:hAnsi="Barlow Semi Condensed"/>
          <w:b/>
          <w:bCs/>
          <w:sz w:val="24"/>
          <w:szCs w:val="24"/>
        </w:rPr>
        <w:t xml:space="preserve">Il terreno tedesco fu però preparato per altre vie, e vanno registrate. Il memorandum delle Chiese evangeliche tedesche del 1965 — la cosiddetta \Ostdenkschrift\ dell'EKD — auspicava un accordo e il riconoscimento dei confini. E successivamente il Memorandum del Bensberger Kreis, pubblicato il 3 marzo 1968 e sottoscritto da un gruppo di circa centosessanta-centottanta cattolici critici tedeschi, chiese il riconoscimento dei confini post-bellici.</w:t>
      </w:r>
    </w:p>
    <w:p>
      <w:pPr>
        <w:spacing w:after="120" w:line="276"/>
        <w:jc w:val="both"/>
      </w:pPr>
      <w:r>
        <w:rPr>
          <w:rFonts w:ascii="Barlow Semi Condensed" w:cs="Barlow Semi Condensed" w:eastAsia="Barlow Semi Condensed" w:hAnsi="Barlow Semi Condensed"/>
          <w:b/>
          <w:bCs/>
          <w:sz w:val="24"/>
          <w:szCs w:val="24"/>
        </w:rPr>
        <w:t xml:space="preserve">Ne discende che sul versante ecclesiale il terreno del riconoscimento fu preparato ben prima dell'atto politico del 1970 e dell'atto canonico del 1972.</w:t>
      </w:r>
    </w:p>
    <w:p>
      <w:pPr>
        <w:spacing w:after="120" w:line="276"/>
        <w:jc w:val="both"/>
      </w:pPr>
      <w:r>
        <w:rPr>
          <w:rFonts w:ascii="Barlow Semi Condensed" w:cs="Barlow Semi Condensed" w:eastAsia="Barlow Semi Condensed" w:hAnsi="Barlow Semi Condensed"/>
          <w:b/>
          <w:bCs/>
          <w:sz w:val="24"/>
          <w:szCs w:val="24"/>
        </w:rPr>
        <w:t xml:space="preserve">Ma la qualificazione va apposta. Ciò non implica un coordinamento fra episcopati e cancellerie, che le fonti non attestano. Attesta che una parte del mondo cattolico tedesco era disposta a ciò che il proprio episcopato, nel dicembre 1965, non aveva concesso.</w:t>
      </w:r>
    </w:p>
    <w:p>
      <w:pPr>
        <w:pStyle w:val="Heading2"/>
        <w:spacing w:after="100" w:before="200"/>
      </w:pPr>
      <w:r>
        <w:rPr>
          <w:rFonts w:ascii="Barlow Semi Condensed" w:cs="Barlow Semi Condensed" w:eastAsia="Barlow Semi Condensed" w:hAnsi="Barlow Semi Condensed"/>
          <w:sz w:val="24"/>
          <w:szCs w:val="24"/>
        </w:rPr>
        <w:t xml:space="preserve">Capitolo quarto — L'Ostpolitik di Brandt e la posizione italiana, con la correzione sul riconoscimento</w:t>
      </w:r>
    </w:p>
    <w:p>
      <w:pPr>
        <w:spacing w:after="120" w:line="276"/>
        <w:jc w:val="both"/>
      </w:pPr>
      <w:r>
        <w:rPr>
          <w:rFonts w:ascii="Barlow Semi Condensed" w:cs="Barlow Semi Condensed" w:eastAsia="Barlow Semi Condensed" w:hAnsi="Barlow Semi Condensed"/>
          <w:b/>
          <w:bCs/>
          <w:sz w:val="24"/>
          <w:szCs w:val="24"/>
        </w:rPr>
        <w:t xml:space="preserve">Il capitolo espone gli atti tedeschi e la posizione italiana su ciascuno, e corregge un'ipotesi.</w:t>
      </w:r>
    </w:p>
    <w:p>
      <w:pPr>
        <w:spacing w:after="120" w:line="276"/>
        <w:jc w:val="both"/>
      </w:pPr>
      <w:r>
        <w:rPr>
          <w:rFonts w:ascii="Barlow Semi Condensed" w:cs="Barlow Semi Condensed" w:eastAsia="Barlow Semi Condensed" w:hAnsi="Barlow Semi Condensed"/>
          <w:b/>
          <w:bCs/>
          <w:sz w:val="24"/>
          <w:szCs w:val="24"/>
        </w:rPr>
        <w:t xml:space="preserve">Il governo. La Ostpolitik fu inaugurata dal governo di coalizione fra socialdemocratici e liberali guidato da Willy Brandt, con Walter Scheel agli Esteri, insediatosi il 21 ottobre 1969 — dunque poche settimane dopo l'ingresso di Moro alla Farnesina.</w:t>
      </w:r>
    </w:p>
    <w:p>
      <w:pPr>
        <w:spacing w:after="120" w:line="276"/>
        <w:jc w:val="both"/>
      </w:pPr>
      <w:r>
        <w:rPr>
          <w:rFonts w:ascii="Barlow Semi Condensed" w:cs="Barlow Semi Condensed" w:eastAsia="Barlow Semi Condensed" w:hAnsi="Barlow Semi Condensed"/>
          <w:b/>
          <w:bCs/>
          <w:sz w:val="24"/>
          <w:szCs w:val="24"/>
        </w:rPr>
        <w:t xml:space="preserve">Il Trattato di Mosca, 12 agosto 1970. La Repubblica Federale riconosceva l'inviolabilità dei confini esistenti, inclusa la linea Oder-Neisse, e rinunciava a rivendicazioni territoriali. Su insistenza di Scheel, Mosca accettò di ricevere una lettera sull'unità tedesca — \Brief zur deutschen Einheit\ — con cui Bonn notificava che il trattato non contraddiceva l'obiettivo della riunificazione in libera autodeterminazione.</w:t>
      </w:r>
    </w:p>
    <w:p>
      <w:pPr>
        <w:spacing w:after="120" w:line="276"/>
        <w:jc w:val="both"/>
      </w:pPr>
      <w:r>
        <w:rPr>
          <w:rFonts w:ascii="Barlow Semi Condensed" w:cs="Barlow Semi Condensed" w:eastAsia="Barlow Semi Condensed" w:hAnsi="Barlow Semi Condensed"/>
          <w:b/>
          <w:bCs/>
          <w:sz w:val="24"/>
          <w:szCs w:val="24"/>
        </w:rPr>
        <w:t xml:space="preserve">Il Trattato di Varsavia, 7 dicembre 1970.\\ Quasi identico a quello di Mosca, \\salvo che vi figurava per primo il riconoscimento della linea Oder-Neisse.</w:t>
      </w:r>
    </w:p>
    <w:p>
      <w:pPr>
        <w:spacing w:after="120" w:line="276"/>
        <w:jc w:val="both"/>
      </w:pPr>
      <w:r>
        <w:rPr>
          <w:rFonts w:ascii="Barlow Semi Condensed" w:cs="Barlow Semi Condensed" w:eastAsia="Barlow Semi Condensed" w:hAnsi="Barlow Semi Condensed"/>
          <w:b/>
          <w:bCs/>
          <w:sz w:val="24"/>
          <w:szCs w:val="24"/>
        </w:rPr>
        <w:t xml:space="preserve">E qui una differenza decisiva va registrata. Verso Varsavia il governo federale rinunciò a una lettera sull'unità tedesca di accompagnamento, cosicché la Polonia interpretò il trattato come riconoscimento definitivo della frontiera. Lo stesso 7 dicembre Brandt compì a Varsavia il gesto dell'inginocchiamento davanti al monumento agli eroi del ghetto.</w:t>
      </w:r>
    </w:p>
    <w:p>
      <w:pPr>
        <w:spacing w:after="120" w:line="276"/>
        <w:jc w:val="both"/>
      </w:pPr>
      <w:r>
        <w:rPr>
          <w:rFonts w:ascii="Barlow Semi Condensed" w:cs="Barlow Semi Condensed" w:eastAsia="Barlow Semi Condensed" w:hAnsi="Barlow Semi Condensed"/>
          <w:b/>
          <w:bCs/>
          <w:sz w:val="24"/>
          <w:szCs w:val="24"/>
        </w:rPr>
        <w:t xml:space="preserve">Gli atti successivi. Accordo quadripartito su Berlino, 3 settembre 1971. Trattato fondamentale fra le due Germanie, 21 dicembre 1972. Ingresso simultaneo delle due Germanie alle Nazioni Unite, 18 settembre 1973.</w:t>
      </w:r>
    </w:p>
    <w:p>
      <w:pPr>
        <w:spacing w:after="120" w:line="276"/>
        <w:jc w:val="both"/>
      </w:pPr>
      <w:r>
        <w:rPr>
          <w:rFonts w:ascii="Barlow Semi Condensed" w:cs="Barlow Semi Condensed" w:eastAsia="Barlow Semi Condensed" w:hAnsi="Barlow Semi Condensed"/>
          <w:b/>
          <w:bCs/>
          <w:sz w:val="24"/>
          <w:szCs w:val="24"/>
        </w:rPr>
        <w:t xml:space="preserve">La ratifica, e il suo contesto parlamentare. La ratifica dei trattati orientali dal Bundestag del 17 maggio 1972 fu preceduta dal fallito voto di sfiducia costruttiva di Rainer Barzel del 24 aprile 1972 e accompagnata da una risoluzione comune di governo e opposizione. Lo scambio degli strumenti di ratifica del 3 giugno 1972 fece entrare in vigore i trattati di Mosca e Varsavia e l'Accordo quadripartito.</w:t>
      </w:r>
    </w:p>
    <w:p>
      <w:pPr>
        <w:spacing w:after="120" w:line="276"/>
        <w:jc w:val="both"/>
      </w:pPr>
      <w:r>
        <w:rPr>
          <w:rFonts w:ascii="Barlow Semi Condensed" w:cs="Barlow Semi Condensed" w:eastAsia="Barlow Semi Condensed" w:hAnsi="Barlow Semi Condensed"/>
          <w:b/>
          <w:bCs/>
          <w:sz w:val="24"/>
          <w:szCs w:val="24"/>
        </w:rPr>
        <w:t xml:space="preserve">La posizione italiana: la correzione. Il riconoscimento italiano della Repubblica Democratica Tedesca è datato con precisione dal Portale storico della Camera dei deputati, per la seduta di mercoledì 17 gennaio 1973 della sesta legislatura: l'Italia riconosce la Repubblica Democratica di Germania e i due Paesi stabiliscono relazioni diplomatiche.</w:t>
      </w:r>
    </w:p>
    <w:p>
      <w:pPr>
        <w:spacing w:after="120" w:line="276"/>
        <w:jc w:val="both"/>
      </w:pPr>
      <w:r>
        <w:rPr>
          <w:rFonts w:ascii="Barlow Semi Condensed" w:cs="Barlow Semi Condensed" w:eastAsia="Barlow Semi Condensed" w:hAnsi="Barlow Semi Condensed"/>
          <w:b/>
          <w:bCs/>
          <w:sz w:val="24"/>
          <w:szCs w:val="24"/>
        </w:rPr>
        <w:t xml:space="preserve">Ne discende una correzione che va enunciata. Il riconoscimento cadde fra i due mandati di Moro alla Farnesina — il ministro degli Esteri era allora Giuseppe Medici nel governo Andreotti — e non durante un mandato di Moro. L'ipotesi che esso fosse avvenuto sotto la sua titolarità è errata.</w:t>
      </w:r>
    </w:p>
    <w:p>
      <w:pPr>
        <w:spacing w:after="120" w:line="276"/>
        <w:jc w:val="both"/>
      </w:pPr>
      <w:r>
        <w:rPr>
          <w:rFonts w:ascii="Barlow Semi Condensed" w:cs="Barlow Semi Condensed" w:eastAsia="Barlow Semi Condensed" w:hAnsi="Barlow Semi Condensed"/>
          <w:b/>
          <w:bCs/>
          <w:sz w:val="24"/>
          <w:szCs w:val="24"/>
        </w:rPr>
        <w:t xml:space="preserve">Un elemento successivo va però registrato. Lo studio di Laura Fasanaro, \La DDR e l'Italia. Politica, commercio e ideologia nell'Europa del cambiamento, 1973-1985\, Carocci, intitola un paragrafo dopo il riconoscimento, Moro incontra Honecker — il che attesta un incontro fra Moro e il capo di Stato della Repubblica Democratica successivo al riconoscimento, ricadente nel secondo mandato o nella successiva presidenza del Consiglio.</w:t>
      </w:r>
    </w:p>
    <w:p>
      <w:pPr>
        <w:spacing w:after="120" w:line="276"/>
        <w:jc w:val="both"/>
      </w:pPr>
      <w:r>
        <w:rPr>
          <w:rFonts w:ascii="Barlow Semi Condensed" w:cs="Barlow Semi Condensed" w:eastAsia="Barlow Semi Condensed" w:hAnsi="Barlow Semi Condensed"/>
          <w:b/>
          <w:bCs/>
          <w:sz w:val="24"/>
          <w:szCs w:val="24"/>
        </w:rPr>
        <w:t xml:space="preserve">Il primo capitolo del medesimo volume si intitola le declinazioni della distensione in Italia e la Ostpolitik di Aldo Moro, e contiene una sezione su l'Italia e la questione tedesca. Ma il volume sceglie il 1973 come termine iniziale, lasciando in ombra il quadriennio precedente — che è precisamente quello del primo mandato.</w:t>
      </w:r>
    </w:p>
    <w:p>
      <w:pPr>
        <w:spacing w:after="120" w:line="276"/>
        <w:jc w:val="both"/>
      </w:pPr>
      <w:r>
        <w:rPr>
          <w:rFonts w:ascii="Barlow Semi Condensed" w:cs="Barlow Semi Condensed" w:eastAsia="Barlow Semi Condensed" w:hAnsi="Barlow Semi Condensed"/>
          <w:b/>
          <w:bCs/>
          <w:sz w:val="24"/>
          <w:szCs w:val="24"/>
        </w:rPr>
        <w:t xml:space="preserve">Per il periodo 1963-1972 esiste la tesi di dottorato di Filippo Triola discussa all'Università di Bologna sulle relazioni italo-tedesche, che va impiegata come studio specifico.</w:t>
      </w:r>
    </w:p>
    <w:p>
      <w:pPr>
        <w:spacing w:after="120" w:line="276"/>
        <w:jc w:val="both"/>
      </w:pPr>
      <w:r>
        <w:rPr>
          <w:rFonts w:ascii="Barlow Semi Condensed" w:cs="Barlow Semi Condensed" w:eastAsia="Barlow Semi Condensed" w:hAnsi="Barlow Semi Condensed"/>
          <w:b/>
          <w:bCs/>
          <w:sz w:val="24"/>
          <w:szCs w:val="24"/>
        </w:rPr>
        <w:t xml:space="preserve">Sulle rappresentanze tedesco-tedesche, per completezza.\\ Furono aperte il \\2 maggio 1974\\, con \\Günter Gaus\\ per Bonn e \\Michael Kohl\\ per Berlino Est — dunque \\in data successiva al riconoscimento italiano.</w:t>
      </w:r>
    </w:p>
    <w:p>
      <w:pPr>
        <w:spacing w:after="120" w:line="276"/>
        <w:jc w:val="both"/>
      </w:pPr>
      <w:r>
        <w:rPr>
          <w:rFonts w:ascii="Barlow Semi Condensed" w:cs="Barlow Semi Condensed" w:eastAsia="Barlow Semi Condensed" w:hAnsi="Barlow Semi Condensed"/>
          <w:b/>
          <w:bCs/>
          <w:sz w:val="24"/>
          <w:szCs w:val="24"/>
        </w:rPr>
        <w:t xml:space="preserve">Che cosa non è stato reperito. La posizione italiana su ciascuno dei cinque atti della Ostpolitik, e gli incontri documentati fra Moro e Scheel e fra Moro e Brandt con data e sede. Le sedi sono l'Archivio Storico Diplomatico, serie Germania, gli Akten zur Auswärtigen Politik der Bundesrepublik Deutschland e i Documenti Diplomatici Italiani.</w:t>
      </w:r>
    </w:p>
    <w:p>
      <w:pPr>
        <w:pStyle w:val="Heading2"/>
        <w:spacing w:after="100" w:before="200"/>
      </w:pPr>
      <w:r>
        <w:rPr>
          <w:rFonts w:ascii="Barlow Semi Condensed" w:cs="Barlow Semi Condensed" w:eastAsia="Barlow Semi Condensed" w:hAnsi="Barlow Semi Condensed"/>
          <w:sz w:val="24"/>
          <w:szCs w:val="24"/>
        </w:rPr>
        <w:t xml:space="preserve">Capitolo quinto — Le due costituzioni del 28 giugno 1972: testo, dispositivo, firme</w:t>
      </w:r>
    </w:p>
    <w:p>
      <w:pPr>
        <w:spacing w:after="120" w:line="276"/>
        <w:jc w:val="both"/>
      </w:pPr>
      <w:r>
        <w:rPr>
          <w:rFonts w:ascii="Barlow Semi Condensed" w:cs="Barlow Semi Condensed" w:eastAsia="Barlow Semi Condensed" w:hAnsi="Barlow Semi Condensed"/>
          <w:b/>
          <w:bCs/>
          <w:sz w:val="24"/>
          <w:szCs w:val="24"/>
        </w:rPr>
        <w:t xml:space="preserve">Il capitolo espone l'atto per intero, perché la verifica sia riproducibile e perché un dettaglio ne muta la comprensione.</w:t>
      </w:r>
    </w:p>
    <w:p>
      <w:pPr>
        <w:spacing w:after="120" w:line="276"/>
        <w:jc w:val="both"/>
      </w:pPr>
      <w:r>
        <w:rPr>
          <w:rFonts w:ascii="Barlow Semi Condensed" w:cs="Barlow Semi Condensed" w:eastAsia="Barlow Semi Condensed" w:hAnsi="Barlow Semi Condensed"/>
          <w:b/>
          <w:bCs/>
          <w:sz w:val="24"/>
          <w:szCs w:val="24"/>
        </w:rPr>
        <w:t xml:space="preserve">Il primo dettaglio, che corregge la formulazione corrente. Non fu una sola bolla. Furono due costituzioni apostoliche emanate lo stesso giorno: \Episcoporum Poloniae coetus\ e \Vratislaviensis-Berolinensis et aliarum\.</w:t>
      </w:r>
    </w:p>
    <w:p>
      <w:pPr>
        <w:spacing w:after="120" w:line="276"/>
        <w:jc w:val="both"/>
      </w:pPr>
      <w:r>
        <w:rPr>
          <w:rFonts w:ascii="Barlow Semi Condensed" w:cs="Barlow Semi Condensed" w:eastAsia="Barlow Semi Condensed" w:hAnsi="Barlow Semi Condensed"/>
          <w:b/>
          <w:bCs/>
          <w:sz w:val="24"/>
          <w:szCs w:val="24"/>
        </w:rPr>
        <w:t xml:space="preserve">La pubblicazione. Il testo latino è consultabile sul sito ufficiale della Santa Sede e pubblicato negli Acta Apostolicae Sedis, volume sessantaquattresimo del 1972, numero decimo, alle pagine 657 e 658, con il titolo: si costituiscono nuove diocesi in Polonia, coi nomi di Opole, Gorzów, Szczecin-Kamień, Koszalin-Kołobrzeg.</w:t>
      </w:r>
    </w:p>
    <w:p>
      <w:pPr>
        <w:spacing w:after="120" w:line="276"/>
        <w:jc w:val="both"/>
      </w:pPr>
      <w:r>
        <w:rPr>
          <w:rFonts w:ascii="Barlow Semi Condensed" w:cs="Barlow Semi Condensed" w:eastAsia="Barlow Semi Condensed" w:hAnsi="Barlow Semi Condensed"/>
          <w:b/>
          <w:bCs/>
          <w:sz w:val="24"/>
          <w:szCs w:val="24"/>
        </w:rPr>
        <w:t xml:space="preserve">L'incipit e la motivazione. L'assemblea dei vescovi di Polonia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w:t>
      </w:r>
    </w:p>
    <w:p>
      <w:pPr>
        <w:spacing w:after="120" w:line="276"/>
        <w:jc w:val="both"/>
      </w:pPr>
      <w:r>
        <w:rPr>
          <w:rFonts w:ascii="Barlow Semi Condensed" w:cs="Barlow Semi Condensed" w:eastAsia="Barlow Semi Condensed" w:hAnsi="Barlow Semi Condensed"/>
          <w:b/>
          <w:bCs/>
          <w:sz w:val="24"/>
          <w:szCs w:val="24"/>
        </w:rPr>
        <w:t xml:space="preserve">Il dispositivo, per intero. Erige quattro diocesi: Opole, suffraganea della metropolia di Breslavia; Gorzów, parimenti suffraganea di Breslavia; Szczecin-Kamień, suffraganea di Gniezno; Koszalin-Kołobrzeg, suffraganea di Gniezno.</w:t>
      </w:r>
    </w:p>
    <w:p>
      <w:pPr>
        <w:spacing w:after="120" w:line="276"/>
        <w:jc w:val="both"/>
      </w:pPr>
      <w:r>
        <w:rPr>
          <w:rFonts w:ascii="Barlow Semi Condensed" w:cs="Barlow Semi Condensed" w:eastAsia="Barlow Semi Condensed" w:hAnsi="Barlow Semi Condensed"/>
          <w:b/>
          <w:bCs/>
          <w:sz w:val="24"/>
          <w:szCs w:val="24"/>
        </w:rPr>
        <w:t xml:space="preserve">Dispone lo smembramento di territori dall'arcidiocesi di Breslavia, dalla diocesi di Berlino e dalla prelatura di Schneidemühl.</w:t>
      </w:r>
    </w:p>
    <w:p>
      <w:pPr>
        <w:spacing w:after="120" w:line="276"/>
        <w:jc w:val="both"/>
      </w:pPr>
      <w:r>
        <w:rPr>
          <w:rFonts w:ascii="Barlow Semi Condensed" w:cs="Barlow Semi Condensed" w:eastAsia="Barlow Semi Condensed" w:hAnsi="Barlow Semi Condensed"/>
          <w:b/>
          <w:bCs/>
          <w:sz w:val="24"/>
          <w:szCs w:val="24"/>
        </w:rPr>
        <w:t xml:space="preserve">Trasferisce la cattedrale di Warmia dalla metropolia di Breslavia a quella di Varsavia, cui resta soggetta perpetuo.</w:t>
      </w:r>
    </w:p>
    <w:p>
      <w:pPr>
        <w:spacing w:after="120" w:line="276"/>
        <w:jc w:val="both"/>
      </w:pPr>
      <w:r>
        <w:rPr>
          <w:rFonts w:ascii="Barlow Semi Condensed" w:cs="Barlow Semi Condensed" w:eastAsia="Barlow Semi Condensed" w:hAnsi="Barlow Semi Condensed"/>
          <w:b/>
          <w:bCs/>
          <w:sz w:val="24"/>
          <w:szCs w:val="24"/>
        </w:rPr>
        <w:t xml:space="preserve">Rende la Chiesa di Danzica, fino ad allora direttamente soggetta alla Sede Apostolica, suffraganea di Gniezno.</w:t>
      </w:r>
    </w:p>
    <w:p>
      <w:pPr>
        <w:spacing w:after="120" w:line="276"/>
        <w:jc w:val="both"/>
      </w:pPr>
      <w:r>
        <w:rPr>
          <w:rFonts w:ascii="Barlow Semi Condensed" w:cs="Barlow Semi Condensed" w:eastAsia="Barlow Semi Condensed" w:hAnsi="Barlow Semi Condensed"/>
          <w:b/>
          <w:bCs/>
          <w:sz w:val="24"/>
          <w:szCs w:val="24"/>
        </w:rPr>
        <w:t xml:space="preserve">L'esecuzione. Il Papa la delega nominativamente al cardinale Stefan Wyszyński, arcivescovo di Gniezno e Varsavia.</w:t>
      </w:r>
    </w:p>
    <w:p>
      <w:pPr>
        <w:spacing w:after="120" w:line="276"/>
        <w:jc w:val="both"/>
      </w:pPr>
      <w:r>
        <w:rPr>
          <w:rFonts w:ascii="Barlow Semi Condensed" w:cs="Barlow Semi Condensed" w:eastAsia="Barlow Semi Condensed" w:hAnsi="Barlow Semi Condensed"/>
          <w:b/>
          <w:bCs/>
          <w:sz w:val="24"/>
          <w:szCs w:val="24"/>
        </w:rPr>
        <w:t xml:space="preserve">La datazione e le firme. Roma, presso San Pietro, il ventottesimo giorno del mese di giugno dell'anno del Signore millenovecentosettantadue, decimo del Nostro Pontificato. Firmata dal cardinale Aloisius Traglia, cancelliere di Santa Romana Chiesa; dal cardinale Carlo Confalonieri, prefetto della Sacra Congregazione per i Vescovi; e da Franciscus Tinello, reggente della Cancelleria Apostolica.</w:t>
      </w:r>
    </w:p>
    <w:p>
      <w:pPr>
        <w:spacing w:after="120" w:line="276"/>
        <w:jc w:val="both"/>
      </w:pPr>
      <w:r>
        <w:rPr>
          <w:rFonts w:ascii="Barlow Semi Condensed" w:cs="Barlow Semi Condensed" w:eastAsia="Barlow Semi Condensed" w:hAnsi="Barlow Semi Condensed"/>
          <w:b/>
          <w:bCs/>
          <w:sz w:val="24"/>
          <w:szCs w:val="24"/>
        </w:rPr>
        <w:t xml:space="preserve">Le divergenze sulla data vanno riportate. Il testo primario e la quasi totalità delle fonti ecclesiastiche polacche indicano il 28 giugno 1972. Alcune voci enciclopediche tedesche e inglesi relative alle diocesi di Berlino e Breslavia indicano il 27 giugno 1972. Un sito diocesano polacco reca per errore il 26 giugno.</w:t>
      </w:r>
    </w:p>
    <w:p>
      <w:pPr>
        <w:spacing w:after="120" w:line="276"/>
        <w:jc w:val="both"/>
      </w:pPr>
      <w:r>
        <w:rPr>
          <w:rFonts w:ascii="Barlow Semi Condensed" w:cs="Barlow Semi Condensed" w:eastAsia="Barlow Semi Condensed" w:hAnsi="Barlow Semi Condensed"/>
          <w:b/>
          <w:bCs/>
          <w:sz w:val="24"/>
          <w:szCs w:val="24"/>
        </w:rPr>
        <w:t xml:space="preserve">Si adotta il 28 giugno, corrispondente alla clausola di datazione della costituzione medesima.</w:t>
      </w:r>
    </w:p>
    <w:p>
      <w:pPr>
        <w:spacing w:after="120" w:line="276"/>
        <w:jc w:val="both"/>
      </w:pPr>
      <w:r>
        <w:rPr>
          <w:rFonts w:ascii="Barlow Semi Condensed" w:cs="Barlow Semi Condensed" w:eastAsia="Barlow Semi Condensed" w:hAnsi="Barlow Semi Condensed"/>
          <w:b/>
          <w:bCs/>
          <w:sz w:val="24"/>
          <w:szCs w:val="24"/>
        </w:rPr>
        <w:t xml:space="preserve">Il rapporto cronologico, ricapitolato come accertamento. Ratifica del Bundestag 17 maggio 1972; entrata in vigore per scambio degli strumenti 3 giugno 1972; atto pontificio 28 giugno 1972. Venticinque giorni fra entrata in vigore e atto; quarantadue fra ratifica e atto.</w:t>
      </w:r>
    </w:p>
    <w:p>
      <w:pPr>
        <w:spacing w:after="120" w:line="276"/>
        <w:jc w:val="both"/>
      </w:pPr>
      <w:r>
        <w:rPr>
          <w:rFonts w:ascii="Barlow Semi Condensed" w:cs="Barlow Semi Condensed" w:eastAsia="Barlow Semi Condensed" w:hAnsi="Barlow Semi Condensed"/>
          <w:b/>
          <w:bCs/>
          <w:sz w:val="24"/>
          <w:szCs w:val="24"/>
        </w:rPr>
        <w:t xml:space="preserve">E il rilievo che chiude il capitolo, e che è la ragione per cui il testo è stato riportato per intero. Nel dispositivo non compare la parola trattato. Non compare la linea Oder-Neisse. Non compare la Repubblica Federale. Compare soltanto il popolo cristiano da reggere più adattamente e la richiesta dei vescovi polacchi.</w:t>
      </w:r>
    </w:p>
    <w:p>
      <w:pPr>
        <w:spacing w:after="120" w:line="276"/>
        <w:jc w:val="both"/>
      </w:pPr>
      <w:r>
        <w:rPr>
          <w:rFonts w:ascii="Barlow Semi Condensed" w:cs="Barlow Semi Condensed" w:eastAsia="Barlow Semi Condensed" w:hAnsi="Barlow Semi Condensed"/>
          <w:b/>
          <w:bCs/>
          <w:sz w:val="24"/>
          <w:szCs w:val="24"/>
        </w:rPr>
        <w:t xml:space="preserve">Un atto che chiude un regime giuridico durato ventisette anni, e che fu atteso per ventisette anni proprio in attesa di un trattato, non nomina il trattato che lo rese possibile. Questa è, secondo me, la cosa più notevole del documento.</w:t>
      </w:r>
    </w:p>
    <w:p>
      <w:pPr>
        <w:pStyle w:val="Heading2"/>
        <w:spacing w:after="100" w:before="200"/>
      </w:pPr>
      <w:r>
        <w:rPr>
          <w:rFonts w:ascii="Barlow Semi Condensed" w:cs="Barlow Semi Condensed" w:eastAsia="Barlow Semi Condensed" w:hAnsi="Barlow Semi Condensed"/>
          <w:sz w:val="24"/>
          <w:szCs w:val="24"/>
        </w:rPr>
        <w:t xml:space="preserve">Capitolo sesto — Casaroli, Wyszyński, Döpfner: chi sapeva e chi non fu consultato</w:t>
      </w:r>
    </w:p>
    <w:p>
      <w:pPr>
        <w:spacing w:after="120" w:line="276"/>
        <w:jc w:val="both"/>
      </w:pPr>
      <w:r>
        <w:rPr>
          <w:rFonts w:ascii="Barlow Semi Condensed" w:cs="Barlow Semi Condensed" w:eastAsia="Barlow Semi Condensed" w:hAnsi="Barlow Semi Condensed"/>
          <w:b/>
          <w:bCs/>
          <w:sz w:val="24"/>
          <w:szCs w:val="24"/>
        </w:rPr>
        <w:t xml:space="preserve">Il capitolo espone la preparazione diplomatica e le reazioni, e isola l'asimmetria fra i due episcopati.</w:t>
      </w:r>
    </w:p>
    <w:p>
      <w:pPr>
        <w:spacing w:after="120" w:line="276"/>
        <w:jc w:val="both"/>
      </w:pPr>
      <w:r>
        <w:rPr>
          <w:rFonts w:ascii="Barlow Semi Condensed" w:cs="Barlow Semi Condensed" w:eastAsia="Barlow Semi Condensed" w:hAnsi="Barlow Semi Condensed"/>
          <w:b/>
          <w:bCs/>
          <w:sz w:val="24"/>
          <w:szCs w:val="24"/>
        </w:rPr>
        <w:t xml:space="preserve">La preparazione: Casaroli. Agostino Casaroli, allora segretario del Consiglio per gli Affari pubblici della Chiesa, condusse i colloqui con le autorità della Repubblica Popolare di Polonia nell'aprile e nel novembre 1971. Essi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w:t>
      </w:r>
    </w:p>
    <w:p>
      <w:pPr>
        <w:spacing w:after="120" w:line="276"/>
        <w:jc w:val="both"/>
      </w:pPr>
      <w:r>
        <w:rPr>
          <w:rFonts w:ascii="Barlow Semi Condensed" w:cs="Barlow Semi Condensed" w:eastAsia="Barlow Semi Condensed" w:hAnsi="Barlow Semi Condensed"/>
          <w:b/>
          <w:bCs/>
          <w:sz w:val="24"/>
          <w:szCs w:val="24"/>
        </w:rPr>
        <w:t xml:space="preserve">Quest'ultimo dettaglio va notato perché è il prezzo pagato. La Santa Sede, per normalizzare con Varsavia, cessò di riconoscere il rappresentante del governo in esilio che aveva riconosciuto per decenni.</w:t>
      </w:r>
    </w:p>
    <w:p>
      <w:pPr>
        <w:spacing w:after="120" w:line="276"/>
        <w:jc w:val="both"/>
      </w:pPr>
      <w:r>
        <w:rPr>
          <w:rFonts w:ascii="Barlow Semi Condensed" w:cs="Barlow Semi Condensed" w:eastAsia="Barlow Semi Condensed" w:hAnsi="Barlow Semi Condensed"/>
          <w:b/>
          <w:bCs/>
          <w:sz w:val="24"/>
          <w:szCs w:val="24"/>
        </w:rPr>
        <w:t xml:space="preserve">Il giudizio storiografico sul rapporto fra le due Ostpolitik. Una recensione del volume curato da Alberto Melloni, \Il filo sottile. L'Ostpolitik vaticana di Agostino Casaroli\, il Mulino 2006,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quelli diocesani, e Berlino Est, che cercava riconoscimento come Stato separato.</w:t>
      </w:r>
    </w:p>
    <w:p>
      <w:pPr>
        <w:spacing w:after="120" w:line="276"/>
        <w:jc w:val="both"/>
      </w:pPr>
      <w:r>
        <w:rPr>
          <w:rFonts w:ascii="Barlow Semi Condensed" w:cs="Barlow Semi Condensed" w:eastAsia="Barlow Semi Condensed" w:hAnsi="Barlow Semi Condensed"/>
          <w:b/>
          <w:bCs/>
          <w:sz w:val="24"/>
          <w:szCs w:val="24"/>
        </w:rPr>
        <w:t xml:space="preserve">La qualificazione va apposta.\\ Le fonti attestano \\una convergenza di obiettivi fra Ostpolitik tedesca e Ostpolitik vaticana, non una direzione comune né una subordinazione dell'una all'altra.</w:t>
      </w:r>
    </w:p>
    <w:p>
      <w:pPr>
        <w:spacing w:after="120" w:line="276"/>
        <w:jc w:val="both"/>
      </w:pPr>
      <w:r>
        <w:rPr>
          <w:rFonts w:ascii="Barlow Semi Condensed" w:cs="Barlow Semi Condensed" w:eastAsia="Barlow Semi Condensed" w:hAnsi="Barlow Semi Condensed"/>
          <w:b/>
          <w:bCs/>
          <w:sz w:val="24"/>
          <w:szCs w:val="24"/>
        </w:rPr>
        <w:t xml:space="preserve">Una divergenza storiografica va registrata perché è aperta. Sul valore complessivo dell'Ostpolitik di Casaroli la storiografia diverge apertamente: George Weigel, biografo di Giovanni Paolo II, ne dà un giudizio fortemente critico definendola eccessivamente cauta; ambienti vaticani e italiani la celebrano come chiave del crollo del comunismo europeo. È controversia interpretativa, non dato di fatto.</w:t>
      </w:r>
    </w:p>
    <w:p>
      <w:pPr>
        <w:spacing w:after="120" w:line="276"/>
        <w:jc w:val="both"/>
      </w:pPr>
      <w:r>
        <w:rPr>
          <w:rFonts w:ascii="Barlow Semi Condensed" w:cs="Barlow Semi Condensed" w:eastAsia="Barlow Semi Condensed" w:hAnsi="Barlow Semi Condensed"/>
          <w:b/>
          <w:bCs/>
          <w:sz w:val="24"/>
          <w:szCs w:val="24"/>
        </w:rPr>
        <w:t xml:space="preserve">Wyszyński: sollecitatore ed esecutore. La ricerca pubblicata dalla rivista Church History dell'Università di Cambridge, dalla prospettiva del primate, colloca nel 1972 uno spostamento significativo nel pensiero di Wyszyński riguardo ai negoziati polacco-vaticani, in connessione con la ratifica del trattato e la possibilità di regolare finalmente lo status delle diocesi.</w:t>
      </w:r>
    </w:p>
    <w:p>
      <w:pPr>
        <w:spacing w:after="120" w:line="276"/>
        <w:jc w:val="both"/>
      </w:pPr>
      <w:r>
        <w:rPr>
          <w:rFonts w:ascii="Barlow Semi Condensed" w:cs="Barlow Semi Condensed" w:eastAsia="Barlow Semi Condensed" w:hAnsi="Barlow Semi Condensed"/>
          <w:b/>
          <w:bCs/>
          <w:sz w:val="24"/>
          <w:szCs w:val="24"/>
        </w:rPr>
        <w:t xml:space="preserve">E adesso l'asimmetria, che è il punto del capitolo. Döpfner e la Conferenza episcopale tedesca non furono consultati prima della decisione, secondo Hummel, e stentarono ad accettare la motivazione pastorale come ragione decisiva — tanto più che Döpfner aveva in passato rassicurato Bonn, dopo consultazione a Roma, che nulla sarebbe stato mutato prima di un trattato di pace.</w:t>
      </w:r>
    </w:p>
    <w:p>
      <w:pPr>
        <w:spacing w:after="120" w:line="276"/>
        <w:jc w:val="both"/>
      </w:pPr>
      <w:r>
        <w:rPr>
          <w:rFonts w:ascii="Barlow Semi Condensed" w:cs="Barlow Semi Condensed" w:eastAsia="Barlow Semi Condensed" w:hAnsi="Barlow Semi Condensed"/>
          <w:b/>
          <w:bCs/>
          <w:sz w:val="24"/>
          <w:szCs w:val="24"/>
        </w:rPr>
        <w:t xml:space="preserve">Ne discende che il medesimo cardinale che aveva trasmesso a Bonn la garanzia romana si trovò a subire l'atto che la superava, senza essere stato interpellato.</w:t>
      </w:r>
    </w:p>
    <w:p>
      <w:pPr>
        <w:spacing w:after="120" w:line="276"/>
        <w:jc w:val="both"/>
      </w:pPr>
      <w:r>
        <w:rPr>
          <w:rFonts w:ascii="Barlow Semi Condensed" w:cs="Barlow Semi Condensed" w:eastAsia="Barlow Semi Condensed" w:hAnsi="Barlow Semi Condensed"/>
          <w:b/>
          <w:bCs/>
          <w:sz w:val="24"/>
          <w:szCs w:val="24"/>
        </w:rPr>
        <w:t xml:space="preserve">La misura di compensazione, documentata. Contestualmente la Santa Sede nominò tre Visitatori apostolici per i cattolici tedeschi espulsi — dall'arcidiocesi di Breslavia, dalla diocesi di Warmia e dalla prelatura di Schneidemühl.</w:t>
      </w:r>
    </w:p>
    <w:p>
      <w:pPr>
        <w:spacing w:after="120" w:line="276"/>
        <w:jc w:val="both"/>
      </w:pPr>
      <w:r>
        <w:rPr>
          <w:rFonts w:ascii="Barlow Semi Condensed" w:cs="Barlow Semi Condensed" w:eastAsia="Barlow Semi Condensed" w:hAnsi="Barlow Semi Condensed"/>
          <w:b/>
          <w:bCs/>
          <w:sz w:val="24"/>
          <w:szCs w:val="24"/>
        </w:rPr>
        <w:t xml:space="preserve">Le reazioni, riportate con il loro statuto di posizioni nazionali contrapposte. Le fonti ecclesiastiche polacche celebrarono l'atto come fine dello stato di provvisorietà. La stampa delle organizzazioni tedesche degli espulsi reagì con allarme già prima dell'atto: l'organo della Landsmannschaft Ostpreußen, \Das Ostpreußenblatt\, nel numero del 24 giugno 1972 titolò Bonn ha dato al Vaticano il via libera?</w:t>
      </w:r>
    </w:p>
    <w:p>
      <w:pPr>
        <w:spacing w:after="120" w:line="276"/>
        <w:jc w:val="both"/>
      </w:pPr>
      <w:r>
        <w:rPr>
          <w:rFonts w:ascii="Barlow Semi Condensed" w:cs="Barlow Semi Condensed" w:eastAsia="Barlow Semi Condensed" w:hAnsi="Barlow Semi Condensed"/>
          <w:b/>
          <w:bCs/>
          <w:sz w:val="24"/>
          <w:szCs w:val="24"/>
        </w:rPr>
        <w:t xml:space="preserve">Questo dettaglio va isolato perché è cronologicamente notevole: quattro giorni prima dell'atto, le organizzazioni degli espulsi sapevano che stava arrivando.</w:t>
      </w:r>
    </w:p>
    <w:p>
      <w:pPr>
        <w:spacing w:after="120" w:line="276"/>
        <w:jc w:val="both"/>
      </w:pPr>
      <w:r>
        <w:rPr>
          <w:rFonts w:ascii="Barlow Semi Condensed" w:cs="Barlow Semi Condensed" w:eastAsia="Barlow Semi Condensed" w:hAnsi="Barlow Semi Condensed"/>
          <w:b/>
          <w:bCs/>
          <w:sz w:val="24"/>
          <w:szCs w:val="24"/>
        </w:rPr>
        <w:t xml:space="preserve">La lettura della cautela vaticana. La Santa Sede curò di presentare l'atto come rispondente a necessità pastorali e non come riconoscimento politico della frontiera; la storiografia anglofona legge tale scelta come deliberata volontà di offrire qualcosa di meno del riconoscimento formale della linea Oder-Neisse.</w:t>
      </w:r>
    </w:p>
    <w:p>
      <w:pPr>
        <w:spacing w:after="120" w:line="276"/>
        <w:jc w:val="both"/>
      </w:pPr>
      <w:r>
        <w:rPr>
          <w:rFonts w:ascii="Barlow Semi Condensed" w:cs="Barlow Semi Condensed" w:eastAsia="Barlow Semi Condensed" w:hAnsi="Barlow Semi Condensed"/>
          <w:b/>
          <w:bCs/>
          <w:sz w:val="24"/>
          <w:szCs w:val="24"/>
        </w:rPr>
        <w:t xml:space="preserve">Ne discende la conclusione del capitolo. Il silenzio del testo canonico sul trattato, esposto al Capitolo quinto, non fu dimenticanza né pudore: fu tecnica diplomatica. La Santa Sede fece ciò che il trattato rendeva possibile, lo disse alla stampa nella comunicazione di accompagnamento, e non lo scrisse nell'atto — così da non costituire essa stessa un riconoscimento politico di confine.</w:t>
      </w:r>
    </w:p>
    <w:p>
      <w:pPr>
        <w:pStyle w:val="Heading2"/>
        <w:spacing w:after="100" w:before="200"/>
      </w:pPr>
      <w:r>
        <w:rPr>
          <w:rFonts w:ascii="Barlow Semi Condensed" w:cs="Barlow Semi Condensed" w:eastAsia="Barlow Semi Condensed" w:hAnsi="Barlow Semi Condensed"/>
          <w:sz w:val="24"/>
          <w:szCs w:val="24"/>
        </w:rPr>
        <w:t xml:space="preserve">Capitolo settimo — La Repubblica Democratica Tedesca: la soluzione diversa e la ragione della differenza</w:t>
      </w:r>
    </w:p>
    <w:p>
      <w:pPr>
        <w:spacing w:after="120" w:line="276"/>
        <w:jc w:val="both"/>
      </w:pPr>
      <w:r>
        <w:rPr>
          <w:rFonts w:ascii="Barlow Semi Condensed" w:cs="Barlow Semi Condensed" w:eastAsia="Barlow Semi Condensed" w:hAnsi="Barlow Semi Condensed"/>
          <w:b/>
          <w:bCs/>
          <w:sz w:val="24"/>
          <w:szCs w:val="24"/>
        </w:rPr>
        <w:t xml:space="preserve">Il capitolo espone il contrappunto orientale, e la sua differenza è essa stessa una prova del modello esposto al Capitolo primo.</w:t>
      </w:r>
    </w:p>
    <w:p>
      <w:pPr>
        <w:spacing w:after="120" w:line="276"/>
        <w:jc w:val="both"/>
      </w:pPr>
      <w:r>
        <w:rPr>
          <w:rFonts w:ascii="Barlow Semi Condensed" w:cs="Barlow Semi Condensed" w:eastAsia="Barlow Semi Condensed" w:hAnsi="Barlow Semi Condensed"/>
          <w:b/>
          <w:bCs/>
          <w:sz w:val="24"/>
          <w:szCs w:val="24"/>
        </w:rPr>
        <w:t xml:space="preserve">Il fatto, datato.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Schwerin, già di Osnabrück.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w:t>
      </w:r>
    </w:p>
    <w:p>
      <w:pPr>
        <w:spacing w:after="120" w:line="276"/>
        <w:jc w:val="both"/>
      </w:pPr>
      <w:r>
        <w:rPr>
          <w:rFonts w:ascii="Barlow Semi Condensed" w:cs="Barlow Semi Condensed" w:eastAsia="Barlow Semi Condensed" w:hAnsi="Barlow Semi Condensed"/>
          <w:b/>
          <w:bCs/>
          <w:sz w:val="24"/>
          <w:szCs w:val="24"/>
        </w:rPr>
        <w:t xml:space="preserve">E qui la differenza decisiva, che va enunciata perché conferma il principio. Nella Repubblica Democratica Tedesca la Santa Sede non eresse diocesi permanenti nel 1972-1973, ma si fermò alla figura dell'amministratore apostolico e dell'ufficio vescovile.</w:t>
      </w:r>
    </w:p>
    <w:p>
      <w:pPr>
        <w:spacing w:after="120" w:line="276"/>
        <w:jc w:val="both"/>
      </w:pPr>
      <w:r>
        <w:rPr>
          <w:rFonts w:ascii="Barlow Semi Condensed" w:cs="Barlow Semi Condensed" w:eastAsia="Barlow Semi Condensed" w:hAnsi="Barlow Semi Condensed"/>
          <w:b/>
          <w:bCs/>
          <w:sz w:val="24"/>
          <w:szCs w:val="24"/>
        </w:rPr>
        <w:t xml:space="preserve">La ragione, dichiarata dalle fonti.\\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b/>
          <w:bCs/>
          <w:sz w:val="24"/>
          <w:szCs w:val="24"/>
        </w:rPr>
        <w:t xml:space="preserve">Ne discende una conferma per via indipendente del principio esposto ai Capitoli primo e secondo. In Polonia il trattato aveva chiuso la questione del confine, e la Santa Sede erse diocesi permanenti. In Germania orientale nessun trattato aveva chiuso la questione dell'unità, e la Santa Sede si fermò alla forma provvisoria — la medesima forma che in Polonia aveva tenuto per ventisette anni.</w:t>
      </w:r>
    </w:p>
    <w:p>
      <w:pPr>
        <w:spacing w:after="120" w:line="276"/>
        <w:jc w:val="both"/>
      </w:pPr>
      <w:r>
        <w:rPr>
          <w:rFonts w:ascii="Barlow Semi Condensed" w:cs="Barlow Semi Condensed" w:eastAsia="Barlow Semi Condensed" w:hAnsi="Barlow Semi Condensed"/>
          <w:b/>
          <w:bCs/>
          <w:sz w:val="24"/>
          <w:szCs w:val="24"/>
        </w:rPr>
        <w:t xml:space="preserve">La coerenza è totale, e la si registra come tale: la Santa Sede applicò il medesimo criterio in due direzioni opposte, e in entrambe lo fece dipendere dall'esistenza di un atto politico che chiudesse la questione territoriale.</w:t>
      </w:r>
    </w:p>
    <w:p>
      <w:pPr>
        <w:spacing w:after="120" w:line="276"/>
        <w:jc w:val="both"/>
      </w:pPr>
      <w:r>
        <w:rPr>
          <w:rFonts w:ascii="Barlow Semi Condensed" w:cs="Barlow Semi Condensed" w:eastAsia="Barlow Semi Condensed" w:hAnsi="Barlow Semi Condensed"/>
          <w:b/>
          <w:bCs/>
          <w:sz w:val="24"/>
          <w:szCs w:val="24"/>
        </w:rPr>
        <w:t xml:space="preserve">Casaroli e Berlino Est, per date. Nel 1973, a Roma, egli incontrò Werner Lamberz, membro del Politbüro della SED. Il 9 giugno 1975 si recò nella Repubblica Democratica, dove fu ricevuto dal presidente del Consiglio dei ministri Horst Sindermann, dal ministro degli Esteri Oskar Fischer e dal segretario di Stato per le questioni ecclesiastiche Hans Seigewasser.</w:t>
      </w:r>
    </w:p>
    <w:p>
      <w:pPr>
        <w:spacing w:after="120" w:line="276"/>
        <w:jc w:val="both"/>
      </w:pPr>
      <w:r>
        <w:rPr>
          <w:rFonts w:ascii="Barlow Semi Condensed" w:cs="Barlow Semi Condensed" w:eastAsia="Barlow Semi Condensed" w:hAnsi="Barlow Semi Condensed"/>
          <w:b/>
          <w:bCs/>
          <w:sz w:val="24"/>
          <w:szCs w:val="24"/>
        </w:rPr>
        <w:t xml:space="preserve">La diffidenza dei vescovi tedeschi. I cardinali Alfred Bengsch e Döpfner guardarono con diffidenza all'atteggiamento accomodante del Vaticano, temendo per l'unità della Chiesa cattolica in Germania. È la seconda volta, nello studio, che Döpfner compare come contrappeso critico della Ostpolitik vaticana.</w:t>
      </w:r>
    </w:p>
    <w:p>
      <w:pPr>
        <w:spacing w:after="120" w:line="276"/>
        <w:jc w:val="both"/>
      </w:pPr>
      <w:r>
        <w:rPr>
          <w:rFonts w:ascii="Barlow Semi Condensed" w:cs="Barlow Semi Condensed" w:eastAsia="Barlow Semi Condensed" w:hAnsi="Barlow Semi Condensed"/>
          <w:b/>
          <w:bCs/>
          <w:sz w:val="24"/>
          <w:szCs w:val="24"/>
        </w:rPr>
        <w:t xml:space="preserve">Non vi furono relazioni diplomatiche fra la Santa Sede e il governo di Berlino Est.</w:t>
      </w:r>
    </w:p>
    <w:p>
      <w:pPr>
        <w:spacing w:after="120" w:line="276"/>
        <w:jc w:val="both"/>
      </w:pPr>
      <w:r>
        <w:rPr>
          <w:rFonts w:ascii="Barlow Semi Condensed" w:cs="Barlow Semi Condensed" w:eastAsia="Barlow Semi Condensed" w:hAnsi="Barlow Semi Condensed"/>
          <w:b/>
          <w:bCs/>
          <w:sz w:val="24"/>
          <w:szCs w:val="24"/>
        </w:rPr>
        <w:t xml:space="preserve">Nel 1976 la Berliner Ordinarienkonferenz fu trasformata in Berliner Bischofskonferenz, forum di comunicazione fra gli amministratori apostolici e i vescovi di Berlino e Dresda-Meissen.</w:t>
      </w:r>
    </w:p>
    <w:p>
      <w:pPr>
        <w:spacing w:after="120" w:line="276"/>
        <w:jc w:val="both"/>
      </w:pPr>
      <w:r>
        <w:rPr>
          <w:rFonts w:ascii="Barlow Semi Condensed" w:cs="Barlow Semi Condensed" w:eastAsia="Barlow Semi Condensed" w:hAnsi="Barlow Semi Condensed"/>
          <w:b/>
          <w:bCs/>
          <w:sz w:val="24"/>
          <w:szCs w:val="24"/>
        </w:rPr>
        <w:t xml:space="preserve">Un progetto non attuato va registrato perché la ragione della mancata attuazione è datata.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w:t>
      </w:r>
    </w:p>
    <w:p>
      <w:pPr>
        <w:spacing w:after="120" w:line="276"/>
        <w:jc w:val="both"/>
      </w:pPr>
      <w:r>
        <w:rPr>
          <w:rFonts w:ascii="Barlow Semi Condensed" w:cs="Barlow Semi Condensed" w:eastAsia="Barlow Semi Condensed" w:hAnsi="Barlow Semi Condensed"/>
          <w:b/>
          <w:bCs/>
          <w:sz w:val="24"/>
          <w:szCs w:val="24"/>
        </w:rPr>
        <w:t xml:space="preserve">La circoscrizione definitiva in diocesi avvenne solo dopo la riunificazione, con le bolle di Giovanni Paolo II del 27 giugno 1994: \Quo aptius\ per Erfurt, \Cum gaudio et spe\ per Magdeburgo.</w:t>
      </w:r>
    </w:p>
    <w:p>
      <w:pPr>
        <w:spacing w:after="120" w:line="276"/>
        <w:jc w:val="both"/>
      </w:pPr>
      <w:r>
        <w:rPr>
          <w:rFonts w:ascii="Barlow Semi Condensed" w:cs="Barlow Semi Condensed" w:eastAsia="Barlow Semi Condensed" w:hAnsi="Barlow Semi Condensed"/>
          <w:b/>
          <w:bCs/>
          <w:sz w:val="24"/>
          <w:szCs w:val="24"/>
        </w:rPr>
        <w:t xml:space="preserve">Ventuno anni dopo il 1973, e ventidue anni dopo il 1972. La forma provvisoria tenne fino a quando la questione politica non fu chiusa — e fu chiusa dalla riunificazione, non da un trattato di pace.</w:t>
      </w:r>
    </w:p>
    <w:p>
      <w:pPr>
        <w:pStyle w:val="Heading2"/>
        <w:spacing w:after="100" w:before="200"/>
      </w:pPr>
      <w:r>
        <w:rPr>
          <w:rFonts w:ascii="Barlow Semi Condensed" w:cs="Barlow Semi Condensed" w:eastAsia="Barlow Semi Condensed" w:hAnsi="Barlow Semi Condensed"/>
          <w:sz w:val="24"/>
          <w:szCs w:val="24"/>
        </w:rPr>
        <w:t xml:space="preserve">Capitolo ottavo — Il Vertice dell'Aja e il giallo della malattia</w:t>
      </w:r>
    </w:p>
    <w:p>
      <w:pPr>
        <w:spacing w:after="120" w:line="276"/>
        <w:jc w:val="both"/>
      </w:pPr>
      <w:r>
        <w:rPr>
          <w:rFonts w:ascii="Barlow Semi Condensed" w:cs="Barlow Semi Condensed" w:eastAsia="Barlow Semi Condensed" w:hAnsi="Barlow Semi Condensed"/>
          <w:b/>
          <w:bCs/>
          <w:sz w:val="24"/>
          <w:szCs w:val="24"/>
        </w:rPr>
        <w:t xml:space="preserve">Il capitolo espone un episodio della biografia diplomatica di Moro che le ricognizioni anteriori avevano soltanto nominato, e ne riporta il dettaglio.</w:t>
      </w:r>
    </w:p>
    <w:p>
      <w:pPr>
        <w:spacing w:after="120" w:line="276"/>
        <w:jc w:val="both"/>
      </w:pPr>
      <w:r>
        <w:rPr>
          <w:rFonts w:ascii="Barlow Semi Condensed" w:cs="Barlow Semi Condensed" w:eastAsia="Barlow Semi Condensed" w:hAnsi="Barlow Semi Condensed"/>
          <w:b/>
          <w:bCs/>
          <w:sz w:val="24"/>
          <w:szCs w:val="24"/>
        </w:rPr>
        <w:t xml:space="preserve">Il fatto. Il Vertice dell'Aja si tenne il 1 e 2 dicembre 1969 nella Ridderzaal del Binnenhof.</w:t>
      </w:r>
    </w:p>
    <w:p>
      <w:pPr>
        <w:spacing w:after="120" w:line="276"/>
        <w:jc w:val="both"/>
      </w:pPr>
      <w:r>
        <w:rPr>
          <w:rFonts w:ascii="Barlow Semi Condensed" w:cs="Barlow Semi Condensed" w:eastAsia="Barlow Semi Condensed" w:hAnsi="Barlow Semi Condensed"/>
          <w:b/>
          <w:bCs/>
          <w:sz w:val="24"/>
          <w:szCs w:val="24"/>
        </w:rPr>
        <w:t xml:space="preserve">Il giudizio storiografico, già acquisito. Secondo Guido Levi, nel saggio pubblicato in \Spagna contemporanea\, anno venticinquesimo, numero quarantanove del 2016, alle pagine 69-102, al Vertice l'Italia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b/>
          <w:bCs/>
          <w:sz w:val="24"/>
          <w:szCs w:val="24"/>
        </w:rPr>
        <w:t xml:space="preserve">Il giallo della data, documentato. La fonte accademica Officina della Storia ricostruisce che il vertice, dapprima fissato per il 17 e 18 novembre, fu spostato al 1 e 2 dicembre a causa di una presunta malattia del ministro degli Esteri italiano — e le virgolette sulla parola malattia sono della fonte, non mie. Lo spostamento scatenò non poche illazioni e commenti sulla stampa europea circa le vere ragioni, legate alle difficoltà di Moro.</w:t>
      </w:r>
    </w:p>
    <w:p>
      <w:pPr>
        <w:spacing w:after="120" w:line="276"/>
        <w:jc w:val="both"/>
      </w:pPr>
      <w:r>
        <w:rPr>
          <w:rFonts w:ascii="Barlow Semi Condensed" w:cs="Barlow Semi Condensed" w:eastAsia="Barlow Semi Condensed" w:hAnsi="Barlow Semi Condensed"/>
          <w:b/>
          <w:bCs/>
          <w:sz w:val="24"/>
          <w:szCs w:val="24"/>
        </w:rPr>
        <w:t xml:space="preserve">E un secondo elemento della medesima fonte va riportato perché corregge in parte il giudizio di marginalità. Moro ingaggiò un braccio di ferro con il governo francese, arrivando addirittura a minacciare di non partecipare al vertice se Pompidou non avesse inserito nel comunicato finale una data d'inizio dei negoziati con la Gran Bretagna.</w:t>
      </w:r>
    </w:p>
    <w:p>
      <w:pPr>
        <w:spacing w:after="120" w:line="276"/>
        <w:jc w:val="both"/>
      </w:pPr>
      <w:r>
        <w:rPr>
          <w:rFonts w:ascii="Barlow Semi Condensed" w:cs="Barlow Semi Condensed" w:eastAsia="Barlow Semi Condensed" w:hAnsi="Barlow Semi Condensed"/>
          <w:b/>
          <w:bCs/>
          <w:sz w:val="24"/>
          <w:szCs w:val="24"/>
        </w:rPr>
        <w:t xml:space="preserve">Ne discende una qualificazione più precisa del ruolo italiano. L'Italia fu marginale nella conduzione, ma non passiva quanto all'obiettivo: la posizione italiana era a sostegno dell'ingresso britannico e tesa a bilanciare l'asse franco-tedesco, e su quel punto Moro esercitò una pressione documentata.</w:t>
      </w:r>
    </w:p>
    <w:p>
      <w:pPr>
        <w:spacing w:after="120" w:line="276"/>
        <w:jc w:val="both"/>
      </w:pPr>
      <w:r>
        <w:rPr>
          <w:rFonts w:ascii="Barlow Semi Condensed" w:cs="Barlow Semi Condensed" w:eastAsia="Barlow Semi Condensed" w:hAnsi="Barlow Semi Condensed"/>
          <w:b/>
          <w:bCs/>
          <w:sz w:val="24"/>
          <w:szCs w:val="24"/>
        </w:rPr>
        <w:t xml:space="preserve">Il ruolo tedesco fu di primo piano nel rilancio: il Vertice varò l'obiettivo dell'unione economica e monetaria e dell'allargamento.</w:t>
      </w:r>
    </w:p>
    <w:p>
      <w:pPr>
        <w:spacing w:after="120" w:line="276"/>
        <w:jc w:val="both"/>
      </w:pPr>
      <w:r>
        <w:rPr>
          <w:rFonts w:ascii="Barlow Semi Condensed" w:cs="Barlow Semi Condensed" w:eastAsia="Barlow Semi Condensed" w:hAnsi="Barlow Semi Condensed"/>
          <w:b/>
          <w:bCs/>
          <w:sz w:val="24"/>
          <w:szCs w:val="24"/>
        </w:rPr>
        <w:t xml:space="preserve">Un elemento istituzionale va notato.\\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b/>
          <w:bCs/>
          <w:sz w:val="24"/>
          <w:szCs w:val="24"/>
        </w:rPr>
        <w:t xml:space="preserve">Il seguito monetario, con le divergenze da riportare. Dal mandato dell'Aja discese il Piano Werner, elaborato dal comitato presieduto dal primo ministro lussemburghese Pierre Werner, presentato al Consiglio nel giugno 1970 e recepito con risoluzione del 22 marzo 1971, che avviava la prima tappa dell'unione economica e monetaria da realizzarsi in dieci anni.</w:t>
      </w:r>
    </w:p>
    <w:p>
      <w:pPr>
        <w:spacing w:after="120" w:line="276"/>
        <w:jc w:val="both"/>
      </w:pPr>
      <w:r>
        <w:rPr>
          <w:rFonts w:ascii="Barlow Semi Condensed" w:cs="Barlow Semi Condensed" w:eastAsia="Barlow Semi Condensed" w:hAnsi="Barlow Semi Condensed"/>
          <w:b/>
          <w:bCs/>
          <w:sz w:val="24"/>
          <w:szCs w:val="24"/>
        </w:rPr>
        <w:t xml:space="preserve">Sul Serpente monetario le fonti divergono e la divergenza si riporta. Una fonte colloca i primi provvedimenti al 21 marzo 1972, perfezionati nell'accordo di Basilea del 10 aprile 1972 ed entrati in vigore il 24 aprile 1972, con margini di fluttuazione del due virgola venticinque per cento; un'altra colloca l'accordo di Basilea al 24 aprile 1972; una lezione universitaria colloca la nascita nel marzo 1972.</w:t>
      </w:r>
    </w:p>
    <w:p>
      <w:pPr>
        <w:spacing w:after="120" w:line="276"/>
        <w:jc w:val="both"/>
      </w:pPr>
      <w:r>
        <w:rPr>
          <w:rFonts w:ascii="Barlow Semi Condensed" w:cs="Barlow Semi Condensed" w:eastAsia="Barlow Semi Condensed" w:hAnsi="Barlow Semi Condensed"/>
          <w:b/>
          <w:bCs/>
          <w:sz w:val="24"/>
          <w:szCs w:val="24"/>
        </w:rPr>
        <w:t xml:space="preserve">L'uscita della lira è datata concordemente al 13 febbraio 1973\\, in coincidenza con la seconda svalutazione del dollaro; la lira restò fuori dal sistema \\fino alla vigilia dell'entrata in funzione del Sistema monetario europeo nel 1979.</w:t>
      </w:r>
    </w:p>
    <w:p>
      <w:pPr>
        <w:spacing w:after="120" w:line="276"/>
        <w:jc w:val="both"/>
      </w:pPr>
      <w:r>
        <w:rPr>
          <w:rFonts w:ascii="Barlow Semi Condensed" w:cs="Barlow Semi Condensed" w:eastAsia="Barlow Semi Condensed" w:hAnsi="Barlow Semi Condensed"/>
          <w:b/>
          <w:bCs/>
          <w:sz w:val="24"/>
          <w:szCs w:val="24"/>
        </w:rPr>
        <w:t xml:space="preserve">La materia monetaria è di ambito comunitario e non tocca la questione tedesca ecclesiastica; se ne dà conto perché parte del ruolo tedesco nel processo di integrazione, e il capitolo si chiude qui perché oltre questo il materiale non porta.</w:t>
      </w:r>
    </w:p>
    <w:p>
      <w:pPr>
        <w:pStyle w:val="Heading2"/>
        <w:spacing w:after="100" w:before="200"/>
      </w:pPr>
      <w:r>
        <w:rPr>
          <w:rFonts w:ascii="Barlow Semi Condensed" w:cs="Barlow Semi Condensed" w:eastAsia="Barlow Semi Condensed" w:hAnsi="Barlow Semi Condensed"/>
          <w:sz w:val="24"/>
          <w:szCs w:val="24"/>
        </w:rPr>
        <w:t xml:space="preserve">Capitolo nono — Il Reichskonkordat del 1933 e la sua sopravvivenza</w:t>
      </w:r>
    </w:p>
    <w:p>
      <w:pPr>
        <w:spacing w:after="120" w:line="276"/>
        <w:jc w:val="both"/>
      </w:pPr>
      <w:r>
        <w:rPr>
          <w:rFonts w:ascii="Barlow Semi Condensed" w:cs="Barlow Semi Condensed" w:eastAsia="Barlow Semi Condensed" w:hAnsi="Barlow Semi Condensed"/>
          <w:b/>
          <w:bCs/>
          <w:sz w:val="24"/>
          <w:szCs w:val="24"/>
        </w:rPr>
        <w:t xml:space="preserve">Il capitolo espone il quadro concordatario tedesco, e contiene il dato che più colpisce di tutto lo studio sul piano della continuità giuridica.</w:t>
      </w:r>
    </w:p>
    <w:p>
      <w:pPr>
        <w:spacing w:after="120" w:line="276"/>
        <w:jc w:val="both"/>
      </w:pPr>
      <w:r>
        <w:rPr>
          <w:rFonts w:ascii="Barlow Semi Condensed" w:cs="Barlow Semi Condensed" w:eastAsia="Barlow Semi Condensed" w:hAnsi="Barlow Semi Condensed"/>
          <w:b/>
          <w:bCs/>
          <w:sz w:val="24"/>
          <w:szCs w:val="24"/>
        </w:rPr>
        <w:t xml:space="preserve">La firma. Il Concordato fra Santa Sede e Reich germanico fu firmato il 20 luglio 1933 dal cardinale segretario di Stato Eugenio Pacelli e dal vicecancelliere Franz von Papen — il medesimo von Papen che, come ambasciatore a Istanbul, comparirà nella settima ricognizione come interlocutore di Roncalli per il salvataggio degli ebrei.</w:t>
      </w:r>
    </w:p>
    <w:p>
      <w:pPr>
        <w:spacing w:after="120" w:line="276"/>
        <w:jc w:val="both"/>
      </w:pPr>
      <w:r>
        <w:rPr>
          <w:rFonts w:ascii="Barlow Semi Condensed" w:cs="Barlow Semi Condensed" w:eastAsia="Barlow Semi Condensed" w:hAnsi="Barlow Semi Condensed"/>
          <w:b/>
          <w:bCs/>
          <w:sz w:val="24"/>
          <w:szCs w:val="24"/>
        </w:rPr>
        <w:t xml:space="preserve">Il negoziato, per date. Due tornate: 10-20 aprile e 29 giugno - 5 luglio 1933, con la partecipazione di Ludwig Kaas per il Zentrum. Il testo paraphato l'8 luglio fu approvato dal gabinetto del Reich il 14 luglio. Pubblicato nel Reichsgesetzblatt 1933, parte seconda, pagina 679; entrato in vigore con lo scambio degli strumenti di ratifica il 10 settembre 1933.</w:t>
      </w:r>
    </w:p>
    <w:p>
      <w:pPr>
        <w:spacing w:after="120" w:line="276"/>
        <w:jc w:val="both"/>
      </w:pPr>
      <w:r>
        <w:rPr>
          <w:rFonts w:ascii="Barlow Semi Condensed" w:cs="Barlow Semi Condensed" w:eastAsia="Barlow Semi Condensed" w:hAnsi="Barlow Semi Condensed"/>
          <w:b/>
          <w:bCs/>
          <w:sz w:val="24"/>
          <w:szCs w:val="24"/>
        </w:rPr>
        <w:t xml:space="preserve">E il dato che va isolato.\\ Il Reichskonkordat è \\l'unico accordo di politica estera dell'epoca nazista ancora oggi vigente.</w:t>
      </w:r>
    </w:p>
    <w:p>
      <w:pPr>
        <w:spacing w:after="120" w:line="276"/>
        <w:jc w:val="both"/>
      </w:pPr>
      <w:r>
        <w:rPr>
          <w:rFonts w:ascii="Barlow Semi Condensed" w:cs="Barlow Semi Condensed" w:eastAsia="Barlow Semi Condensed" w:hAnsi="Barlow Semi Condensed"/>
          <w:b/>
          <w:bCs/>
          <w:sz w:val="24"/>
          <w:szCs w:val="24"/>
        </w:rPr>
        <w:t xml:space="preserve">La controversia storiografica va registrata perché è aperta. La cosiddetta polemica Repgen-Scholder verte sul se il Concordato fu, secondo Konrad Repgen, un \Defensivvertrag\ con cui la Chiesa cercò di proteggere i cattolici, o piuttosto uno strumento che contribuì a consolidare il regime. È dibattito scientifico aperto e non dato di fatto.</w:t>
      </w:r>
    </w:p>
    <w:p>
      <w:pPr>
        <w:spacing w:after="120" w:line="276"/>
        <w:jc w:val="both"/>
      </w:pPr>
      <w:r>
        <w:rPr>
          <w:rFonts w:ascii="Barlow Semi Condensed" w:cs="Barlow Semi Condensed" w:eastAsia="Barlow Semi Condensed" w:hAnsi="Barlow Semi Condensed"/>
          <w:b/>
          <w:bCs/>
          <w:sz w:val="24"/>
          <w:szCs w:val="24"/>
        </w:rPr>
        <w:t xml:space="preserve">La vigenza nella Repubblica Federale: la sentenza. La fonte primaria è la sentenza della Corte costituzionale federale nota come Konkordatsurteil, in materia della legge scolastica della Bassa Sassonia sulle scuole confessionali, citata come BVerfGE 6, 309, procedimento 2 BvG 1/55.</w:t>
      </w:r>
    </w:p>
    <w:p>
      <w:pPr>
        <w:spacing w:after="120" w:line="276"/>
        <w:jc w:val="both"/>
      </w:pPr>
      <w:r>
        <w:rPr>
          <w:rFonts w:ascii="Barlow Semi Condensed" w:cs="Barlow Semi Condensed" w:eastAsia="Barlow Semi Condensed" w:hAnsi="Barlow Semi Condensed"/>
          <w:b/>
          <w:bCs/>
          <w:sz w:val="24"/>
          <w:szCs w:val="24"/>
        </w:rPr>
        <w:t xml:space="preserve">Sulla data le fonti divergono e la divergenza va riportata. Più fonti indicano il 26 marzo 1957; altre — un documento del servizio scientifico del Bundestag e un passaggio di un portale ecclesiale — indicano il 23 marzo 1957.</w:t>
      </w:r>
    </w:p>
    <w:p>
      <w:pPr>
        <w:spacing w:after="120" w:line="276"/>
        <w:jc w:val="both"/>
      </w:pPr>
      <w:r>
        <w:rPr>
          <w:rFonts w:ascii="Barlow Semi Condensed" w:cs="Barlow Semi Condensed" w:eastAsia="Barlow Semi Condensed" w:hAnsi="Barlow Semi Condensed"/>
          <w:b/>
          <w:bCs/>
          <w:sz w:val="24"/>
          <w:szCs w:val="24"/>
        </w:rPr>
        <w:t xml:space="preserve">Il contenuto, che è a doppio taglio.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w:t>
      </w:r>
    </w:p>
    <w:p>
      <w:pPr>
        <w:spacing w:after="120" w:line="276"/>
        <w:jc w:val="both"/>
      </w:pPr>
      <w:r>
        <w:rPr>
          <w:rFonts w:ascii="Barlow Semi Condensed" w:cs="Barlow Semi Condensed" w:eastAsia="Barlow Semi Condensed" w:hAnsi="Barlow Semi Condensed"/>
          <w:b/>
          <w:bCs/>
          <w:sz w:val="24"/>
          <w:szCs w:val="24"/>
        </w:rPr>
        <w:t xml:space="preserve">Ne discende un esito paradossale che va enunciato: il Concordato fu dichiarato vigente e insieme inapplicabile nella materia su cui era stato invocato.</w:t>
      </w:r>
    </w:p>
    <w:p>
      <w:pPr>
        <w:spacing w:after="120" w:line="276"/>
        <w:jc w:val="both"/>
      </w:pPr>
      <w:r>
        <w:rPr>
          <w:rFonts w:ascii="Barlow Semi Condensed" w:cs="Barlow Semi Condensed" w:eastAsia="Barlow Semi Condensed" w:hAnsi="Barlow Semi Condensed"/>
          <w:b/>
          <w:bCs/>
          <w:sz w:val="24"/>
          <w:szCs w:val="24"/>
        </w:rPr>
        <w:t xml:space="preserve">I concordati regionali\\ precedono e affiancano il Reichskonkordat: \\Baviera 1924, Prussia 1929, Baden 1932.</w:t>
      </w:r>
    </w:p>
    <w:p>
      <w:pPr>
        <w:spacing w:after="120" w:line="276"/>
        <w:jc w:val="both"/>
      </w:pPr>
      <w:r>
        <w:rPr>
          <w:rFonts w:ascii="Barlow Semi Condensed" w:cs="Barlow Semi Condensed" w:eastAsia="Barlow Semi Condensed" w:hAnsi="Barlow Semi Condensed"/>
          <w:b/>
          <w:bCs/>
          <w:sz w:val="24"/>
          <w:szCs w:val="24"/>
        </w:rPr>
        <w:t xml:space="preserve">La Repubblica Democratica Tedesca non riconosceva il Concordato, coerentemente con la sua dottrina di non successione al Reich.</w:t>
      </w:r>
    </w:p>
    <w:p>
      <w:pPr>
        <w:spacing w:after="120" w:line="276"/>
        <w:jc w:val="both"/>
      </w:pPr>
      <w:r>
        <w:rPr>
          <w:rFonts w:ascii="Barlow Semi Condensed" w:cs="Barlow Semi Condensed" w:eastAsia="Barlow Semi Condensed" w:hAnsi="Barlow Semi Condensed"/>
          <w:b/>
          <w:bCs/>
          <w:sz w:val="24"/>
          <w:szCs w:val="24"/>
        </w:rPr>
        <w:t xml:space="preserve">Il confronto lateranense, che è la ragione per cui il capitolo appartiene a questo studio. Il Concordato lateranense italiano fu firmato l'11 febbraio 1929 e revisionato con l'Accordo di Villa Madama concluso il 18 febbraio 1984, come accertato in ricognizione anteriore.</w:t>
      </w:r>
    </w:p>
    <w:p>
      <w:pPr>
        <w:spacing w:after="120" w:line="276"/>
        <w:jc w:val="both"/>
      </w:pPr>
      <w:r>
        <w:rPr>
          <w:rFonts w:ascii="Barlow Semi Condensed" w:cs="Barlow Semi Condensed" w:eastAsia="Barlow Semi Condensed" w:hAnsi="Barlow Semi Condensed"/>
          <w:b/>
          <w:bCs/>
          <w:sz w:val="24"/>
          <w:szCs w:val="24"/>
        </w:rPr>
        <w:t xml:space="preserve">La differenza di traiettoria va enunciata. In Italia il concordato fu oggetto di una revisione bilaterale integrale e consensuale; in Germania il Reichskonkordat rimase in vigore immutato nella sua cornice, con adattamenti affidati alla giurisprudenza costituzionale e ai concordati dei Länder.</w:t>
      </w:r>
    </w:p>
    <w:p>
      <w:pPr>
        <w:spacing w:after="120" w:line="276"/>
        <w:jc w:val="both"/>
      </w:pPr>
      <w:r>
        <w:rPr>
          <w:rFonts w:ascii="Barlow Semi Condensed" w:cs="Barlow Semi Condensed" w:eastAsia="Barlow Semi Condensed" w:hAnsi="Barlow Semi Condensed"/>
          <w:b/>
          <w:bCs/>
          <w:sz w:val="24"/>
          <w:szCs w:val="24"/>
        </w:rPr>
        <w:t xml:space="preserve">Cinquantacinque anni per la revisione italiana. Nessuna revisione per quella tedesca, a novantadue anni dalla firma.</w:t>
      </w:r>
    </w:p>
    <w:p>
      <w:pPr>
        <w:pStyle w:val="Heading2"/>
        <w:spacing w:after="100" w:before="200"/>
      </w:pPr>
      <w:r>
        <w:rPr>
          <w:rFonts w:ascii="Barlow Semi Condensed" w:cs="Barlow Semi Condensed" w:eastAsia="Barlow Semi Condensed" w:hAnsi="Barlow Semi Condensed"/>
          <w:sz w:val="24"/>
          <w:szCs w:val="24"/>
        </w:rPr>
        <w:t xml:space="preserve">Capitolo decimo — Helsinki 1975 e una correzione sulla lettera tedesca</w:t>
      </w:r>
    </w:p>
    <w:p>
      <w:pPr>
        <w:spacing w:after="120" w:line="276"/>
        <w:jc w:val="both"/>
      </w:pPr>
      <w:r>
        <w:rPr>
          <w:rFonts w:ascii="Barlow Semi Condensed" w:cs="Barlow Semi Condensed" w:eastAsia="Barlow Semi Condensed" w:hAnsi="Barlow Semi Condensed"/>
          <w:b/>
          <w:bCs/>
          <w:sz w:val="24"/>
          <w:szCs w:val="24"/>
        </w:rPr>
        <w:t xml:space="preserve">Il capitolo espone il momento in cui i soggetti convergono, e corregge un'ipotesi che avevo posto nella formulazione della ricerca.</w:t>
      </w:r>
    </w:p>
    <w:p>
      <w:pPr>
        <w:spacing w:after="120" w:line="276"/>
        <w:jc w:val="both"/>
      </w:pPr>
      <w:r>
        <w:rPr>
          <w:rFonts w:ascii="Barlow Semi Condensed" w:cs="Barlow Semi Condensed" w:eastAsia="Barlow Semi Condensed" w:hAnsi="Barlow Semi Condensed"/>
          <w:b/>
          <w:bCs/>
          <w:sz w:val="24"/>
          <w:szCs w:val="24"/>
        </w:rPr>
        <w:t xml:space="preserve">Le fasi. Fase multilaterale preparatoria dal novembre 1972; negoziati dal 3 luglio 1973; Atto finale firmato a Helsinki il 1 agosto 1975 da trentacinque Stati.</w:t>
      </w:r>
    </w:p>
    <w:p>
      <w:pPr>
        <w:spacing w:after="120" w:line="276"/>
        <w:jc w:val="both"/>
      </w:pPr>
      <w:r>
        <w:rPr>
          <w:rFonts w:ascii="Barlow Semi Condensed" w:cs="Barlow Semi Condensed" w:eastAsia="Barlow Semi Condensed" w:hAnsi="Barlow Semi Condensed"/>
          <w:b/>
          <w:bCs/>
          <w:sz w:val="24"/>
          <w:szCs w:val="24"/>
        </w:rPr>
        <w:t xml:space="preserve">Le firme tedesche. Entrambe le Germanie parteciparono alla pari. Per la Repubblica Federale firmò il cancelliere Helmut Schmidt; per la Repubblica Democratica il segretario generale Erich Honecker.</w:t>
      </w:r>
    </w:p>
    <w:p>
      <w:pPr>
        <w:spacing w:after="120" w:line="276"/>
        <w:jc w:val="both"/>
      </w:pPr>
      <w:r>
        <w:rPr>
          <w:rFonts w:ascii="Barlow Semi Condensed" w:cs="Barlow Semi Condensed" w:eastAsia="Barlow Semi Condensed" w:hAnsi="Barlow Semi Condensed"/>
          <w:b/>
          <w:bCs/>
          <w:sz w:val="24"/>
          <w:szCs w:val="24"/>
        </w:rPr>
        <w:t xml:space="preserve">Il principio decisivo. Il principio terzo dell'Atto finale sancisce l'inviolabilità delle frontiere. La clausola sulla loro modificabilità per via pacifica — secondo cui le frontiere possono essere mutate solo con mezzi pacifici e per accordo — fu essenziale per la Repubblica Federale perché lasciava aperta la possibilità giuridica della riunificazione senza contraddire il riconoscimento dello status quo.</w:t>
      </w:r>
    </w:p>
    <w:p>
      <w:pPr>
        <w:spacing w:after="120" w:line="276"/>
        <w:jc w:val="both"/>
      </w:pPr>
      <w:r>
        <w:rPr>
          <w:rFonts w:ascii="Barlow Semi Condensed" w:cs="Barlow Semi Condensed" w:eastAsia="Barlow Semi Condensed" w:hAnsi="Barlow Semi Condensed"/>
          <w:b/>
          <w:bCs/>
          <w:sz w:val="24"/>
          <w:szCs w:val="24"/>
        </w:rPr>
        <w:t xml:space="preserve">E qui la correzione. Nella formulazione della ricerca avevo ipotizzato l'esistenza di una lettera tedesca sull'unità nazionale allegata all'Atto finale, sul modello di quelle allegate ai trattati del 1970 e del 1972. Tale lettera non risulta esistere.</w:t>
      </w:r>
    </w:p>
    <w:p>
      <w:pPr>
        <w:spacing w:after="120" w:line="276"/>
        <w:jc w:val="both"/>
      </w:pPr>
      <w:r>
        <w:rPr>
          <w:rFonts w:ascii="Barlow Semi Condensed" w:cs="Barlow Semi Condensed" w:eastAsia="Barlow Semi Condensed" w:hAnsi="Barlow Semi Condensed"/>
          <w:b/>
          <w:bCs/>
          <w:sz w:val="24"/>
          <w:szCs w:val="24"/>
        </w:rPr>
        <w:t xml:space="preserve">Le fonti attestano che il \Brief zur deutschen Einheit\ fu allegato al Trattato di Mosca del 1970 e al Trattato fondamentale del 1972, mentre a Helsinki lo strumento rilevante fu la clausola di modificabilità pacifica delle frontiere.</w:t>
      </w:r>
    </w:p>
    <w:p>
      <w:pPr>
        <w:spacing w:after="120" w:line="276"/>
        <w:jc w:val="both"/>
      </w:pPr>
      <w:r>
        <w:rPr>
          <w:rFonts w:ascii="Barlow Semi Condensed" w:cs="Barlow Semi Condensed" w:eastAsia="Barlow Semi Condensed" w:hAnsi="Barlow Semi Condensed"/>
          <w:b/>
          <w:bCs/>
          <w:sz w:val="24"/>
          <w:szCs w:val="24"/>
        </w:rPr>
        <w:t xml:space="preserve">Si registra dunque come esito parzialmente negativo: nessuna lettera tedesca allegata all'Atto finale è documentata; la funzione che avevo ipotizzato fu assolta dalla clausola, non da una lettera.</w:t>
      </w:r>
    </w:p>
    <w:p>
      <w:pPr>
        <w:spacing w:after="120" w:line="276"/>
        <w:jc w:val="both"/>
      </w:pPr>
      <w:r>
        <w:rPr>
          <w:rFonts w:ascii="Barlow Semi Condensed" w:cs="Barlow Semi Condensed" w:eastAsia="Barlow Semi Condensed" w:hAnsi="Barlow Semi Condensed"/>
          <w:b/>
          <w:bCs/>
          <w:sz w:val="24"/>
          <w:szCs w:val="24"/>
        </w:rPr>
        <w:t xml:space="preserve">La correzione va notata anche per il metodo che la produce. Avevo formulato l'ipotesi con la clausola \se esistente\, e l'ipotesi è caduta. È il funzionamento corretto di una domanda di ricerca: essa deve poter tornare negativa, e questa lo ha fatto.</w:t>
      </w:r>
    </w:p>
    <w:p>
      <w:pPr>
        <w:spacing w:after="120" w:line="276"/>
        <w:jc w:val="both"/>
      </w:pPr>
      <w:r>
        <w:rPr>
          <w:rFonts w:ascii="Barlow Semi Condensed" w:cs="Barlow Semi Condensed" w:eastAsia="Barlow Semi Condensed" w:hAnsi="Barlow Semi Condensed"/>
          <w:b/>
          <w:bCs/>
          <w:sz w:val="24"/>
          <w:szCs w:val="24"/>
        </w:rPr>
        <w:t xml:space="preserve">La firma italiana. Per l'Italia firmò Aldo Moro, nella duplice qualità di presidente del Consiglio e di presidente di turno della Comunità europea. Una fonte giornalistica qualificata riporta il suo intervento: i Nove, per le materie di competenza comunitaria, avevano esaminato le conclusioni della Conferenza e le accettavano, di conseguenza firmerò l'Atto finale nella mia duplice qualità.</w:t>
      </w:r>
    </w:p>
    <w:p>
      <w:pPr>
        <w:spacing w:after="120" w:line="276"/>
        <w:jc w:val="both"/>
      </w:pPr>
      <w:r>
        <w:rPr>
          <w:rFonts w:ascii="Barlow Semi Condensed" w:cs="Barlow Semi Condensed" w:eastAsia="Barlow Semi Condensed" w:hAnsi="Barlow Semi Condensed"/>
          <w:b/>
          <w:bCs/>
          <w:sz w:val="24"/>
          <w:szCs w:val="24"/>
        </w:rPr>
        <w:t xml:space="preserve">Un nome va registrato perché è quello dell'operatore. L'ambasciatore Luigi Vittorio Ferraris fu tessitore per l'Italia di quella Conferenza.</w:t>
      </w:r>
    </w:p>
    <w:p>
      <w:pPr>
        <w:spacing w:after="120" w:line="276"/>
        <w:jc w:val="both"/>
      </w:pPr>
      <w:r>
        <w:rPr>
          <w:rFonts w:ascii="Barlow Semi Condensed" w:cs="Barlow Semi Condensed" w:eastAsia="Barlow Semi Condensed" w:hAnsi="Barlow Semi Condensed"/>
          <w:b/>
          <w:bCs/>
          <w:sz w:val="24"/>
          <w:szCs w:val="24"/>
        </w:rPr>
        <w:t xml:space="preserve">La firma vaticana. Anche la Santa Sede fu firmataria, avendo perseguito l'inserimento delle clausole sui diritti umani e sulla libertà religiosa.</w:t>
      </w:r>
    </w:p>
    <w:p>
      <w:pPr>
        <w:spacing w:after="120" w:line="276"/>
        <w:jc w:val="both"/>
      </w:pPr>
      <w:r>
        <w:rPr>
          <w:rFonts w:ascii="Barlow Semi Condensed" w:cs="Barlow Semi Condensed" w:eastAsia="Barlow Semi Condensed" w:hAnsi="Barlow Semi Condensed"/>
          <w:b/>
          <w:bCs/>
          <w:sz w:val="24"/>
          <w:szCs w:val="24"/>
        </w:rPr>
        <w:t xml:space="preserve">La qualificazione della convergenza, e va apposta con la consueta precisione. La convergenza fra posizione italiana, posizione comunitaria e posizione della Santa Sede a Helsinki è documentata come convergenza di obiettivo e comunanza di ambiente diplomatico, non come coordinamento formale fra Roma politica e Roma pontificia, che le fonti non attestano.</w:t>
      </w:r>
    </w:p>
    <w:p>
      <w:pPr>
        <w:spacing w:after="120" w:line="276"/>
        <w:jc w:val="both"/>
      </w:pPr>
      <w:r>
        <w:rPr>
          <w:rFonts w:ascii="Barlow Semi Condensed" w:cs="Barlow Semi Condensed" w:eastAsia="Barlow Semi Condensed" w:hAnsi="Barlow Semi Condensed"/>
          <w:b/>
          <w:bCs/>
          <w:sz w:val="24"/>
          <w:szCs w:val="24"/>
        </w:rPr>
        <w:t xml:space="preserve">Un rilievo comparativo chiude il capitolo. Nella settima ricognizione si era osservato che la Santa Sede ottenne a Helsinki la libertà religiosa guardando a Oriente, e che non risultava averla invocata verso Ankara. Qui va aggiunto il complemento tedesco: la medesima Conferenza fornì alla Repubblica Federale la clausola che teneva aperta la riunificazione, e alla Santa Sede il principio che teneva aperta la libertà religiosa nei Paesi del blocco. Due soggetti diversi ottennero dal medesimo atto due clausole di apertura verso il medesimo Oriente.</w:t>
      </w:r>
    </w:p>
    <w:p>
      <w:pPr>
        <w:pStyle w:val="Heading2"/>
        <w:spacing w:after="100" w:before="200"/>
      </w:pPr>
      <w:r>
        <w:rPr>
          <w:rFonts w:ascii="Barlow Semi Condensed" w:cs="Barlow Semi Condensed" w:eastAsia="Barlow Semi Condensed" w:hAnsi="Barlow Semi Condensed"/>
          <w:sz w:val="24"/>
          <w:szCs w:val="24"/>
        </w:rPr>
        <w:t xml:space="preserve">Capitolo undicesimo — Il versante RAF e una correzione di data nella tavola del progetto</w:t>
      </w:r>
    </w:p>
    <w:p>
      <w:pPr>
        <w:spacing w:after="120" w:line="276"/>
        <w:jc w:val="both"/>
      </w:pPr>
      <w:r>
        <w:rPr>
          <w:rFonts w:ascii="Barlow Semi Condensed" w:cs="Barlow Semi Condensed" w:eastAsia="Barlow Semi Condensed" w:hAnsi="Barlow Semi Condensed"/>
          <w:b/>
          <w:bCs/>
          <w:sz w:val="24"/>
          <w:szCs w:val="24"/>
        </w:rPr>
        <w:t xml:space="preserve">Il capitolo tocca una voce aperta della tavola delle acquisizioni del progetto, e ne corregge un dato.</w:t>
      </w:r>
    </w:p>
    <w:p>
      <w:pPr>
        <w:spacing w:after="120" w:line="276"/>
        <w:jc w:val="both"/>
      </w:pPr>
      <w:r>
        <w:rPr>
          <w:rFonts w:ascii="Barlow Semi Condensed" w:cs="Barlow Semi Condensed" w:eastAsia="Barlow Semi Condensed" w:hAnsi="Barlow Semi Condensed"/>
          <w:b/>
          <w:bCs/>
          <w:sz w:val="24"/>
          <w:szCs w:val="24"/>
        </w:rPr>
        <w:t xml:space="preserve">La correzione, enunciata subito. Willy Peter Stoll, militante della Rote Armee Fraktion, nato a Stoccarda il 12 giugno 1950, fu ucciso dalla polizia a Düsseldorf il 6 settembre 1978, non l'11 settembre. La \Stuttgarter Zeitung\ colloca l'episodio la sera del 6 settembre 1978 nel ristorante cinese Shanghai di Düsseldorf.</w:t>
      </w:r>
    </w:p>
    <w:p>
      <w:pPr>
        <w:spacing w:after="120" w:line="276"/>
        <w:jc w:val="both"/>
      </w:pPr>
      <w:r>
        <w:rPr>
          <w:rFonts w:ascii="Barlow Semi Condensed" w:cs="Barlow Semi Condensed" w:eastAsia="Barlow Semi Condensed" w:hAnsi="Barlow Semi Condensed"/>
          <w:b/>
          <w:bCs/>
          <w:sz w:val="24"/>
          <w:szCs w:val="24"/>
        </w:rPr>
        <w:t xml:space="preserve">La voce quindicesima della tavola del memorandum Moro reca dunque una data errata, e va emendata.</w:t>
      </w:r>
    </w:p>
    <w:p>
      <w:pPr>
        <w:spacing w:after="120" w:line="276"/>
        <w:jc w:val="both"/>
      </w:pPr>
      <w:r>
        <w:rPr>
          <w:rFonts w:ascii="Barlow Semi Condensed" w:cs="Barlow Semi Condensed" w:eastAsia="Barlow Semi Condensed" w:hAnsi="Barlow Semi Condensed"/>
          <w:b/>
          <w:bCs/>
          <w:sz w:val="24"/>
          <w:szCs w:val="24"/>
        </w:rPr>
        <w:t xml:space="preserve">Ciò che si afferma nei materiali italiani, con il suo statuto.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w:t>
      </w:r>
    </w:p>
    <w:p>
      <w:pPr>
        <w:spacing w:after="120" w:line="276"/>
        <w:jc w:val="both"/>
      </w:pPr>
      <w:r>
        <w:rPr>
          <w:rFonts w:ascii="Barlow Semi Condensed" w:cs="Barlow Semi Condensed" w:eastAsia="Barlow Semi Condensed" w:hAnsi="Barlow Semi Condensed"/>
          <w:b/>
          <w:bCs/>
          <w:sz w:val="24"/>
          <w:szCs w:val="24"/>
        </w:rPr>
        <w:t xml:space="preserve">La qualificazione è vincolante e va apposta con precisione.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w:t>
      </w:r>
    </w:p>
    <w:p>
      <w:pPr>
        <w:spacing w:after="120" w:line="276"/>
        <w:jc w:val="both"/>
      </w:pPr>
      <w:r>
        <w:rPr>
          <w:rFonts w:ascii="Barlow Semi Condensed" w:cs="Barlow Semi Condensed" w:eastAsia="Barlow Semi Condensed" w:hAnsi="Barlow Semi Condensed"/>
          <w:b/>
          <w:bCs/>
          <w:sz w:val="24"/>
          <w:szCs w:val="24"/>
        </w:rPr>
        <w:t xml:space="preserve">Che cosa la documentazione parlamentare attesta. Gli atti della Commissione Moro attestano l'esistenza di un filone d'indagine sui possibili contatti operativi fra Brigate Rosse e RAF nel periodo immediatamente precedente il sequestro, incluso il tema di un presunto infiltrato dei servizi tedeschi a Milano.</w:t>
      </w:r>
    </w:p>
    <w:p>
      <w:pPr>
        <w:spacing w:after="120" w:line="276"/>
        <w:jc w:val="both"/>
      </w:pPr>
      <w:r>
        <w:rPr>
          <w:rFonts w:ascii="Barlow Semi Condensed" w:cs="Barlow Semi Condensed" w:eastAsia="Barlow Semi Condensed" w:hAnsi="Barlow Semi Condensed"/>
          <w:b/>
          <w:bCs/>
          <w:sz w:val="24"/>
          <w:szCs w:val="24"/>
        </w:rPr>
        <w:t xml:space="preserve">Che cosa non è sostenuto.\\ \\Le tesi circolanti nella pubblicistica su una eterodirezione del sequestro Moro, non trovando riscontro nelle fonti primarie giudiziarie, vanno qualificate come non sostenute.</w:t>
      </w:r>
    </w:p>
    <w:p>
      <w:pPr>
        <w:spacing w:after="120" w:line="276"/>
        <w:jc w:val="both"/>
      </w:pPr>
      <w:r>
        <w:rPr>
          <w:rFonts w:ascii="Barlow Semi Condensed" w:cs="Barlow Semi Condensed" w:eastAsia="Barlow Semi Condensed" w:hAnsi="Barlow Semi Condensed"/>
          <w:b/>
          <w:bCs/>
          <w:sz w:val="24"/>
          <w:szCs w:val="24"/>
        </w:rPr>
        <w:t xml:space="preserve">Il precedente immediato, per date. Hanns Martin Schleyer, presidente della Confindustria tedesca, fu rapito a Colonia il 5 settembre 1977 dal commando \Siegfried Hausner\ della RAF e ucciso in ottobre. La linea tedesca della fermezza fu gestita da un Krisenstab e culminò nel blitz di Mogadiscio del 18 ottobre 1977.</w:t>
      </w:r>
    </w:p>
    <w:p>
      <w:pPr>
        <w:spacing w:after="120" w:line="276"/>
        <w:jc w:val="both"/>
      </w:pPr>
      <w:r>
        <w:rPr>
          <w:rFonts w:ascii="Barlow Semi Condensed" w:cs="Barlow Semi Condensed" w:eastAsia="Barlow Semi Condensed" w:hAnsi="Barlow Semi Condensed"/>
          <w:b/>
          <w:bCs/>
          <w:sz w:val="24"/>
          <w:szCs w:val="24"/>
        </w:rPr>
        <w:t xml:space="preserve">Il sequestro Moro si colloca fra il 16 marzo e il 9 maggio 1978 — dunque a cinque mesi dalla conclusione del caso Schleyer.</w:t>
      </w:r>
    </w:p>
    <w:p>
      <w:pPr>
        <w:spacing w:after="120" w:line="276"/>
        <w:jc w:val="both"/>
      </w:pPr>
      <w:r>
        <w:rPr>
          <w:rFonts w:ascii="Barlow Semi Condensed" w:cs="Barlow Semi Condensed" w:eastAsia="Barlow Semi Condensed" w:hAnsi="Barlow Semi Condensed"/>
          <w:b/>
          <w:bCs/>
          <w:sz w:val="24"/>
          <w:szCs w:val="24"/>
        </w:rPr>
        <w:t xml:space="preserve">Il rilievo cronologico va enunciato senza inferirne alcun nesso. La linea della fermezza tedesca era stata applicata e aveva prodotto la morte dell'ostaggio cinque mesi prima che il sequestro italiano cominciasse. Che questo abbia influito sulla decisione italiana è ipotesi storiografica corrente e non accertamento; le fonti reperite non la documentano come nesso.</w:t>
      </w:r>
    </w:p>
    <w:p>
      <w:pPr>
        <w:spacing w:after="120" w:line="276"/>
        <w:jc w:val="both"/>
      </w:pPr>
      <w:r>
        <w:rPr>
          <w:rFonts w:ascii="Barlow Semi Condensed" w:cs="Barlow Semi Condensed" w:eastAsia="Barlow Semi Condensed" w:hAnsi="Barlow Semi Condensed"/>
          <w:b/>
          <w:bCs/>
          <w:sz w:val="24"/>
          <w:szCs w:val="24"/>
        </w:rPr>
        <w:t xml:space="preserve">Che cosa resta aperto. La cooperazione italo-tedesca in materia di terrorismo durante il sequestro Moro, con il ruolo del Bundeskriminalamt e le offerte di collaborazione tedesca, non è accertata dalle fonti edite reperite. Le sedi sono gli atti della Commissione parlamentare d'inchiesta e gli archivi del Bundeskriminalamt.</w:t>
      </w:r>
    </w:p>
    <w:p>
      <w:pPr>
        <w:spacing w:after="120" w:line="276"/>
        <w:jc w:val="both"/>
      </w:pPr>
      <w:r>
        <w:rPr>
          <w:rFonts w:ascii="Barlow Semi Condensed" w:cs="Barlow Semi Condensed" w:eastAsia="Barlow Semi Condensed" w:hAnsi="Barlow Semi Condensed"/>
          <w:b/>
          <w:bCs/>
          <w:sz w:val="24"/>
          <w:szCs w:val="24"/>
        </w:rPr>
        <w:t xml:space="preserve">Il capitolo è più breve degli altri e ne dichiara la ragione: su questa materia il materiale edito è insufficiente, e supplirvi con l'inferenza sarebbe esattamente l'errore che la disciplina del progetto vieta.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nove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Il testo integrale della comunicazione vaticana del 28 giugno 1972, quella che secondo Hummel si riferì espressamente al trattato tedesco-polacco. È il documento che regge l'intero accertamento di questo studio, e finora se ne conosce il contenuto per via di citazione storiografica. Sedi: Acta Apostolicae Sedis, volume sessantaquattresimo del 1972, e i volumi di Hansjakob Stehle, \Die Ostpolitik des Vatikans\, Monaco 1975, di Andrea Riccardi, e la raccolta curata da Alberto Melloni, \Il filo sottile\, il Mulino 2006. Per il versante polacco: la raccolta curata da Wojciech Kucharski, \Droga do stabilizacji polskiej administracji kościelnej na Ziemiach Zachodnich i Północnych po II wojnie światowej\, Breslavia 2013. Condizione di chiusura: la lettura del testo integrale della comunicazione.</w:t>
      </w:r>
    </w:p>
    <w:p>
      <w:pPr>
        <w:spacing w:after="120" w:line="276"/>
        <w:jc w:val="both"/>
      </w:pPr>
      <w:r>
        <w:rPr>
          <w:rFonts w:ascii="Barlow Semi Condensed" w:cs="Barlow Semi Condensed" w:eastAsia="Barlow Semi Condensed" w:hAnsi="Barlow Semi Condensed"/>
          <w:b/>
          <w:bCs/>
          <w:sz w:val="24"/>
          <w:szCs w:val="24"/>
        </w:rPr>
        <w:t xml:space="preserve">Seconda voce. La posizione italiana sui cinque atti della Ostpolitik e gli incontri di Moro con Scheel e con Brandt, con data e sede. Sedi: Archivio Storico Diplomatico, serie Germania; Akten zur Auswärtigen Politik der Bundesrepublik Deutschland; Documenti Diplomatici Italiani. Condizione: spoglio, tenuto conto dell'esclusione dei Telegrammi 1942-1970.</w:t>
      </w:r>
    </w:p>
    <w:p>
      <w:pPr>
        <w:spacing w:after="120" w:line="276"/>
        <w:jc w:val="both"/>
      </w:pPr>
      <w:r>
        <w:rPr>
          <w:rFonts w:ascii="Barlow Semi Condensed" w:cs="Barlow Semi Condensed" w:eastAsia="Barlow Semi Condensed" w:hAnsi="Barlow Semi Condensed"/>
          <w:b/>
          <w:bCs/>
          <w:sz w:val="24"/>
          <w:szCs w:val="24"/>
        </w:rPr>
        <w:t xml:space="preserve">Terza voce. La tesi di dottorato di Filippo Triola sulle relazioni italo-tedesche 1963-1972, discussa all'Università di Bologna, che copre esattamente il quadriennio che il volume di Fasanaro lascia in ombra.</w:t>
      </w:r>
    </w:p>
    <w:p>
      <w:pPr>
        <w:spacing w:after="120" w:line="276"/>
        <w:jc w:val="both"/>
      </w:pPr>
      <w:r>
        <w:rPr>
          <w:rFonts w:ascii="Barlow Semi Condensed" w:cs="Barlow Semi Condensed" w:eastAsia="Barlow Semi Condensed" w:hAnsi="Barlow Semi Condensed"/>
          <w:b/>
          <w:bCs/>
          <w:sz w:val="24"/>
          <w:szCs w:val="24"/>
        </w:rPr>
        <w:t xml:space="preserve">Quarta voce. L'eventuale posizione italiana sulla riorganizzazione diocesana del 1972. Sedi: Documenti Diplomatici Italiani; Archivio Storico Diplomatico, serie Santa Sede; carte dell'Ambasciata d'Italia presso la Santa Sede. Si segnala che l'esito atteso è negativo e coerente: la materia fu trilaterale — Santa Sede, Polonia, Repubblica Federale — e priva di interesse giuridico italiano.</w:t>
      </w:r>
    </w:p>
    <w:p>
      <w:pPr>
        <w:spacing w:after="120" w:line="276"/>
        <w:jc w:val="both"/>
      </w:pPr>
      <w:r>
        <w:rPr>
          <w:rFonts w:ascii="Barlow Semi Condensed" w:cs="Barlow Semi Condensed" w:eastAsia="Barlow Semi Condensed" w:hAnsi="Barlow Semi Condensed"/>
          <w:b/>
          <w:bCs/>
          <w:sz w:val="24"/>
          <w:szCs w:val="24"/>
        </w:rPr>
        <w:t xml:space="preserve">Quinta voce. La posizione italiana sulla dottrina Hallstein e sul suo superamento. Sede: archivi diplomatici.</w:t>
      </w:r>
    </w:p>
    <w:p>
      <w:pPr>
        <w:spacing w:after="120" w:line="276"/>
        <w:jc w:val="both"/>
      </w:pPr>
      <w:r>
        <w:rPr>
          <w:rFonts w:ascii="Barlow Semi Condensed" w:cs="Barlow Semi Condensed" w:eastAsia="Barlow Semi Condensed" w:hAnsi="Barlow Semi Condensed"/>
          <w:b/>
          <w:bCs/>
          <w:sz w:val="24"/>
          <w:szCs w:val="24"/>
        </w:rPr>
        <w:t xml:space="preserve">Sesta voce. La cooperazione italo-tedesca sul terrorismo durante il sequestro Moro. Sedi: atti della Commissione parlamentare d'inchiesta; archivi del Bundeskriminalamt.</w:t>
      </w:r>
    </w:p>
    <w:p>
      <w:pPr>
        <w:spacing w:after="120" w:line="276"/>
        <w:jc w:val="both"/>
      </w:pPr>
      <w:r>
        <w:rPr>
          <w:rFonts w:ascii="Barlow Semi Condensed" w:cs="Barlow Semi Condensed" w:eastAsia="Barlow Semi Condensed" w:hAnsi="Barlow Semi Condensed"/>
          <w:b/>
          <w:bCs/>
          <w:sz w:val="24"/>
          <w:szCs w:val="24"/>
        </w:rPr>
        <w:t xml:space="preserve">Settima voce. Le carte del cardinale Döpfner, per accertare quando egli apprese dell'atto del 1972 e come reagì. Sedi: archivio della Conferenza episcopale tedesca; archivio dell'arcidiocesi di Monaco.</w:t>
      </w:r>
    </w:p>
    <w:p>
      <w:pPr>
        <w:pStyle w:val="Heading2"/>
        <w:spacing w:after="100" w:before="200"/>
      </w:pPr>
      <w:r>
        <w:rPr>
          <w:rFonts w:ascii="Barlow Semi Condensed" w:cs="Barlow Semi Condensed" w:eastAsia="Barlow Semi Condensed" w:hAnsi="Barlow Semi Condensed"/>
          <w:sz w:val="24"/>
          <w:szCs w:val="24"/>
        </w:rPr>
        <w:t xml:space="preserve">Nota sul bilancio delle nove ricognizioni, che chiude questo studio.</w:t>
      </w:r>
    </w:p>
    <w:p>
      <w:pPr>
        <w:spacing w:after="120" w:line="276"/>
        <w:jc w:val="both"/>
      </w:pPr>
      <w:r>
        <w:rPr>
          <w:rFonts w:ascii="Barlow Semi Condensed" w:cs="Barlow Semi Condensed" w:eastAsia="Barlow Semi Condensed" w:hAnsi="Barlow Semi Condensed"/>
          <w:b/>
          <w:bCs/>
          <w:sz w:val="24"/>
          <w:szCs w:val="24"/>
        </w:rPr>
        <w:t xml:space="preserve">Nove ricognizioni hanno percorso l'attività ministeriale di Moro verso Spagna, Portogallo, Grecia, Cipro, Turchia e Germania, incrociandola con la Santa Sede e con l'Opus Dei.</w:t>
      </w:r>
    </w:p>
    <w:p>
      <w:pPr>
        <w:spacing w:after="120" w:line="276"/>
        <w:jc w:val="both"/>
      </w:pPr>
      <w:r>
        <w:rPr>
          <w:rFonts w:ascii="Barlow Semi Condensed" w:cs="Barlow Semi Condensed" w:eastAsia="Barlow Semi Condensed" w:hAnsi="Barlow Semi Condensed"/>
          <w:b/>
          <w:bCs/>
          <w:sz w:val="24"/>
          <w:szCs w:val="24"/>
        </w:rPr>
        <w:t xml:space="preserve">Le prime otto avevano prodotto una conclusione costante: il governo italiano non compare come attore documentato. Questa nona la conferma quanto all'Italia — la posizione italiana sui cinque atti della Ostpolitik resta da reperire, e il riconoscimento della Repubblica Democratica cadde fra i due mandati di Moro — ma produce, sull'altro asse, un risultato che nessuna delle precedenti aveva prodotto.</w:t>
      </w:r>
    </w:p>
    <w:p>
      <w:pPr>
        <w:spacing w:after="120" w:line="276"/>
        <w:jc w:val="both"/>
      </w:pPr>
      <w:r>
        <w:rPr>
          <w:rFonts w:ascii="Barlow Semi Condensed" w:cs="Barlow Semi Condensed" w:eastAsia="Barlow Semi Condensed" w:hAnsi="Barlow Semi Condensed"/>
          <w:b/>
          <w:bCs/>
          <w:sz w:val="24"/>
          <w:szCs w:val="24"/>
        </w:rPr>
        <w:t xml:space="preserve">Per la prima volta in nove studi è documentato un nesso e non una coincidenza. La Santa Sede attese la ratifica del Trattato di Varsavia prima di erigere le diocesi, e lo attese dichiaratamente: la consuenza era stata comunicata a Bonn, la comunicazione di accompagnamento si riferì espressamente al trattato, e la reazione romana giunse entro tre settimane.</w:t>
      </w:r>
    </w:p>
    <w:p>
      <w:pPr>
        <w:spacing w:after="120" w:line="276"/>
        <w:jc w:val="both"/>
      </w:pPr>
      <w:r>
        <w:rPr>
          <w:rFonts w:ascii="Barlow Semi Condensed" w:cs="Barlow Semi Condensed" w:eastAsia="Barlow Semi Condensed" w:hAnsi="Barlow Semi Condensed"/>
          <w:b/>
          <w:bCs/>
          <w:sz w:val="24"/>
          <w:szCs w:val="24"/>
        </w:rPr>
        <w:t xml:space="preserve">E il modo in cui lo fece è la cosa più istruttiva. Nel testo canonico non compare la parola trattato. Compare soltanto il popolo cristiano da reggere e la richiesta dei vescovi polacchi. La Santa Sede fece ciò che il trattato rendeva possibile, lo disse alla stampa, e non lo scrisse nell'atto — così da non costituire essa stessa un riconoscimento politico di confine.</w:t>
      </w:r>
    </w:p>
    <w:p>
      <w:pPr>
        <w:spacing w:after="120" w:line="276"/>
        <w:jc w:val="both"/>
      </w:pPr>
      <w:r>
        <w:rPr>
          <w:rFonts w:ascii="Barlow Semi Condensed" w:cs="Barlow Semi Condensed" w:eastAsia="Barlow Semi Condensed" w:hAnsi="Barlow Semi Condensed"/>
          <w:b/>
          <w:bCs/>
          <w:sz w:val="24"/>
          <w:szCs w:val="24"/>
        </w:rPr>
        <w:t xml:space="preserve">Ne discende la lezione che questo nono studio aggiunge alle precedenti, e che è di ordine diverso.</w:t>
      </w:r>
    </w:p>
    <w:p>
      <w:pPr>
        <w:spacing w:after="120" w:line="276"/>
        <w:jc w:val="both"/>
      </w:pPr>
      <w:r>
        <w:rPr>
          <w:rFonts w:ascii="Barlow Semi Condensed" w:cs="Barlow Semi Condensed" w:eastAsia="Barlow Semi Condensed" w:hAnsi="Barlow Semi Condensed"/>
          <w:b/>
          <w:bCs/>
          <w:sz w:val="24"/>
          <w:szCs w:val="24"/>
        </w:rPr>
        <w:t xml:space="preserve">Le prime otto avevano insegnato che l'assenza di traccia non è l'assenza dell'atto, e che vi sono assenze che non sono lacune.</w:t>
      </w:r>
    </w:p>
    <w:p>
      <w:pPr>
        <w:spacing w:after="120" w:line="276"/>
        <w:jc w:val="both"/>
      </w:pPr>
      <w:r>
        <w:rPr>
          <w:rFonts w:ascii="Barlow Semi Condensed" w:cs="Barlow Semi Condensed" w:eastAsia="Barlow Semi Condensed" w:hAnsi="Barlow Semi Condensed"/>
          <w:b/>
          <w:bCs/>
          <w:sz w:val="24"/>
          <w:szCs w:val="24"/>
        </w:rPr>
        <w:t xml:space="preserve">Questa insegna che vi sono nessi che i documenti principali tacciono deliberatamente, e che stanno scritti soltanto negli atti accessori. Chi avesse letto la sola costituzione apostolica avrebbe concluso che l'erezione delle quattro diocesi fu un atto pastorale. Chi legge la comunicazione che l'accompagnava trova il trattato.</w:t>
      </w:r>
    </w:p>
    <w:p>
      <w:pPr>
        <w:spacing w:after="120" w:line="276"/>
        <w:jc w:val="both"/>
      </w:pPr>
      <w:r>
        <w:rPr>
          <w:rFonts w:ascii="Barlow Semi Condensed" w:cs="Barlow Semi Condensed" w:eastAsia="Barlow Semi Condensed" w:hAnsi="Barlow Semi Condensed"/>
          <w:b/>
          <w:bCs/>
          <w:sz w:val="24"/>
          <w:szCs w:val="24"/>
        </w:rPr>
        <w:t xml:space="preserve">Cercare il nesso nel documento principale, e non trovandovelo concludere che non esiste, è un errore simmetrico a quello di inferirlo dalla contemporaneità. Le nove ricognizioni consegnano insieme questa doppia disciplina, e la seconda metà è la più difficile.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 · Moro, Le Due Germanie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 6.253 parole in 9 sezioni; la più ampia è §9 Altre sezioni, con 5.313.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 158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 — Moro, La Germania E L'Opus Dei</w:t>
      </w:r>
    </w:p>
    <w:p>
      <w:pPr>
        <w:pStyle w:val="Heading1"/>
        <w:spacing w:after="120" w:before="240"/>
      </w:pPr>
      <w:r>
        <w:rPr>
          <w:rFonts w:ascii="Barlow Semi Condensed" w:cs="Barlow Semi Condensed" w:eastAsia="Barlow Semi Condensed" w:hAnsi="Barlow Semi Condensed"/>
          <w:sz w:val="24"/>
          <w:szCs w:val="24"/>
        </w:rPr>
        <w:t xml:space="preserve">MORO, LA GERMANIA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../originali/germania-opus-dei-1952-1985.md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14,7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Decima ricognizione: atto di revisione del modello</w:t>
      </w:r>
    </w:p>
    <w:p>
      <w:pPr>
        <w:pStyle w:val="Heading2"/>
        <w:spacing w:after="100" w:before="200"/>
      </w:pPr>
      <w:r>
        <w:rPr>
          <w:rFonts w:ascii="Barlow Semi Condensed" w:cs="Barlow Semi Condensed" w:eastAsia="Barlow Semi Condensed" w:hAnsi="Barlow Semi Condensed"/>
          <w:sz w:val="24"/>
          <w:szCs w:val="24"/>
        </w:rPr>
        <w:t xml:space="preserve">La prima condizione e falsificata. Britannia 1946, Germania 1952, Svezia 1984</w:t>
      </w:r>
    </w:p>
    <w:p>
      <w:pPr>
        <w:pStyle w:val="Heading2"/>
        <w:spacing w:after="100" w:before="200"/>
      </w:pPr>
      <w:r>
        <w:rPr>
          <w:rFonts w:ascii="Barlow Semi Condensed" w:cs="Barlow Semi Condensed" w:eastAsia="Barlow Semi Condensed" w:hAnsi="Barlow Semi Condensed"/>
          <w:sz w:val="24"/>
          <w:szCs w:val="24"/>
        </w:rPr>
        <w:t xml:space="preserve">Dodici Capitoli — una proposizione emendata — sei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Atto di revisione di una proposizione del Registro</w:t>
      </w:r>
    </w:p>
    <w:p>
      <w:pPr>
        <w:spacing w:after="120" w:line="276"/>
        <w:jc w:val="both"/>
      </w:pPr>
      <w:r>
        <w:rPr>
          <w:rFonts w:ascii="Barlow Semi Condensed" w:cs="Barlow Semi Condensed" w:eastAsia="Barlow Semi Condensed" w:hAnsi="Barlow Semi Condensed"/>
          <w:b/>
          <w:bCs/>
          <w:sz w:val="24"/>
          <w:szCs w:val="24"/>
        </w:rPr>
        <w:t xml:space="preserve">Questo documento non aggiunge un perimetro: ne corregge uno già scritto. Nell'ottava ricognizione, consolidando i casi di Grecia, Cipro e Turchia, avevo enunciato una proposizione e l'avevo dichiarata confutabile. La ricerca sul caso tedesco l'ha confutata per metà. Poiché quel risultato è rimasto finora allo stato di rapporto e non è entrato nel corpus, il Registro contiene tuttora una proposizione che una ricerca successiva ha superato. Questo documento la revisiona.</w:t>
      </w:r>
    </w:p>
    <w:p>
      <w:pPr>
        <w:spacing w:after="120" w:line="276"/>
        <w:jc w:val="both"/>
      </w:pPr>
      <w:r>
        <w:rPr>
          <w:rFonts w:ascii="Barlow Semi Condensed" w:cs="Barlow Semi Condensed" w:eastAsia="Barlow Semi Condensed" w:hAnsi="Barlow Semi Condensed"/>
          <w:b/>
          <w:bCs/>
          <w:sz w:val="24"/>
          <w:szCs w:val="24"/>
        </w:rPr>
        <w:t xml:space="preserve">La proposizione originaria, per come fu enunciata. L'insediamento dell'Opus Dei in un Paese richiede la compresenza di due condizioni: una maggioranza cattolica della popolazione, e la disponibilità di un ceto universitario e professionale cattolico autoctono su cui l'apostolato possa radicarsi.</w:t>
      </w:r>
    </w:p>
    <w:p>
      <w:pPr>
        <w:spacing w:after="120" w:line="276"/>
        <w:jc w:val="both"/>
      </w:pPr>
      <w:r>
        <w:rPr>
          <w:rFonts w:ascii="Barlow Semi Condensed" w:cs="Barlow Semi Condensed" w:eastAsia="Barlow Semi Condensed" w:hAnsi="Barlow Semi Condensed"/>
          <w:b/>
          <w:bCs/>
          <w:sz w:val="24"/>
          <w:szCs w:val="24"/>
        </w:rPr>
        <w:t xml:space="preserve">La condizione di falsificazione, per come fu dichiarata. La proposizione sarebbe stata falsificata dal reperimento di un insediamento stabile in un Paese a maggioranza non cattolica e privo di ceto cattolico autoctono. Furono elencati come casi non esaminati e potenzialmente confutanti: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Che cosa il caso tedesco stabilisce. La Repubblica Federale non era a maggioranza cattolica nel 1952 e non lo divenne mai nel periodo considerato, e l'Opus Dei vi si insediò stabilmente. La prima condizione è dunque falsificata: essa non è necessaria.</w:t>
      </w:r>
    </w:p>
    <w:p>
      <w:pPr>
        <w:spacing w:after="120" w:line="276"/>
        <w:jc w:val="both"/>
      </w:pPr>
      <w:r>
        <w:rPr>
          <w:rFonts w:ascii="Barlow Semi Condensed" w:cs="Barlow Semi Condensed" w:eastAsia="Barlow Semi Condensed" w:hAnsi="Barlow Semi Condensed"/>
          <w:b/>
          <w:bCs/>
          <w:sz w:val="24"/>
          <w:szCs w:val="24"/>
        </w:rPr>
        <w:t xml:space="preserve">Che cosa il caso tedesco non stabilisce, e va enunciato con eguale precisione perché la correttezza logica lo impone. La Germania soddisfa il primo requisito della condizione di falsificazione — maggioranza non cattolica — ma non il secondo, poiché essa è al contrario Paese dotatissimo di ceto cattolico autoctono. Il caso tedesco falsifica la sola prima condizione; non costituisce la confutazione integrale della proposizione congiunta, che richiederebbe un insediamento in un Paese difettoso di entrambe.</w:t>
      </w:r>
    </w:p>
    <w:p>
      <w:pPr>
        <w:spacing w:after="120" w:line="276"/>
        <w:jc w:val="both"/>
      </w:pPr>
      <w:r>
        <w:rPr>
          <w:rFonts w:ascii="Barlow Semi Condensed" w:cs="Barlow Semi Condensed" w:eastAsia="Barlow Semi Condensed" w:hAnsi="Barlow Semi Condensed"/>
          <w:b/>
          <w:bCs/>
          <w:sz w:val="24"/>
          <w:szCs w:val="24"/>
        </w:rPr>
        <w:t xml:space="preserve">La revisione che ne discende, enunciata qui e argomentata nei capitoli seguenti. La variabile discriminante non è la maggioranza cattolica nazionale, ma la disponibilità di un ceto universitario e professionale cattolico autoctono. La prima condizione va espunta; la seconda resta, e diventa la sola.</w:t>
      </w:r>
    </w:p>
    <w:p>
      <w:pPr>
        <w:spacing w:after="120" w:line="276"/>
        <w:jc w:val="both"/>
      </w:pPr>
      <w:r>
        <w:rPr>
          <w:rFonts w:ascii="Barlow Semi Condensed" w:cs="Barlow Semi Condensed" w:eastAsia="Barlow Semi Condensed" w:hAnsi="Barlow Semi Condensed"/>
          <w:b/>
          <w:bCs/>
          <w:sz w:val="24"/>
          <w:szCs w:val="24"/>
        </w:rPr>
        <w:t xml:space="preserve">E una conseguenza retroattiva va tratta, perché è il guadagno maggiore della revisione. Il modello rivisto spiega i tre casi orientali meglio di quello originario. Grecia, Cipro e Turchia non difettano della maggioranza cattolica — che non era la variabile operante — ma del ceto cattolico professionale autoctono. E ciò rende il caso cipriota, che nell'ottava ricognizione era il più probante ma anche il più anomalo, coerente anziché eccezionale: Cipro aveva comunità cattoliche riconosciute, ma erano contadini maroniti di quattro villaggi e un vicariato latino di quattro parrocchie, non un ceto universitario e professionale.</w:t>
      </w:r>
    </w:p>
    <w:p>
      <w:pPr>
        <w:spacing w:after="120" w:line="276"/>
        <w:jc w:val="both"/>
      </w:pPr>
      <w:r>
        <w:rPr>
          <w:rFonts w:ascii="Barlow Semi Condensed" w:cs="Barlow Semi Condensed" w:eastAsia="Barlow Semi Condensed" w:hAnsi="Barlow Semi Condensed"/>
          <w:b/>
          <w:bCs/>
          <w:sz w:val="24"/>
          <w:szCs w:val="24"/>
        </w:rPr>
        <w:t xml:space="preserve">Sulla natura di questo atto. Il progetto ha già eseguito un Atto di Declassamento, riducendo la distribuzione di Livello A dal sessantuno al quarantanove virgola due per cento del corpus Moro applicando il criterio di indipendenza genealogica. Questo è il secondo atto di quel genere, e riguarda non un grado probatorio ma una proposizione analitica.</w:t>
      </w:r>
    </w:p>
    <w:p>
      <w:pPr>
        <w:pStyle w:val="Heading2"/>
        <w:spacing w:after="100" w:before="200"/>
      </w:pPr>
      <w:r>
        <w:rPr>
          <w:rFonts w:ascii="Barlow Semi Condensed" w:cs="Barlow Semi Condensed" w:eastAsia="Barlow Semi Condensed" w:hAnsi="Barlow Semi Condensed"/>
          <w:sz w:val="24"/>
          <w:szCs w:val="24"/>
        </w:rPr>
        <w:t xml:space="preserve">Capitolo secondo — L'insediamento tedesco: date, luoghi, nomi</w:t>
      </w:r>
    </w:p>
    <w:p>
      <w:pPr>
        <w:spacing w:after="120" w:line="276"/>
        <w:jc w:val="both"/>
      </w:pPr>
      <w:r>
        <w:rPr>
          <w:rFonts w:ascii="Barlow Semi Condensed" w:cs="Barlow Semi Condensed" w:eastAsia="Barlow Semi Condensed" w:hAnsi="Barlow Semi Condensed"/>
          <w:b/>
          <w:bCs/>
          <w:sz w:val="24"/>
          <w:szCs w:val="24"/>
        </w:rPr>
        <w:t xml:space="preserve">Il capitolo espone i fatti su cui poggia la falsificazione, e li espone per intero perché la verifica sia riproducibile.</w:t>
      </w:r>
    </w:p>
    <w:p>
      <w:pPr>
        <w:spacing w:after="120" w:line="276"/>
        <w:jc w:val="both"/>
      </w:pPr>
      <w:r>
        <w:rPr>
          <w:rFonts w:ascii="Barlow Semi Condensed" w:cs="Barlow Semi Condensed" w:eastAsia="Barlow Semi Condensed" w:hAnsi="Barlow Semi Condensed"/>
          <w:b/>
          <w:bCs/>
          <w:sz w:val="24"/>
          <w:szCs w:val="24"/>
        </w:rPr>
        <w:t xml:space="preserve">La fonte. Un documento della Prelatura intitolato \Kurzdarstellung der Anfänge des Opus Dei in Deutschland\, datato 21 marzo 2006 e pubblicato sul sito dell'ente. Come nelle ricognizioni anteriori, la fonte ufficiale è impiegata per i dati di fatto sui propri insediamenti — dove essa è la migliore possibile — e non per le valutazioni di responsabilità; ed è verificata contro fonti indipendenti, che convergono su date e luoghi.</w:t>
      </w:r>
    </w:p>
    <w:p>
      <w:pPr>
        <w:spacing w:after="120" w:line="276"/>
        <w:jc w:val="both"/>
      </w:pPr>
      <w:r>
        <w:rPr>
          <w:rFonts w:ascii="Barlow Semi Condensed" w:cs="Barlow Semi Condensed" w:eastAsia="Barlow Semi Condensed" w:hAnsi="Barlow Semi Condensed"/>
          <w:b/>
          <w:bCs/>
          <w:sz w:val="24"/>
          <w:szCs w:val="24"/>
        </w:rPr>
        <w:t xml:space="preserve">I primi tre membri, nominati. Giunsero in Germania nel 1952: Alfons Par, in spagnolo Alfonso, 1922-2002, ingegnere diplomato e sacerdote dal 1951; Fernando Echeverría, 1924-2015, commercialista; Fernando Inciarte, 1929-2000, filosofo, che sarebbe divenuto ordinario a Münster.</w:t>
      </w:r>
    </w:p>
    <w:p>
      <w:pPr>
        <w:spacing w:after="120" w:line="276"/>
        <w:jc w:val="both"/>
      </w:pPr>
      <w:r>
        <w:rPr>
          <w:rFonts w:ascii="Barlow Semi Condensed" w:cs="Barlow Semi Condensed" w:eastAsia="Barlow Semi Condensed" w:hAnsi="Barlow Semi Condensed"/>
          <w:b/>
          <w:bCs/>
          <w:sz w:val="24"/>
          <w:szCs w:val="24"/>
        </w:rPr>
        <w:t xml:space="preserve">Il profilo va notato subito perché è la chiave del capitolo: un ingegnere-sacerdote, un commercialista e un filosofo destinato alla cattedra. Non missionari generici: quadri professionali e accademici.</w:t>
      </w:r>
    </w:p>
    <w:p>
      <w:pPr>
        <w:spacing w:after="120" w:line="276"/>
        <w:jc w:val="both"/>
      </w:pPr>
      <w:r>
        <w:rPr>
          <w:rFonts w:ascii="Barlow Semi Condensed" w:cs="Barlow Semi Condensed" w:eastAsia="Barlow Semi Condensed" w:hAnsi="Barlow Semi Condensed"/>
          <w:b/>
          <w:bCs/>
          <w:sz w:val="24"/>
          <w:szCs w:val="24"/>
        </w:rPr>
        <w:t xml:space="preserve">La prima residenza.\\ Aperta nel \\1953\\ all'\\Adenauerallee di Bonn\\, divenne poi lo \\Studentenheim Althaus\\, che la fonte ufficiale qualifica come \\l'unico centro tedesco ancora oggi esistente a essere stato visitato dal fondatore.</w:t>
      </w:r>
    </w:p>
    <w:p>
      <w:pPr>
        <w:spacing w:after="120" w:line="276"/>
        <w:jc w:val="both"/>
      </w:pPr>
      <w:r>
        <w:rPr>
          <w:rFonts w:ascii="Barlow Semi Condensed" w:cs="Barlow Semi Condensed" w:eastAsia="Barlow Semi Condensed" w:hAnsi="Barlow Semi Condensed"/>
          <w:b/>
          <w:bCs/>
          <w:sz w:val="24"/>
          <w:szCs w:val="24"/>
        </w:rPr>
        <w:t xml:space="preserve">Una divergenza va riportata. La fonte ufficiale tedesca colloca l'apertura della residenza nel 1953; altre fonti dell'ente in altre lingue, e larga parte della pubblicistica anche critica, indicano il 1952. La discrepanza si spiega verosimilmente con la distinzione fra l'arrivo dei primi membri e l'apertura formale della residenza, ma resta divergenza documentale da segnalare.</w:t>
      </w:r>
    </w:p>
    <w:p>
      <w:pPr>
        <w:spacing w:after="120" w:line="276"/>
        <w:jc w:val="both"/>
      </w:pPr>
      <w:r>
        <w:rPr>
          <w:rFonts w:ascii="Barlow Semi Condensed" w:cs="Barlow Semi Condensed" w:eastAsia="Barlow Semi Condensed" w:hAnsi="Barlow Semi Condensed"/>
          <w:b/>
          <w:bCs/>
          <w:sz w:val="24"/>
          <w:szCs w:val="24"/>
        </w:rPr>
        <w:t xml:space="preserve">Il lavoro femminile. Iniziò nel 1956 con l'apertura dello Studentinnenheim Eigelstein, nella Hülchrather Straße a Colonia.</w:t>
      </w:r>
    </w:p>
    <w:p>
      <w:pPr>
        <w:spacing w:after="120" w:line="276"/>
        <w:jc w:val="both"/>
      </w:pPr>
      <w:r>
        <w:rPr>
          <w:rFonts w:ascii="Barlow Semi Condensed" w:cs="Barlow Semi Condensed" w:eastAsia="Barlow Semi Condensed" w:hAnsi="Barlow Semi Condensed"/>
          <w:b/>
          <w:bCs/>
          <w:sz w:val="24"/>
          <w:szCs w:val="24"/>
        </w:rPr>
        <w:t xml:space="preserve">E qui due nomi che valgono come prova del modello rivisto. Le due tedesche che accolsero le prime tre spagnole alla stazione centrale di Colonia il 12 ottobre 1956 furono Käthe Retz, 1928-2018, assistente all'Università di Bonn dove aveva studiato psicologia, e Marlies Kücking, nata nel 1936, all'epoca matricola universitaria.</w:t>
      </w:r>
    </w:p>
    <w:p>
      <w:pPr>
        <w:spacing w:after="120" w:line="276"/>
        <w:jc w:val="both"/>
      </w:pPr>
      <w:r>
        <w:rPr>
          <w:rFonts w:ascii="Barlow Semi Condensed" w:cs="Barlow Semi Condensed" w:eastAsia="Barlow Semi Condensed" w:hAnsi="Barlow Semi Condensed"/>
          <w:b/>
          <w:bCs/>
          <w:sz w:val="24"/>
          <w:szCs w:val="24"/>
        </w:rPr>
        <w:t xml:space="preserve">Espressione diretta e nominata del ceto accademico cattolico su cui l'apostolato poteva radicarsi.</w:t>
      </w:r>
    </w:p>
    <w:p>
      <w:pPr>
        <w:spacing w:after="120" w:line="276"/>
        <w:jc w:val="both"/>
      </w:pPr>
      <w:r>
        <w:rPr>
          <w:rFonts w:ascii="Barlow Semi Condensed" w:cs="Barlow Semi Condensed" w:eastAsia="Barlow Semi Condensed" w:hAnsi="Barlow Semi Condensed"/>
          <w:b/>
          <w:bCs/>
          <w:sz w:val="24"/>
          <w:szCs w:val="24"/>
        </w:rPr>
        <w:t xml:space="preserve">L'espansione, per date, ed è il dato geografico decisivo. Per gli uomini: Essen 1969, Aquisgrana 1971, Treviri e Berlino 1972, Münster 1976, Monaco 1977. Per le donne: Essen 1971, Aquisgrana 1976, Jülich 1978 — dove alcune insegnavano in un liceo femminile — Münster 1979, Monaco 1980, Treviri 1987, Berlino 1992.</w:t>
      </w:r>
    </w:p>
    <w:p>
      <w:pPr>
        <w:spacing w:after="120" w:line="276"/>
        <w:jc w:val="both"/>
      </w:pPr>
      <w:r>
        <w:rPr>
          <w:rFonts w:ascii="Barlow Semi Condensed" w:cs="Barlow Semi Condensed" w:eastAsia="Barlow Semi Condensed" w:hAnsi="Barlow Semi Condensed"/>
          <w:b/>
          <w:bCs/>
          <w:sz w:val="24"/>
          <w:szCs w:val="24"/>
        </w:rPr>
        <w:t xml:space="preserve">La Baviera fu raggiunta tardi, e questo va enunciato perché contraddice l'aspettativa. Monaco nel 1977 per gli uomini e nel 1980 per le donne: un quarto di secolo dopo l'insediamento renano. Il cuore cattolico del sud tedesco non fu il punto d'ingresso.</w:t>
      </w:r>
    </w:p>
    <w:p>
      <w:pPr>
        <w:spacing w:after="120" w:line="276"/>
        <w:jc w:val="both"/>
      </w:pPr>
      <w:r>
        <w:rPr>
          <w:rFonts w:ascii="Barlow Semi Condensed" w:cs="Barlow Semi Condensed" w:eastAsia="Barlow Semi Condensed" w:hAnsi="Barlow Semi Condensed"/>
          <w:b/>
          <w:bCs/>
          <w:sz w:val="24"/>
          <w:szCs w:val="24"/>
        </w:rPr>
        <w:t xml:space="preserve">Un elemento di rango va registrato.\\ Dal \\1962\\ operò a Colonia, con interruzioni, \\José María Hernández de Garnica\\, 1913-1972, \\uno dei tre primissimi sacerdoti dell'Opus Dei in assoluto.</w:t>
      </w:r>
    </w:p>
    <w:p>
      <w:pPr>
        <w:spacing w:after="120" w:line="276"/>
        <w:jc w:val="both"/>
      </w:pPr>
      <w:r>
        <w:rPr>
          <w:rFonts w:ascii="Barlow Semi Condensed" w:cs="Barlow Semi Condensed" w:eastAsia="Barlow Semi Condensed" w:hAnsi="Barlow Semi Condensed"/>
          <w:b/>
          <w:bCs/>
          <w:sz w:val="24"/>
          <w:szCs w:val="24"/>
        </w:rPr>
        <w:t xml:space="preserve">Le strutture collegate, documentate dalla fonte ufficiale: la Studentische Kulturgemeinschaft, fondata nel 1953 come organizzazione-quadro dello Studentenheim di Bonn e di successivi centri — \Hoher Weg\ ad Augsburg, \Fausenburg\ a Treviri, \Am Städel\ a Francoforte, \Weidenau\ a Monaco — e le case di formazione Aufderhöhe a Solingen, Zieglerhof a Ettal in Baviera e Haus Hardtberg nell'Eifel.</w:t>
      </w:r>
    </w:p>
    <w:p>
      <w:pPr>
        <w:spacing w:after="120" w:line="276"/>
        <w:jc w:val="both"/>
      </w:pPr>
      <w:r>
        <w:rPr>
          <w:rFonts w:ascii="Barlow Semi Condensed" w:cs="Barlow Semi Condensed" w:eastAsia="Barlow Semi Condensed" w:hAnsi="Barlow Semi Condensed"/>
          <w:b/>
          <w:bCs/>
          <w:sz w:val="24"/>
          <w:szCs w:val="24"/>
        </w:rPr>
        <w:t xml:space="preserve">La consistenza attuale, dalla fonte ufficiale: poco meno di seicento membri, oltre mille includendo i cooperatori attivi. Per il periodo 1952-1985 la consistenza puntuale non è documentata dalle fonti aperte e costituisce Stato Zero, con sede nell'archivio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terzo — Frings: l'insediamento fu sollecitato dall'ordinario</w:t>
      </w:r>
    </w:p>
    <w:p>
      <w:pPr>
        <w:spacing w:after="120" w:line="276"/>
        <w:jc w:val="both"/>
      </w:pPr>
      <w:r>
        <w:rPr>
          <w:rFonts w:ascii="Barlow Semi Condensed" w:cs="Barlow Semi Condensed" w:eastAsia="Barlow Semi Condensed" w:hAnsi="Barlow Semi Condensed"/>
          <w:b/>
          <w:bCs/>
          <w:sz w:val="24"/>
          <w:szCs w:val="24"/>
        </w:rPr>
        <w:t xml:space="preserve">Il capitolo espone il dato che qualifica la natura dell'ingresso, e lo distingue da un'attribuzione non sostenuta.</w:t>
      </w:r>
    </w:p>
    <w:p>
      <w:pPr>
        <w:spacing w:after="120" w:line="276"/>
        <w:jc w:val="both"/>
      </w:pPr>
      <w:r>
        <w:rPr>
          <w:rFonts w:ascii="Barlow Semi Condensed" w:cs="Barlow Semi Condensed" w:eastAsia="Barlow Semi Condensed" w:hAnsi="Barlow Semi Condensed"/>
          <w:b/>
          <w:bCs/>
          <w:sz w:val="24"/>
          <w:szCs w:val="24"/>
        </w:rPr>
        <w:t xml:space="preserve">Il fatto. Secondo una lettera del nunzio apostolico Giovanni Lajolo al vicario regionale Christoph Bockamp, ripresa dall'ente in occasione del cinquantenario, fu per la petizione del cardinale Josef Frings, allora arcivescovo di Colonia, che i primi membri dell'Opus Dei giunsero a Colonia nel 1952.</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Non si tratta di tolleranza né di semplice accoglienza: si tratta di sollecitazione attiva da parte dell'ordinario diocesano. L'ente non entrò in Germania nonostante la gerarchia, né accanto a essa: vi entrò su richiesta.</w:t>
      </w:r>
    </w:p>
    <w:p>
      <w:pPr>
        <w:spacing w:after="120" w:line="276"/>
        <w:jc w:val="both"/>
      </w:pPr>
      <w:r>
        <w:rPr>
          <w:rFonts w:ascii="Barlow Semi Condensed" w:cs="Barlow Semi Condensed" w:eastAsia="Barlow Semi Condensed" w:hAnsi="Barlow Semi Condensed"/>
          <w:b/>
          <w:bCs/>
          <w:sz w:val="24"/>
          <w:szCs w:val="24"/>
        </w:rPr>
        <w:t xml:space="preserve">Il dato è corroborato da fonti ecclesiastiche successive. Il vicario generale di Colonia Dominik Schwaderlapp ha ricordato che già dai tempi del cardinale Frings l'Opus Dei è attivo nell'arcidiocesi di Colonia e appartiene alla molteplice ricchezza della vita ecclesiale. Il cardinale Joachim Meisner, in una predica del 19 gennaio 2002, ringraziò espressamente i predecessori Frings e Höffner per aver fatto sì che l'Opus Dei potesse mettere radici a Colonia, definendo il duomo quasi un luogo commemorativo di Escrivá. La pubblicistica ha inoltre rilevato che Frings, ancora nel 1975, si adoperò presso il papa per una rapida beatificazione e canonizzazione del fondatore.</w:t>
      </w:r>
    </w:p>
    <w:p>
      <w:pPr>
        <w:spacing w:after="120" w:line="276"/>
        <w:jc w:val="both"/>
      </w:pPr>
      <w:r>
        <w:rPr>
          <w:rFonts w:ascii="Barlow Semi Condensed" w:cs="Barlow Semi Condensed" w:eastAsia="Barlow Semi Condensed" w:hAnsi="Barlow Semi Condensed"/>
          <w:b/>
          <w:bCs/>
          <w:sz w:val="24"/>
          <w:szCs w:val="24"/>
        </w:rPr>
        <w:t xml:space="preserve">Il confronto con il caso portoghese va fatto perché è istruttivo per contrasto. In Portogallo il cardinale patriarca Cerejeira fu reticente verso i movimenti di origine straniera, sostenendo che l'Azione Cattolica Portoghese supplisse alle necessità, sicché l'ente dovette entrare dalle diocesi periferiche. In Germania l'ordinario della diocesi più importante lo chiamò.</w:t>
      </w:r>
    </w:p>
    <w:p>
      <w:pPr>
        <w:spacing w:after="120" w:line="276"/>
        <w:jc w:val="both"/>
      </w:pPr>
      <w:r>
        <w:rPr>
          <w:rFonts w:ascii="Barlow Semi Condensed" w:cs="Barlow Semi Condensed" w:eastAsia="Barlow Semi Condensed" w:hAnsi="Barlow Semi Condensed"/>
          <w:b/>
          <w:bCs/>
          <w:sz w:val="24"/>
          <w:szCs w:val="24"/>
        </w:rPr>
        <w:t xml:space="preserve">Ne discende che la variabile dell'accoglienza gerarchica è indipendente da quella confessionale, e che i due casi si dispongono agli estremi opposti: sollecitazione a Colonia, reticenza a Lisbona, e in entrambi i casi l'insediamento avvenne — più rapido dove fu chiamato, più laterale dove fu tollerato.</w:t>
      </w:r>
    </w:p>
    <w:p>
      <w:pPr>
        <w:spacing w:after="120" w:line="276"/>
        <w:jc w:val="both"/>
      </w:pPr>
      <w:r>
        <w:rPr>
          <w:rFonts w:ascii="Barlow Semi Condensed" w:cs="Barlow Semi Condensed" w:eastAsia="Barlow Semi Condensed" w:hAnsi="Barlow Semi Condensed"/>
          <w:b/>
          <w:bCs/>
          <w:sz w:val="24"/>
          <w:szCs w:val="24"/>
        </w:rPr>
        <w:t xml:space="preserve">E adesso l'attribuzione non sostenuta, che va segnalata e qualificata.\\ Un portale tedesco ha talora incluso i cardinali di Colonia \\Frings, Höffner e Meisner fra i membri dell'ente.</w:t>
      </w:r>
    </w:p>
    <w:p>
      <w:pPr>
        <w:spacing w:after="120" w:line="276"/>
        <w:jc w:val="both"/>
      </w:pPr>
      <w:r>
        <w:rPr>
          <w:rFonts w:ascii="Barlow Semi Condensed" w:cs="Barlow Semi Condensed" w:eastAsia="Barlow Semi Condensed" w:hAnsi="Barlow Semi Condensed"/>
          <w:b/>
          <w:bCs/>
          <w:sz w:val="24"/>
          <w:szCs w:val="24"/>
        </w:rPr>
        <w:t xml:space="preserve">Questa affermazione non è sostenuta da fonti primarie e va qualificata come non provata. Il sostegno di un ordinario all'attività di un ente nella propria diocesi, per quanto convinto e prolungato, non equivale all'appartenenza personale, e la prescrizione che governa l'intera serie impone di non trattare l'uno come prova dell'altra.</w:t>
      </w:r>
    </w:p>
    <w:p>
      <w:pPr>
        <w:spacing w:after="120" w:line="276"/>
        <w:jc w:val="both"/>
      </w:pPr>
      <w:r>
        <w:rPr>
          <w:rFonts w:ascii="Barlow Semi Condensed" w:cs="Barlow Semi Condensed" w:eastAsia="Barlow Semi Condensed" w:hAnsi="Barlow Semi Condensed"/>
          <w:b/>
          <w:bCs/>
          <w:sz w:val="24"/>
          <w:szCs w:val="24"/>
        </w:rPr>
        <w:t xml:space="preserve">Ciò che le fonti attestano con certezza è il patrocinio di Frings all'insediamento del 1952 e la benevolenza continuativa degli arcivescovi di Colonia. Ciò che non attestano è l'appartenenza personale dei tre cardinali, che resta tesi pubblicistica non riscontrata.</w:t>
      </w:r>
    </w:p>
    <w:p>
      <w:pPr>
        <w:pStyle w:val="Heading2"/>
        <w:spacing w:after="100" w:before="200"/>
      </w:pPr>
      <w:r>
        <w:rPr>
          <w:rFonts w:ascii="Barlow Semi Condensed" w:cs="Barlow Semi Condensed" w:eastAsia="Barlow Semi Condensed" w:hAnsi="Barlow Semi Condensed"/>
          <w:sz w:val="24"/>
          <w:szCs w:val="24"/>
        </w:rPr>
        <w:t xml:space="preserve">Capitolo quarto — I dati confessionali: la falsificazione della prima condizione</w:t>
      </w:r>
    </w:p>
    <w:p>
      <w:pPr>
        <w:spacing w:after="120" w:line="276"/>
        <w:jc w:val="both"/>
      </w:pPr>
      <w:r>
        <w:rPr>
          <w:rFonts w:ascii="Barlow Semi Condensed" w:cs="Barlow Semi Condensed" w:eastAsia="Barlow Semi Condensed" w:hAnsi="Barlow Semi Condensed"/>
          <w:b/>
          <w:bCs/>
          <w:sz w:val="24"/>
          <w:szCs w:val="24"/>
        </w:rPr>
        <w:t xml:space="preserve">Il capitolo espone i numeri su cui la prima condizione cade, con le divergenze mantenute.</w:t>
      </w:r>
    </w:p>
    <w:p>
      <w:pPr>
        <w:spacing w:after="120" w:line="276"/>
        <w:jc w:val="both"/>
      </w:pPr>
      <w:r>
        <w:rPr>
          <w:rFonts w:ascii="Barlow Semi Condensed" w:cs="Barlow Semi Condensed" w:eastAsia="Barlow Semi Condensed" w:hAnsi="Barlow Semi Condensed"/>
          <w:b/>
          <w:bCs/>
          <w:sz w:val="24"/>
          <w:szCs w:val="24"/>
        </w:rPr>
        <w:t xml:space="preserve">La serie principale. I dati elaborati dalla Forschungsgruppe Weltanschauungen in Deutschland su base dei censimenti dell'ufficio federale di statistica attestano che nel 1950 la ripartizione confessionale della Repubblica Federale vedeva i protestanti al cinquanta virgola sei per cento e i cattolici al quarantacinque virgola otto, con il novantasei virgola quattro per cento della popolazione appartenente a una delle due grandi Chiese.</w:t>
      </w:r>
    </w:p>
    <w:p>
      <w:pPr>
        <w:spacing w:after="120" w:line="276"/>
        <w:jc w:val="both"/>
      </w:pPr>
      <w:r>
        <w:rPr>
          <w:rFonts w:ascii="Barlow Semi Condensed" w:cs="Barlow Semi Condensed" w:eastAsia="Barlow Semi Condensed" w:hAnsi="Barlow Semi Condensed"/>
          <w:b/>
          <w:bCs/>
          <w:sz w:val="24"/>
          <w:szCs w:val="24"/>
        </w:rPr>
        <w:t xml:space="preserve">La serie divergente, che va riportata. Un saggio storiografico del portale accademico europeo fornisce per il 1950 valori leggermente diversi — protestanti al cinquantuno virgola due, cattolici al quarantacinque virgola due — e precisa che i cattolici uscirono definitivamente dalla situazione di minoranza soltanto nel 1976, quando fu raggiunta la parità. La divergenza fra le due serie non incide sulla sostanza.</w:t>
      </w:r>
    </w:p>
    <w:p>
      <w:pPr>
        <w:spacing w:after="120" w:line="276"/>
        <w:jc w:val="both"/>
      </w:pPr>
      <w:r>
        <w:rPr>
          <w:rFonts w:ascii="Barlow Semi Condensed" w:cs="Barlow Semi Condensed" w:eastAsia="Barlow Semi Condensed" w:hAnsi="Barlow Semi Condensed"/>
          <w:b/>
          <w:bCs/>
          <w:sz w:val="24"/>
          <w:szCs w:val="24"/>
        </w:rPr>
        <w:t xml:space="preserve">Nel 1970: protestanti al quarantasette virgola sette, cattolici al quarantaquattro virgola sei, con il novantadue-novantatré per cento ancora nelle due Chiese.</w:t>
      </w:r>
    </w:p>
    <w:p>
      <w:pPr>
        <w:spacing w:after="120" w:line="276"/>
        <w:jc w:val="both"/>
      </w:pPr>
      <w:r>
        <w:rPr>
          <w:rFonts w:ascii="Barlow Semi Condensed" w:cs="Barlow Semi Condensed" w:eastAsia="Barlow Semi Condensed" w:hAnsi="Barlow Semi Condensed"/>
          <w:b/>
          <w:bCs/>
          <w:sz w:val="24"/>
          <w:szCs w:val="24"/>
        </w:rPr>
        <w:t xml:space="preserve">Il dato dirimente, enunciato. Nella Repubblica Federale del secondo dopoguerra i cattolici erano una minoranza relativa, non una maggioranza — benché minoranza molto ampia e prossima alla metà.</w:t>
      </w:r>
    </w:p>
    <w:p>
      <w:pPr>
        <w:spacing w:after="120" w:line="276"/>
        <w:jc w:val="both"/>
      </w:pPr>
      <w:r>
        <w:rPr>
          <w:rFonts w:ascii="Barlow Semi Condensed" w:cs="Barlow Semi Condensed" w:eastAsia="Barlow Semi Condensed" w:hAnsi="Barlow Semi Condensed"/>
          <w:b/>
          <w:bCs/>
          <w:sz w:val="24"/>
          <w:szCs w:val="24"/>
        </w:rPr>
        <w:t xml:space="preserve">Ne discende la falsificazione della prima condizione: la Germania federale era a maggioranza relativa protestante, e l'Opus Dei vi si insediò comunque stabilmente nel 1952.</w:t>
      </w:r>
    </w:p>
    <w:p>
      <w:pPr>
        <w:spacing w:after="120" w:line="276"/>
        <w:jc w:val="both"/>
      </w:pPr>
      <w:r>
        <w:rPr>
          <w:rFonts w:ascii="Barlow Semi Condensed" w:cs="Barlow Semi Condensed" w:eastAsia="Barlow Semi Condensed" w:hAnsi="Barlow Semi Condensed"/>
          <w:b/>
          <w:bCs/>
          <w:sz w:val="24"/>
          <w:szCs w:val="24"/>
        </w:rPr>
        <w:t xml:space="preserve">La causa storica dell'assetto va registrata perché spiega il dato. La divisione della Germania fu determinante: la perdita dei territori orientali e la costituzione della Repubblica Democratica modificarono il peso confessionale relativo rispetto al Reich del 1871, quando i protestanti superavano il sessanta per cento ed erano religione di Stato. Sul territorio dei Länder poi confluiti nella Federale esisteva invece una proporzione quasi paritaria, dell'ordine di cinquantuno a quarantotto o cinquantadue a quarantasette.</w:t>
      </w:r>
    </w:p>
    <w:p>
      <w:pPr>
        <w:spacing w:after="120" w:line="276"/>
        <w:jc w:val="both"/>
      </w:pPr>
      <w:r>
        <w:rPr>
          <w:rFonts w:ascii="Barlow Semi Condensed" w:cs="Barlow Semi Condensed" w:eastAsia="Barlow Semi Condensed" w:hAnsi="Barlow Semi Condensed"/>
          <w:b/>
          <w:bCs/>
          <w:sz w:val="24"/>
          <w:szCs w:val="24"/>
        </w:rPr>
        <w:t xml:space="preserve">La distribuzione regionale mantenne concentrazioni cattoliche nettissime: Baviera, Renania, Vestfalia e Saarland, quest'ultimo con il novantotto virgola due per cento di appartenenti alle Chiese nel 1950 e schiacciante maggioranza cattolica. Fino al 1970 il cattolicesimo restò religione di maggioranza nella Renania-Vestfalia — cioè esattamente dove l'ente si insediò.</w:t>
      </w:r>
    </w:p>
    <w:p>
      <w:pPr>
        <w:spacing w:after="120" w:line="276"/>
        <w:jc w:val="both"/>
      </w:pPr>
      <w:r>
        <w:rPr>
          <w:rFonts w:ascii="Barlow Semi Condensed" w:cs="Barlow Semi Condensed" w:eastAsia="Barlow Semi Condensed" w:hAnsi="Barlow Semi Condensed"/>
          <w:b/>
          <w:bCs/>
          <w:sz w:val="24"/>
          <w:szCs w:val="24"/>
        </w:rPr>
        <w:t xml:space="preserve">Un elemento che complica il quadro e va riportato. L'espulsione dei tedeschi dai territori orientali — Sudeti, Slesia, Prussia orientale — produsse mescolanza confessionale nelle regioni di accoglienza, con effetti di erosione del milieu cattolico documentati dalla storiografia specialistica. La monografia di Michael Hirschfeld, \Katholisches Milieu und Vertriebene. Eine Fallstudie am Beispiel des Oldenburger Landes 1945-1965\, colloca l'inizio dell'erosione già nell'immediato dopoguerra, per effetto dell'afflusso dei profughi, anticipandolo rispetto alla lettura corrente che lo legava alla contestazione del 1968.</w:t>
      </w:r>
    </w:p>
    <w:p>
      <w:pPr>
        <w:spacing w:after="120" w:line="276"/>
        <w:jc w:val="both"/>
      </w:pPr>
      <w:r>
        <w:rPr>
          <w:rFonts w:ascii="Barlow Semi Condensed" w:cs="Barlow Semi Condensed" w:eastAsia="Barlow Semi Condensed" w:hAnsi="Barlow Semi Condensed"/>
          <w:b/>
          <w:bCs/>
          <w:sz w:val="24"/>
          <w:szCs w:val="24"/>
        </w:rPr>
        <w:t xml:space="preserve">Ne discende una precisazione cronologica non banale: l'ente si insediò in un milieu cattolico che era già in fase di erosione iniziale, e vi si insediò comunque.</w:t>
      </w:r>
    </w:p>
    <w:p>
      <w:pPr>
        <w:pStyle w:val="Heading2"/>
        <w:spacing w:after="100" w:before="200"/>
      </w:pPr>
      <w:r>
        <w:rPr>
          <w:rFonts w:ascii="Barlow Semi Condensed" w:cs="Barlow Semi Condensed" w:eastAsia="Barlow Semi Condensed" w:hAnsi="Barlow Semi Condensed"/>
          <w:sz w:val="24"/>
          <w:szCs w:val="24"/>
        </w:rPr>
        <w:t xml:space="preserve">Capitolo quinto — Il milieu cattolico tedesco: la condizione che regge</w:t>
      </w:r>
    </w:p>
    <w:p>
      <w:pPr>
        <w:spacing w:after="120" w:line="276"/>
        <w:jc w:val="both"/>
      </w:pPr>
      <w:r>
        <w:rPr>
          <w:rFonts w:ascii="Barlow Semi Condensed" w:cs="Barlow Semi Condensed" w:eastAsia="Barlow Semi Condensed" w:hAnsi="Barlow Semi Condensed"/>
          <w:b/>
          <w:bCs/>
          <w:sz w:val="24"/>
          <w:szCs w:val="24"/>
        </w:rPr>
        <w:t xml:space="preserve">Il capitolo espone la seconda condizione, e mostra che in Germania essa è soddisfatta nella forma più robusta possibile.</w:t>
      </w:r>
    </w:p>
    <w:p>
      <w:pPr>
        <w:spacing w:after="120" w:line="276"/>
        <w:jc w:val="both"/>
      </w:pPr>
      <w:r>
        <w:rPr>
          <w:rFonts w:ascii="Barlow Semi Condensed" w:cs="Barlow Semi Condensed" w:eastAsia="Barlow Semi Condensed" w:hAnsi="Barlow Semi Condensed"/>
          <w:b/>
          <w:bCs/>
          <w:sz w:val="24"/>
          <w:szCs w:val="24"/>
        </w:rPr>
        <w:t xml:space="preserve">La categoria storiografica esiste ed è consolidata. La storiografia tedesca dispone del concetto di katholisches Milieu, milieu cattolico socialmente organizzato, e ne individua indicatori precisi.</w:t>
      </w:r>
    </w:p>
    <w:p>
      <w:pPr>
        <w:spacing w:after="120" w:line="276"/>
        <w:jc w:val="both"/>
      </w:pPr>
      <w:r>
        <w:rPr>
          <w:rFonts w:ascii="Barlow Semi Condensed" w:cs="Barlow Semi Condensed" w:eastAsia="Barlow Semi Condensed" w:hAnsi="Barlow Semi Condensed"/>
          <w:b/>
          <w:bCs/>
          <w:sz w:val="24"/>
          <w:szCs w:val="24"/>
        </w:rPr>
        <w:t xml:space="preserve">Gli indicatori, elencati. Una tradizione partitica di lungo periodo — lo Zentrum, poi confluito insieme alla bavarese Bayerische Volkspartei nell'interconfessionale CDU/CSU del dopoguerra. Una fitta rete associativa e caritativa: il Kolpingwerk, i Katholikentag, le opere assistenziali Misereor e Adveniat, entrambe promosse proprio da Frings. Una stampa cattolica strutturata. Le associazioni studentesche cattoliche organizzate nel Cartellverband, l'associazione degli accademici cattolici Katholischer Akademikerverband, la Görres-Gesellschaft per la promozione della scienza. E il sistema delle facoltà teologiche di Stato.</w:t>
      </w:r>
    </w:p>
    <w:p>
      <w:pPr>
        <w:spacing w:after="120" w:line="276"/>
        <w:jc w:val="both"/>
      </w:pPr>
      <w:r>
        <w:rPr>
          <w:rFonts w:ascii="Barlow Semi Condensed" w:cs="Barlow Semi Condensed" w:eastAsia="Barlow Semi Condensed" w:hAnsi="Barlow Semi Condensed"/>
          <w:b/>
          <w:bCs/>
          <w:sz w:val="24"/>
          <w:szCs w:val="24"/>
        </w:rPr>
        <w:t xml:space="preserve">La formula politologica va riportata perché è precisa. La letteratura descrive per la Germania un'asimmetria confessionale-politica: esisteva un milieu cattolico, una partitica cattolica, un cattolicesimo politico, senza un equivalente protestante di pari organizzazione.</w:t>
      </w:r>
    </w:p>
    <w:p>
      <w:pPr>
        <w:spacing w:after="120" w:line="276"/>
        <w:jc w:val="both"/>
      </w:pPr>
      <w:r>
        <w:rPr>
          <w:rFonts w:ascii="Barlow Semi Condensed" w:cs="Barlow Semi Condensed" w:eastAsia="Barlow Semi Condensed" w:hAnsi="Barlow Semi Condensed"/>
          <w:b/>
          <w:bCs/>
          <w:sz w:val="24"/>
          <w:szCs w:val="24"/>
        </w:rPr>
        <w:t xml:space="preserve">Ne discende che la maggioranza numerica era protestante ma l'organizzazione era cattolica — e questa asimmetria, secondo me, è la spiegazione esatta del caso tedesco.</w:t>
      </w:r>
    </w:p>
    <w:p>
      <w:pPr>
        <w:spacing w:after="120" w:line="276"/>
        <w:jc w:val="both"/>
      </w:pPr>
      <w:r>
        <w:rPr>
          <w:rFonts w:ascii="Barlow Semi Condensed" w:cs="Barlow Semi Condensed" w:eastAsia="Barlow Semi Condensed" w:hAnsi="Barlow Semi Condensed"/>
          <w:b/>
          <w:bCs/>
          <w:sz w:val="24"/>
          <w:szCs w:val="24"/>
        </w:rPr>
        <w:t xml:space="preserve">La prova per via degli insediamenti, già esposta al Capitolo secondo e qui riletta. L'ente si radicò precisamente sul ceto studentesco e professionale cattolico delle città renane universitarie: la prima residenza fu uno Studentenheim a Bonn, sede dell'università e della capitale federale; il primo lavoro femminile a Colonia fu uno Studentinnenheim; le due tedesche del 1956 erano un'assistente universitaria e una matricola; i tre membri del 1952 erano un ingegnere-sacerdote, un commercialista e un futuro ordinario.</w:t>
      </w:r>
    </w:p>
    <w:p>
      <w:pPr>
        <w:spacing w:after="120" w:line="276"/>
        <w:jc w:val="both"/>
      </w:pPr>
      <w:r>
        <w:rPr>
          <w:rFonts w:ascii="Barlow Semi Condensed" w:cs="Barlow Semi Condensed" w:eastAsia="Barlow Semi Condensed" w:hAnsi="Barlow Semi Condensed"/>
          <w:b/>
          <w:bCs/>
          <w:sz w:val="24"/>
          <w:szCs w:val="24"/>
        </w:rPr>
        <w:t xml:space="preserve">Ogni singolo elemento dell'insediamento è accademico o professionale. Nessuno è popolare o rurale.</w:t>
      </w:r>
    </w:p>
    <w:p>
      <w:pPr>
        <w:spacing w:after="120" w:line="276"/>
        <w:jc w:val="both"/>
      </w:pPr>
      <w:r>
        <w:rPr>
          <w:rFonts w:ascii="Barlow Semi Condensed" w:cs="Barlow Semi Condensed" w:eastAsia="Barlow Semi Condensed" w:hAnsi="Barlow Semi Condensed"/>
          <w:b/>
          <w:bCs/>
          <w:sz w:val="24"/>
          <w:szCs w:val="24"/>
        </w:rPr>
        <w:t xml:space="preserve">La coerenza con la strategia originaria dell'ente va notata. L'Opus Dei si rivolse sin dagli anni spagnoli anzitutto agli intellettuali e agli studenti universitari: la prima istituzione, l'Accademia DYA del 1933, era rivolta a studenti di Diritto e Architettura.</w:t>
      </w:r>
    </w:p>
    <w:p>
      <w:pPr>
        <w:spacing w:after="120" w:line="276"/>
        <w:jc w:val="both"/>
      </w:pPr>
      <w:r>
        <w:rPr>
          <w:rFonts w:ascii="Barlow Semi Condensed" w:cs="Barlow Semi Condensed" w:eastAsia="Barlow Semi Condensed" w:hAnsi="Barlow Semi Condensed"/>
          <w:b/>
          <w:bCs/>
          <w:sz w:val="24"/>
          <w:szCs w:val="24"/>
        </w:rPr>
        <w:t xml:space="preserve">Ne discende la formulazione della condizione superstite, che è la risultanza del capitolo. L'ente si radica dove esiste un ceto universitario e professionale cattolico organizzato, e la sua strategia di insediamento — residenze studentesche, opere educative, formazione professionale — è costruita per quel ceto e non per altri. Dove quel ceto manca, la strategia non ha su che cosa poggiare, indipendentemente da quanti cattolici vi siano.</w:t>
      </w:r>
    </w:p>
    <w:p>
      <w:pPr>
        <w:pStyle w:val="Heading2"/>
        <w:spacing w:after="100" w:before="200"/>
      </w:pPr>
      <w:r>
        <w:rPr>
          <w:rFonts w:ascii="Barlow Semi Condensed" w:cs="Barlow Semi Condensed" w:eastAsia="Barlow Semi Condensed" w:hAnsi="Barlow Semi Condensed"/>
          <w:sz w:val="24"/>
          <w:szCs w:val="24"/>
        </w:rPr>
        <w:t xml:space="preserve">Capitolo sesto — Il confronto europeo: Gran Bretagna 1946 e Svezia 1984</w:t>
      </w:r>
    </w:p>
    <w:p>
      <w:pPr>
        <w:spacing w:after="120" w:line="276"/>
        <w:jc w:val="both"/>
      </w:pPr>
      <w:r>
        <w:rPr>
          <w:rFonts w:ascii="Barlow Semi Condensed" w:cs="Barlow Semi Condensed" w:eastAsia="Barlow Semi Condensed" w:hAnsi="Barlow Semi Condensed"/>
          <w:b/>
          <w:bCs/>
          <w:sz w:val="24"/>
          <w:szCs w:val="24"/>
        </w:rPr>
        <w:t xml:space="preserve">Il capitolo verifica la revisione contro gli altri casi europei, e ne trae due conferme e un raffinamento.</w:t>
      </w:r>
    </w:p>
    <w:p>
      <w:pPr>
        <w:spacing w:after="120" w:line="276"/>
        <w:jc w:val="both"/>
      </w:pPr>
      <w:r>
        <w:rPr>
          <w:rFonts w:ascii="Barlow Semi Condensed" w:cs="Barlow Semi Condensed" w:eastAsia="Barlow Semi Condensed" w:hAnsi="Barlow Semi Condensed"/>
          <w:b/>
          <w:bCs/>
          <w:sz w:val="24"/>
          <w:szCs w:val="24"/>
        </w:rPr>
        <w:t xml:space="preserve">La cronologia europea, dalla fonte ufficiale. Portogallo 1945; Italia e Gran Bretagna 1946; Francia e Irlanda 1947; Germania 1952; Svizzera 1956; Austria 1957; Olanda 1959 o 1960, con divergenza fra le fonti dell'ente da riportare; Belgio 1965; Svezia 1984.</w:t>
      </w:r>
    </w:p>
    <w:p>
      <w:pPr>
        <w:spacing w:after="120" w:line="276"/>
        <w:jc w:val="both"/>
      </w:pPr>
      <w:r>
        <w:rPr>
          <w:rFonts w:ascii="Barlow Semi Condensed" w:cs="Barlow Semi Condensed" w:eastAsia="Barlow Semi Condensed" w:hAnsi="Barlow Semi Condensed"/>
          <w:b/>
          <w:bCs/>
          <w:sz w:val="24"/>
          <w:szCs w:val="24"/>
        </w:rPr>
        <w:t xml:space="preserve">Primo caso dirimente: la Gran Bretagna, e precede la Germania di sei anni. Il lavoro iniziò il 28 dicembre 1946 con l'arrivo a Londra dello spagnolo Juan Antonio Galarraga, 1920-2005, numerario dal 1940, giunto per proseguire la ricerca post-dottorale in farmacia alla London University. La prima residenza fu a Rutland Court, poi trasferita a Netherhall House ad Hampstead; il primo centro femminile aprì nel 1952.</w:t>
      </w:r>
    </w:p>
    <w:p>
      <w:pPr>
        <w:spacing w:after="120" w:line="276"/>
        <w:jc w:val="both"/>
      </w:pPr>
      <w:r>
        <w:rPr>
          <w:rFonts w:ascii="Barlow Semi Condensed" w:cs="Barlow Semi Condensed" w:eastAsia="Barlow Semi Condensed" w:hAnsi="Barlow Semi Condensed"/>
          <w:b/>
          <w:bCs/>
          <w:sz w:val="24"/>
          <w:szCs w:val="24"/>
        </w:rPr>
        <w:t xml:space="preserve">Il rilievo va enunciato. La Gran Bretagna era ed è a maggioranza protestante anglicana, con una minoranza cattolica organizzata. Il caso conferma indipendentemente dalla Germania che la maggioranza cattolica non è condizione necessaria — e lo conferma sei anni prima, il che significa che l'ente non selezionò mai i Paesi in base alla confessione maggioritaria, fin dalla propria prima espansione europea.</w:t>
      </w:r>
    </w:p>
    <w:p>
      <w:pPr>
        <w:spacing w:after="120" w:line="276"/>
        <w:jc w:val="both"/>
      </w:pPr>
      <w:r>
        <w:rPr>
          <w:rFonts w:ascii="Barlow Semi Condensed" w:cs="Barlow Semi Condensed" w:eastAsia="Barlow Semi Condensed" w:hAnsi="Barlow Semi Condensed"/>
          <w:b/>
          <w:bCs/>
          <w:sz w:val="24"/>
          <w:szCs w:val="24"/>
        </w:rPr>
        <w:t xml:space="preserve">Ne discende una correzione della mia cronologia analitica: non è la Germania il primo caso falsificante, è la Gran Bretagna. La Germania è il caso più probante perché il milieu vi è più documentato, non il caso più antico.</w:t>
      </w:r>
    </w:p>
    <w:p>
      <w:pPr>
        <w:spacing w:after="120" w:line="276"/>
        <w:jc w:val="both"/>
      </w:pPr>
      <w:r>
        <w:rPr>
          <w:rFonts w:ascii="Barlow Semi Condensed" w:cs="Barlow Semi Condensed" w:eastAsia="Barlow Semi Condensed" w:hAnsi="Barlow Semi Condensed"/>
          <w:b/>
          <w:bCs/>
          <w:sz w:val="24"/>
          <w:szCs w:val="24"/>
        </w:rPr>
        <w:t xml:space="preserve">Secondo caso dirimente: la Svezia 1984, e produce il raffinamento. È il caso a maggioranza protestante più estremo, con minoranza cattolica minima e in larga parte non autoctona.</w:t>
      </w:r>
    </w:p>
    <w:p>
      <w:pPr>
        <w:spacing w:after="120" w:line="276"/>
        <w:jc w:val="both"/>
      </w:pPr>
      <w:r>
        <w:rPr>
          <w:rFonts w:ascii="Barlow Semi Condensed" w:cs="Barlow Semi Condensed" w:eastAsia="Barlow Semi Condensed" w:hAnsi="Barlow Semi Condensed"/>
          <w:b/>
          <w:bCs/>
          <w:sz w:val="24"/>
          <w:szCs w:val="24"/>
        </w:rPr>
        <w:t xml:space="preserve">Un dato va riportato con la sua fonte critica.\\ Una fonte specializzata segnala che nei Paesi di più recente impianto — \\Svezia, Ungheria, Russia\\ — \\la grande maggioranza dei numerari è di provenienza spagnola.</w:t>
      </w:r>
    </w:p>
    <w:p>
      <w:pPr>
        <w:spacing w:after="120" w:line="276"/>
        <w:jc w:val="both"/>
      </w:pPr>
      <w:r>
        <w:rPr>
          <w:rFonts w:ascii="Barlow Semi Condensed" w:cs="Barlow Semi Condensed" w:eastAsia="Barlow Semi Condensed" w:hAnsi="Barlow Semi Condensed"/>
          <w:b/>
          <w:bCs/>
          <w:sz w:val="24"/>
          <w:szCs w:val="24"/>
        </w:rPr>
        <w:t xml:space="preserve">Ne discende il raffinamento del modello, ed è il guadagno del capitolo. Là dove manca il ceto cattolico autoctono, l'ente non rinuncia all'insediamento: procede per trapianto di personale anziché per radicamento locale. L'insediamento formale avviene, ma la sua natura è diversa.</w:t>
      </w:r>
    </w:p>
    <w:p>
      <w:pPr>
        <w:spacing w:after="120" w:line="276"/>
        <w:jc w:val="both"/>
      </w:pPr>
      <w:r>
        <w:rPr>
          <w:rFonts w:ascii="Barlow Semi Condensed" w:cs="Barlow Semi Condensed" w:eastAsia="Barlow Semi Condensed" w:hAnsi="Barlow Semi Condensed"/>
          <w:b/>
          <w:bCs/>
          <w:sz w:val="24"/>
          <w:szCs w:val="24"/>
        </w:rPr>
        <w:t xml:space="preserve">Il modello rivisto va dunque formulato in due proposizioni anziché in una. Prima: dove esiste un ceto cattolico professionale autoctono, l'ente si radica su di esso, indipendentemente dalla confessione maggioritaria del Paese. Seconda: dove tale ceto manca, l'ente si insedia per trapianto e non si radica.</w:t>
      </w:r>
    </w:p>
    <w:p>
      <w:pPr>
        <w:spacing w:after="120" w:line="276"/>
        <w:jc w:val="both"/>
      </w:pPr>
      <w:r>
        <w:rPr>
          <w:rFonts w:ascii="Barlow Semi Condensed" w:cs="Barlow Semi Condensed" w:eastAsia="Barlow Semi Condensed" w:hAnsi="Barlow Semi Condensed"/>
          <w:b/>
          <w:bCs/>
          <w:sz w:val="24"/>
          <w:szCs w:val="24"/>
        </w:rPr>
        <w:t xml:space="preserve">Gli altri casi europei confermano. La Svizzera 1956, primo centro a Zurigo, città a forte componente protestante, con l'arrivo dall'Italia dell'architetto Pedro Turull e del sacerdote-psichiatra Johannes B. Torelló, entrambi provenienti dall'attività a Napoli, Milano e Palermo — dunque anch'essa per trapianto iniziale in ambiente universitario. L'Austria 1957, Vienna, cattolica, concepita dal fondatore come porta verso l'Europa centro-orientale. Il Belgio 1965, cattolico. L'Olanda, mista con forte minoranza cattolica.</w:t>
      </w:r>
    </w:p>
    <w:p>
      <w:pPr>
        <w:spacing w:after="120" w:line="276"/>
        <w:jc w:val="both"/>
      </w:pPr>
      <w:r>
        <w:rPr>
          <w:rFonts w:ascii="Barlow Semi Condensed" w:cs="Barlow Semi Condensed" w:eastAsia="Barlow Semi Condensed" w:hAnsi="Barlow Semi Condensed"/>
          <w:b/>
          <w:bCs/>
          <w:sz w:val="24"/>
          <w:szCs w:val="24"/>
        </w:rPr>
        <w:t xml:space="preserve">La regolarità che emerge dall'insieme non è la maggioranza cattolica del Paese, ma la compresenza di città universitarie e di un nucleo cattolico: autoctono e organizzato dove esiste, importato dalla Spagna dove il cattolicesimo autoctono è debole.</w:t>
      </w:r>
    </w:p>
    <w:p>
      <w:pPr>
        <w:pStyle w:val="Heading2"/>
        <w:spacing w:after="100" w:before="200"/>
      </w:pPr>
      <w:r>
        <w:rPr>
          <w:rFonts w:ascii="Barlow Semi Condensed" w:cs="Barlow Semi Condensed" w:eastAsia="Barlow Semi Condensed" w:hAnsi="Barlow Semi Condensed"/>
          <w:sz w:val="24"/>
          <w:szCs w:val="24"/>
        </w:rPr>
        <w:t xml:space="preserve">Capitolo settimo — La rilettura dei tre casi orientali secondo il modello rivisto</w:t>
      </w:r>
    </w:p>
    <w:p>
      <w:pPr>
        <w:spacing w:after="120" w:line="276"/>
        <w:jc w:val="both"/>
      </w:pPr>
      <w:r>
        <w:rPr>
          <w:rFonts w:ascii="Barlow Semi Condensed" w:cs="Barlow Semi Condensed" w:eastAsia="Barlow Semi Condensed" w:hAnsi="Barlow Semi Condensed"/>
          <w:b/>
          <w:bCs/>
          <w:sz w:val="24"/>
          <w:szCs w:val="24"/>
        </w:rPr>
        <w:t xml:space="preserve">Il capitolo esegue la conseguenza retroattiva annunciata al Capitolo primo, ed è la parte che rende la revisione un guadagno anziché una perdita.</w:t>
      </w:r>
    </w:p>
    <w:p>
      <w:pPr>
        <w:spacing w:after="120" w:line="276"/>
        <w:jc w:val="both"/>
      </w:pPr>
      <w:r>
        <w:rPr>
          <w:rFonts w:ascii="Barlow Semi Condensed" w:cs="Barlow Semi Condensed" w:eastAsia="Barlow Semi Condensed" w:hAnsi="Barlow Semi Condensed"/>
          <w:b/>
          <w:bCs/>
          <w:sz w:val="24"/>
          <w:szCs w:val="24"/>
        </w:rPr>
        <w:t xml:space="preserve">Il problema che il modello originario aveva. Esso spiegava le tre assenze orientali con il difetto della maggioranza cattolica. Ma tale spiegazione era sovrabbondante per la Turchia — dove sarebbero bastati altri due fattori — e imprecisa per Cipro, dove le comunità cattoliche esistevano, erano antiche e costituzionalmente riconosciute, sicché il caso appariva anomalo e andava trattato come eccezione probante.</w:t>
      </w:r>
    </w:p>
    <w:p>
      <w:pPr>
        <w:spacing w:after="120" w:line="276"/>
        <w:jc w:val="both"/>
      </w:pPr>
      <w:r>
        <w:rPr>
          <w:rFonts w:ascii="Barlow Semi Condensed" w:cs="Barlow Semi Condensed" w:eastAsia="Barlow Semi Condensed" w:hAnsi="Barlow Semi Condensed"/>
          <w:b/>
          <w:bCs/>
          <w:sz w:val="24"/>
          <w:szCs w:val="24"/>
        </w:rPr>
        <w:t xml:space="preserve">Il modello rivisto lo spiega meglio, e va mostrato caso per caso.</w:t>
      </w:r>
    </w:p>
    <w:p>
      <w:pPr>
        <w:spacing w:after="120" w:line="276"/>
        <w:jc w:val="both"/>
      </w:pPr>
      <w:r>
        <w:rPr>
          <w:rFonts w:ascii="Barlow Semi Condensed" w:cs="Barlow Semi Condensed" w:eastAsia="Barlow Semi Condensed" w:hAnsi="Barlow Semi Condensed"/>
          <w:b/>
          <w:bCs/>
          <w:sz w:val="24"/>
          <w:szCs w:val="24"/>
        </w:rPr>
        <w:t xml:space="preserve">La Grecia. Cattolici circa lo zero virgola cinque per cento, con nuclei ad Atene e villaggi interi a Syros e Tinos. Ma un ceto universitario e professionale cattolico autoctono non esisteva, e la Costituzione riconosceva alla Chiesa ortodossa la posizione di prevalente, con le altre confessioni qualificate come religioni straniere. La seconda condizione mancava, e questa è la ragione. La prima — che pure mancava — era irrilevante, come la Gran Bretagna dimostra.</w:t>
      </w:r>
    </w:p>
    <w:p>
      <w:pPr>
        <w:spacing w:after="120" w:line="276"/>
        <w:jc w:val="both"/>
      </w:pPr>
      <w:r>
        <w:rPr>
          <w:rFonts w:ascii="Barlow Semi Condensed" w:cs="Barlow Semi Condensed" w:eastAsia="Barlow Semi Condensed" w:hAnsi="Barlow Semi Condensed"/>
          <w:b/>
          <w:bCs/>
          <w:sz w:val="24"/>
          <w:szCs w:val="24"/>
        </w:rPr>
        <w:t xml:space="preserve">Cipro, ed è il caso che il modello rivisto salva. Le comunità cattoliche esistevano: maroniti dall'ottavo secolo, latini dal 1192, riconosciuti dalla Costituzione del 1960, con arcieparchia propria, vicariato patriarcale, quattro parrocchie e francescani dal 1593.</w:t>
      </w:r>
    </w:p>
    <w:p>
      <w:pPr>
        <w:spacing w:after="120" w:line="276"/>
        <w:jc w:val="both"/>
      </w:pPr>
      <w:r>
        <w:rPr>
          <w:rFonts w:ascii="Barlow Semi Condensed" w:cs="Barlow Semi Condensed" w:eastAsia="Barlow Semi Condensed" w:hAnsi="Barlow Semi Condensed"/>
          <w:b/>
          <w:bCs/>
          <w:sz w:val="24"/>
          <w:szCs w:val="24"/>
        </w:rPr>
        <w:t xml:space="preserve">Ma di che cosa erano composte? I maroniti erano duemilasettecentocinquantadue nel censimento del 1960, concentrati in quattro villaggi — Kormakitis, Asomatos, Karpaseia, Agia Marina — tutti nel nord dell'isola, e parlanti un dialetto aramaico-arabo oggi criticamente in pericolo. I latini erano quattro parrocchie urbane.</w:t>
      </w:r>
    </w:p>
    <w:p>
      <w:pPr>
        <w:spacing w:after="120" w:line="276"/>
        <w:jc w:val="both"/>
      </w:pPr>
      <w:r>
        <w:rPr>
          <w:rFonts w:ascii="Barlow Semi Condensed" w:cs="Barlow Semi Condensed" w:eastAsia="Barlow Semi Condensed" w:hAnsi="Barlow Semi Condensed"/>
          <w:b/>
          <w:bCs/>
          <w:sz w:val="24"/>
          <w:szCs w:val="24"/>
        </w:rPr>
        <w:t xml:space="preserve">Ne discende l'accertamento che il modello originario non poteva fare: Cipro aveva cattolici, ma non aveva un ceto universitario e professionale cattolico. Aveva contadini maroniti di villaggio e una piccola borghesia latina di quattro parrocchie costiere. Non aveva né università cattoliche, né associazioni accademiche cattoliche, né una classe professionale cattolica organizzata.</w:t>
      </w:r>
    </w:p>
    <w:p>
      <w:pPr>
        <w:spacing w:after="120" w:line="276"/>
        <w:jc w:val="both"/>
      </w:pPr>
      <w:r>
        <w:rPr>
          <w:rFonts w:ascii="Barlow Semi Condensed" w:cs="Barlow Semi Condensed" w:eastAsia="Barlow Semi Condensed" w:hAnsi="Barlow Semi Condensed"/>
          <w:b/>
          <w:bCs/>
          <w:sz w:val="24"/>
          <w:szCs w:val="24"/>
        </w:rPr>
        <w:t xml:space="preserve">Il caso cipriota cessa dunque di essere anomalo e diventa coerente. Nell'ottava ricognizione lo avevo definito il più probante perché isolava la variabile; nel modello rivisto è semplicemente il caso che mostra la differenza fra presenza cattolica e ceto cattolico.</w:t>
      </w:r>
    </w:p>
    <w:p>
      <w:pPr>
        <w:spacing w:after="120" w:line="276"/>
        <w:jc w:val="both"/>
      </w:pPr>
      <w:r>
        <w:rPr>
          <w:rFonts w:ascii="Barlow Semi Condensed" w:cs="Barlow Semi Condensed" w:eastAsia="Barlow Semi Condensed" w:hAnsi="Barlow Semi Condensed"/>
          <w:b/>
          <w:bCs/>
          <w:sz w:val="24"/>
          <w:szCs w:val="24"/>
        </w:rPr>
        <w:t xml:space="preserve">La Turchia. Cattolici fra le venticinquemila e le sessantamila unità secondo le stime divergenti, e — dato decisivo — in prevalenza non autoctoni: una fonte vaticana distingue, per il solo vicariato latino di Istanbul, poco più di diecimila fedeli locali e circa trentamila stranieri, rifugiati o migranti.</w:t>
      </w:r>
    </w:p>
    <w:p>
      <w:pPr>
        <w:spacing w:after="120" w:line="276"/>
        <w:jc w:val="both"/>
      </w:pPr>
      <w:r>
        <w:rPr>
          <w:rFonts w:ascii="Barlow Semi Condensed" w:cs="Barlow Semi Condensed" w:eastAsia="Barlow Semi Condensed" w:hAnsi="Barlow Semi Condensed"/>
          <w:b/>
          <w:bCs/>
          <w:sz w:val="24"/>
          <w:szCs w:val="24"/>
        </w:rPr>
        <w:t xml:space="preserve">Una comunità in prevalenza non autoctona non genera ceto professionale stabile. E la legge del 1971 che chiuse Halki, vietando l'istruzione superiore privata non affiliata allo Stato, precludeva per ciò stesso il modello di insediamento educativo dell'ente.</w:t>
      </w:r>
    </w:p>
    <w:p>
      <w:pPr>
        <w:spacing w:after="120" w:line="276"/>
        <w:jc w:val="both"/>
      </w:pPr>
      <w:r>
        <w:rPr>
          <w:rFonts w:ascii="Barlow Semi Condensed" w:cs="Barlow Semi Condensed" w:eastAsia="Barlow Semi Condensed" w:hAnsi="Barlow Semi Condensed"/>
          <w:b/>
          <w:bCs/>
          <w:sz w:val="24"/>
          <w:szCs w:val="24"/>
        </w:rPr>
        <w:t xml:space="preserve">Ne discende che il caso turco resta sovradeterminato, ma per ragioni diverse da quelle che il modello originario indicava: non per assenza di maggioranza cattolica, ma per assenza di ceto autoctono più preclusione legale dello strumento educativo.</w:t>
      </w:r>
    </w:p>
    <w:p>
      <w:pPr>
        <w:spacing w:after="120" w:line="276"/>
        <w:jc w:val="both"/>
      </w:pPr>
      <w:r>
        <w:rPr>
          <w:rFonts w:ascii="Barlow Semi Condensed" w:cs="Barlow Semi Condensed" w:eastAsia="Barlow Semi Condensed" w:hAnsi="Barlow Semi Condensed"/>
          <w:b/>
          <w:bCs/>
          <w:sz w:val="24"/>
          <w:szCs w:val="24"/>
        </w:rPr>
        <w:t xml:space="preserve">Il bilancio della rilettura, ed è il guadagno. Il modello rivisto ha meno condizioni e spiega più casi. È il segno che la revisione è un miglioramento e non una ritirata.</w:t>
      </w:r>
    </w:p>
    <w:p>
      <w:pPr>
        <w:pStyle w:val="Heading2"/>
        <w:spacing w:after="100" w:before="200"/>
      </w:pPr>
      <w:r>
        <w:rPr>
          <w:rFonts w:ascii="Barlow Semi Condensed" w:cs="Barlow Semi Condensed" w:eastAsia="Barlow Semi Condensed" w:hAnsi="Barlow Semi Condensed"/>
          <w:sz w:val="24"/>
          <w:szCs w:val="24"/>
        </w:rPr>
        <w:t xml:space="preserve">Capitolo ottavo — Le controversie tedesche degli anni Ottanta</w:t>
      </w:r>
    </w:p>
    <w:p>
      <w:pPr>
        <w:spacing w:after="120" w:line="276"/>
        <w:jc w:val="both"/>
      </w:pPr>
      <w:r>
        <w:rPr>
          <w:rFonts w:ascii="Barlow Semi Condensed" w:cs="Barlow Semi Condensed" w:eastAsia="Barlow Semi Condensed" w:hAnsi="Barlow Semi Condensed"/>
          <w:b/>
          <w:bCs/>
          <w:sz w:val="24"/>
          <w:szCs w:val="24"/>
        </w:rPr>
        <w:t xml:space="preserve">Il capitolo espone la contestazione pubblica dell'ente in Germania, con la disciplina consueta.</w:t>
      </w:r>
    </w:p>
    <w:p>
      <w:pPr>
        <w:spacing w:after="120" w:line="276"/>
        <w:jc w:val="both"/>
      </w:pPr>
      <w:r>
        <w:rPr>
          <w:rFonts w:ascii="Barlow Semi Condensed" w:cs="Barlow Semi Condensed" w:eastAsia="Barlow Semi Condensed" w:hAnsi="Barlow Semi Condensed"/>
          <w:b/>
          <w:bCs/>
          <w:sz w:val="24"/>
          <w:szCs w:val="24"/>
        </w:rPr>
        <w:t xml:space="preserve">I critici, con le opere e le date. Il giornalista Peter Hertel fu il principale: pubblicò trasmissioni radiofoniche e i volumi \Ich verspreche euch den Himmel\, Patmos, 1985, e \Schleichende Übernahme\, Publik-Forum, 2002. Klaus Steigleder pubblicò \Das Opus Dei. Eine Innenansicht\, 1983, in quarta edizione nel 1990.</w:t>
      </w:r>
    </w:p>
    <w:p>
      <w:pPr>
        <w:spacing w:after="120" w:line="276"/>
        <w:jc w:val="both"/>
      </w:pPr>
      <w:r>
        <w:rPr>
          <w:rFonts w:ascii="Barlow Semi Condensed" w:cs="Barlow Semi Condensed" w:eastAsia="Barlow Semi Condensed" w:hAnsi="Barlow Semi Condensed"/>
          <w:b/>
          <w:bCs/>
          <w:sz w:val="24"/>
          <w:szCs w:val="24"/>
        </w:rPr>
        <w:t xml:space="preserve">La reazione dell'ente, per via legale e apologetica. Il 27 novembre 1984 lo studio legale monacense Gritschneder, Ehrensperger e Widl presentò, per conto dell'associazione tedesca dell'ente e del vicario regionale César Ortiz, una querela presso la sezione civile del Landgericht München I; e furono diffuse contro-pubblicazioni ufficiali, fra cui Hans Thomas, \Opus Dei: Vorwürfe und Antworten\.</w:t>
      </w:r>
    </w:p>
    <w:p>
      <w:pPr>
        <w:spacing w:after="120" w:line="276"/>
        <w:jc w:val="both"/>
      </w:pPr>
      <w:r>
        <w:rPr>
          <w:rFonts w:ascii="Barlow Semi Condensed" w:cs="Barlow Semi Condensed" w:eastAsia="Barlow Semi Condensed" w:hAnsi="Barlow Semi Condensed"/>
          <w:b/>
          <w:bCs/>
          <w:sz w:val="24"/>
          <w:szCs w:val="24"/>
        </w:rPr>
        <w:t xml:space="preserve">Un episodio parrocchiale va riportato perché mostra il livello a cui la resistenza si manifestò. Nel dicembre 1984 una parrocchia di Colonia rifiutò di accogliere il primo parroco dell'Opus Dei della Germania Ovest, padre Peter Irrgang, che fu poi accolto dalla piccola comunità di Kreuzweingarten. La notizia è riportata dal \Christian Science Monitor\ del 31 dicembre 1984.</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perché è a doppio taglio. L'episodio documenta al tempo stesso una reticenza a livello di singola parrocchia e la persistente accoglienza a livello diocesano — poiché fu l'arcidiocesi ad assegnare il parroco, e un'altra comunità della medesima arcidiocesi ad accoglierlo.</w:t>
      </w:r>
    </w:p>
    <w:p>
      <w:pPr>
        <w:spacing w:after="120" w:line="276"/>
        <w:jc w:val="both"/>
      </w:pPr>
      <w:r>
        <w:rPr>
          <w:rFonts w:ascii="Barlow Semi Condensed" w:cs="Barlow Semi Condensed" w:eastAsia="Barlow Semi Condensed" w:hAnsi="Barlow Semi Condensed"/>
          <w:b/>
          <w:bCs/>
          <w:sz w:val="24"/>
          <w:szCs w:val="24"/>
        </w:rPr>
        <w:t xml:space="preserve">Quanto alla gerarchia, un esito negativo va dichiarato.\\ \\Non risulta dalle fonti reperite una presa di posizione formale e negativa della Conferenza episcopale tedesca contro l'ente.</w:t>
      </w:r>
    </w:p>
    <w:p>
      <w:pPr>
        <w:spacing w:after="120" w:line="276"/>
        <w:jc w:val="both"/>
      </w:pPr>
      <w:r>
        <w:rPr>
          <w:rFonts w:ascii="Barlow Semi Condensed" w:cs="Barlow Semi Condensed" w:eastAsia="Barlow Semi Condensed" w:hAnsi="Barlow Semi Condensed"/>
          <w:b/>
          <w:bCs/>
          <w:sz w:val="24"/>
          <w:szCs w:val="24"/>
        </w:rPr>
        <w:t xml:space="preserve">Il quadro canonico coevo. L'erezione a prelatura personale con la costituzione apostolica \Ut sit\, datata 28 novembre 1982 con atto esecutivo del 19 marzo 1983, fu preceduta — secondo la fonte ufficiale — dalla consultazione degli oltre duemila vescovi delle diocesi in cui l'ente era presente, fra cui gli ordinari tedeschi; ed è documentata una dichiarazione di Álvaro del Portillo alla Conferenza episcopale tedesca, pubblicata dall'ufficio stampa dell'arcidiocesi di Colonia il 3 settembre 1983.</w:t>
      </w:r>
    </w:p>
    <w:p>
      <w:pPr>
        <w:spacing w:after="120" w:line="276"/>
        <w:jc w:val="both"/>
      </w:pPr>
      <w:r>
        <w:rPr>
          <w:rFonts w:ascii="Barlow Semi Condensed" w:cs="Barlow Semi Condensed" w:eastAsia="Barlow Semi Condensed" w:hAnsi="Barlow Semi Condensed"/>
          <w:b/>
          <w:bCs/>
          <w:sz w:val="24"/>
          <w:szCs w:val="24"/>
        </w:rPr>
        <w:t xml:space="preserve">Sulla posizione dei partiti dell'Unione verso l'ente si registra Stato Zero. Le fonti reperite non documentano una posizione ufficiale di partito. La sede di accertamento è l'Archiv für Christlich-Demokratische Politik della Konrad-Adenauer-Stiftung.</w:t>
      </w:r>
    </w:p>
    <w:p>
      <w:pPr>
        <w:spacing w:after="120" w:line="276"/>
        <w:jc w:val="both"/>
      </w:pPr>
      <w:r>
        <w:rPr>
          <w:rFonts w:ascii="Barlow Semi Condensed" w:cs="Barlow Semi Condensed" w:eastAsia="Barlow Semi Condensed" w:hAnsi="Barlow Semi Condensed"/>
          <w:b/>
          <w:bCs/>
          <w:sz w:val="24"/>
          <w:szCs w:val="24"/>
        </w:rPr>
        <w:t xml:space="preserve">Una nota sulla presenza pubblica dei membri, e vale come applicazione della prescrizione. Il membro tedesco di maggiore rilievo accademico documentato è Fernando Inciarte, ordinario a Münster; ma era di origine spagnola, fra i primissimi arrivati del 1952, e non un tedesco autoctono reclutato in loco — circostanza che va segnalata per non falsare il quadro. Non risultano, dalle fonti reperite, membri tedeschi autoctoni in posizioni pubbliche o economiche di primo piano documentati per il periodo con fonti affidabili.</w:t>
      </w:r>
    </w:p>
    <w:p>
      <w:pPr>
        <w:spacing w:after="120" w:line="276"/>
        <w:jc w:val="both"/>
      </w:pPr>
      <w:r>
        <w:rPr>
          <w:rFonts w:ascii="Barlow Semi Condensed" w:cs="Barlow Semi Condensed" w:eastAsia="Barlow Semi Condensed" w:hAnsi="Barlow Semi Condensed"/>
          <w:b/>
          <w:bCs/>
          <w:sz w:val="24"/>
          <w:szCs w:val="24"/>
        </w:rPr>
        <w:t xml:space="preserve">E si ribadisce che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nono — Moro e la Germania: il residuo che resta aperto</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 sul versante moroteo tedesco le due ricognizioni anteriori hanno già esaurito il reperibile, e ciò che resta è iscritto in tavola.</w:t>
      </w:r>
    </w:p>
    <w:p>
      <w:pPr>
        <w:spacing w:after="120" w:line="276"/>
        <w:jc w:val="both"/>
      </w:pPr>
      <w:r>
        <w:rPr>
          <w:rFonts w:ascii="Barlow Semi Condensed" w:cs="Barlow Semi Condensed" w:eastAsia="Barlow Semi Condensed" w:hAnsi="Barlow Semi Condensed"/>
          <w:b/>
          <w:bCs/>
          <w:sz w:val="24"/>
          <w:szCs w:val="24"/>
        </w:rPr>
        <w:t xml:space="preserve">Che cosa è accertato, e non si ripete. I due mandati, dal 5 agosto 1969 al 26 giugno 1972 e dal 7 luglio 1973 al 23 novembre 1974; il bilaterale Moro-Brandt del 31 agosto e 1 settembre 1969 a Roma, quando Brandt era ancora ministro degli Esteri della Grande Coalizione; le visite di Brandt a Roma del 12-14 luglio e 23-25 novembre 1970; la presenza di Moro accanto a Emilio Colombo a Bonn nel 1971 in un ricevimento all'Ambasciata d'Italia cui parteciparono anche Scheel e Genscher, documentata dai filmati amatoriali dell'ambasciatore Mario Luciolli; il Vertice dell'Aja del 1-2 dicembre 1969 con il ruolo marginale dell'Italia e il braccio di ferro con Pompidou sull'ingresso britannico; il riconoscimento italiano della Repubblica Democratica Tedesca del 17 gennaio 1973, caduto fra i due mandati con ministro Giuseppe Medici.</w:t>
      </w:r>
    </w:p>
    <w:p>
      <w:pPr>
        <w:spacing w:after="120" w:line="276"/>
        <w:jc w:val="both"/>
      </w:pPr>
      <w:r>
        <w:rPr>
          <w:rFonts w:ascii="Barlow Semi Condensed" w:cs="Barlow Semi Condensed" w:eastAsia="Barlow Semi Condensed" w:hAnsi="Barlow Semi Condensed"/>
          <w:b/>
          <w:bCs/>
          <w:sz w:val="24"/>
          <w:szCs w:val="24"/>
        </w:rPr>
        <w:t xml:space="preserve">Che cosa resta non conseguito, ed è la seconda voce della tavola. La posizione italiana su ciascuno dei cinque atti della Ostpolitik — Mosca 1970, Varsavia 1970, Berlino 1971, Trattato fondamentale 1972, ingresso alle Nazioni Unite 1973 — e la conferma nominativa e datata degli incontri Moro-Scheel.</w:t>
      </w:r>
    </w:p>
    <w:p>
      <w:pPr>
        <w:spacing w:after="120" w:line="276"/>
        <w:jc w:val="both"/>
      </w:pPr>
      <w:r>
        <w:rPr>
          <w:rFonts w:ascii="Barlow Semi Condensed" w:cs="Barlow Semi Condensed" w:eastAsia="Barlow Semi Condensed" w:hAnsi="Barlow Semi Condensed"/>
          <w:b/>
          <w:bCs/>
          <w:sz w:val="24"/>
          <w:szCs w:val="24"/>
        </w:rPr>
        <w:t xml:space="preserve">Un elemento va aggiunto perché la ricerca tedesca lo ha prodotto e le due anteriori no. Lo studio di Laura Fasanaro intitola un paragrafo dopo il riconoscimento, Moro incontra Honecker; e il recensore Francesco Di Palma, su \sehepunkte\ nel 2018, sintetizza la tesi dell'autrice attestando che le origini di questi rapporti presuntamente privilegiati risalgono all'azione del politico democristiano Aldo Moro, fautore di una coerente politica di distensione verso gli Stati del blocco orientale, intesa a promuovere in modo differenziato il dialogo con Paesi realsocialisti selezionati, anzitutto la Repubblica Democratica Tedesca.</w:t>
      </w:r>
    </w:p>
    <w:p>
      <w:pPr>
        <w:spacing w:after="120" w:line="276"/>
        <w:jc w:val="both"/>
      </w:pPr>
      <w:r>
        <w:rPr>
          <w:rFonts w:ascii="Barlow Semi Condensed" w:cs="Barlow Semi Condensed" w:eastAsia="Barlow Semi Condensed" w:hAnsi="Barlow Semi Condensed"/>
          <w:b/>
          <w:bCs/>
          <w:sz w:val="24"/>
          <w:szCs w:val="24"/>
        </w:rPr>
        <w:t xml:space="preserve">Ne discende una qualificazione della posizione morotea che le ricognizioni anteriori non avevano: non semplice allineamento alla distensione altrui, ma politica propria e differenziata verso l'Est, di cui il riconoscimento del 1973 fu esito e non origine.</w:t>
      </w:r>
    </w:p>
    <w:p>
      <w:pPr>
        <w:spacing w:after="120" w:line="276"/>
        <w:jc w:val="both"/>
      </w:pPr>
      <w:r>
        <w:rPr>
          <w:rFonts w:ascii="Barlow Semi Condensed" w:cs="Barlow Semi Condensed" w:eastAsia="Barlow Semi Condensed" w:hAnsi="Barlow Semi Condensed"/>
          <w:b/>
          <w:bCs/>
          <w:sz w:val="24"/>
          <w:szCs w:val="24"/>
        </w:rPr>
        <w:t xml:space="preserve">Va però segnalato che la sintesi è del recensore e attribuisce a Moro un ruolo di origine per rapporti che si sviluppano dopo il 1973, cioè in larga parte fuori dai suoi mandati ministeriali. La distinzione fra ministro degli Esteri e presidente del Consiglio va mantenuta.</w:t>
      </w:r>
    </w:p>
    <w:p>
      <w:pPr>
        <w:spacing w:after="120" w:line="276"/>
        <w:jc w:val="both"/>
      </w:pPr>
      <w:r>
        <w:rPr>
          <w:rFonts w:ascii="Barlow Semi Condensed" w:cs="Barlow Semi Condensed" w:eastAsia="Barlow Semi Condensed" w:hAnsi="Barlow Semi Condensed"/>
          <w:b/>
          <w:bCs/>
          <w:sz w:val="24"/>
          <w:szCs w:val="24"/>
        </w:rPr>
        <w:t xml:space="preserve">Uno strumento va segnalato perché copre esattamente il periodo che il volume di Fasanaro lascia in ombra. La tesi di dottorato di Filippo Triola, discussa all'Università di Bologna, sulle relazioni italo-tedesche; la parte edita, confluita nel volume \L'alleato naturale\, Le Monnier 2017, copre prevalentemente il 1945-1955, ma il testo integrale andrebbe consultato per il 1963-1972.</w:t>
      </w:r>
    </w:p>
    <w:p>
      <w:pPr>
        <w:pStyle w:val="Heading2"/>
        <w:spacing w:after="100" w:before="200"/>
      </w:pPr>
      <w:r>
        <w:rPr>
          <w:rFonts w:ascii="Barlow Semi Condensed" w:cs="Barlow Semi Condensed" w:eastAsia="Barlow Semi Condensed" w:hAnsi="Barlow Semi Condensed"/>
          <w:sz w:val="24"/>
          <w:szCs w:val="24"/>
        </w:rPr>
        <w:t xml:space="preserve">Capitolo decimo — Che cosa la revisione lascia in piedi e che cosa abbatte</w:t>
      </w:r>
    </w:p>
    <w:p>
      <w:pPr>
        <w:spacing w:after="120" w:line="276"/>
        <w:jc w:val="both"/>
      </w:pPr>
      <w:r>
        <w:rPr>
          <w:rFonts w:ascii="Barlow Semi Condensed" w:cs="Barlow Semi Condensed" w:eastAsia="Barlow Semi Condensed" w:hAnsi="Barlow Semi Condensed"/>
          <w:b/>
          <w:bCs/>
          <w:sz w:val="24"/>
          <w:szCs w:val="24"/>
        </w:rPr>
        <w:t xml:space="preserve">Il capitolo espone il bilancio formale dell'atto, perché sia chiaro che cosa nel corpus resta valido e che cosa va emendato.</w:t>
      </w:r>
    </w:p>
    <w:p>
      <w:pPr>
        <w:spacing w:after="120" w:line="276"/>
        <w:jc w:val="both"/>
      </w:pPr>
      <w:r>
        <w:rPr>
          <w:rFonts w:ascii="Barlow Semi Condensed" w:cs="Barlow Semi Condensed" w:eastAsia="Barlow Semi Condensed" w:hAnsi="Barlow Semi Condensed"/>
          <w:b/>
          <w:bCs/>
          <w:sz w:val="24"/>
          <w:szCs w:val="24"/>
        </w:rPr>
        <w:t xml:space="preserve">Che cosa è abbattuto. La prima condizione della proposizione dell'ottava ricognizione — la maggioranza cattolica della popolazione — è falsificata e va espunta. Il caso che la falsifica non è uno ma tre: Gran Bretagna 1946, Germania 1952, Svezia 1984, tutti Paesi a maggioranza protestante in cui l'ente si insediò.</w:t>
      </w:r>
    </w:p>
    <w:p>
      <w:pPr>
        <w:spacing w:after="120" w:line="276"/>
        <w:jc w:val="both"/>
      </w:pPr>
      <w:r>
        <w:rPr>
          <w:rFonts w:ascii="Barlow Semi Condensed" w:cs="Barlow Semi Condensed" w:eastAsia="Barlow Semi Condensed" w:hAnsi="Barlow Semi Condensed"/>
          <w:b/>
          <w:bCs/>
          <w:sz w:val="24"/>
          <w:szCs w:val="24"/>
        </w:rPr>
        <w:t xml:space="preserve">Che cosa resta in piedi. La seconda condizione — il ceto universitario e professionale cattolico autoctono — regge, ed è confermata da tutti i casi esaminati: presente e organizzato in Germania, presente e minoritario ma organizzato in Gran Bretagna, assente in Grecia, Cipro e Turchia, assente in Svezia dove infatti l'insediamento avviene per trapianto.</w:t>
      </w:r>
    </w:p>
    <w:p>
      <w:pPr>
        <w:spacing w:after="120" w:line="276"/>
        <w:jc w:val="both"/>
      </w:pPr>
      <w:r>
        <w:rPr>
          <w:rFonts w:ascii="Barlow Semi Condensed" w:cs="Barlow Semi Condensed" w:eastAsia="Barlow Semi Condensed" w:hAnsi="Barlow Semi Condensed"/>
          <w:b/>
          <w:bCs/>
          <w:sz w:val="24"/>
          <w:szCs w:val="24"/>
        </w:rPr>
        <w:t xml:space="preserve">Che cosa è aggiunto. La distinzione fra radicamento e trapianto, che il modello originario non contemplava e che il caso svedese impone. L'ente si insedia in entrambi i casi; ma dove il ceto autoctono manca, esso importa personale anziché reclutarlo. Questa distinzione ha una conseguenza operativa: la presenza dell'ente in un elenco ufficiale non dice, di per sé, di quale delle due nature essa sia, e per accertarlo occorre guardare alla provenienza dei membri.</w:t>
      </w:r>
    </w:p>
    <w:p>
      <w:pPr>
        <w:spacing w:after="120" w:line="276"/>
        <w:jc w:val="both"/>
      </w:pPr>
      <w:r>
        <w:rPr>
          <w:rFonts w:ascii="Barlow Semi Condensed" w:cs="Barlow Semi Condensed" w:eastAsia="Barlow Semi Condensed" w:hAnsi="Barlow Semi Condensed"/>
          <w:b/>
          <w:bCs/>
          <w:sz w:val="24"/>
          <w:szCs w:val="24"/>
        </w:rPr>
        <w:t xml:space="preserve">Che cosa resta non dimostrato, e va dichiarato. Che la seconda condizione sia necessaria non è dimostrato, e non lo sarebbe nemmeno con venti casi. Occorrerebbe un caso in cui essa sussista e l'ente sia comunque assente, 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confutazione integrale resta possibile e la sua condizione va ripetuta. Il modello rivisto sarebbe falsificato dal reperimento di un insediamento radicato — non per trapianto — in un Paese privo di ceto cattolico professionale autoctono. I casi da esaminare restano quelli elencati nell'ottava ricognizione e mai studiati: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E qui va enunciata una cosa sul metodo che vale oltre l'oggetto. Il modello originario è caduto dopo due ricognizioni, per opera della ricerca che io stesso avevo indirizzato al caso avverso. Ciò è avvenuto perché la proposizione era stata formulata con la propria condizione di falsificazione esplicita e perché i casi potenzialmente confutanti erano stati elencati per nome anziché taciuti.</w:t>
      </w:r>
    </w:p>
    <w:p>
      <w:pPr>
        <w:spacing w:after="120" w:line="276"/>
        <w:jc w:val="both"/>
      </w:pPr>
      <w:r>
        <w:rPr>
          <w:rFonts w:ascii="Barlow Semi Condensed" w:cs="Barlow Semi Condensed" w:eastAsia="Barlow Semi Condensed" w:hAnsi="Barlow Semi Condensed"/>
          <w:b/>
          <w:bCs/>
          <w:sz w:val="24"/>
          <w:szCs w:val="24"/>
        </w:rPr>
        <w:t xml:space="preserve">Una proposizione che non elenchi i propri casi avversi non può essere confutata, e per ciò stesso non è una proposizione. Questo, e non l'esito, è il guadagno che la serie consegna.</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nel perimetro tedesco</w:t>
      </w:r>
    </w:p>
    <w:p>
      <w:pPr>
        <w:spacing w:after="120" w:line="276"/>
        <w:jc w:val="both"/>
      </w:pPr>
      <w:r>
        <w:rPr>
          <w:rFonts w:ascii="Barlow Semi Condensed" w:cs="Barlow Semi Condensed" w:eastAsia="Barlow Semi Condensed" w:hAnsi="Barlow Semi Condensed"/>
          <w:b/>
          <w:bCs/>
          <w:sz w:val="24"/>
          <w:szCs w:val="24"/>
        </w:rPr>
        <w:t xml:space="preserve">Il capitolo raccoglie le triangolazioni,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Prima: Moro e l'Opus Dei in Germania. Stato Zero, per la terza volta nella serie. Nessun documento collega Moro all'ente in alcuna veste, né in Italia, né in Spagna, né in Portogallo, né in Germania. La ragione culturale è già stata esposta: la collocazione morotea nella FUCI, nel Movimento dei Laureati Cattolici, nella rivista \Studium\ e nella componente dossettiana è distante per teologia politica dall'ambiente dell'ente.</w:t>
      </w:r>
    </w:p>
    <w:p>
      <w:pPr>
        <w:spacing w:after="120" w:line="276"/>
        <w:jc w:val="both"/>
      </w:pPr>
      <w:r>
        <w:rPr>
          <w:rFonts w:ascii="Barlow Semi Condensed" w:cs="Barlow Semi Condensed" w:eastAsia="Barlow Semi Condensed" w:hAnsi="Barlow Semi Condensed"/>
          <w:b/>
          <w:bCs/>
          <w:sz w:val="24"/>
          <w:szCs w:val="24"/>
        </w:rPr>
        <w:t xml:space="preserve">Un elemento nuovo va però aggiunto per la Germania, e rafforza l'esito. L'ente si insediò in Germania nel 1952 su patrocinio dell'arcivescovo di Colonia, cioè attraverso il canale gerarchico diocesano. Moro operava attraverso il canale governativo e comunitario. I due canali non si incrociano, e la loro non intersezione spiega l'esito anziché limitarsi a registrarlo.</w:t>
      </w:r>
    </w:p>
    <w:p>
      <w:pPr>
        <w:spacing w:after="120" w:line="276"/>
        <w:jc w:val="both"/>
      </w:pPr>
      <w:r>
        <w:rPr>
          <w:rFonts w:ascii="Barlow Semi Condensed" w:cs="Barlow Semi Condensed" w:eastAsia="Barlow Semi Condensed" w:hAnsi="Barlow Semi Condensed"/>
          <w:b/>
          <w:bCs/>
          <w:sz w:val="24"/>
          <w:szCs w:val="24"/>
        </w:rPr>
        <w:t xml:space="preserve">Seconda: l'ente e la gerarchia tedesca. Grado alto quanto al fatto: sollecitazione attiva di Frings nel 1952, benevolenza continuativa di Höffner e Meisner. Ciò che non stabilisce: l'appartenenza personale dei tre cardinali, tesi pubblicistica non sostenuta; e alcuna condotta dell'ente in Germania, poiché il patrocinio di un ordinario attesta l'accoglienza e non l'operato.</w:t>
      </w:r>
    </w:p>
    <w:p>
      <w:pPr>
        <w:spacing w:after="120" w:line="276"/>
        <w:jc w:val="both"/>
      </w:pPr>
      <w:r>
        <w:rPr>
          <w:rFonts w:ascii="Barlow Semi Condensed" w:cs="Barlow Semi Condensed" w:eastAsia="Barlow Semi Condensed" w:hAnsi="Barlow Semi Condensed"/>
          <w:b/>
          <w:bCs/>
          <w:sz w:val="24"/>
          <w:szCs w:val="24"/>
        </w:rPr>
        <w:t xml:space="preserve">Terza: l'ente e il milieu cattolico organizzato. Grado alto. Ciò che stabilisce: che l'insediamento avvenne selettivamente sul ceto universitario renano, con nomi e date. Ciò che non stabilisce: alcun rapporto con la vita politica tedesca, sulla quale si registra Stato Zero quanto alla posizione dei partiti dell'Unione.</w:t>
      </w:r>
    </w:p>
    <w:p>
      <w:pPr>
        <w:spacing w:after="120" w:line="276"/>
        <w:jc w:val="both"/>
      </w:pPr>
      <w:r>
        <w:rPr>
          <w:rFonts w:ascii="Barlow Semi Condensed" w:cs="Barlow Semi Condensed" w:eastAsia="Barlow Semi Condensed" w:hAnsi="Barlow Semi Condensed"/>
          <w:b/>
          <w:bCs/>
          <w:sz w:val="24"/>
          <w:szCs w:val="24"/>
        </w:rPr>
        <w:t xml:space="preserve">Quarta: il rapporto fra il caso tedesco e i casi iberici. Grado medio, ed è comparativo e non relazionale. Portogallo e Germania si dispongono agli estremi opposti quanto all'accoglienza gerarchica — reticenza di Cerejeira, sollecitazione di Frings — e in entrambi l'insediamento avvenne. Ciò che questo non stabilisce: alcun rapporto fra i due casi, che sono indipendenti; è regolarità comparativa e non nesso.</w:t>
      </w:r>
    </w:p>
    <w:p>
      <w:pPr>
        <w:spacing w:after="120" w:line="276"/>
        <w:jc w:val="both"/>
      </w:pPr>
      <w:r>
        <w:rPr>
          <w:rFonts w:ascii="Barlow Semi Condensed" w:cs="Barlow Semi Condensed" w:eastAsia="Barlow Semi Condensed" w:hAnsi="Barlow Semi Condensed"/>
          <w:b/>
          <w:bCs/>
          <w:sz w:val="24"/>
          <w:szCs w:val="24"/>
        </w:rPr>
        <w:t xml:space="preserve">Il bilancio, ed è la decima volta consecutiva. Nessuna triangolazione coinvolge insieme i tre termini — Italia di Moro, Santa Sede, Opus Dei. Nel perimetro tedesco i primi due si incontrano una volta sola e in modo notevole — la sequenza Oder-Neisse della nona ricognizione, unico nesso documentato della serie — ma il terzo termine non vi compare.</w:t>
      </w:r>
    </w:p>
    <w:p>
      <w:pPr>
        <w:spacing w:after="120" w:line="276"/>
        <w:jc w:val="both"/>
      </w:pPr>
      <w:r>
        <w:rPr>
          <w:rFonts w:ascii="Barlow Semi Condensed" w:cs="Barlow Semi Condensed" w:eastAsia="Barlow Semi Condensed" w:hAnsi="Barlow Semi Condensed"/>
          <w:b/>
          <w:bCs/>
          <w:sz w:val="24"/>
          <w:szCs w:val="24"/>
        </w:rPr>
        <w:t xml:space="preserve">Una osservazione conclusiva sul perché. Dieci ricognizioni hanno cercato l'intersezione fra un ministro degli Esteri, una diplomazia pontificia e un ente di apostolato laicale. I tre operano su piani che non si intersecano per costruzione: il primo tratta con governi, la seconda con Stati e Chiese, il terzo con individui e ambienti professionali. L'assenza di triangolazione non è un difetto delle fonti: è una proprietà degli oggetti.</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dieci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ed è la sola che possa falsificare il modello rivisto. L'esame dei casi extraeuropei — Giappone 1958, Kenya 1958, Nigeria 1965, India 1993, Kazakhistan 1997, Indonesia 2008, Sri Lanka 2011 — per verificare se in essi l'insediamento fu radicamento o trapianto, e se in alcuno di essi vi sia stato radicamento in assenza di ceto cattolico professionale autoctono. Sedi: storiografia sull'espansione dell'ente; statistiche confessionali dei singoli Paesi; provenienza dei numerari. Condizione di chiusura: il reperimento di un radicamento autoctono in Paese privo di quel ceto.</w:t>
      </w:r>
    </w:p>
    <w:p>
      <w:pPr>
        <w:spacing w:after="120" w:line="276"/>
        <w:jc w:val="both"/>
      </w:pPr>
      <w:r>
        <w:rPr>
          <w:rFonts w:ascii="Barlow Semi Condensed" w:cs="Barlow Semi Condensed" w:eastAsia="Barlow Semi Condensed" w:hAnsi="Barlow Semi Condensed"/>
          <w:b/>
          <w:bCs/>
          <w:sz w:val="24"/>
          <w:szCs w:val="24"/>
        </w:rPr>
        <w:t xml:space="preserve">Seconda voce. La consistenza numerica storica dell'insediamento tedesco per il 1952-1985 e la cronologia interna dettagliata. Sedi: Archivio Generale della Prelatura a Roma e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b/>
          <w:bCs/>
          <w:sz w:val="24"/>
          <w:szCs w:val="24"/>
        </w:rPr>
        <w:t xml:space="preserve">Terza voce. La posizione italiana sui cinque atti della Ostpolitik e la conferma nominativa e datata degli incontri Moro-Scheel. Sedi: Archivio Storico Diplomatico, serie Germania 1969-1975, con l'esclusione già accertata dei Telegrammi 1942-1970; Akten zur Auswärtigen Politik der Bundesrepublik Deutschland; Documenti Diplomatici Italiani.</w:t>
      </w:r>
    </w:p>
    <w:p>
      <w:pPr>
        <w:spacing w:after="120" w:line="276"/>
        <w:jc w:val="both"/>
      </w:pPr>
      <w:r>
        <w:rPr>
          <w:rFonts w:ascii="Barlow Semi Condensed" w:cs="Barlow Semi Condensed" w:eastAsia="Barlow Semi Condensed" w:hAnsi="Barlow Semi Condensed"/>
          <w:b/>
          <w:bCs/>
          <w:sz w:val="24"/>
          <w:szCs w:val="24"/>
        </w:rPr>
        <w:t xml:space="preserve">Quarta voce. Il testo integrale della tesi di Filippo Triola per il periodo 1963-1972, che copre esattamente il quadriennio lasciato in ombra dal volume di Fasanaro.</w:t>
      </w:r>
    </w:p>
    <w:p>
      <w:pPr>
        <w:spacing w:after="120" w:line="276"/>
        <w:jc w:val="both"/>
      </w:pPr>
      <w:r>
        <w:rPr>
          <w:rFonts w:ascii="Barlow Semi Condensed" w:cs="Barlow Semi Condensed" w:eastAsia="Barlow Semi Condensed" w:hAnsi="Barlow Semi Condensed"/>
          <w:b/>
          <w:bCs/>
          <w:sz w:val="24"/>
          <w:szCs w:val="24"/>
        </w:rPr>
        <w:t xml:space="preserve">Quinta voce.\\ La posizione ufficiale della CDU e della CSU verso l'ente. Sede: \\Archiv für Christlich-Demokratische Politik della Konrad-Adenauer-Stiftung.</w:t>
      </w:r>
    </w:p>
    <w:p>
      <w:pPr>
        <w:spacing w:after="120" w:line="276"/>
        <w:jc w:val="both"/>
      </w:pPr>
      <w:r>
        <w:rPr>
          <w:rFonts w:ascii="Barlow Semi Condensed" w:cs="Barlow Semi Condensed" w:eastAsia="Barlow Semi Condensed" w:hAnsi="Barlow Semi Condensed"/>
          <w:b/>
          <w:bCs/>
          <w:sz w:val="24"/>
          <w:szCs w:val="24"/>
        </w:rPr>
        <w:t xml:space="preserve">Sesta voce. L'interrogazione sistematica del readingroom statunitense su Opus Dei e Germania, con previsione di esito negativo da verificare.</w:t>
      </w:r>
    </w:p>
    <w:p>
      <w:pPr>
        <w:pStyle w:val="Heading2"/>
        <w:spacing w:after="100" w:before="200"/>
      </w:pPr>
      <w:r>
        <w:rPr>
          <w:rFonts w:ascii="Barlow Semi Condensed" w:cs="Barlow Semi Condensed" w:eastAsia="Barlow Semi Condensed" w:hAnsi="Barlow Semi Condensed"/>
          <w:sz w:val="24"/>
          <w:szCs w:val="24"/>
        </w:rPr>
        <w:t xml:space="preserve">Nota sul bilancio delle dieci ricognizioni.</w:t>
      </w:r>
    </w:p>
    <w:p>
      <w:pPr>
        <w:spacing w:after="120" w:line="276"/>
        <w:jc w:val="both"/>
      </w:pPr>
      <w:r>
        <w:rPr>
          <w:rFonts w:ascii="Barlow Semi Condensed" w:cs="Barlow Semi Condensed" w:eastAsia="Barlow Semi Condensed" w:hAnsi="Barlow Semi Condensed"/>
          <w:b/>
          <w:bCs/>
          <w:sz w:val="24"/>
          <w:szCs w:val="24"/>
        </w:rPr>
        <w:t xml:space="preserve">Dieci ricognizioni hanno percorso l'attività ministeriale di Moro verso Spagna, Portogallo, Grecia, Cipro, Turchia e Germania, incrociandola con la Santa Sede e con l'Opus Dei, e hanno prodotto tre ordini di risultati che conviene distinguere.</w:t>
      </w:r>
    </w:p>
    <w:p>
      <w:pPr>
        <w:spacing w:after="120" w:line="276"/>
        <w:jc w:val="both"/>
      </w:pPr>
      <w:r>
        <w:rPr>
          <w:rFonts w:ascii="Barlow Semi Condensed" w:cs="Barlow Semi Condensed" w:eastAsia="Barlow Semi Condensed" w:hAnsi="Barlow Semi Condensed"/>
          <w:b/>
          <w:bCs/>
          <w:sz w:val="24"/>
          <w:szCs w:val="24"/>
        </w:rPr>
        <w:t xml:space="preserve">Primo ordine: gli Stati Zero. Il governo italiano non compare come attore documentato in nessuno dei sei perimetri; l'Opus Dei non ha rapporti documentati con Moro in nessuno di essi; l'ente è assente da Grecia, Cipro e Turchia. Sono nove ricognizioni di risultati negativi, e sono acquisizioni.</w:t>
      </w:r>
    </w:p>
    <w:p>
      <w:pPr>
        <w:spacing w:after="120" w:line="276"/>
        <w:jc w:val="both"/>
      </w:pPr>
      <w:r>
        <w:rPr>
          <w:rFonts w:ascii="Barlow Semi Condensed" w:cs="Barlow Semi Condensed" w:eastAsia="Barlow Semi Condensed" w:hAnsi="Barlow Semi Condensed"/>
          <w:b/>
          <w:bCs/>
          <w:sz w:val="24"/>
          <w:szCs w:val="24"/>
        </w:rPr>
        <w:t xml:space="preserve">Secondo ordine: il nesso. Una sola volta, nella nona ricognizione, un rapporto fra due atti è risultato documentato e non inferito: la Santa Sede attese la ratifica del Trattato di Varsavia prima di erigere le diocesi a oriente, e la comunicazione di accompagnamento del 28 giugno 1972 si riferì espressamente al trattato — mentre il testo canonico taceva.</w:t>
      </w:r>
    </w:p>
    <w:p>
      <w:pPr>
        <w:spacing w:after="120" w:line="276"/>
        <w:jc w:val="both"/>
      </w:pPr>
      <w:r>
        <w:rPr>
          <w:rFonts w:ascii="Barlow Semi Condensed" w:cs="Barlow Semi Condensed" w:eastAsia="Barlow Semi Condensed" w:hAnsi="Barlow Semi Condensed"/>
          <w:b/>
          <w:bCs/>
          <w:sz w:val="24"/>
          <w:szCs w:val="24"/>
        </w:rPr>
        <w:t xml:space="preserve">Terzo ordine, ed è questo documento: la revisione. Una proposizione formulata dalla serie è stata confutata dalla serie stessa, per opera della ricerca indirizzata al caso avverso.</w:t>
      </w:r>
    </w:p>
    <w:p>
      <w:pPr>
        <w:spacing w:after="120" w:line="276"/>
        <w:jc w:val="both"/>
      </w:pPr>
      <w:r>
        <w:rPr>
          <w:rFonts w:ascii="Barlow Semi Condensed" w:cs="Barlow Semi Condensed" w:eastAsia="Barlow Semi Condensed" w:hAnsi="Barlow Semi Condensed"/>
          <w:b/>
          <w:bCs/>
          <w:sz w:val="24"/>
          <w:szCs w:val="24"/>
        </w:rPr>
        <w:t xml:space="preserve">Ne discende la lezione che dieci ricognizioni consegnano insieme, articolata nelle sue tre parti.</w:t>
      </w:r>
    </w:p>
    <w:p>
      <w:pPr>
        <w:spacing w:after="120" w:line="276"/>
        <w:jc w:val="both"/>
      </w:pPr>
      <w:r>
        <w:rPr>
          <w:rFonts w:ascii="Barlow Semi Condensed" w:cs="Barlow Semi Condensed" w:eastAsia="Barlow Semi Condensed" w:hAnsi="Barlow Semi Condensed"/>
          <w:b/>
          <w:bCs/>
          <w:sz w:val="24"/>
          <w:szCs w:val="24"/>
        </w:rPr>
        <w:t xml:space="preserve">L'assenza di traccia non è l'assenza dell'atto — perché gli archivi dei governi non sono accessibili, non sono indicizzati, o non sono aperti per intere epoche.</w:t>
      </w:r>
    </w:p>
    <w:p>
      <w:pPr>
        <w:spacing w:after="120" w:line="276"/>
        <w:jc w:val="both"/>
      </w:pPr>
      <w:r>
        <w:rPr>
          <w:rFonts w:ascii="Barlow Semi Condensed" w:cs="Barlow Semi Condensed" w:eastAsia="Barlow Semi Condensed" w:hAnsi="Barlow Semi Condensed"/>
          <w:b/>
          <w:bCs/>
          <w:sz w:val="24"/>
          <w:szCs w:val="24"/>
        </w:rPr>
        <w:t xml:space="preserve">Vi sono assenze che non sono lacune — perché un insieme vuoto verificato contro il registro ufficiale del soggetto è un accertamento e non un vuoto.</w:t>
      </w:r>
    </w:p>
    <w:p>
      <w:pPr>
        <w:spacing w:after="120" w:line="276"/>
        <w:jc w:val="both"/>
      </w:pPr>
      <w:r>
        <w:rPr>
          <w:rFonts w:ascii="Barlow Semi Condensed" w:cs="Barlow Semi Condensed" w:eastAsia="Barlow Semi Condensed" w:hAnsi="Barlow Semi Condensed"/>
          <w:b/>
          <w:bCs/>
          <w:sz w:val="24"/>
          <w:szCs w:val="24"/>
        </w:rPr>
        <w:t xml:space="preserve">Vi sono nessi che i documenti principali tacciono deliberatamente — perché la diplomazia scrive nell'atto ciò che vuole obbligare e nella comunicazione ciò che vuole far sapere.</w:t>
      </w:r>
    </w:p>
    <w:p>
      <w:pPr>
        <w:spacing w:after="120" w:line="276"/>
        <w:jc w:val="both"/>
      </w:pPr>
      <w:r>
        <w:rPr>
          <w:rFonts w:ascii="Barlow Semi Condensed" w:cs="Barlow Semi Condensed" w:eastAsia="Barlow Semi Condensed" w:hAnsi="Barlow Semi Condensed"/>
          <w:b/>
          <w:bCs/>
          <w:sz w:val="24"/>
          <w:szCs w:val="24"/>
        </w:rPr>
        <w:t xml:space="preserve">E vi è una quarta parte, che questo documento aggiunge e che riguarda chi scrive anziché le fonti. Una proposizione va formulata con la propria condizione di falsificazione esplicita e con i propri casi avversi elencati per nome. Il modello a due condizioni è caduto perché era stato costruito così. Se lo avessi formulato senza indicare che cosa lo avrebbe abbattuto, sarebbe ancora in piedi — e sarebbe falso.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 · Moro, La Germania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 5.491 parole in 9 sezioni; la più ampia è §9 Altre sezioni, con 4.484.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 122 paragrafi in 9 sezioni, 14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XII — Strauss E Aginter Press</w:t>
      </w:r>
    </w:p>
    <w:p>
      <w:pPr>
        <w:pStyle w:val="Heading1"/>
        <w:spacing w:after="120" w:before="240"/>
      </w:pPr>
      <w:r>
        <w:rPr>
          <w:rFonts w:ascii="Barlow Semi Condensed" w:cs="Barlow Semi Condensed" w:eastAsia="Barlow Semi Condensed" w:hAnsi="Barlow Semi Condensed"/>
          <w:sz w:val="24"/>
          <w:szCs w:val="24"/>
        </w:rPr>
        <w:t xml:space="preserve">STRAUSS E AGINTER PRESS</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Undicesima ricognizione: anatomia di una connessione falsa</w:t>
      </w:r>
    </w:p>
    <w:p>
      <w:pPr>
        <w:pStyle w:val="Heading2"/>
        <w:spacing w:after="100" w:before="200"/>
      </w:pPr>
      <w:r>
        <w:rPr>
          <w:rFonts w:ascii="Barlow Semi Condensed" w:cs="Barlow Semi Condensed" w:eastAsia="Barlow Semi Condensed" w:hAnsi="Barlow Semi Condensed"/>
          <w:sz w:val="24"/>
          <w:szCs w:val="24"/>
        </w:rPr>
        <w:t xml:space="preserve">L'affare Spiegel come termine di controllo. La contaminazione per prossimita</w:t>
      </w:r>
    </w:p>
    <w:p>
      <w:pPr>
        <w:pStyle w:val="Heading2"/>
        <w:spacing w:after="100" w:before="200"/>
      </w:pPr>
      <w:r>
        <w:rPr>
          <w:rFonts w:ascii="Barlow Semi Condensed" w:cs="Barlow Semi Condensed" w:eastAsia="Barlow Semi Condensed" w:hAnsi="Barlow Semi Condensed"/>
          <w:sz w:val="24"/>
          <w:szCs w:val="24"/>
        </w:rPr>
        <w:t xml:space="preserve">Dodici Capitoli — tre criteri generali — sei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Che cosa questo documento fa di diverso</w:t>
      </w:r>
    </w:p>
    <w:p>
      <w:pPr>
        <w:spacing w:after="120" w:line="276"/>
        <w:jc w:val="both"/>
      </w:pPr>
      <w:r>
        <w:rPr>
          <w:rFonts w:ascii="Barlow Semi Condensed" w:cs="Barlow Semi Condensed" w:eastAsia="Barlow Semi Condensed" w:hAnsi="Barlow Semi Condensed"/>
          <w:b/>
          <w:bCs/>
          <w:sz w:val="24"/>
          <w:szCs w:val="24"/>
        </w:rPr>
        <w:t xml:space="preserve">È l'undicesima ricognizione, e la seconda sul perimetro Strauß-Aginter Press. La prima aveva accertato un esito negativo; questa fa qualcosa di più utile: isola la singola affermazione che sostiene il nesso, ne trova l'origine, e ricostruisce il meccanismo per cui essa ha acquisito una credibilità che non possiede.</w:t>
      </w:r>
    </w:p>
    <w:p>
      <w:pPr>
        <w:spacing w:after="120" w:line="276"/>
        <w:jc w:val="both"/>
      </w:pPr>
      <w:r>
        <w:rPr>
          <w:rFonts w:ascii="Barlow Semi Condensed" w:cs="Barlow Semi Condensed" w:eastAsia="Barlow Semi Condensed" w:hAnsi="Barlow Semi Condensed"/>
          <w:b/>
          <w:bCs/>
          <w:sz w:val="24"/>
          <w:szCs w:val="24"/>
        </w:rPr>
        <w:t xml:space="preserve">La differenza va enunciata perché è metodologica.\\ Dichiarare che una connessione non è documentata lascia intatta la domanda su perché tanti la ritengano documentata. \\Questo documento risponde anche a quella.</w:t>
      </w:r>
    </w:p>
    <w:p>
      <w:pPr>
        <w:spacing w:after="120" w:line="276"/>
        <w:jc w:val="both"/>
      </w:pPr>
      <w:r>
        <w:rPr>
          <w:rFonts w:ascii="Barlow Semi Condensed" w:cs="Barlow Semi Condensed" w:eastAsia="Barlow Semi Condensed" w:hAnsi="Barlow Semi Condensed"/>
          <w:b/>
          <w:bCs/>
          <w:sz w:val="24"/>
          <w:szCs w:val="24"/>
        </w:rPr>
        <w:t xml:space="preserve">L'affermazione, isolata. I giornalisti Egmont R. Koch e Oliver Schröm, nel documentario della rete televisiva pubblica tedesca della serie \Kennzeichen D\, puntata \BND-Schmiergeld\, trasmessa il 16 febbraio 2000, sostennero che documenti da loro portati alla luce mostrerebbero contatti stretti di agenti di Aginter Press con Marcel Hepp, allora referente personale del presidente della CSU Franz Josef Strauß; che un agente di Aginter sarebbe stato in contatto diretto con Strauß; che i documenti conterrebbero una lista di nomi in codice di finanziatori tedeschi sotto l'intestazione Industry; e che Strauß avrebbe sostenuto ripetutamente con denaro contante i propri amici politici in Spagna e in Italia, con il collaboratore Dieter Huber come corriere.</w:t>
      </w:r>
    </w:p>
    <w:p>
      <w:pPr>
        <w:spacing w:after="120" w:line="276"/>
        <w:jc w:val="both"/>
      </w:pPr>
      <w:r>
        <w:rPr>
          <w:rFonts w:ascii="Barlow Semi Condensed" w:cs="Barlow Semi Condensed" w:eastAsia="Barlow Semi Condensed" w:hAnsi="Barlow Semi Condensed"/>
          <w:b/>
          <w:bCs/>
          <w:sz w:val="24"/>
          <w:szCs w:val="24"/>
        </w:rPr>
        <w:t xml:space="preserve">È questa, e soltanto questa, la fonte di ogni affermazione circolante di un nesso Strauß-Aginter.</w:t>
      </w:r>
    </w:p>
    <w:p>
      <w:pPr>
        <w:spacing w:after="120" w:line="276"/>
        <w:jc w:val="both"/>
      </w:pPr>
      <w:r>
        <w:rPr>
          <w:rFonts w:ascii="Barlow Semi Condensed" w:cs="Barlow Semi Condensed" w:eastAsia="Barlow Semi Condensed" w:hAnsi="Barlow Semi Condensed"/>
          <w:b/>
          <w:bCs/>
          <w:sz w:val="24"/>
          <w:szCs w:val="24"/>
        </w:rPr>
        <w:t xml:space="preserve">Che cosa la manca, elencato. Non risulta alcuna fonte accademica peer-reviewed che riproduca l'allegazione. Nessun documento parlamentare tedesco. Nessuna sentenza. Nessun documento d'archivio con segnatura. I documenti sono descritti soltanto come materiale portato alla luce dai giornalisti, senza indicazione di archivio, fondo o segnatura. Le quantificazioni specifiche — la lista sotto l'intestazione \Industry\, pagamenti fino a centomila marchi, ricevute di donazione, il ruolo di corriere di Huber — compaiono soltanto come asserzioni della narrazione del documentario.</w:t>
      </w:r>
    </w:p>
    <w:p>
      <w:pPr>
        <w:spacing w:after="120" w:line="276"/>
        <w:jc w:val="both"/>
      </w:pPr>
      <w:r>
        <w:rPr>
          <w:rFonts w:ascii="Barlow Semi Condensed" w:cs="Barlow Semi Condensed" w:eastAsia="Barlow Semi Condensed" w:hAnsi="Barlow Semi Condensed"/>
          <w:b/>
          <w:bCs/>
          <w:sz w:val="24"/>
          <w:szCs w:val="24"/>
        </w:rPr>
        <w:t xml:space="preserve">Ogni ripresa successiva rinvia al medesimo documentario.</w:t>
      </w:r>
    </w:p>
    <w:p>
      <w:pPr>
        <w:spacing w:after="120" w:line="276"/>
        <w:jc w:val="both"/>
      </w:pPr>
      <w:r>
        <w:rPr>
          <w:rFonts w:ascii="Barlow Semi Condensed" w:cs="Barlow Semi Condensed" w:eastAsia="Barlow Semi Condensed" w:hAnsi="Barlow Semi Condensed"/>
          <w:b/>
          <w:bCs/>
          <w:sz w:val="24"/>
          <w:szCs w:val="24"/>
        </w:rPr>
        <w:t xml:space="preserve">E qui il meccanismo, che è il contributo di questo studio. L'opera più citata sul tema Aginter — quella di Daniele Ganser — non contiene l'allegazione Strauß-Hepp-Huber. Ma le fonti che la riportano la accostano ad altri fatti Aginter meglio documentati: i rapporti con la Central Intelligence Agency e la polizia politica portoghese, la relazione Pellegrino, l'istruttoria Salvini.</w:t>
      </w:r>
    </w:p>
    <w:p>
      <w:pPr>
        <w:spacing w:after="120" w:line="276"/>
        <w:jc w:val="both"/>
      </w:pPr>
      <w:r>
        <w:rPr>
          <w:rFonts w:ascii="Barlow Semi Condensed" w:cs="Barlow Semi Condensed" w:eastAsia="Barlow Semi Condensed" w:hAnsi="Barlow Semi Condensed"/>
          <w:b/>
          <w:bCs/>
          <w:sz w:val="24"/>
          <w:szCs w:val="24"/>
        </w:rPr>
        <w:t xml:space="preserve">L'accostamento genera l'impressione ingannevole di un sostegno scientifico esteso anche alla parte relativa a Strauß. L'affermazione debole prende in prestito la credibilità di quelle forti che le stanno accanto, senza averne il fondamento.</w:t>
      </w:r>
    </w:p>
    <w:p>
      <w:pPr>
        <w:spacing w:after="120" w:line="276"/>
        <w:jc w:val="both"/>
      </w:pPr>
      <w:r>
        <w:rPr>
          <w:rFonts w:ascii="Barlow Semi Condensed" w:cs="Barlow Semi Condensed" w:eastAsia="Barlow Semi Condensed" w:hAnsi="Barlow Semi Condensed"/>
          <w:b/>
          <w:bCs/>
          <w:sz w:val="24"/>
          <w:szCs w:val="24"/>
        </w:rPr>
        <w:t xml:space="preserve">Questo è il meccanismo, e ha un nome che vale la pena fissare: contaminazione per prossimità. Non è citazione errata né falsificazione: è collocazione di un'asserzione non documentata dentro un elenco di fatti documentati, che ne trasferisce il credito.</w:t>
      </w:r>
    </w:p>
    <w:p>
      <w:pPr>
        <w:spacing w:after="120" w:line="276"/>
        <w:jc w:val="both"/>
      </w:pPr>
      <w:r>
        <w:rPr>
          <w:rFonts w:ascii="Barlow Semi Condensed" w:cs="Barlow Semi Condensed" w:eastAsia="Barlow Semi Condensed" w:hAnsi="Barlow Semi Condensed"/>
          <w:b/>
          <w:bCs/>
          <w:sz w:val="24"/>
          <w:szCs w:val="24"/>
        </w:rPr>
        <w:t xml:space="preserve">Sul termine di controllo. Il capitolo secondo espone l'affare Spiegel del 1962, che è il solo episodio pienamente documentato in cui Strauß impiegò un canale di polizia in un regime autoritario iberico. Esso serve da controprova: mostra che aspetto ha, nei documenti, un contatto reale — e per contrasto quanto poco somigli a ciò che l'allegazione del 2000 asserisce.</w:t>
      </w:r>
    </w:p>
    <w:p>
      <w:pPr>
        <w:pStyle w:val="Heading2"/>
        <w:spacing w:after="100" w:before="200"/>
      </w:pPr>
      <w:r>
        <w:rPr>
          <w:rFonts w:ascii="Barlow Semi Condensed" w:cs="Barlow Semi Condensed" w:eastAsia="Barlow Semi Condensed" w:hAnsi="Barlow Semi Condensed"/>
          <w:sz w:val="24"/>
          <w:szCs w:val="24"/>
        </w:rPr>
        <w:t xml:space="preserve">Capitolo secondo — L'affare Spiegel: che aspetto ha un contatto reale</w:t>
      </w:r>
    </w:p>
    <w:p>
      <w:pPr>
        <w:spacing w:after="120" w:line="276"/>
        <w:jc w:val="both"/>
      </w:pPr>
      <w:r>
        <w:rPr>
          <w:rFonts w:ascii="Barlow Semi Condensed" w:cs="Barlow Semi Condensed" w:eastAsia="Barlow Semi Condensed" w:hAnsi="Barlow Semi Condensed"/>
          <w:b/>
          <w:bCs/>
          <w:sz w:val="24"/>
          <w:szCs w:val="24"/>
        </w:rPr>
        <w:t xml:space="preserve">Il capitolo espone il termine di controllo, e lo espone per intero perché il confronto sia possibile.</w:t>
      </w:r>
    </w:p>
    <w:p>
      <w:pPr>
        <w:spacing w:after="120" w:line="276"/>
        <w:jc w:val="both"/>
      </w:pPr>
      <w:r>
        <w:rPr>
          <w:rFonts w:ascii="Barlow Semi Condensed" w:cs="Barlow Semi Condensed" w:eastAsia="Barlow Semi Condensed" w:hAnsi="Barlow Semi Condensed"/>
          <w:b/>
          <w:bCs/>
          <w:sz w:val="24"/>
          <w:szCs w:val="24"/>
        </w:rPr>
        <w:t xml:space="preserve">L'articolo. Il 10 ottobre 1962, nel fascicolo quarantunesimo della rivista — alcune fonti indicano l'8 o 9 ottobre come uscita effettiva, e la divergenza si riporta — apparve a firma di Conrad Ahlers e Hans Schmelz l'articolo \Bedingt abwehrbereit\, fondato sui risultati dell'esercitazione atlantica Fallex 62. Esso descriveva la Bundeswehr, sulla scorta della valutazione del comando alleato, come inadeguata alla difesa in avanti, e criticava il ministro della Difesa.</w:t>
      </w:r>
    </w:p>
    <w:p>
      <w:pPr>
        <w:spacing w:after="120" w:line="276"/>
        <w:jc w:val="both"/>
      </w:pPr>
      <w:r>
        <w:rPr>
          <w:rFonts w:ascii="Barlow Semi Condensed" w:cs="Barlow Semi Condensed" w:eastAsia="Barlow Semi Condensed" w:hAnsi="Barlow Semi Condensed"/>
          <w:b/>
          <w:bCs/>
          <w:sz w:val="24"/>
          <w:szCs w:val="24"/>
        </w:rPr>
        <w:t xml:space="preserve">La perquisizione. Nella notte fra il 26 e il 27 ottobre 1962 la polizia, su impulso della procura federale, perquisì e sigillò le redazioni di Amburgo e Bonn. Rudolf Augstein si consegnò domenica 28 ottobre e rimase in custodia centotré giorni, fino al rilascio del 7 febbraio 1963; Hans Schmelz fu rilasciato dopo ottantuno giorni.</w:t>
      </w:r>
    </w:p>
    <w:p>
      <w:pPr>
        <w:spacing w:after="120" w:line="276"/>
        <w:jc w:val="both"/>
      </w:pPr>
      <w:r>
        <w:rPr>
          <w:rFonts w:ascii="Barlow Semi Condensed" w:cs="Barlow Semi Condensed" w:eastAsia="Barlow Semi Condensed" w:hAnsi="Barlow Semi Condensed"/>
          <w:b/>
          <w:bCs/>
          <w:sz w:val="24"/>
          <w:szCs w:val="24"/>
        </w:rPr>
        <w:t xml:space="preserve">E adesso il canale spagnolo, che è il punto. Ahlers, in vacanza con la moglie a Torremolinos, fu arrestato dalla polizia spagnola. Ma la richiesta non passò per la Dirección General de Seguridad né per la Guardia Civil come apparato di prima istanza: passò per l'addetto militare presso l'ambasciata tedesca a Madrid, il colonnello Achim Oster.</w:t>
      </w:r>
    </w:p>
    <w:p>
      <w:pPr>
        <w:spacing w:after="120" w:line="276"/>
        <w:jc w:val="both"/>
      </w:pPr>
      <w:r>
        <w:rPr>
          <w:rFonts w:ascii="Barlow Semi Condensed" w:cs="Barlow Semi Condensed" w:eastAsia="Barlow Semi Condensed" w:hAnsi="Barlow Semi Condensed"/>
          <w:b/>
          <w:bCs/>
          <w:sz w:val="24"/>
          <w:szCs w:val="24"/>
        </w:rPr>
        <w:t xml:space="preserve">Strauß telefonò personalmente a Oster nella notte fra il 26 e il 27 ottobre.</w:t>
      </w:r>
    </w:p>
    <w:p>
      <w:pPr>
        <w:spacing w:after="120" w:line="276"/>
        <w:jc w:val="both"/>
      </w:pPr>
      <w:r>
        <w:rPr>
          <w:rFonts w:ascii="Barlow Semi Condensed" w:cs="Barlow Semi Condensed" w:eastAsia="Barlow Semi Condensed" w:hAnsi="Barlow Semi Condensed"/>
          <w:b/>
          <w:bCs/>
          <w:sz w:val="24"/>
          <w:szCs w:val="24"/>
        </w:rPr>
        <w:t xml:space="preserve">La ragione della telefonata personale è documentata, ed è istruttiva. Secondo la ricostruzione della fondazione democristiana, il colonnello Oster avrebbe accettato una disposizione soltanto dal ministro in persona, poiché ne conosceva la voce ma non quella del segretario di Stato Volkmar Hopf.</w:t>
      </w:r>
    </w:p>
    <w:p>
      <w:pPr>
        <w:spacing w:after="120" w:line="276"/>
        <w:jc w:val="both"/>
      </w:pPr>
      <w:r>
        <w:rPr>
          <w:rFonts w:ascii="Barlow Semi Condensed" w:cs="Barlow Semi Condensed" w:eastAsia="Barlow Semi Condensed" w:hAnsi="Barlow Semi Condensed"/>
          <w:b/>
          <w:bCs/>
          <w:sz w:val="24"/>
          <w:szCs w:val="24"/>
        </w:rPr>
        <w:t xml:space="preserve">Il contenuto. Strauß fece riferimento a un colloquio con Adenauer e all'imminente arrivo a Madrid di un ordine di arresto Interpol, e invitò Oster a chiedere assistenza amministrativa alle autorità spagnole. Queste arrestarono Ahlers e — erroneamente — anche la moglie.</w:t>
      </w:r>
    </w:p>
    <w:p>
      <w:pPr>
        <w:spacing w:after="120" w:line="276"/>
        <w:jc w:val="both"/>
      </w:pPr>
      <w:r>
        <w:rPr>
          <w:rFonts w:ascii="Barlow Semi Condensed" w:cs="Barlow Semi Condensed" w:eastAsia="Barlow Semi Condensed" w:hAnsi="Barlow Semi Condensed"/>
          <w:b/>
          <w:bCs/>
          <w:sz w:val="24"/>
          <w:szCs w:val="24"/>
        </w:rPr>
        <w:t xml:space="preserve">L'ammissione parlamentare, ed è la formula più significativa del capitolo. Il ministro dell'Interno Höcherl ammise in Aula che l'operazione era avvenuta un poco al di fuori della legalità, attraverso il traffico in corto circuito fra le polizie criminali.</w:t>
      </w:r>
    </w:p>
    <w:p>
      <w:pPr>
        <w:spacing w:after="120" w:line="276"/>
        <w:jc w:val="both"/>
      </w:pPr>
      <w:r>
        <w:rPr>
          <w:rFonts w:ascii="Barlow Semi Condensed" w:cs="Barlow Semi Condensed" w:eastAsia="Barlow Semi Condensed" w:hAnsi="Barlow Semi Condensed"/>
          <w:b/>
          <w:bCs/>
          <w:sz w:val="24"/>
          <w:szCs w:val="24"/>
        </w:rPr>
        <w:t xml:space="preserve">La qualificazione giuridica, prudente e documentata. La competenza del ministro della Difesa verso un ufficiale distaccato come addetto militare è limitata alle materie militari, mentre per il resto è competente il ministro degli Esteri, allora negli Stati Uniti; sicché l'intervento configurò presumibilmente uno sconfinamento di competenza.</w:t>
      </w:r>
    </w:p>
    <w:p>
      <w:pPr>
        <w:spacing w:after="120" w:line="276"/>
        <w:jc w:val="both"/>
      </w:pPr>
      <w:r>
        <w:rPr>
          <w:rFonts w:ascii="Barlow Semi Condensed" w:cs="Barlow Semi Condensed" w:eastAsia="Barlow Semi Condensed" w:hAnsi="Barlow Semi Condensed"/>
          <w:b/>
          <w:bCs/>
          <w:sz w:val="24"/>
          <w:szCs w:val="24"/>
        </w:rPr>
        <w:t xml:space="preserve">La sequenza delle dichiarazioni al Bundestag, per date. Il 3 novembre 1962, in un'intervista, Strauß negò di avere avuto a che fare con la vicenda. L'8 novembre, alla seconda giornata delle interrogazioni, non ammise ancora, impiegando la formula minimizzante secondo cui per via di assistenza amministrativa il ministero della Difesa aveva chiesto all'addetto militare a Madrid se quella comunicazione fosse esatta. Il 9 novembre, incalzato dalla domanda aggiuntiva di Fritz Erler sulla domanda di Karl Mommer, dovette riconoscere: fui anch'io messo in comunicazione con lui e gli ripetei quanto risultava.</w:t>
      </w:r>
    </w:p>
    <w:p>
      <w:pPr>
        <w:spacing w:after="120" w:line="276"/>
        <w:jc w:val="both"/>
      </w:pPr>
      <w:r>
        <w:rPr>
          <w:rFonts w:ascii="Barlow Semi Condensed" w:cs="Barlow Semi Condensed" w:eastAsia="Barlow Semi Condensed" w:hAnsi="Barlow Semi Condensed"/>
          <w:b/>
          <w:bCs/>
          <w:sz w:val="24"/>
          <w:szCs w:val="24"/>
        </w:rPr>
        <w:t xml:space="preserve">Il giudizio parlamentare, e va riportato per come le fonti lo formulano: Strauß aveva mentito.</w:t>
      </w:r>
    </w:p>
    <w:p>
      <w:pPr>
        <w:spacing w:after="120" w:line="276"/>
        <w:jc w:val="both"/>
      </w:pPr>
      <w:r>
        <w:rPr>
          <w:rFonts w:ascii="Barlow Semi Condensed" w:cs="Barlow Semi Condensed" w:eastAsia="Barlow Semi Condensed" w:hAnsi="Barlow Semi Condensed"/>
          <w:b/>
          <w:bCs/>
          <w:sz w:val="24"/>
          <w:szCs w:val="24"/>
        </w:rPr>
        <w:t xml:space="preserve">Ma il piano penale va distinto da quello parlamentare, e la distinzione è di metodo. La procura di Bonn qualificò la condotta come oggettivamente integrante usurpazione di funzioni e sequestro di persona, ma escluse l'elemento soggettivo, archiviando il 3 giugno 1965 il procedimento contro Strauß, Hopf e Oster.</w:t>
      </w:r>
    </w:p>
    <w:p>
      <w:pPr>
        <w:spacing w:after="120" w:line="276"/>
        <w:jc w:val="both"/>
      </w:pPr>
      <w:r>
        <w:rPr>
          <w:rFonts w:ascii="Barlow Semi Condensed" w:cs="Barlow Semi Condensed" w:eastAsia="Barlow Semi Condensed" w:hAnsi="Barlow Semi Condensed"/>
          <w:b/>
          <w:bCs/>
          <w:sz w:val="24"/>
          <w:szCs w:val="24"/>
        </w:rPr>
        <w:t xml:space="preserve">L'esito politico. Il 19 novembre 1962 si dimisero i cinque ministri liberali — Lenz, Mischnick, Scheel, Stammberger, Starke. Strauß si dimise il 30 novembre 1962; il quinto e ultimo gabinetto Adenauer si formò il 14 dicembre 1962, col rimpasto deliberato nella cinquantasettesima seduta del 12 dicembre. Sulla data delle dimissioni la pubblicistica indica talora il 5 dicembre: non è confermato dalle fonti primarie reperite.</w:t>
      </w:r>
    </w:p>
    <w:p>
      <w:pPr>
        <w:spacing w:after="120" w:line="276"/>
        <w:jc w:val="both"/>
      </w:pPr>
      <w:r>
        <w:rPr>
          <w:rFonts w:ascii="Barlow Semi Condensed" w:cs="Barlow Semi Condensed" w:eastAsia="Barlow Semi Condensed" w:hAnsi="Barlow Semi Condensed"/>
          <w:b/>
          <w:bCs/>
          <w:sz w:val="24"/>
          <w:szCs w:val="24"/>
        </w:rPr>
        <w:t xml:space="preserve">L'esito giudiziario. Il 13 maggio 1965 il terzo Strafsenat della Corte federale di giustizia rifiutò l'apertura del dibattimento contro Augstein e Ahlers per insussistenza di prove di alto tradimento. Il 5 agosto 1966 la Corte costituzionale federale, con i procedimenti 1 BvR 586/62, 610/63 e 512/64, respinse il ricorso della rivista con quattro voti contro quattro — parità di voti — fissando nondimeno i principi cardine sulla libertà di stampa come elemento essenziale dello Stato libero.</w:t>
      </w:r>
    </w:p>
    <w:p>
      <w:pPr>
        <w:spacing w:after="120" w:line="276"/>
        <w:jc w:val="both"/>
      </w:pPr>
      <w:r>
        <w:rPr>
          <w:rFonts w:ascii="Barlow Semi Condensed" w:cs="Barlow Semi Condensed" w:eastAsia="Barlow Semi Condensed" w:hAnsi="Barlow Semi Condensed"/>
          <w:b/>
          <w:bCs/>
          <w:sz w:val="24"/>
          <w:szCs w:val="24"/>
        </w:rPr>
        <w:t xml:space="preserve">Le fonti primarie sono elencabili, ed è ciò che manca all'allegazione del 2000. Protocolli di gabinetto all'Archivio federale — seduta straordinaria del 29 ottobre 1962, sedute del 20 novembre e del 12 dicembre; verbali d'aula del 7, 8 e 9 novembre 1962; stampato IV/708 con le diciotto interrogazioni urgenti presentate dalla socialdemocrazia il 5 novembre 1962.</w:t>
      </w:r>
    </w:p>
    <w:p>
      <w:pPr>
        <w:pStyle w:val="Heading2"/>
        <w:spacing w:after="100" w:before="200"/>
      </w:pPr>
      <w:r>
        <w:rPr>
          <w:rFonts w:ascii="Barlow Semi Condensed" w:cs="Barlow Semi Condensed" w:eastAsia="Barlow Semi Condensed" w:hAnsi="Barlow Semi Condensed"/>
          <w:sz w:val="24"/>
          <w:szCs w:val="24"/>
        </w:rPr>
        <w:t xml:space="preserve">Capitolo terzo — Il confronto: che cosa distingue il caso Spiegel dall'allegazione del 2000</w:t>
      </w:r>
    </w:p>
    <w:p>
      <w:pPr>
        <w:spacing w:after="120" w:line="276"/>
        <w:jc w:val="both"/>
      </w:pPr>
      <w:r>
        <w:rPr>
          <w:rFonts w:ascii="Barlow Semi Condensed" w:cs="Barlow Semi Condensed" w:eastAsia="Barlow Semi Condensed" w:hAnsi="Barlow Semi Condensed"/>
          <w:b/>
          <w:bCs/>
          <w:sz w:val="24"/>
          <w:szCs w:val="24"/>
        </w:rPr>
        <w:t xml:space="preserve">Il capitolo mette a confronto i due, e ne trae il criterio.</w:t>
      </w:r>
    </w:p>
    <w:p>
      <w:pPr>
        <w:spacing w:after="120" w:line="276"/>
        <w:jc w:val="both"/>
      </w:pPr>
      <w:r>
        <w:rPr>
          <w:rFonts w:ascii="Barlow Semi Condensed" w:cs="Barlow Semi Condensed" w:eastAsia="Barlow Semi Condensed" w:hAnsi="Barlow Semi Condensed"/>
          <w:b/>
          <w:bCs/>
          <w:sz w:val="24"/>
          <w:szCs w:val="24"/>
        </w:rPr>
        <w:t xml:space="preserve">Il caso Spiegel ha: una data, un nome, una catena di comando, una formula ammessa in Aula, un verbale parlamentare citabile per seduta, una qualificazione della procura, una sentenza costituzionale con numero di procedimento, e protocolli di gabinetto con segnatura.</w:t>
      </w:r>
    </w:p>
    <w:p>
      <w:pPr>
        <w:spacing w:after="120" w:line="276"/>
        <w:jc w:val="both"/>
      </w:pPr>
      <w:r>
        <w:rPr>
          <w:rFonts w:ascii="Barlow Semi Condensed" w:cs="Barlow Semi Condensed" w:eastAsia="Barlow Semi Condensed" w:hAnsi="Barlow Semi Condensed"/>
          <w:b/>
          <w:bCs/>
          <w:sz w:val="24"/>
          <w:szCs w:val="24"/>
        </w:rPr>
        <w:t xml:space="preserve">L'allegazione del 2000 ha: un documentario televisivo.</w:t>
      </w:r>
    </w:p>
    <w:p>
      <w:pPr>
        <w:spacing w:after="120" w:line="276"/>
        <w:jc w:val="both"/>
      </w:pPr>
      <w:r>
        <w:rPr>
          <w:rFonts w:ascii="Barlow Semi Condensed" w:cs="Barlow Semi Condensed" w:eastAsia="Barlow Semi Condensed" w:hAnsi="Barlow Semi Condensed"/>
          <w:b/>
          <w:bCs/>
          <w:sz w:val="24"/>
          <w:szCs w:val="24"/>
        </w:rPr>
        <w:t xml:space="preserve">Il confronto va fatto voce per voce perché il criterio ne emerga.</w:t>
      </w:r>
    </w:p>
    <w:p>
      <w:pPr>
        <w:spacing w:after="120" w:line="276"/>
        <w:jc w:val="both"/>
      </w:pPr>
      <w:r>
        <w:rPr>
          <w:rFonts w:ascii="Barlow Semi Condensed" w:cs="Barlow Semi Condensed" w:eastAsia="Barlow Semi Condensed" w:hAnsi="Barlow Semi Condensed"/>
          <w:b/>
          <w:bCs/>
          <w:sz w:val="24"/>
          <w:szCs w:val="24"/>
        </w:rPr>
        <w:t xml:space="preserve">Sulla provenienza dei documenti. Nel caso Spiegel ogni atto è collocato in un fondo: Archivio federale, atti parlamentari, raccolta della Corte costituzionale. Nell'allegazione del 2000 i documenti sono portati alla luce — formula che non è una collocazione archivistica ma una figura giornalistica.</w:t>
      </w:r>
    </w:p>
    <w:p>
      <w:pPr>
        <w:spacing w:after="120" w:line="276"/>
        <w:jc w:val="both"/>
      </w:pPr>
      <w:r>
        <w:rPr>
          <w:rFonts w:ascii="Barlow Semi Condensed" w:cs="Barlow Semi Condensed" w:eastAsia="Barlow Semi Condensed" w:hAnsi="Barlow Semi Condensed"/>
          <w:b/>
          <w:bCs/>
          <w:sz w:val="24"/>
          <w:szCs w:val="24"/>
        </w:rPr>
        <w:t xml:space="preserve">Sulla verificabilità. Nel caso Spiegel chiunque può leggere il verbale del 9 novembre 1962 e trovarvi la frase di Strauß. Nell'allegazione del 2000 non esiste nulla che possa essere letto, se non la trasmissione medesima.</w:t>
      </w:r>
    </w:p>
    <w:p>
      <w:pPr>
        <w:spacing w:after="120" w:line="276"/>
        <w:jc w:val="both"/>
      </w:pPr>
      <w:r>
        <w:rPr>
          <w:rFonts w:ascii="Barlow Semi Condensed" w:cs="Barlow Semi Condensed" w:eastAsia="Barlow Semi Condensed" w:hAnsi="Barlow Semi Condensed"/>
          <w:b/>
          <w:bCs/>
          <w:sz w:val="24"/>
          <w:szCs w:val="24"/>
        </w:rPr>
        <w:t xml:space="preserve">Sulla ripresa. Il caso Spiegel è trattato dalla storiografia accademica, dalle fondazioni politiche di entrambi gli schieramenti, dalle enciclopedie storiche. L'allegazione del 2000 è ripresa soltanto da aggregatori non accademici, e ciascuno rinvia al documentario.</w:t>
      </w:r>
    </w:p>
    <w:p>
      <w:pPr>
        <w:spacing w:after="120" w:line="276"/>
        <w:jc w:val="both"/>
      </w:pPr>
      <w:r>
        <w:rPr>
          <w:rFonts w:ascii="Barlow Semi Condensed" w:cs="Barlow Semi Condensed" w:eastAsia="Barlow Semi Condensed" w:hAnsi="Barlow Semi Condensed"/>
          <w:b/>
          <w:bCs/>
          <w:sz w:val="24"/>
          <w:szCs w:val="24"/>
        </w:rPr>
        <w:t xml:space="preserve">Sulla corroborazione indipendente. Il caso Spiegel è corroborato da fonti che avevano interesse opposto: la fondazione democristiana ne ricostruisce lo sconfinamento di competenza del proprio uomo. L'allegazione del 2000 non ha alcuna corroborazione, né favorevole né contraria.</w:t>
      </w:r>
    </w:p>
    <w:p>
      <w:pPr>
        <w:spacing w:after="120" w:line="276"/>
        <w:jc w:val="both"/>
      </w:pPr>
      <w:r>
        <w:rPr>
          <w:rFonts w:ascii="Barlow Semi Condensed" w:cs="Barlow Semi Condensed" w:eastAsia="Barlow Semi Condensed" w:hAnsi="Barlow Semi Condensed"/>
          <w:b/>
          <w:bCs/>
          <w:sz w:val="24"/>
          <w:szCs w:val="24"/>
        </w:rPr>
        <w:t xml:space="preserve">Ne discende il criterio, ed è il contributo del capitolo. Una connessione reale lascia tracce presso soggetti che non avevano interesse a produrle. Il caso Spiegel è documentato perché la polizia dovette verbalizzare, il Parlamento dovette interrogare, la procura dovette qualificare, la Corte dovette decidere — e nessuno di questi soggetti voleva documentare l'imbarazzo di un ministro.</w:t>
      </w:r>
    </w:p>
    <w:p>
      <w:pPr>
        <w:spacing w:after="120" w:line="276"/>
        <w:jc w:val="both"/>
      </w:pPr>
      <w:r>
        <w:rPr>
          <w:rFonts w:ascii="Barlow Semi Condensed" w:cs="Barlow Semi Condensed" w:eastAsia="Barlow Semi Condensed" w:hAnsi="Barlow Semi Condensed"/>
          <w:b/>
          <w:bCs/>
          <w:sz w:val="24"/>
          <w:szCs w:val="24"/>
        </w:rPr>
        <w:t xml:space="preserve">Una connessione allegata e non reale, al contrario, esiste soltanto presso chi la afferma.</w:t>
      </w:r>
    </w:p>
    <w:p>
      <w:pPr>
        <w:spacing w:after="120" w:line="276"/>
        <w:jc w:val="both"/>
      </w:pPr>
      <w:r>
        <w:rPr>
          <w:rFonts w:ascii="Barlow Semi Condensed" w:cs="Barlow Semi Condensed" w:eastAsia="Barlow Semi Condensed" w:hAnsi="Barlow Semi Condensed"/>
          <w:b/>
          <w:bCs/>
          <w:sz w:val="24"/>
          <w:szCs w:val="24"/>
        </w:rPr>
        <w:t xml:space="preserve">Va aggiunta una precisazione che rende il confronto onesto. Il fatto che l'allegazione del 2000 non sia documentata non prova che sia falsa. Prova che non è dimostrata, e la disciplina di questa serie impone di trattare come inesistente, ai fini dello studio, una connessione non documentata. La differenza fra non dimostrato e falso va mantenuta, e questo studio non la valica.</w:t>
      </w:r>
    </w:p>
    <w:p>
      <w:pPr>
        <w:spacing w:after="120" w:line="276"/>
        <w:jc w:val="both"/>
      </w:pPr>
      <w:r>
        <w:rPr>
          <w:rFonts w:ascii="Barlow Semi Condensed" w:cs="Barlow Semi Condensed" w:eastAsia="Barlow Semi Condensed" w:hAnsi="Barlow Semi Condensed"/>
          <w:b/>
          <w:bCs/>
          <w:sz w:val="24"/>
          <w:szCs w:val="24"/>
        </w:rPr>
        <w:t xml:space="preserve">E va aggiunto un elemento che gioca a favore dell'allegazione e va registrato per correttezza. Oliver Schröm è giornalista di riconosciuta professionalità, e la disciplina sui viventi impone di riportarne il solo fatto pubblico dell'attività giornalistica, senza inferenze. Che un'affermazione non sia documentata non squalifica chi la fa: squalifica il suo impiego come prova.</w:t>
      </w:r>
    </w:p>
    <w:p>
      <w:pPr>
        <w:pStyle w:val="Heading2"/>
        <w:spacing w:after="100" w:before="200"/>
      </w:pPr>
      <w:r>
        <w:rPr>
          <w:rFonts w:ascii="Barlow Semi Condensed" w:cs="Barlow Semi Condensed" w:eastAsia="Barlow Semi Condensed" w:hAnsi="Barlow Semi Condensed"/>
          <w:sz w:val="24"/>
          <w:szCs w:val="24"/>
        </w:rPr>
        <w:t xml:space="preserve">Capitolo quarto — Marcel Hepp e Dieter Huber: i due nomi</w:t>
      </w:r>
    </w:p>
    <w:p>
      <w:pPr>
        <w:spacing w:after="120" w:line="276"/>
        <w:jc w:val="both"/>
      </w:pPr>
      <w:r>
        <w:rPr>
          <w:rFonts w:ascii="Barlow Semi Condensed" w:cs="Barlow Semi Condensed" w:eastAsia="Barlow Semi Condensed" w:hAnsi="Barlow Semi Condensed"/>
          <w:b/>
          <w:bCs/>
          <w:sz w:val="24"/>
          <w:szCs w:val="24"/>
        </w:rPr>
        <w:t xml:space="preserve">Il capitolo verifica i due nomi su cui l'allegazione poggia, con esiti opposti.</w:t>
      </w:r>
    </w:p>
    <w:p>
      <w:pPr>
        <w:spacing w:after="120" w:line="276"/>
        <w:jc w:val="both"/>
      </w:pPr>
      <w:r>
        <w:rPr>
          <w:rFonts w:ascii="Barlow Semi Condensed" w:cs="Barlow Semi Condensed" w:eastAsia="Barlow Semi Condensed" w:hAnsi="Barlow Semi Condensed"/>
          <w:b/>
          <w:bCs/>
          <w:sz w:val="24"/>
          <w:szCs w:val="24"/>
        </w:rPr>
        <w:t xml:space="preserve">Marcel Hepp esiste ed è documentato. Nato a Langenenslingen il 2 luglio 1936, morto a Heidelberg il 9 ottobre 1970. Fu referente personale di Strauß dall'autunno 1965, su mediazione di Armin Mohler; e caporedattore ed editore delegato del Bayernkurier dal 1 maggio 1967.</w:t>
      </w:r>
    </w:p>
    <w:p>
      <w:pPr>
        <w:spacing w:after="120" w:line="276"/>
        <w:jc w:val="both"/>
      </w:pPr>
      <w:r>
        <w:rPr>
          <w:rFonts w:ascii="Barlow Semi Condensed" w:cs="Barlow Semi Condensed" w:eastAsia="Barlow Semi Condensed" w:hAnsi="Barlow Semi Condensed"/>
          <w:b/>
          <w:bCs/>
          <w:sz w:val="24"/>
          <w:szCs w:val="24"/>
        </w:rPr>
        <w:t xml:space="preserve">La sua collocazione è accertata: figura della destra intellettuale tedesca legata a Mohler e al circolo di Carl Schmitt.</w:t>
      </w:r>
    </w:p>
    <w:p>
      <w:pPr>
        <w:spacing w:after="120" w:line="276"/>
        <w:jc w:val="both"/>
      </w:pPr>
      <w:r>
        <w:rPr>
          <w:rFonts w:ascii="Barlow Semi Condensed" w:cs="Barlow Semi Condensed" w:eastAsia="Barlow Semi Condensed" w:hAnsi="Barlow Semi Condensed"/>
          <w:b/>
          <w:bCs/>
          <w:sz w:val="24"/>
          <w:szCs w:val="24"/>
        </w:rPr>
        <w:t xml:space="preserve">Ne discende che il primo nome dell'allegazione è reale, e la sua prossimità a Strauß è documentata.\\ Questo è ciò che rende l'allegazione plausibile a prima lettura: \\essa colloca un elemento non documentato accanto a un elemento documentato.</w:t>
      </w:r>
    </w:p>
    <w:p>
      <w:pPr>
        <w:spacing w:after="120" w:line="276"/>
        <w:jc w:val="both"/>
      </w:pPr>
      <w:r>
        <w:rPr>
          <w:rFonts w:ascii="Barlow Semi Condensed" w:cs="Barlow Semi Condensed" w:eastAsia="Barlow Semi Condensed" w:hAnsi="Barlow Semi Condensed"/>
          <w:b/>
          <w:bCs/>
          <w:sz w:val="24"/>
          <w:szCs w:val="24"/>
        </w:rPr>
        <w:t xml:space="preserve">Ma nessuna fonte accademica collega Hepp ad Aginter Press oltre il documentario.</w:t>
      </w:r>
    </w:p>
    <w:p>
      <w:pPr>
        <w:spacing w:after="120" w:line="276"/>
        <w:jc w:val="both"/>
      </w:pPr>
      <w:r>
        <w:rPr>
          <w:rFonts w:ascii="Barlow Semi Condensed" w:cs="Barlow Semi Condensed" w:eastAsia="Barlow Semi Condensed" w:hAnsi="Barlow Semi Condensed"/>
          <w:b/>
          <w:bCs/>
          <w:sz w:val="24"/>
          <w:szCs w:val="24"/>
        </w:rPr>
        <w:t xml:space="preserve">La distinzione va enunciata con precisione perché è il punto. È documentato che Hepp fosse referente di Strauß. È documentato che appartenesse alla destra intellettuale. Non è documentato che avesse contatti con Aginter Press. E la prima e la seconda cosa non implicano la terza, secondo la prescrizione che governa l'intera serie: l'appartenenza a un ambiente non è prova di un rapporto con un soggetto determinato di quell'ambiente.</w:t>
      </w:r>
    </w:p>
    <w:p>
      <w:pPr>
        <w:spacing w:after="120" w:line="276"/>
        <w:jc w:val="both"/>
      </w:pPr>
      <w:r>
        <w:rPr>
          <w:rFonts w:ascii="Barlow Semi Condensed" w:cs="Barlow Semi Condensed" w:eastAsia="Barlow Semi Condensed" w:hAnsi="Barlow Semi Condensed"/>
          <w:b/>
          <w:bCs/>
          <w:sz w:val="24"/>
          <w:szCs w:val="24"/>
        </w:rPr>
        <w:t xml:space="preserve">Dieter Huber, al contrario, non esiste nelle fonti.</w:t>
      </w:r>
    </w:p>
    <w:p>
      <w:pPr>
        <w:spacing w:after="120" w:line="276"/>
        <w:jc w:val="both"/>
      </w:pPr>
      <w:r>
        <w:rPr>
          <w:rFonts w:ascii="Barlow Semi Condensed" w:cs="Barlow Semi Condensed" w:eastAsia="Barlow Semi Condensed" w:hAnsi="Barlow Semi Condensed"/>
          <w:b/>
          <w:bCs/>
          <w:sz w:val="24"/>
          <w:szCs w:val="24"/>
        </w:rPr>
        <w:t xml:space="preserve">Del collaboratore indicato come corriere non esiste alcun riscontro biografico, archivistico, parlamentare o giudiziario indipendente.</w:t>
      </w:r>
    </w:p>
    <w:p>
      <w:pPr>
        <w:spacing w:after="120" w:line="276"/>
        <w:jc w:val="both"/>
      </w:pPr>
      <w:r>
        <w:rPr>
          <w:rFonts w:ascii="Barlow Semi Condensed" w:cs="Barlow Semi Condensed" w:eastAsia="Barlow Semi Condensed" w:hAnsi="Barlow Semi Condensed"/>
          <w:b/>
          <w:bCs/>
          <w:sz w:val="24"/>
          <w:szCs w:val="24"/>
        </w:rPr>
        <w:t xml:space="preserve">Questo è il ritrovamento negativo più netto del capitolo, e va enunciato per quello che è. L'allegazione attribuisce a una persona nominata una funzione operativa specifica — trasporto di denaro contante verso amici politici in Spagna e in Italia — e quella persona non è verificabile.</w:t>
      </w:r>
    </w:p>
    <w:p>
      <w:pPr>
        <w:spacing w:after="120" w:line="276"/>
        <w:jc w:val="both"/>
      </w:pPr>
      <w:r>
        <w:rPr>
          <w:rFonts w:ascii="Barlow Semi Condensed" w:cs="Barlow Semi Condensed" w:eastAsia="Barlow Semi Condensed" w:hAnsi="Barlow Semi Condensed"/>
          <w:b/>
          <w:bCs/>
          <w:sz w:val="24"/>
          <w:szCs w:val="24"/>
        </w:rPr>
        <w:t xml:space="preserve">Ne discende una asimmetria che caratterizza l'intera allegazione: il nome verificabile è quello di cui non si afferma la condotta operativa; il nome di cui si afferma la condotta operativa non è verificabile.</w:t>
      </w:r>
    </w:p>
    <w:p>
      <w:pPr>
        <w:spacing w:after="120" w:line="276"/>
        <w:jc w:val="both"/>
      </w:pPr>
      <w:r>
        <w:rPr>
          <w:rFonts w:ascii="Barlow Semi Condensed" w:cs="Barlow Semi Condensed" w:eastAsia="Barlow Semi Condensed" w:hAnsi="Barlow Semi Condensed"/>
          <w:b/>
          <w:bCs/>
          <w:sz w:val="24"/>
          <w:szCs w:val="24"/>
        </w:rPr>
        <w:t xml:space="preserve">Sulla lista Industry. L'allegazione riferisce di una lista di nomi in codice di finanziatori tedeschi sotto tale intestazione. Nessuna fonte indipendente ne attesta l'esistenza, e la sua eventuale collocazione — se essa esista — sarebbe nel fondo della polizia politica portoghese, dove nessuno degli studiosi che vi hanno lavorato la segnala.</w:t>
      </w:r>
    </w:p>
    <w:p>
      <w:pPr>
        <w:spacing w:after="120" w:line="276"/>
        <w:jc w:val="both"/>
      </w:pPr>
      <w:r>
        <w:rPr>
          <w:rFonts w:ascii="Barlow Semi Condensed" w:cs="Barlow Semi Condensed" w:eastAsia="Barlow Semi Condensed" w:hAnsi="Barlow Semi Condensed"/>
          <w:b/>
          <w:bCs/>
          <w:sz w:val="24"/>
          <w:szCs w:val="24"/>
        </w:rPr>
        <w:t xml:space="preserve">Il capitolo si chiude qui perché qui finisce ciò che si sa, e diluirlo con congetture sarebbe l'errore che questo studio serve a prevenire.</w:t>
      </w:r>
    </w:p>
    <w:p>
      <w:pPr>
        <w:pStyle w:val="Heading2"/>
        <w:spacing w:after="100" w:before="200"/>
      </w:pPr>
      <w:r>
        <w:rPr>
          <w:rFonts w:ascii="Barlow Semi Condensed" w:cs="Barlow Semi Condensed" w:eastAsia="Barlow Semi Condensed" w:hAnsi="Barlow Semi Condensed"/>
          <w:sz w:val="24"/>
          <w:szCs w:val="24"/>
        </w:rPr>
        <w:t xml:space="preserve">Capitolo quinto — Il silenzio della biografia Möller come prova per assenza</w:t>
      </w:r>
    </w:p>
    <w:p>
      <w:pPr>
        <w:spacing w:after="120" w:line="276"/>
        <w:jc w:val="both"/>
      </w:pPr>
      <w:r>
        <w:rPr>
          <w:rFonts w:ascii="Barlow Semi Condensed" w:cs="Barlow Semi Condensed" w:eastAsia="Barlow Semi Condensed" w:hAnsi="Barlow Semi Condensed"/>
          <w:b/>
          <w:bCs/>
          <w:sz w:val="24"/>
          <w:szCs w:val="24"/>
        </w:rPr>
        <w:t xml:space="preserve">Il capitolo espone un argomento negativo che ha, in questa materia, forza superiore alla media, e ne spiega la ragione.</w:t>
      </w:r>
    </w:p>
    <w:p>
      <w:pPr>
        <w:spacing w:after="120" w:line="276"/>
        <w:jc w:val="both"/>
      </w:pPr>
      <w:r>
        <w:rPr>
          <w:rFonts w:ascii="Barlow Semi Condensed" w:cs="Barlow Semi Condensed" w:eastAsia="Barlow Semi Condensed" w:hAnsi="Barlow Semi Condensed"/>
          <w:b/>
          <w:bCs/>
          <w:sz w:val="24"/>
          <w:szCs w:val="24"/>
        </w:rPr>
        <w:t xml:space="preserve">L'opera. Horst Möller, \Franz Josef Strauß. Herrscher und Rebell\, Piper, Monaco 2015, ottocentoventinove pagine, opera dell'ex direttore dell'Institut für Zeitgeschichte, fondata sull'accesso completo al lascito Strauß conservato presso l'archivio della fondazione della CSU.</w:t>
      </w:r>
    </w:p>
    <w:p>
      <w:pPr>
        <w:spacing w:after="120" w:line="276"/>
        <w:jc w:val="both"/>
      </w:pPr>
      <w:r>
        <w:rPr>
          <w:rFonts w:ascii="Barlow Semi Condensed" w:cs="Barlow Semi Condensed" w:eastAsia="Barlow Semi Condensed" w:hAnsi="Barlow Semi Condensed"/>
          <w:b/>
          <w:bCs/>
          <w:sz w:val="24"/>
          <w:szCs w:val="24"/>
        </w:rPr>
        <w:t xml:space="preserve">Il fatto.\\ \\Nessuna fonte indica che l'opera menzioni Aginter Press o Guérin-Sérac.</w:t>
      </w:r>
    </w:p>
    <w:p>
      <w:pPr>
        <w:spacing w:after="120" w:line="276"/>
        <w:jc w:val="both"/>
      </w:pPr>
      <w:r>
        <w:rPr>
          <w:rFonts w:ascii="Barlow Semi Condensed" w:cs="Barlow Semi Condensed" w:eastAsia="Barlow Semi Condensed" w:hAnsi="Barlow Semi Condensed"/>
          <w:b/>
          <w:bCs/>
          <w:sz w:val="24"/>
          <w:szCs w:val="24"/>
        </w:rPr>
        <w:t xml:space="preserve">Perché questo silenzio ha forza probatoria, e va argomentato. Se un nesso fosse esistito e avesse lasciato traccia documentale nell'archivio del partito, la sede più probabile per rinvenirlo sarebbe stata precisamente quel lascito — e l'opera che lo ha scandagliato per ottocentoventinove pagine tace.</w:t>
      </w:r>
    </w:p>
    <w:p>
      <w:pPr>
        <w:spacing w:after="120" w:line="276"/>
        <w:jc w:val="both"/>
      </w:pPr>
      <w:r>
        <w:rPr>
          <w:rFonts w:ascii="Barlow Semi Condensed" w:cs="Barlow Semi Condensed" w:eastAsia="Barlow Semi Condensed" w:hAnsi="Barlow Semi Condensed"/>
          <w:b/>
          <w:bCs/>
          <w:sz w:val="24"/>
          <w:szCs w:val="24"/>
        </w:rPr>
        <w:t xml:space="preserve">Un rafforzamento va aggiunto, e proviene dai recensori. Nessun recensore segnala tale silenzio come lacuna. Le recensioni accademiche — Philipp Gassert su \sehepunkte\, fascicolo sedicesimo del 2016 numero dieci; Gisela Diewald-Kerkmann su \H-Soz-Kult\; Rainer Blasius sulla stampa quotidiana; Franziska Augstein sulla stampa monacense — discutono l'opera anche criticamente, ma nessuna rimprovera a Möller di avere taciuto un rapporto con Aginter.</w:t>
      </w:r>
    </w:p>
    <w:p>
      <w:pPr>
        <w:spacing w:after="120" w:line="276"/>
        <w:jc w:val="both"/>
      </w:pPr>
      <w:r>
        <w:rPr>
          <w:rFonts w:ascii="Barlow Semi Condensed" w:cs="Barlow Semi Condensed" w:eastAsia="Barlow Semi Condensed" w:hAnsi="Barlow Semi Condensed"/>
          <w:b/>
          <w:bCs/>
          <w:sz w:val="24"/>
          <w:szCs w:val="24"/>
        </w:rPr>
        <w:t xml:space="preserve">Questo è notevole perché la critica non fu tenera. Franziska Augstein — figlia di Rudolf Augstein, cioè della parte offesa dell'affare Spiegel — bollò l'opera come apologetica, definendola un procedimento storiografico di ritocco fotografico.</w:t>
      </w:r>
    </w:p>
    <w:p>
      <w:pPr>
        <w:spacing w:after="120" w:line="276"/>
        <w:jc w:val="both"/>
      </w:pPr>
      <w:r>
        <w:rPr>
          <w:rFonts w:ascii="Barlow Semi Condensed" w:cs="Barlow Semi Condensed" w:eastAsia="Barlow Semi Condensed" w:hAnsi="Barlow Semi Condensed"/>
          <w:b/>
          <w:bCs/>
          <w:sz w:val="24"/>
          <w:szCs w:val="24"/>
        </w:rPr>
        <w:t xml:space="preserve">Ne discende un argomento che va enunciato per intero. La recensore che aveva il massimo interesse personale e famigliare a segnalare ogni omissione compiacente di Möller non segnalò l'omissione di Aginter. Se il nesso fosse stato noto e taciuto, quella era la persona che lo avrebbe rilevato.</w:t>
      </w:r>
    </w:p>
    <w:p>
      <w:pPr>
        <w:spacing w:after="120" w:line="276"/>
        <w:jc w:val="both"/>
      </w:pPr>
      <w:r>
        <w:rPr>
          <w:rFonts w:ascii="Barlow Semi Condensed" w:cs="Barlow Semi Condensed" w:eastAsia="Barlow Semi Condensed" w:hAnsi="Barlow Semi Condensed"/>
          <w:b/>
          <w:bCs/>
          <w:sz w:val="24"/>
          <w:szCs w:val="24"/>
        </w:rPr>
        <w:t xml:space="preserve">Il limite dell'argomento va però dichiarato, perché è un argomento dal silenzio. Esso stabilisce che il nesso non risulta dal lascito Strauß per come Möller lo ha letto; non stabilisce che il lascito non contenga carte non lette, né che il nesso non esista fuori dal lascito.</w:t>
      </w:r>
    </w:p>
    <w:p>
      <w:pPr>
        <w:spacing w:after="120" w:line="276"/>
        <w:jc w:val="both"/>
      </w:pPr>
      <w:r>
        <w:rPr>
          <w:rFonts w:ascii="Barlow Semi Condensed" w:cs="Barlow Semi Condensed" w:eastAsia="Barlow Semi Condensed" w:hAnsi="Barlow Semi Condensed"/>
          <w:b/>
          <w:bCs/>
          <w:sz w:val="24"/>
          <w:szCs w:val="24"/>
        </w:rPr>
        <w:t xml:space="preserve">La verifica definitiva richiederebbe la consultazione diretta dei fascicoli di corrispondenza estera del lascito presso l'archivio della fondazione a Monaco, ed è iscritta in tavola.</w:t>
      </w:r>
    </w:p>
    <w:p>
      <w:pPr>
        <w:pStyle w:val="Heading2"/>
        <w:spacing w:after="100" w:before="200"/>
      </w:pPr>
      <w:r>
        <w:rPr>
          <w:rFonts w:ascii="Barlow Semi Condensed" w:cs="Barlow Semi Condensed" w:eastAsia="Barlow Semi Condensed" w:hAnsi="Barlow Semi Condensed"/>
          <w:sz w:val="24"/>
          <w:szCs w:val="24"/>
        </w:rPr>
        <w:t xml:space="preserve">Capitolo sesto — La verifica della commissione bavarese: esito negativo con identificazione dell'errore</w:t>
      </w:r>
    </w:p>
    <w:p>
      <w:pPr>
        <w:spacing w:after="120" w:line="276"/>
        <w:jc w:val="both"/>
      </w:pPr>
      <w:r>
        <w:rPr>
          <w:rFonts w:ascii="Barlow Semi Condensed" w:cs="Barlow Semi Condensed" w:eastAsia="Barlow Semi Condensed" w:hAnsi="Barlow Semi Condensed"/>
          <w:b/>
          <w:bCs/>
          <w:sz w:val="24"/>
          <w:szCs w:val="24"/>
        </w:rPr>
        <w:t xml:space="preserve">Il capitolo chiude un item che la ricognizione anteriore aveva lasciato aperto, e ne identifica la fonte dell'equivoco.</w:t>
      </w:r>
    </w:p>
    <w:p>
      <w:pPr>
        <w:spacing w:after="120" w:line="276"/>
        <w:jc w:val="both"/>
      </w:pPr>
      <w:r>
        <w:rPr>
          <w:rFonts w:ascii="Barlow Semi Condensed" w:cs="Barlow Semi Condensed" w:eastAsia="Barlow Semi Condensed" w:hAnsi="Barlow Semi Condensed"/>
          <w:b/>
          <w:bCs/>
          <w:sz w:val="24"/>
          <w:szCs w:val="24"/>
        </w:rPr>
        <w:t xml:space="preserve">L'indicazione da verificare. La ricognizione anteriore aveva reperito, da fonte di bassa affidabilità, l'indicazione secondo cui nel contesto di una commissione d'inchiesta del Landtag bavarese del 1982 — verosimilmente relativa all'attentato dell'Oktoberfest del 26 settembre 1980 — il nome di Aginter Press sarebbe comparso senza esiti concreti.</w:t>
      </w:r>
    </w:p>
    <w:p>
      <w:pPr>
        <w:spacing w:after="120" w:line="276"/>
        <w:jc w:val="both"/>
      </w:pPr>
      <w:r>
        <w:rPr>
          <w:rFonts w:ascii="Barlow Semi Condensed" w:cs="Barlow Semi Condensed" w:eastAsia="Barlow Semi Condensed" w:hAnsi="Barlow Semi Condensed"/>
          <w:b/>
          <w:bCs/>
          <w:sz w:val="24"/>
          <w:szCs w:val="24"/>
        </w:rPr>
        <w:t xml:space="preserve">L'esito della verifica è negativo, e va dichiarato.</w:t>
      </w:r>
    </w:p>
    <w:p>
      <w:pPr>
        <w:spacing w:after="120" w:line="276"/>
        <w:jc w:val="both"/>
      </w:pPr>
      <w:r>
        <w:rPr>
          <w:rFonts w:ascii="Barlow Semi Condensed" w:cs="Barlow Semi Condensed" w:eastAsia="Barlow Semi Condensed" w:hAnsi="Barlow Semi Condensed"/>
          <w:b/>
          <w:bCs/>
          <w:sz w:val="24"/>
          <w:szCs w:val="24"/>
        </w:rPr>
        <w:t xml:space="preserve">La documentazione consultabile sull'attentato non contiene Aginter Press. Né la scheda del lessico storico bavarese, né i resoconti della commissione giuridica e della commissione costituzionale del Landtag sulla chiusura delle indagini riaperte nel 2014 e concluse nel 2020, né il contributo accademico di Ulrich Chaussy del 2023. L'inchiesta è ricostruita attorno a Gundolf Köhler, ai contatti con la Wehrsportgruppe Hoffmann e all'accertamento della matrice di estrema destra, senza che Aginter vi compaia.</w:t>
      </w:r>
    </w:p>
    <w:p>
      <w:pPr>
        <w:spacing w:after="120" w:line="276"/>
        <w:jc w:val="both"/>
      </w:pPr>
      <w:r>
        <w:rPr>
          <w:rFonts w:ascii="Barlow Semi Condensed" w:cs="Barlow Semi Condensed" w:eastAsia="Barlow Semi Condensed" w:hAnsi="Barlow Semi Condensed"/>
          <w:b/>
          <w:bCs/>
          <w:sz w:val="24"/>
          <w:szCs w:val="24"/>
        </w:rPr>
        <w:t xml:space="preserve">E adesso l'identificazione dell'errore, che è il guadagno del capitolo. La commissione d'inchiesta bavarese del 1982 non riguardò l'attentato dell'Oktoberfest, bensì le attività dell'ex capo dei servizi bavaresi Hans Langemann — il cosiddetto affare Langemann, oggetto delle inchieste di una rivista amburghese.</w:t>
      </w:r>
    </w:p>
    <w:p>
      <w:pPr>
        <w:spacing w:after="120" w:line="276"/>
        <w:jc w:val="both"/>
      </w:pPr>
      <w:r>
        <w:rPr>
          <w:rFonts w:ascii="Barlow Semi Condensed" w:cs="Barlow Semi Condensed" w:eastAsia="Barlow Semi Condensed" w:hAnsi="Barlow Semi Condensed"/>
          <w:b/>
          <w:bCs/>
          <w:sz w:val="24"/>
          <w:szCs w:val="24"/>
        </w:rPr>
        <w:t xml:space="preserve">Ne discende che l'indicazione anteriore conteneva una sovrapposizione di due oggetti distinti: la commissione del 1982 e l'inchiesta sull'attentato del 1980. E anche nel contesto Langemann, Aginter Press non risulta menzionata nei materiali reperibili.</w:t>
      </w:r>
    </w:p>
    <w:p>
      <w:pPr>
        <w:spacing w:after="120" w:line="276"/>
        <w:jc w:val="both"/>
      </w:pPr>
      <w:r>
        <w:rPr>
          <w:rFonts w:ascii="Barlow Semi Condensed" w:cs="Barlow Semi Condensed" w:eastAsia="Barlow Semi Condensed" w:hAnsi="Barlow Semi Condensed"/>
          <w:b/>
          <w:bCs/>
          <w:sz w:val="24"/>
          <w:szCs w:val="24"/>
        </w:rPr>
        <w:t xml:space="preserve">Si dichiara pertanto l'esito negativo su entrambi i fronti: nessuna menzione di Aginter Press risulta nei verbali della commissione d'inchiesta del Landtag bavarese né negli atti parlamentari federali sull'attentato.</w:t>
      </w:r>
    </w:p>
    <w:p>
      <w:pPr>
        <w:spacing w:after="120" w:line="276"/>
        <w:jc w:val="both"/>
      </w:pPr>
      <w:r>
        <w:rPr>
          <w:rFonts w:ascii="Barlow Semi Condensed" w:cs="Barlow Semi Condensed" w:eastAsia="Barlow Semi Condensed" w:hAnsi="Barlow Semi Condensed"/>
          <w:b/>
          <w:bCs/>
          <w:sz w:val="24"/>
          <w:szCs w:val="24"/>
        </w:rPr>
        <w:t xml:space="preserve">La sede di verifica definitiva è l'Archiv des Bayerischen Landtags per i verbali delle commissioni del 1982, non digitalizzati, e il Bayerisches Hauptstaatsarchiv per i fascicoli sull'attentato trasferiti dopo il 2014, con accesso in loco.</w:t>
      </w:r>
    </w:p>
    <w:p>
      <w:pPr>
        <w:spacing w:after="120" w:line="276"/>
        <w:jc w:val="both"/>
      </w:pPr>
      <w:r>
        <w:rPr>
          <w:rFonts w:ascii="Barlow Semi Condensed" w:cs="Barlow Semi Condensed" w:eastAsia="Barlow Semi Condensed" w:hAnsi="Barlow Semi Condensed"/>
          <w:b/>
          <w:bCs/>
          <w:sz w:val="24"/>
          <w:szCs w:val="24"/>
        </w:rPr>
        <w:t xml:space="preserve">Il capitolo è deliberatamente breve e ne dichiara la ragione: il materiale non basta a costruire una trattazione più ampia, e ipotizzare al di là di esso contravverrebbe ai requisiti che governano questo studio.</w:t>
      </w:r>
    </w:p>
    <w:p>
      <w:pPr>
        <w:pStyle w:val="Heading2"/>
        <w:spacing w:after="100" w:before="200"/>
      </w:pPr>
      <w:r>
        <w:rPr>
          <w:rFonts w:ascii="Barlow Semi Condensed" w:cs="Barlow Semi Condensed" w:eastAsia="Barlow Semi Condensed" w:hAnsi="Barlow Semi Condensed"/>
          <w:sz w:val="24"/>
          <w:szCs w:val="24"/>
        </w:rPr>
        <w:t xml:space="preserve">Capitolo settimo — Aginter Press: la componente tedesca reale</w:t>
      </w:r>
    </w:p>
    <w:p>
      <w:pPr>
        <w:spacing w:after="120" w:line="276"/>
        <w:jc w:val="both"/>
      </w:pPr>
      <w:r>
        <w:rPr>
          <w:rFonts w:ascii="Barlow Semi Condensed" w:cs="Barlow Semi Condensed" w:eastAsia="Barlow Semi Condensed" w:hAnsi="Barlow Semi Condensed"/>
          <w:b/>
          <w:bCs/>
          <w:sz w:val="24"/>
          <w:szCs w:val="24"/>
        </w:rPr>
        <w:t xml:space="preserve">Il capitolo espone ciò che di tedesco è documentato in Aginter Press, e mostra che è cosa diversa da quanto l'allegazione asserisce.</w:t>
      </w:r>
    </w:p>
    <w:p>
      <w:pPr>
        <w:spacing w:after="120" w:line="276"/>
        <w:jc w:val="both"/>
      </w:pPr>
      <w:r>
        <w:rPr>
          <w:rFonts w:ascii="Barlow Semi Condensed" w:cs="Barlow Semi Condensed" w:eastAsia="Barlow Semi Condensed" w:hAnsi="Barlow Semi Condensed"/>
          <w:b/>
          <w:bCs/>
          <w:sz w:val="24"/>
          <w:szCs w:val="24"/>
        </w:rPr>
        <w:t xml:space="preserve">La denominazione e la fondazione. Aginter Press, con denominazione di copertura Ordem Central e Tradição, fu fondata a Lisbona nel settembre 1966 sotto l'Estado Novo e diretta da Yves Guérin-Sérac, pseudonimo di Yves Félix Marie Guillou, nato a Ploubezre il 2 dicembre 1926 e morto a Le Revest-les-Eaux il 9 marzo 2022. Il numero due era Robert Leroy.</w:t>
      </w:r>
    </w:p>
    <w:p>
      <w:pPr>
        <w:spacing w:after="120" w:line="276"/>
        <w:jc w:val="both"/>
      </w:pPr>
      <w:r>
        <w:rPr>
          <w:rFonts w:ascii="Barlow Semi Condensed" w:cs="Barlow Semi Condensed" w:eastAsia="Barlow Semi Condensed" w:hAnsi="Barlow Semi Condensed"/>
          <w:b/>
          <w:bCs/>
          <w:sz w:val="24"/>
          <w:szCs w:val="24"/>
        </w:rPr>
        <w:t xml:space="preserve">La struttura, secondo il rapporto del servizio informativo portoghese post-1974 riportato da Stuart Christie nel 1984: ufficio di spionaggio collegato alla polizia politica portoghese e, tramite essa, alla Central Intelligence Agency, al servizio della Germania Federale, alla Dirección General de Seguridad spagnola, al servizio sudafricano e più tardi a quello greco; centro di reclutamento e addestramento; centro di indottrinamento neofascista per Africa subsahariana, America del Sud ed Europa; e organizzazione internazionale Order and Tradition con braccio paramilitare clandestino.</w:t>
      </w:r>
    </w:p>
    <w:p>
      <w:pPr>
        <w:spacing w:after="120" w:line="276"/>
        <w:jc w:val="both"/>
      </w:pPr>
      <w:r>
        <w:rPr>
          <w:rFonts w:ascii="Barlow Semi Condensed" w:cs="Barlow Semi Condensed" w:eastAsia="Barlow Semi Condensed" w:hAnsi="Barlow Semi Condensed"/>
          <w:b/>
          <w:bCs/>
          <w:sz w:val="24"/>
          <w:szCs w:val="24"/>
        </w:rPr>
        <w:t xml:space="preserve">E qui la componente tedesca documentata, che è il punto del capitolo. Christie stima che circa il sessanta per cento del personale di Aginter fosse reclutato fra le file dell'Organisation Armée Secrète, mentre il restante proveniva da organizzazioni neonaziste dell'Europa occidentale, come il Kampfbund Deutscher Soldaten con sede a Francoforte, diretto da Eberhard Taubert.</w:t>
      </w:r>
    </w:p>
    <w:p>
      <w:pPr>
        <w:spacing w:after="120" w:line="276"/>
        <w:jc w:val="both"/>
      </w:pPr>
      <w:r>
        <w:rPr>
          <w:rFonts w:ascii="Barlow Semi Condensed" w:cs="Barlow Semi Condensed" w:eastAsia="Barlow Semi Condensed" w:hAnsi="Barlow Semi Condensed"/>
          <w:b/>
          <w:bCs/>
          <w:sz w:val="24"/>
          <w:szCs w:val="24"/>
        </w:rPr>
        <w:t xml:space="preserve">Ne discende un accertamento che va enunciato con precisione. La componente tedesca di Aginter Press è documentata, ed è neonazista e reducistica — non democristiana. Il Kampfbund Deutscher Soldaten era organizzazione di ex militari di estrema destra; Taubert era stato funzionario del ministero della propaganda del Reich.</w:t>
      </w:r>
    </w:p>
    <w:p>
      <w:pPr>
        <w:spacing w:after="120" w:line="276"/>
        <w:jc w:val="both"/>
      </w:pPr>
      <w:r>
        <w:rPr>
          <w:rFonts w:ascii="Barlow Semi Condensed" w:cs="Barlow Semi Condensed" w:eastAsia="Barlow Semi Condensed" w:hAnsi="Barlow Semi Condensed"/>
          <w:b/>
          <w:bCs/>
          <w:sz w:val="24"/>
          <w:szCs w:val="24"/>
        </w:rPr>
        <w:t xml:space="preserve">La distanza fra questo ambiente e la Christlich-Soziale Union va enunciata perché è la sostanza dell'esito negativo. Non si tratta di due soggetti che si sfiorano senza toccarsi: si tratta di due mondi politicamente antagonisti. La CSU era partito di governo della Repubblica Federale, appartenente alla famiglia democristiana europea, e negli anni Settanta i suoi fuoriusciti fondarono un partito concorrente a destra proprio perché la ritenevano insufficientemente radicale.</w:t>
      </w:r>
    </w:p>
    <w:p>
      <w:pPr>
        <w:spacing w:after="120" w:line="276"/>
        <w:jc w:val="both"/>
      </w:pPr>
      <w:r>
        <w:rPr>
          <w:rFonts w:ascii="Barlow Semi Condensed" w:cs="Barlow Semi Condensed" w:eastAsia="Barlow Semi Condensed" w:hAnsi="Barlow Semi Condensed"/>
          <w:b/>
          <w:bCs/>
          <w:sz w:val="24"/>
          <w:szCs w:val="24"/>
        </w:rPr>
        <w:t xml:space="preserve">La storiografia peer-reviewed disponibile. José Manuel Duarte de Jesus, \A Guerra Secreta de Salazar em África: Aginter Press\, Dom Quixote, 2012, duecentoquarantuno pagine, presso l'istituto di relazioni internazionali dell'Università Nuova di Lisbona; e Nicola Guerra, \Aginter Press: a transnational hub for far-right militancy and western intelligence\, in \Critical Studies on Terrorism\, volume diciannovesimo numero secondo del 2026, pagine 478-499, incentrato però sulle interconnessioni con l'intelligence statunitense e non con la CSU.</w:t>
      </w:r>
    </w:p>
    <w:p>
      <w:pPr>
        <w:spacing w:after="120" w:line="276"/>
        <w:jc w:val="both"/>
      </w:pPr>
      <w:r>
        <w:rPr>
          <w:rFonts w:ascii="Barlow Semi Condensed" w:cs="Barlow Semi Condensed" w:eastAsia="Barlow Semi Condensed" w:hAnsi="Barlow Semi Condensed"/>
          <w:b/>
          <w:bCs/>
          <w:sz w:val="24"/>
          <w:szCs w:val="24"/>
        </w:rPr>
        <w:t xml:space="preserve">Una cautela sulla fonte più citata.\\ L'opera di \\Daniele Ganser\\, \NATO's Secret Armies\, pur essendo il riferimento più diffuso, \\è considerata da parte della critica accademica una fonte controversa.</w:t>
      </w:r>
    </w:p>
    <w:p>
      <w:pPr>
        <w:spacing w:after="120" w:line="276"/>
        <w:jc w:val="both"/>
      </w:pPr>
      <w:r>
        <w:rPr>
          <w:rFonts w:ascii="Barlow Semi Condensed" w:cs="Barlow Semi Condensed" w:eastAsia="Barlow Semi Condensed" w:hAnsi="Barlow Semi Condensed"/>
          <w:b/>
          <w:bCs/>
          <w:sz w:val="24"/>
          <w:szCs w:val="24"/>
        </w:rPr>
        <w:t xml:space="preserve">Un limite documentale grave va registrato. Duarte de Jesus segnala che alcune casse di documenti di Aginter e della polizia politica finirono a Mosca nella settimana del 25 aprile 1974 o poco dopo, e sono verosimilmente perdute; e una recensione portoghese osserva che il suo stesso volume ha appena graffiato la superficie.</w:t>
      </w:r>
    </w:p>
    <w:p>
      <w:pPr>
        <w:spacing w:after="120" w:line="276"/>
        <w:jc w:val="both"/>
      </w:pPr>
      <w:r>
        <w:rPr>
          <w:rFonts w:ascii="Barlow Semi Condensed" w:cs="Barlow Semi Condensed" w:eastAsia="Barlow Semi Condensed" w:hAnsi="Barlow Semi Condensed"/>
          <w:b/>
          <w:bCs/>
          <w:sz w:val="24"/>
          <w:szCs w:val="24"/>
        </w:rPr>
        <w:t xml:space="preserve">Nessuna delle opere che hanno esaminato i documenti sequestrati attesta la presenza del nome di Strauß o della CSU.</w:t>
      </w:r>
    </w:p>
    <w:p>
      <w:pPr>
        <w:pStyle w:val="Heading2"/>
        <w:spacing w:after="100" w:before="200"/>
      </w:pPr>
      <w:r>
        <w:rPr>
          <w:rFonts w:ascii="Barlow Semi Condensed" w:cs="Barlow Semi Condensed" w:eastAsia="Barlow Semi Condensed" w:hAnsi="Barlow Semi Condensed"/>
          <w:sz w:val="24"/>
          <w:szCs w:val="24"/>
        </w:rPr>
        <w:t xml:space="preserve">Capitolo ottavo — Il trilaterale del 1957-1958: l'unico incontro documentato con un ministro italiano</w:t>
      </w:r>
    </w:p>
    <w:p>
      <w:pPr>
        <w:spacing w:after="120" w:line="276"/>
        <w:jc w:val="both"/>
      </w:pPr>
      <w:r>
        <w:rPr>
          <w:rFonts w:ascii="Barlow Semi Condensed" w:cs="Barlow Semi Condensed" w:eastAsia="Barlow Semi Condensed" w:hAnsi="Barlow Semi Condensed"/>
          <w:b/>
          <w:bCs/>
          <w:sz w:val="24"/>
          <w:szCs w:val="24"/>
        </w:rPr>
        <w:t xml:space="preserve">Il capitolo espone il solo terreno su cui l'attività ministeriale di Strauß incontri direttamente quella di un ministro italiano, e ne accerta la natura.</w:t>
      </w:r>
    </w:p>
    <w:p>
      <w:pPr>
        <w:spacing w:after="120" w:line="276"/>
        <w:jc w:val="both"/>
      </w:pPr>
      <w:r>
        <w:rPr>
          <w:rFonts w:ascii="Barlow Semi Condensed" w:cs="Barlow Semi Condensed" w:eastAsia="Barlow Semi Condensed" w:hAnsi="Barlow Semi Condensed"/>
          <w:b/>
          <w:bCs/>
          <w:sz w:val="24"/>
          <w:szCs w:val="24"/>
        </w:rPr>
        <w:t xml:space="preserve">La sequenza, per date. Il 17 gennaio 1957, a Colomb-Béchar, i ministri della Difesa francese e tedesco — Maurice Bourgès-Maunoury e Strauß — conclusero un accordo bilaterale segreto su difesa e armamenti. Il 25 novembre 1957, a Parigi, i ministri della Difesa francese, tedesco e italiano firmarono un protocollo che estendeva l'accordo alle armi nucleari, in particolare alla fabbricazione di missili balistici a raggio intermedio. L'8 aprile 1958, a Roma, Jacques Chaban-Delmas, Strauß e Paolo Emilio Taviani parafarono un accordo relativo alla costruzione di un impianto di separazione isotopica a Pierrelatte.</w:t>
      </w:r>
    </w:p>
    <w:p>
      <w:pPr>
        <w:spacing w:after="120" w:line="276"/>
        <w:jc w:val="both"/>
      </w:pPr>
      <w:r>
        <w:rPr>
          <w:rFonts w:ascii="Barlow Semi Condensed" w:cs="Barlow Semi Condensed" w:eastAsia="Barlow Semi Condensed" w:hAnsi="Barlow Semi Condensed"/>
          <w:b/>
          <w:bCs/>
          <w:sz w:val="24"/>
          <w:szCs w:val="24"/>
        </w:rPr>
        <w:t xml:space="preserve">La fine, e la sua data. Il 17 giugno 1958, nel primo Consiglio di difesa dopo il ritorno al potere di de Gaulle, il progetto fu terminato; Guillaumat fece sapere a Strauß, per incarico di de Gaulle, che bisognava dimenticare tutto ciò.</w:t>
      </w:r>
    </w:p>
    <w:p>
      <w:pPr>
        <w:spacing w:after="120" w:line="276"/>
        <w:jc w:val="both"/>
      </w:pPr>
      <w:r>
        <w:rPr>
          <w:rFonts w:ascii="Barlow Semi Condensed" w:cs="Barlow Semi Condensed" w:eastAsia="Barlow Semi Condensed" w:hAnsi="Barlow Semi Condensed"/>
          <w:b/>
          <w:bCs/>
          <w:sz w:val="24"/>
          <w:szCs w:val="24"/>
        </w:rPr>
        <w:t xml:space="preserve">Un elemento di irregolarità va registrato. L'accordo del novembre 1957 era stato firmato da Chaban senza autorizzazione di Félix Gaillard e senza avallo di de Gaulle.</w:t>
      </w:r>
    </w:p>
    <w:p>
      <w:pPr>
        <w:spacing w:after="120" w:line="276"/>
        <w:jc w:val="both"/>
      </w:pPr>
      <w:r>
        <w:rPr>
          <w:rFonts w:ascii="Barlow Semi Condensed" w:cs="Barlow Semi Condensed" w:eastAsia="Barlow Semi Condensed" w:hAnsi="Barlow Semi Condensed"/>
          <w:b/>
          <w:bCs/>
          <w:sz w:val="24"/>
          <w:szCs w:val="24"/>
        </w:rPr>
        <w:t xml:space="preserve">La storiografia. Georges-Henri Soutou, \Les accords de 1957 et 1958: vers une communauté stratégique nucléaire entre la France, l'Allemagne et l'Italie?\, in \Matériaux pour l'histoire de notre temps\, numero trentunesimo del 1993; Colette Barbier sulla rivista di storia diplomatica del 1990; Leopoldo Nuti per il versante italiano; Eckart Conze per quello tedesco; Beatrice Heuser, \The European Dream of Franz Josef Strauss\, 1998.</w:t>
      </w:r>
    </w:p>
    <w:p>
      <w:pPr>
        <w:spacing w:after="120" w:line="276"/>
        <w:jc w:val="both"/>
      </w:pPr>
      <w:r>
        <w:rPr>
          <w:rFonts w:ascii="Barlow Semi Condensed" w:cs="Barlow Semi Condensed" w:eastAsia="Barlow Semi Condensed" w:hAnsi="Barlow Semi Condensed"/>
          <w:b/>
          <w:bCs/>
          <w:sz w:val="24"/>
          <w:szCs w:val="24"/>
        </w:rPr>
        <w:t xml:space="preserve">Una distinzione va apposta. Ciò che il documento attesta è la parafatura degli accordi da parte dei tre ministri; ciò che se ne inferisce è l'esistenza di una vera comunità strategica nucleare — e Soutou stesso formula il titolo come domanda.</w:t>
      </w:r>
    </w:p>
    <w:p>
      <w:pPr>
        <w:spacing w:after="120" w:line="276"/>
        <w:jc w:val="both"/>
      </w:pPr>
      <w:r>
        <w:rPr>
          <w:rFonts w:ascii="Barlow Semi Condensed" w:cs="Barlow Semi Condensed" w:eastAsia="Barlow Semi Condensed" w:hAnsi="Barlow Semi Condensed"/>
          <w:b/>
          <w:bCs/>
          <w:sz w:val="24"/>
          <w:szCs w:val="24"/>
        </w:rPr>
        <w:t xml:space="preserve">Il rilievo per questo studio, enunciato. Questo incontro fra Strauß e Taviani è interamente riconducibile alla cooperazione atlantica e nucleare fra Stati alleati, ed è anteriore di otto anni alla fondazione di Aginter Press. Nulla nelle fonti lo collega ad Aginter.</w:t>
      </w:r>
    </w:p>
    <w:p>
      <w:pPr>
        <w:spacing w:after="120" w:line="276"/>
        <w:jc w:val="both"/>
      </w:pPr>
      <w:r>
        <w:rPr>
          <w:rFonts w:ascii="Barlow Semi Condensed" w:cs="Barlow Semi Condensed" w:eastAsia="Barlow Semi Condensed" w:hAnsi="Barlow Semi Condensed"/>
          <w:b/>
          <w:bCs/>
          <w:sz w:val="24"/>
          <w:szCs w:val="24"/>
        </w:rPr>
        <w:t xml:space="preserve">Un elemento va registrato senza inferirne nesso, e la formula è deliberata. Lo stesso Taviani, ministro della Difesa italiano dal 1953 al 1958, è indicato dalla storiografia come figura connessa alla creazione della rete stay-behind italiana.</w:t>
      </w:r>
    </w:p>
    <w:p>
      <w:pPr>
        <w:spacing w:after="120" w:line="276"/>
        <w:jc w:val="both"/>
      </w:pPr>
      <w:r>
        <w:rPr>
          <w:rFonts w:ascii="Barlow Semi Condensed" w:cs="Barlow Semi Condensed" w:eastAsia="Barlow Semi Condensed" w:hAnsi="Barlow Semi Condensed"/>
          <w:b/>
          <w:bCs/>
          <w:sz w:val="24"/>
          <w:szCs w:val="24"/>
        </w:rPr>
        <w:t xml:space="preserve">Ciò non costituisce, secondo le regole che governano questo studio, alcuna prova di un rapporto fra la sua attività ministeriale e Aginter Press o Strauß. Lo si registra perché tacerlo sarebbe scorretto, e lo si qualifica perché impiegarlo sarebbe l'errore che questo documento è scritto per prevenire.</w:t>
      </w:r>
    </w:p>
    <w:p>
      <w:pPr>
        <w:spacing w:after="120" w:line="276"/>
        <w:jc w:val="both"/>
      </w:pPr>
      <w:r>
        <w:rPr>
          <w:rFonts w:ascii="Barlow Semi Condensed" w:cs="Barlow Semi Condensed" w:eastAsia="Barlow Semi Condensed" w:hAnsi="Barlow Semi Condensed"/>
          <w:b/>
          <w:bCs/>
          <w:sz w:val="24"/>
          <w:szCs w:val="24"/>
        </w:rPr>
        <w:t xml:space="preserve">Ne discende che il solo terreno documentato di contatto Strauß-Italia è atlantico, nucleare, ministeriale e anteriore ad Aginter di quasi un decennio.</w:t>
      </w:r>
    </w:p>
    <w:p>
      <w:pPr>
        <w:pStyle w:val="Heading2"/>
        <w:spacing w:after="100" w:before="200"/>
      </w:pPr>
      <w:r>
        <w:rPr>
          <w:rFonts w:ascii="Barlow Semi Condensed" w:cs="Barlow Semi Condensed" w:eastAsia="Barlow Semi Condensed" w:hAnsi="Barlow Semi Condensed"/>
          <w:sz w:val="24"/>
          <w:szCs w:val="24"/>
        </w:rPr>
        <w:t xml:space="preserve">Capitolo nono — Il profilo ministeriale completo e gli affari di armamento</w:t>
      </w:r>
    </w:p>
    <w:p>
      <w:pPr>
        <w:spacing w:after="120" w:line="276"/>
        <w:jc w:val="both"/>
      </w:pPr>
      <w:r>
        <w:rPr>
          <w:rFonts w:ascii="Barlow Semi Condensed" w:cs="Barlow Semi Condensed" w:eastAsia="Barlow Semi Condensed" w:hAnsi="Barlow Semi Condensed"/>
          <w:b/>
          <w:bCs/>
          <w:sz w:val="24"/>
          <w:szCs w:val="24"/>
        </w:rPr>
        <w:t xml:space="preserve">Il capitolo completa il profilo su cui la verifica in negativo si esercita, e distingue in ciascun affare l'accertato dall'attribuito.</w:t>
      </w:r>
    </w:p>
    <w:p>
      <w:pPr>
        <w:spacing w:after="120" w:line="276"/>
        <w:jc w:val="both"/>
      </w:pPr>
      <w:r>
        <w:rPr>
          <w:rFonts w:ascii="Barlow Semi Condensed" w:cs="Barlow Semi Condensed" w:eastAsia="Barlow Semi Condensed" w:hAnsi="Barlow Semi Condensed"/>
          <w:b/>
          <w:bCs/>
          <w:sz w:val="24"/>
          <w:szCs w:val="24"/>
        </w:rPr>
        <w:t xml:space="preserve">Le cariche, per date. Ministro federale per compiti speciali 1953-1955; ministro federale per le questioni atomiche 1955-1956, con la presentazione di un piano atomico civile a tre stadi; ministro federale della Difesa dal 16 ottobre 1956 al 1962; ministro federale delle Finanze nella Grande Coalizione 1966-1969, con la politica di stabilizzazione condotta con Karl Schiller; minister-presidente della Baviera 1978-1988; presidente della CSU 1961-1988.</w:t>
      </w:r>
    </w:p>
    <w:p>
      <w:pPr>
        <w:spacing w:after="120" w:line="276"/>
        <w:jc w:val="both"/>
      </w:pPr>
      <w:r>
        <w:rPr>
          <w:rFonts w:ascii="Barlow Semi Condensed" w:cs="Barlow Semi Condensed" w:eastAsia="Barlow Semi Condensed" w:hAnsi="Barlow Semi Condensed"/>
          <w:b/>
          <w:bCs/>
          <w:sz w:val="24"/>
          <w:szCs w:val="24"/>
        </w:rPr>
        <w:t xml:space="preserve">Lo Starfighter, con i numeri. Dei novecentosedici esemplari acquistati — alcune fonti indicano novecentodiciassette — ne precipitarono duecentonovantadue, quasi un terzo, con la morte di centosedici piloti, di cui centotto tedeschi e otto statunitensi. L'incidente della formazione acrobatica a Nörvenich del 19 giugno 1962 precedette di un giorno la cerimonia ufficiale di consegna.</w:t>
      </w:r>
    </w:p>
    <w:p>
      <w:pPr>
        <w:spacing w:after="120" w:line="276"/>
        <w:jc w:val="both"/>
      </w:pPr>
      <w:r>
        <w:rPr>
          <w:rFonts w:ascii="Barlow Semi Condensed" w:cs="Barlow Semi Condensed" w:eastAsia="Barlow Semi Condensed" w:hAnsi="Barlow Semi Condensed"/>
          <w:b/>
          <w:bCs/>
          <w:sz w:val="24"/>
          <w:szCs w:val="24"/>
        </w:rPr>
        <w:t xml:space="preserve">L'accertamento sulla corruzione, e va enunciato con precisione. Una commissione d'inchiesta parlamentare concluse che una corruzione non era dimostrabile e l'accusa fu lasciata cadere. Le indagini interne del referato anticorruzione, dirette da Fritz-Josef Rath, accertarono pagamenti per uno virgola uno-uno virgola tre milioni di marchi, con una somma considerevole verso Heinrich Sellschopp, capo del referato per il materiale aeronautico dell'ufficio federale di tecnica militare a Coblenza — ma non verso Strauß, la cui responsabilità corruttiva resta non provata. Möller stesso parla soltanto di un sospetto.</w:t>
      </w:r>
    </w:p>
    <w:p>
      <w:pPr>
        <w:spacing w:after="120" w:line="276"/>
        <w:jc w:val="both"/>
      </w:pPr>
      <w:r>
        <w:rPr>
          <w:rFonts w:ascii="Barlow Semi Condensed" w:cs="Barlow Semi Condensed" w:eastAsia="Barlow Semi Condensed" w:hAnsi="Barlow Semi Condensed"/>
          <w:b/>
          <w:bCs/>
          <w:sz w:val="24"/>
          <w:szCs w:val="24"/>
        </w:rPr>
        <w:t xml:space="preserve">L'affare HS 30, e la sua sfasatura cronologica. Fu il più grande scandalo di armamento tedesco fino ad allora; una commissione operò dal 1967 al 1969, con relazione del 26 giugno 1969. Fra i destinatari di tangenti indicati figurò il referente personale del ministro, il colonnello Werner Repenning, con due virgola tre milioni.</w:t>
      </w:r>
    </w:p>
    <w:p>
      <w:pPr>
        <w:spacing w:after="120" w:line="276"/>
        <w:jc w:val="both"/>
      </w:pPr>
      <w:r>
        <w:rPr>
          <w:rFonts w:ascii="Barlow Semi Condensed" w:cs="Barlow Semi Condensed" w:eastAsia="Barlow Semi Condensed" w:hAnsi="Barlow Semi Condensed"/>
          <w:b/>
          <w:bCs/>
          <w:sz w:val="24"/>
          <w:szCs w:val="24"/>
        </w:rPr>
        <w:t xml:space="preserve">Ma un elemento va apposto e cambia la valutazione: la decisione d'acquisto era stata pianificata dall'ufficio Blank già dal 1953, prima dell'insediamento di Strauß.</w:t>
      </w:r>
    </w:p>
    <w:p>
      <w:pPr>
        <w:spacing w:after="120" w:line="276"/>
        <w:jc w:val="both"/>
      </w:pPr>
      <w:r>
        <w:rPr>
          <w:rFonts w:ascii="Barlow Semi Condensed" w:cs="Barlow Semi Condensed" w:eastAsia="Barlow Semi Condensed" w:hAnsi="Barlow Semi Condensed"/>
          <w:b/>
          <w:bCs/>
          <w:sz w:val="24"/>
          <w:szCs w:val="24"/>
        </w:rPr>
        <w:t xml:space="preserve">L'affare Fibag del 1961.\\ Con relazioni del \\20 giugno\\ e del \\30 agosto 1962\\, si concluse con la conferma, \\a maggioranza risicata\\, che a Strauß non erano imputabili violazioni dei doveri d'ufficio — \\decisione criticata dai liberali.</w:t>
      </w:r>
    </w:p>
    <w:p>
      <w:pPr>
        <w:spacing w:after="120" w:line="276"/>
        <w:jc w:val="both"/>
      </w:pPr>
      <w:r>
        <w:rPr>
          <w:rFonts w:ascii="Barlow Semi Condensed" w:cs="Barlow Semi Condensed" w:eastAsia="Barlow Semi Condensed" w:hAnsi="Barlow Semi Condensed"/>
          <w:b/>
          <w:bCs/>
          <w:sz w:val="24"/>
          <w:szCs w:val="24"/>
        </w:rPr>
        <w:t xml:space="preserve">Il versante nucleare. All'inizio del 1957 Strauß e Adenauer presentarono piani per un armamento atomico della Bundeswehr; il 12 aprile 1957 diciotto scienziati sottoscrissero la dichiarazione di Gottinga contro tale prospettiva. Con l'adesione al Trattato di Bruxelles la Repubblica Federale aveva rinunciato alla produzione di armi atomiche, biologiche e chimiche sul proprio territorio; non vi fu armamento nazionale, bensì integrazione nella condivisione nucleare atlantica, deliberata dal Bundestag nel marzo 1958 nonostante il movimento contro la morte atomica.</w:t>
      </w:r>
    </w:p>
    <w:p>
      <w:pPr>
        <w:spacing w:after="120" w:line="276"/>
        <w:jc w:val="both"/>
      </w:pPr>
      <w:r>
        <w:rPr>
          <w:rFonts w:ascii="Barlow Semi Condensed" w:cs="Barlow Semi Condensed" w:eastAsia="Barlow Semi Condensed" w:hAnsi="Barlow Semi Condensed"/>
          <w:b/>
          <w:bCs/>
          <w:sz w:val="24"/>
          <w:szCs w:val="24"/>
        </w:rPr>
        <w:t xml:space="preserve">Un dettaglio va riportato perché è la frase più notevole reperita.\\ Il capo di Stato Maggiore \\Albert Schnez\\, dopo la visita a Fontainebleau, riferì a Strauß che una guerra siffatta sarebbe stata un \\Golgota della nazione tedesca.</w:t>
      </w:r>
    </w:p>
    <w:p>
      <w:pPr>
        <w:spacing w:after="120" w:line="276"/>
        <w:jc w:val="both"/>
      </w:pPr>
      <w:r>
        <w:rPr>
          <w:rFonts w:ascii="Barlow Semi Condensed" w:cs="Barlow Semi Condensed" w:eastAsia="Barlow Semi Condensed" w:hAnsi="Barlow Semi Condensed"/>
          <w:b/>
          <w:bCs/>
          <w:sz w:val="24"/>
          <w:szCs w:val="24"/>
        </w:rPr>
        <w:t xml:space="preserve">L'insieme di questi affari — Fibag, Starfighter, HS 30, Spiegel — provocò la caduta di Strauß dal ministero della Difesa nel 1962. Nessuno di essi presenta punti di contatto con Aginter Press.</w:t>
      </w:r>
    </w:p>
    <w:p>
      <w:pPr>
        <w:pStyle w:val="Heading2"/>
        <w:spacing w:after="100" w:before="200"/>
      </w:pPr>
      <w:r>
        <w:rPr>
          <w:rFonts w:ascii="Barlow Semi Condensed" w:cs="Barlow Semi Condensed" w:eastAsia="Barlow Semi Condensed" w:hAnsi="Barlow Semi Condensed"/>
          <w:sz w:val="24"/>
          <w:szCs w:val="24"/>
        </w:rPr>
        <w:t xml:space="preserve">Capitolo decimo — La verifica in negativo su base ampliata</w:t>
      </w:r>
    </w:p>
    <w:p>
      <w:pPr>
        <w:spacing w:after="120" w:line="276"/>
        <w:jc w:val="both"/>
      </w:pPr>
      <w:r>
        <w:rPr>
          <w:rFonts w:ascii="Barlow Semi Condensed" w:cs="Barlow Semi Condensed" w:eastAsia="Barlow Semi Condensed" w:hAnsi="Barlow Semi Condensed"/>
          <w:b/>
          <w:bCs/>
          <w:sz w:val="24"/>
          <w:szCs w:val="24"/>
        </w:rPr>
        <w:t xml:space="preserve">Il capitolo riesamina la non-connessione alla luce del profilo completo, e ne conferma l'esito su base più larga della ricognizione anteriore.</w:t>
      </w:r>
    </w:p>
    <w:p>
      <w:pPr>
        <w:spacing w:after="120" w:line="276"/>
        <w:jc w:val="both"/>
      </w:pPr>
      <w:r>
        <w:rPr>
          <w:rFonts w:ascii="Barlow Semi Condensed" w:cs="Barlow Semi Condensed" w:eastAsia="Barlow Semi Condensed" w:hAnsi="Barlow Semi Condensed"/>
          <w:b/>
          <w:bCs/>
          <w:sz w:val="24"/>
          <w:szCs w:val="24"/>
        </w:rPr>
        <w:t xml:space="preserve">Primo fronte: il ministero della Difesa e il Portogallo di Salazar. Strauß fu alla Difesa dal 1956 al 1962, e il Portogallo era Stato membro fondatore dell'Alleanza atlantica. Ma nessuna fonte reperita documenta un rapporto bilaterale specifico Strauß-Salazar in ambito atlantico che abbia lasciato traccia riconducibile ad Aginter.</w:t>
      </w:r>
    </w:p>
    <w:p>
      <w:pPr>
        <w:spacing w:after="120" w:line="276"/>
        <w:jc w:val="both"/>
      </w:pPr>
      <w:r>
        <w:rPr>
          <w:rFonts w:ascii="Barlow Semi Condensed" w:cs="Barlow Semi Condensed" w:eastAsia="Barlow Semi Condensed" w:hAnsi="Barlow Semi Condensed"/>
          <w:b/>
          <w:bCs/>
          <w:sz w:val="24"/>
          <w:szCs w:val="24"/>
        </w:rPr>
        <w:t xml:space="preserve">E un dato cronologico chiude il fronte: Aginter fu fondata nel settembre 1966, cioè oltre quattro anni dopo l'uscita di Strauß dalla Difesa.\\ Nel periodo in cui Strauß aveva competenza militare, \\Aginter non esisteva.</w:t>
      </w:r>
    </w:p>
    <w:p>
      <w:pPr>
        <w:spacing w:after="120" w:line="276"/>
        <w:jc w:val="both"/>
      </w:pPr>
      <w:r>
        <w:rPr>
          <w:rFonts w:ascii="Barlow Semi Condensed" w:cs="Barlow Semi Condensed" w:eastAsia="Barlow Semi Condensed" w:hAnsi="Barlow Semi Condensed"/>
          <w:b/>
          <w:bCs/>
          <w:sz w:val="24"/>
          <w:szCs w:val="24"/>
        </w:rPr>
        <w:t xml:space="preserve">Questo, secondo me, è l'argomento più forte dell'intero studio, e va enunciato come tale. La sola fase in cui Strauß avrebbe avuto le funzioni per intrattenere rapporti con una struttura di quel tipo precede la sua esistenza. Quando Aginter nacque, Strauß era un parlamentare senza incarico di governo, e sarebbe tornato al governo — alle Finanze, non alla Difesa — soltanto nel 1966.</w:t>
      </w:r>
    </w:p>
    <w:p>
      <w:pPr>
        <w:spacing w:after="120" w:line="276"/>
        <w:jc w:val="both"/>
      </w:pPr>
      <w:r>
        <w:rPr>
          <w:rFonts w:ascii="Barlow Semi Condensed" w:cs="Barlow Semi Condensed" w:eastAsia="Barlow Semi Condensed" w:hAnsi="Barlow Semi Condensed"/>
          <w:b/>
          <w:bCs/>
          <w:sz w:val="24"/>
          <w:szCs w:val="24"/>
        </w:rPr>
        <w:t xml:space="preserve">Secondo fronte: i documenti sequestrati.\\ La letteratura che li ha esaminati documenta la presenza di reduci e finanziatori tedeschi nella rete, \\ma nessuna delle opere attesta la presenza del nome di Strauß o della CSU nei documenti Aginter.</w:t>
      </w:r>
    </w:p>
    <w:p>
      <w:pPr>
        <w:spacing w:after="120" w:line="276"/>
        <w:jc w:val="both"/>
      </w:pPr>
      <w:r>
        <w:rPr>
          <w:rFonts w:ascii="Barlow Semi Condensed" w:cs="Barlow Semi Condensed" w:eastAsia="Barlow Semi Condensed" w:hAnsi="Barlow Semi Condensed"/>
          <w:b/>
          <w:bCs/>
          <w:sz w:val="24"/>
          <w:szCs w:val="24"/>
        </w:rPr>
        <w:t xml:space="preserve">Terzo fronte: il lascito Strauß. Il silenzio della biografia Möller, esposto al Capitolo quinto, con il rafforzamento dei recensori.</w:t>
      </w:r>
    </w:p>
    <w:p>
      <w:pPr>
        <w:spacing w:after="120" w:line="276"/>
        <w:jc w:val="both"/>
      </w:pPr>
      <w:r>
        <w:rPr>
          <w:rFonts w:ascii="Barlow Semi Condensed" w:cs="Barlow Semi Condensed" w:eastAsia="Barlow Semi Condensed" w:hAnsi="Barlow Semi Condensed"/>
          <w:b/>
          <w:bCs/>
          <w:sz w:val="24"/>
          <w:szCs w:val="24"/>
        </w:rPr>
        <w:t xml:space="preserve">Quarto fronte: gli atti parlamentari e giudiziari. Nessun atto parlamentare tedesco, nessuna sentenza, nessun documento con segnatura.</w:t>
      </w:r>
    </w:p>
    <w:p>
      <w:pPr>
        <w:spacing w:after="120" w:line="276"/>
        <w:jc w:val="both"/>
      </w:pPr>
      <w:r>
        <w:rPr>
          <w:rFonts w:ascii="Barlow Semi Condensed" w:cs="Barlow Semi Condensed" w:eastAsia="Barlow Semi Condensed" w:hAnsi="Barlow Semi Condensed"/>
          <w:b/>
          <w:bCs/>
          <w:sz w:val="24"/>
          <w:szCs w:val="24"/>
        </w:rPr>
        <w:t xml:space="preserve">Quinto fronte: le commissioni bavaresi. Esito negativo, con identificazione dell'equivoco fra la commissione Langemann del 1982 e l'inchiesta sull'attentato del 1980.</w:t>
      </w:r>
    </w:p>
    <w:p>
      <w:pPr>
        <w:spacing w:after="120" w:line="276"/>
        <w:jc w:val="both"/>
      </w:pPr>
      <w:r>
        <w:rPr>
          <w:rFonts w:ascii="Barlow Semi Condensed" w:cs="Barlow Semi Condensed" w:eastAsia="Barlow Semi Condensed" w:hAnsi="Barlow Semi Condensed"/>
          <w:b/>
          <w:bCs/>
          <w:sz w:val="24"/>
          <w:szCs w:val="24"/>
        </w:rPr>
        <w:t xml:space="preserve">La conclusione, formulata secondo la disciplina. L'onere della prova grava su chi afferma la connessione. Una connessione non documentata è, ai fini di questo studio, una connessione inesistente. La triangolazione Strauß-Aginter Press resta documentalmente inesistente su base ampliata.</w:t>
      </w:r>
    </w:p>
    <w:p>
      <w:pPr>
        <w:spacing w:after="120" w:line="276"/>
        <w:jc w:val="both"/>
      </w:pPr>
      <w:r>
        <w:rPr>
          <w:rFonts w:ascii="Barlow Semi Condensed" w:cs="Barlow Semi Condensed" w:eastAsia="Barlow Semi Condensed" w:hAnsi="Barlow Semi Condensed"/>
          <w:b/>
          <w:bCs/>
          <w:sz w:val="24"/>
          <w:szCs w:val="24"/>
        </w:rPr>
        <w:t xml:space="preserve">E le prescrizioni che hanno governato l'esame vanno ripetute perché ciascuna ha operato. Non si è trattata la contemporaneità come prova di nesso; non si è trattata la somiglianza fra organizzazioni anticomuniste come prova di rapporto; non si è trattata l'adesione di soggetti diversi a una medesima area ideologica come prova di contatto; non si è trattata l'appartenenza di una persona a una rete come prova di una condotta della rete.</w:t>
      </w:r>
    </w:p>
    <w:p>
      <w:pPr>
        <w:spacing w:after="120" w:line="276"/>
        <w:jc w:val="both"/>
      </w:pPr>
      <w:r>
        <w:rPr>
          <w:rFonts w:ascii="Barlow Semi Condensed" w:cs="Barlow Semi Condensed" w:eastAsia="Barlow Semi Condensed" w:hAnsi="Barlow Semi Condensed"/>
          <w:b/>
          <w:bCs/>
          <w:sz w:val="24"/>
          <w:szCs w:val="24"/>
        </w:rPr>
        <w:t xml:space="preserve">Ciascuna di queste quattro prescrizioni, in questa materia, avrebbe potuto da sola produrre una connessione apparente. Applicate insieme, non ne producono nessuna.</w:t>
      </w:r>
    </w:p>
    <w:p>
      <w:pPr>
        <w:pStyle w:val="Heading2"/>
        <w:spacing w:after="100" w:before="200"/>
      </w:pPr>
      <w:r>
        <w:rPr>
          <w:rFonts w:ascii="Barlow Semi Condensed" w:cs="Barlow Semi Condensed" w:eastAsia="Barlow Semi Condensed" w:hAnsi="Barlow Semi Condensed"/>
          <w:sz w:val="24"/>
          <w:szCs w:val="24"/>
        </w:rPr>
        <w:t xml:space="preserve">Capitolo undicesimo — Il criterio generale che questo studio consegna</w:t>
      </w:r>
    </w:p>
    <w:p>
      <w:pPr>
        <w:spacing w:after="120" w:line="276"/>
        <w:jc w:val="both"/>
      </w:pPr>
      <w:r>
        <w:rPr>
          <w:rFonts w:ascii="Barlow Semi Condensed" w:cs="Barlow Semi Condensed" w:eastAsia="Barlow Semi Condensed" w:hAnsi="Barlow Semi Condensed"/>
          <w:b/>
          <w:bCs/>
          <w:sz w:val="24"/>
          <w:szCs w:val="24"/>
        </w:rPr>
        <w:t xml:space="preserve">Il capitolo generalizza il risultato, perché esso vale oltre il caso.</w:t>
      </w:r>
    </w:p>
    <w:p>
      <w:pPr>
        <w:spacing w:after="120" w:line="276"/>
        <w:jc w:val="both"/>
      </w:pPr>
      <w:r>
        <w:rPr>
          <w:rFonts w:ascii="Barlow Semi Condensed" w:cs="Barlow Semi Condensed" w:eastAsia="Barlow Semi Condensed" w:hAnsi="Barlow Semi Condensed"/>
          <w:b/>
          <w:bCs/>
          <w:sz w:val="24"/>
          <w:szCs w:val="24"/>
        </w:rPr>
        <w:t xml:space="preserve">Il criterio, enunciato.\\ \\Una connessione reale lascia tracce presso soggetti che non avevano interesse a produrle.</w:t>
      </w:r>
    </w:p>
    <w:p>
      <w:pPr>
        <w:spacing w:after="120" w:line="276"/>
        <w:jc w:val="both"/>
      </w:pPr>
      <w:r>
        <w:rPr>
          <w:rFonts w:ascii="Barlow Semi Condensed" w:cs="Barlow Semi Condensed" w:eastAsia="Barlow Semi Condensed" w:hAnsi="Barlow Semi Condensed"/>
          <w:b/>
          <w:bCs/>
          <w:sz w:val="24"/>
          <w:szCs w:val="24"/>
        </w:rPr>
        <w:t xml:space="preserve">La verifica sul caso Spiegel. Esso è documentato perché la polizia dovette verbalizzare, il Parlamento dovette interrogare, la procura dovette qualificare, la Corte costituzionale dovette decidere — e nessuno di questi soggetti voleva documentare l'imbarazzo di un ministro in carica. La documentazione esiste contro l'interesse di chi la produsse.</w:t>
      </w:r>
    </w:p>
    <w:p>
      <w:pPr>
        <w:spacing w:after="120" w:line="276"/>
        <w:jc w:val="both"/>
      </w:pPr>
      <w:r>
        <w:rPr>
          <w:rFonts w:ascii="Barlow Semi Condensed" w:cs="Barlow Semi Condensed" w:eastAsia="Barlow Semi Condensed" w:hAnsi="Barlow Semi Condensed"/>
          <w:b/>
          <w:bCs/>
          <w:sz w:val="24"/>
          <w:szCs w:val="24"/>
        </w:rPr>
        <w:t xml:space="preserve">La verifica sull'allegazione del 2000. Essa esiste soltanto presso chi la afferma, e ogni ripresa rinvia alla medesima fonte.</w:t>
      </w:r>
    </w:p>
    <w:p>
      <w:pPr>
        <w:spacing w:after="120" w:line="276"/>
        <w:jc w:val="both"/>
      </w:pPr>
      <w:r>
        <w:rPr>
          <w:rFonts w:ascii="Barlow Semi Condensed" w:cs="Barlow Semi Condensed" w:eastAsia="Barlow Semi Condensed" w:hAnsi="Barlow Semi Condensed"/>
          <w:b/>
          <w:bCs/>
          <w:sz w:val="24"/>
          <w:szCs w:val="24"/>
        </w:rPr>
        <w:t xml:space="preserve">Il corollario, che è il contributo operativo. Quando si valuta un'affermazione di connessione, si conti quanti soggetti indipendenti e disinteressati ne abbiano lasciato traccia. Se il numero è zero, l'affermazione non è confutata ma non è utilizzabile.</w:t>
      </w:r>
    </w:p>
    <w:p>
      <w:pPr>
        <w:spacing w:after="120" w:line="276"/>
        <w:jc w:val="both"/>
      </w:pPr>
      <w:r>
        <w:rPr>
          <w:rFonts w:ascii="Barlow Semi Condensed" w:cs="Barlow Semi Condensed" w:eastAsia="Barlow Semi Condensed" w:hAnsi="Barlow Semi Condensed"/>
          <w:b/>
          <w:bCs/>
          <w:sz w:val="24"/>
          <w:szCs w:val="24"/>
        </w:rPr>
        <w:t xml:space="preserve">Il secondo criterio, che riguarda il meccanismo esposto al Capitolo primo. La contaminazione per prossimità va riconosciuta e neutralizzata. Un'asserzione non documentata collocata dentro un elenco di fatti documentati ne acquisisce il credito senza averne il fondamento. La neutralizzazione consiste nel valutare ciascuna asserzione dell'elenco separatamente, chiedendo per ognuna quale fonte la sostenga.</w:t>
      </w:r>
    </w:p>
    <w:p>
      <w:pPr>
        <w:spacing w:after="120" w:line="276"/>
        <w:jc w:val="both"/>
      </w:pPr>
      <w:r>
        <w:rPr>
          <w:rFonts w:ascii="Barlow Semi Condensed" w:cs="Barlow Semi Condensed" w:eastAsia="Barlow Semi Condensed" w:hAnsi="Barlow Semi Condensed"/>
          <w:b/>
          <w:bCs/>
          <w:sz w:val="24"/>
          <w:szCs w:val="24"/>
        </w:rPr>
        <w:t xml:space="preserve">Applicato al caso: i rapporti di Aginter con la polizia politica portoghese sono documentati; l'istruttoria Salvini è un atto giudiziario citabile; la relazione Pellegrino è un atto parlamentare. L'allegazione Hepp è un documentario televisivo. Le quattro cose non hanno il medesimo statuto, e il loro elenco congiunto lo occulta.</w:t>
      </w:r>
    </w:p>
    <w:p>
      <w:pPr>
        <w:spacing w:after="120" w:line="276"/>
        <w:jc w:val="both"/>
      </w:pPr>
      <w:r>
        <w:rPr>
          <w:rFonts w:ascii="Barlow Semi Condensed" w:cs="Barlow Semi Condensed" w:eastAsia="Barlow Semi Condensed" w:hAnsi="Barlow Semi Condensed"/>
          <w:b/>
          <w:bCs/>
          <w:sz w:val="24"/>
          <w:szCs w:val="24"/>
        </w:rPr>
        <w:t xml:space="preserve">Il terzo criterio, e riguarda i nomi. Si distingua fra i nomi verificabili dell'affermazione e i nomi che portano il peso operativo di essa. Nel caso: Hepp è verificabile ma non gli si attribuisce condotta operativa; Huber porta il peso operativo — il trasporto di denaro — e non è verificabile.</w:t>
      </w:r>
    </w:p>
    <w:p>
      <w:pPr>
        <w:spacing w:after="120" w:line="276"/>
        <w:jc w:val="both"/>
      </w:pPr>
      <w:r>
        <w:rPr>
          <w:rFonts w:ascii="Barlow Semi Condensed" w:cs="Barlow Semi Condensed" w:eastAsia="Barlow Semi Condensed" w:hAnsi="Barlow Semi Condensed"/>
          <w:b/>
          <w:bCs/>
          <w:sz w:val="24"/>
          <w:szCs w:val="24"/>
        </w:rPr>
        <w:t xml:space="preserve">Quando il nome verificabile e il nome operativo non coincidono, l'affermazione è costruita in modo da non essere verificabile nella parte che conta.</w:t>
      </w:r>
    </w:p>
    <w:p>
      <w:pPr>
        <w:spacing w:after="120" w:line="276"/>
        <w:jc w:val="both"/>
      </w:pPr>
      <w:r>
        <w:rPr>
          <w:rFonts w:ascii="Barlow Semi Condensed" w:cs="Barlow Semi Condensed" w:eastAsia="Barlow Semi Condensed" w:hAnsi="Barlow Semi Condensed"/>
          <w:b/>
          <w:bCs/>
          <w:sz w:val="24"/>
          <w:szCs w:val="24"/>
        </w:rPr>
        <w:t xml:space="preserve">Una avvertenza chiude il capitolo, ed è dovuta. Nessuno di questi tre criteri prova la falsità di alcunché. Essi stabiliscono l'inutilizzabilità di un'affermazione come prova, non la sua falsità come enunciato. La distinzione fra non dimostrato e falso è il confine che questo studio non valica, e non lo valica neppure ora che ha esposto il meccanismo.</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undici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L'identificazione della provenienza archivistica dei documenti Koch e Schröm. Sedi: fondo della polizia politica portoghese all'Arquivo Nacional da Torre do Tombo; archivi personali dei due giornalisti. Condizione di chiusura: l'esibizione di una segnatura verificabile o, in mancanza, la conferma definitiva del carattere non documentato dell'affermazione. È la sola voce che possa mutare la conclusione dello studio.</w:t>
      </w:r>
    </w:p>
    <w:p>
      <w:pPr>
        <w:spacing w:after="120" w:line="276"/>
        <w:jc w:val="both"/>
      </w:pPr>
      <w:r>
        <w:rPr>
          <w:rFonts w:ascii="Barlow Semi Condensed" w:cs="Barlow Semi Condensed" w:eastAsia="Barlow Semi Condensed" w:hAnsi="Barlow Semi Condensed"/>
          <w:b/>
          <w:bCs/>
          <w:sz w:val="24"/>
          <w:szCs w:val="24"/>
        </w:rPr>
        <w:t xml:space="preserve">Seconda voce. Gli inventari analitici del fondo Aginter Press dentro il fondo della polizia politica portoghese, per verificare l'eventuale presenza di nominativi tedeschi riconducibili alla CSU e l'eventuale esistenza della lista \Industry\. Condizione: consultazione in loco con autorizzazione, tenuto conto che parte del fondo non è mai stata consultata.</w:t>
      </w:r>
    </w:p>
    <w:p>
      <w:pPr>
        <w:spacing w:after="120" w:line="276"/>
        <w:jc w:val="both"/>
      </w:pPr>
      <w:r>
        <w:rPr>
          <w:rFonts w:ascii="Barlow Semi Condensed" w:cs="Barlow Semi Condensed" w:eastAsia="Barlow Semi Condensed" w:hAnsi="Barlow Semi Condensed"/>
          <w:b/>
          <w:bCs/>
          <w:sz w:val="24"/>
          <w:szCs w:val="24"/>
        </w:rPr>
        <w:t xml:space="preserve">Terza voce. I verbali integrali delle commissioni d'inchiesta del Landtag bavarese del 1982 — affare Langemann e attentato. Sede: archivio del Landtag bavarese. Condizione: lettura dei verbali non digitalizzati.</w:t>
      </w:r>
    </w:p>
    <w:p>
      <w:pPr>
        <w:spacing w:after="120" w:line="276"/>
        <w:jc w:val="both"/>
      </w:pPr>
      <w:r>
        <w:rPr>
          <w:rFonts w:ascii="Barlow Semi Condensed" w:cs="Barlow Semi Condensed" w:eastAsia="Barlow Semi Condensed" w:hAnsi="Barlow Semi Condensed"/>
          <w:b/>
          <w:bCs/>
          <w:sz w:val="24"/>
          <w:szCs w:val="24"/>
        </w:rPr>
        <w:t xml:space="preserve">Quarta voce. I fascicoli di corrispondenza estera del lascito Strauß presso l'archivio della fondazione della CSU a Monaco, per verificare in via diretta l'assenza che la biografia Möller lascia presumere.</w:t>
      </w:r>
    </w:p>
    <w:p>
      <w:pPr>
        <w:spacing w:after="120" w:line="276"/>
        <w:jc w:val="both"/>
      </w:pPr>
      <w:r>
        <w:rPr>
          <w:rFonts w:ascii="Barlow Semi Condensed" w:cs="Barlow Semi Condensed" w:eastAsia="Barlow Semi Condensed" w:hAnsi="Barlow Semi Condensed"/>
          <w:b/>
          <w:bCs/>
          <w:sz w:val="24"/>
          <w:szCs w:val="24"/>
        </w:rPr>
        <w:t xml:space="preserve">Quinta voce. La documentazione interna spagnola sulla catena esecutiva dell'arresto di Ahlers a Málaga nell'ottobre 1962. Sedi: Archivo General de la Administración di Alcalá de Henares; archivio del ministero dell'Interno spagnolo. Non riguarda Aginter ma completa il termine di controllo del Capitolo secondo.</w:t>
      </w:r>
    </w:p>
    <w:p>
      <w:pPr>
        <w:spacing w:after="120" w:line="276"/>
        <w:jc w:val="both"/>
      </w:pPr>
      <w:r>
        <w:rPr>
          <w:rFonts w:ascii="Barlow Semi Condensed" w:cs="Barlow Semi Condensed" w:eastAsia="Barlow Semi Condensed" w:hAnsi="Barlow Semi Condensed"/>
          <w:b/>
          <w:bCs/>
          <w:sz w:val="24"/>
          <w:szCs w:val="24"/>
        </w:rPr>
        <w:t xml:space="preserve">Sesta voce. Il testo integrale dell'articolo di Nicola Guerra del 2026, non accessibile, per confermare che non menzioni Strauß o la CSU — conclusione attualmente fondata su abstract ed estratti.</w:t>
      </w:r>
    </w:p>
    <w:p>
      <w:pPr>
        <w:pStyle w:val="Heading2"/>
        <w:spacing w:after="100" w:before="200"/>
      </w:pPr>
      <w:r>
        <w:rPr>
          <w:rFonts w:ascii="Barlow Semi Condensed" w:cs="Barlow Semi Condensed" w:eastAsia="Barlow Semi Condensed" w:hAnsi="Barlow Semi Condensed"/>
          <w:sz w:val="24"/>
          <w:szCs w:val="24"/>
        </w:rPr>
        <w:t xml:space="preserve">Nota sul bilancio delle undici ricognizioni.</w:t>
      </w:r>
    </w:p>
    <w:p>
      <w:pPr>
        <w:spacing w:after="120" w:line="276"/>
        <w:jc w:val="both"/>
      </w:pPr>
      <w:r>
        <w:rPr>
          <w:rFonts w:ascii="Barlow Semi Condensed" w:cs="Barlow Semi Condensed" w:eastAsia="Barlow Semi Condensed" w:hAnsi="Barlow Semi Condensed"/>
          <w:b/>
          <w:bCs/>
          <w:sz w:val="24"/>
          <w:szCs w:val="24"/>
        </w:rPr>
        <w:t xml:space="preserve">Undici ricognizioni hanno percorso l'attività ministeriale di Aldo Moro verso sei Paesi e quella di Franz Josef Strauß verso due oggetti, incrociandole con la Santa Sede, con l'Opus Dei e con Aginter Press. I risultati si dispongono in quattro ordini.</w:t>
      </w:r>
    </w:p>
    <w:p>
      <w:pPr>
        <w:spacing w:after="120" w:line="276"/>
        <w:jc w:val="both"/>
      </w:pPr>
      <w:r>
        <w:rPr>
          <w:rFonts w:ascii="Barlow Semi Condensed" w:cs="Barlow Semi Condensed" w:eastAsia="Barlow Semi Condensed" w:hAnsi="Barlow Semi Condensed"/>
          <w:b/>
          <w:bCs/>
          <w:sz w:val="24"/>
          <w:szCs w:val="24"/>
        </w:rPr>
        <w:t xml:space="preserve">Gli Stati Zero, che sono la maggioranza: il governo italiano non compare come attore documentato; l'Opus Dei non ha rapporti documentati con Moro; l'ente è assente da Grecia, Cipro e Turchia; Aginter Press non ha rapporti documentati con la CSU né con Strauß.</w:t>
      </w:r>
    </w:p>
    <w:p>
      <w:pPr>
        <w:spacing w:after="120" w:line="276"/>
        <w:jc w:val="both"/>
      </w:pPr>
      <w:r>
        <w:rPr>
          <w:rFonts w:ascii="Barlow Semi Condensed" w:cs="Barlow Semi Condensed" w:eastAsia="Barlow Semi Condensed" w:hAnsi="Barlow Semi Condensed"/>
          <w:b/>
          <w:bCs/>
          <w:sz w:val="24"/>
          <w:szCs w:val="24"/>
        </w:rPr>
        <w:t xml:space="preserve">Il nesso\\, uno solo: la Santa Sede attese la ratifica del Trattato di Varsavia prima di erigere le diocesi a oriente, e lo disse nella comunicazione di accompagnamento \\mentre il testo canonico taceva.</w:t>
      </w:r>
    </w:p>
    <w:p>
      <w:pPr>
        <w:spacing w:after="120" w:line="276"/>
        <w:jc w:val="both"/>
      </w:pPr>
      <w:r>
        <w:rPr>
          <w:rFonts w:ascii="Barlow Semi Condensed" w:cs="Barlow Semi Condensed" w:eastAsia="Barlow Semi Condensed" w:hAnsi="Barlow Semi Condensed"/>
          <w:b/>
          <w:bCs/>
          <w:sz w:val="24"/>
          <w:szCs w:val="24"/>
        </w:rPr>
        <w:t xml:space="preserve">La revisione: una proposizione formulata dalla serie è stata confutata dalla serie stessa, per opera della ricerca indirizzata al caso avverso.</w:t>
      </w:r>
    </w:p>
    <w:p>
      <w:pPr>
        <w:spacing w:after="120" w:line="276"/>
        <w:jc w:val="both"/>
      </w:pPr>
      <w:r>
        <w:rPr>
          <w:rFonts w:ascii="Barlow Semi Condensed" w:cs="Barlow Semi Condensed" w:eastAsia="Barlow Semi Condensed" w:hAnsi="Barlow Semi Condensed"/>
          <w:b/>
          <w:bCs/>
          <w:sz w:val="24"/>
          <w:szCs w:val="24"/>
        </w:rPr>
        <w:t xml:space="preserve">E, con questo documento, la genealogia di una falsa connessione\\: non soltanto l'accertamento che il nesso non esiste, ma \\la ricostruzione del meccanismo per cui esso appare esistere.</w:t>
      </w:r>
    </w:p>
    <w:p>
      <w:pPr>
        <w:spacing w:after="120" w:line="276"/>
        <w:jc w:val="both"/>
      </w:pPr>
      <w:r>
        <w:rPr>
          <w:rFonts w:ascii="Barlow Semi Condensed" w:cs="Barlow Semi Condensed" w:eastAsia="Barlow Semi Condensed" w:hAnsi="Barlow Semi Condensed"/>
          <w:b/>
          <w:bCs/>
          <w:sz w:val="24"/>
          <w:szCs w:val="24"/>
        </w:rPr>
        <w:t xml:space="preserve">Ne discende la lezione che le undici ricognizioni consegnano insieme, nelle sue cinque parti.</w:t>
      </w:r>
    </w:p>
    <w:p>
      <w:pPr>
        <w:spacing w:after="120" w:line="276"/>
        <w:jc w:val="both"/>
      </w:pPr>
      <w:r>
        <w:rPr>
          <w:rFonts w:ascii="Barlow Semi Condensed" w:cs="Barlow Semi Condensed" w:eastAsia="Barlow Semi Condensed" w:hAnsi="Barlow Semi Condensed"/>
          <w:b/>
          <w:bCs/>
          <w:sz w:val="24"/>
          <w:szCs w:val="24"/>
        </w:rPr>
        <w:t xml:space="preserve">L'assenza di traccia non è l'assenza dell'atto.</w:t>
      </w:r>
    </w:p>
    <w:p>
      <w:pPr>
        <w:spacing w:after="120" w:line="276"/>
        <w:jc w:val="both"/>
      </w:pPr>
      <w:r>
        <w:rPr>
          <w:rFonts w:ascii="Barlow Semi Condensed" w:cs="Barlow Semi Condensed" w:eastAsia="Barlow Semi Condensed" w:hAnsi="Barlow Semi Condensed"/>
          <w:b/>
          <w:bCs/>
          <w:sz w:val="24"/>
          <w:szCs w:val="24"/>
        </w:rPr>
        <w:t xml:space="preserve">Vi sono assenze che non sono lacune.</w:t>
      </w:r>
    </w:p>
    <w:p>
      <w:pPr>
        <w:spacing w:after="120" w:line="276"/>
        <w:jc w:val="both"/>
      </w:pPr>
      <w:r>
        <w:rPr>
          <w:rFonts w:ascii="Barlow Semi Condensed" w:cs="Barlow Semi Condensed" w:eastAsia="Barlow Semi Condensed" w:hAnsi="Barlow Semi Condensed"/>
          <w:b/>
          <w:bCs/>
          <w:sz w:val="24"/>
          <w:szCs w:val="24"/>
        </w:rPr>
        <w:t xml:space="preserve">Vi sono nessi che i documenti principali tacciono deliberatamente.</w:t>
      </w:r>
    </w:p>
    <w:p>
      <w:pPr>
        <w:spacing w:after="120" w:line="276"/>
        <w:jc w:val="both"/>
      </w:pPr>
      <w:r>
        <w:rPr>
          <w:rFonts w:ascii="Barlow Semi Condensed" w:cs="Barlow Semi Condensed" w:eastAsia="Barlow Semi Condensed" w:hAnsi="Barlow Semi Condensed"/>
          <w:b/>
          <w:bCs/>
          <w:sz w:val="24"/>
          <w:szCs w:val="24"/>
        </w:rPr>
        <w:t xml:space="preserve">Una proposizione va formulata con la propria condizione di falsificazione esplicita.</w:t>
      </w:r>
    </w:p>
    <w:p>
      <w:pPr>
        <w:spacing w:after="120" w:line="276"/>
        <w:jc w:val="both"/>
      </w:pPr>
      <w:r>
        <w:rPr>
          <w:rFonts w:ascii="Barlow Semi Condensed" w:cs="Barlow Semi Condensed" w:eastAsia="Barlow Semi Condensed" w:hAnsi="Barlow Semi Condensed"/>
          <w:b/>
          <w:bCs/>
          <w:sz w:val="24"/>
          <w:szCs w:val="24"/>
        </w:rPr>
        <w:t xml:space="preserve">E — questa è la quinta — una connessione reale lascia tracce presso soggetti che non avevano interesse a produrle. Dove tale traccia manca del tutto, non si è in presenza di un segreto ben custodito: si è in presenza di un'affermazione.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XII · Strauss E Aginter Press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 5.292 parole in 9 sezioni; la più ampia è §9 Altre sezioni, con 4.090.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 136 paragrafi in 9 sezioni, 15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XIII — I Sette Casi Extraeuropei</w:t>
      </w:r>
    </w:p>
    <w:p>
      <w:pPr>
        <w:pStyle w:val="Heading1"/>
        <w:spacing w:after="120" w:before="240"/>
      </w:pPr>
      <w:r>
        <w:rPr>
          <w:rFonts w:ascii="Barlow Semi Condensed" w:cs="Barlow Semi Condensed" w:eastAsia="Barlow Semi Condensed" w:hAnsi="Barlow Semi Condensed"/>
          <w:sz w:val="24"/>
          <w:szCs w:val="24"/>
        </w:rPr>
        <w:t xml:space="preserve">I SETTE CASI EXTRAEUROPEI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Dodicesima ricognizione: secondo atto di revisione</w:t>
      </w:r>
    </w:p>
    <w:p>
      <w:pPr>
        <w:pStyle w:val="Heading2"/>
        <w:spacing w:after="100" w:before="200"/>
      </w:pPr>
      <w:r>
        <w:rPr>
          <w:rFonts w:ascii="Barlow Semi Condensed" w:cs="Barlow Semi Condensed" w:eastAsia="Barlow Semi Condensed" w:hAnsi="Barlow Semi Condensed"/>
          <w:sz w:val="24"/>
          <w:szCs w:val="24"/>
        </w:rPr>
        <w:t xml:space="preserve">Il Kenya falsifica il modello. La costruzione endogena del ceto</w:t>
      </w:r>
    </w:p>
    <w:p>
      <w:pPr>
        <w:pStyle w:val="Heading2"/>
        <w:spacing w:after="100" w:before="200"/>
      </w:pPr>
      <w:r>
        <w:rPr>
          <w:rFonts w:ascii="Barlow Semi Condensed" w:cs="Barlow Semi Condensed" w:eastAsia="Barlow Semi Condensed" w:hAnsi="Barlow Semi Condensed"/>
          <w:sz w:val="24"/>
          <w:szCs w:val="24"/>
        </w:rPr>
        <w:t xml:space="preserve">Dodici Capitoli — tre modalita — otto acquisizioni — due errori dell'autore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Secondo atto di revisione della medesima proposizione</w:t>
      </w:r>
    </w:p>
    <w:p>
      <w:pPr>
        <w:spacing w:after="120" w:line="276"/>
        <w:jc w:val="both"/>
      </w:pPr>
      <w:r>
        <w:rPr>
          <w:rFonts w:ascii="Barlow Semi Condensed" w:cs="Barlow Semi Condensed" w:eastAsia="Barlow Semi Condensed" w:hAnsi="Barlow Semi Condensed"/>
          <w:b/>
          <w:bCs/>
          <w:sz w:val="24"/>
          <w:szCs w:val="24"/>
        </w:rPr>
        <w:t xml:space="preserve">Questo documento revisiona per la seconda volta la proposizione che la decima ricognizione aveva già revisionato una prima. La circostanza va enunciata subito perché è essa stessa un risultato: un modello formulato con condizione di falsificazione esplicita è caduto due volte in due passaggi, entrambe le volte per opera della ricerca che io stesso avevo indirizzato al caso avverso.</w:t>
      </w:r>
    </w:p>
    <w:p>
      <w:pPr>
        <w:spacing w:after="120" w:line="276"/>
        <w:jc w:val="both"/>
      </w:pPr>
      <w:r>
        <w:rPr>
          <w:rFonts w:ascii="Barlow Semi Condensed" w:cs="Barlow Semi Condensed" w:eastAsia="Barlow Semi Condensed" w:hAnsi="Barlow Semi Condensed"/>
          <w:b/>
          <w:bCs/>
          <w:sz w:val="24"/>
          <w:szCs w:val="24"/>
        </w:rPr>
        <w:t xml:space="preserve">Lo stato del modello entrando in questa ricognizione, per come la decima lo aveva lasciato. Prima parte: dove esiste un ceto universitario e professionale cattolico autoctono, l'ente si radica su di esso, indipendentemente dalla confessione maggioritaria del Paese. Seconda parte: dove tale ceto manca, l'ente si insedia per trapianto di personale e non si radica.</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dichiarata dalla decima.\\ Il reperimento di \\un radicamento autoctono — non per trapianto — in un Paese privo di ceto cattolico professionale autoctono.</w:t>
      </w:r>
    </w:p>
    <w:p>
      <w:pPr>
        <w:spacing w:after="120" w:line="276"/>
        <w:jc w:val="both"/>
      </w:pPr>
      <w:r>
        <w:rPr>
          <w:rFonts w:ascii="Barlow Semi Condensed" w:cs="Barlow Semi Condensed" w:eastAsia="Barlow Semi Condensed" w:hAnsi="Barlow Semi Condensed"/>
          <w:b/>
          <w:bCs/>
          <w:sz w:val="24"/>
          <w:szCs w:val="24"/>
        </w:rPr>
        <w:t xml:space="preserve">I casi che la decima aveva elencato per nome come potenzialmente confutanti e mai esaminati.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L'esito, enunciato senza attenuazioni. Il caso keniano soddisfa alla lettera la condizione di falsificazione. Il Kenya del 1958 era privo di ceto cattolico universitario e professionale autoctono: era colonia britannica, l'accesso africano all'istruzione superiore era — per ammissione della fonte ufficiale medesima — molto restrittivo a quel tempo, e il sistema universitario locale era embrionale. Ciononostante l'ente vi si radicò in senso autoctono, generando numerarie ausiliari, numerari, il primo sacerdote africano dell'Opus Dei e un vescovo.</w:t>
      </w:r>
    </w:p>
    <w:p>
      <w:pPr>
        <w:spacing w:after="120" w:line="276"/>
        <w:jc w:val="both"/>
      </w:pPr>
      <w:r>
        <w:rPr>
          <w:rFonts w:ascii="Barlow Semi Condensed" w:cs="Barlow Semi Condensed" w:eastAsia="Barlow Semi Condensed" w:hAnsi="Barlow Semi Condensed"/>
          <w:b/>
          <w:bCs/>
          <w:sz w:val="24"/>
          <w:szCs w:val="24"/>
        </w:rPr>
        <w:t xml:space="preserve">Ma la falsificazione avviene per una via che il modello non prevedeva, e questa è l'acquisizione maggiore. Il radicamento keniano non avvenne per trapianto — il trapianto fu la sola fase d'ingresso, comune a tutti i casi — né su ceto preesistente, perché quel ceto non c'era. Avvenne per costruzione: l'ente fondò istituzioni educative selettive e da esse fece emergere, nell'arco di una generazione, il ceto su cui poi si radicò.</w:t>
      </w:r>
    </w:p>
    <w:p>
      <w:pPr>
        <w:spacing w:after="120" w:line="276"/>
        <w:jc w:val="both"/>
      </w:pPr>
      <w:r>
        <w:rPr>
          <w:rFonts w:ascii="Barlow Semi Condensed" w:cs="Barlow Semi Condensed" w:eastAsia="Barlow Semi Condensed" w:hAnsi="Barlow Semi Condensed"/>
          <w:b/>
          <w:bCs/>
          <w:sz w:val="24"/>
          <w:szCs w:val="24"/>
        </w:rPr>
        <w:t xml:space="preserve">Si propone di denominare tale modalità costruzione endogena del ceto, e di riformulare il modello in tre modalità anziché due.</w:t>
      </w:r>
    </w:p>
    <w:p>
      <w:pPr>
        <w:spacing w:after="120" w:line="276"/>
        <w:jc w:val="both"/>
      </w:pPr>
      <w:r>
        <w:rPr>
          <w:rFonts w:ascii="Barlow Semi Condensed" w:cs="Barlow Semi Condensed" w:eastAsia="Barlow Semi Condensed" w:hAnsi="Barlow Semi Condensed"/>
          <w:b/>
          <w:bCs/>
          <w:sz w:val="24"/>
          <w:szCs w:val="24"/>
        </w:rPr>
        <w:t xml:space="preserve">Una avvertenza sul metodo di questa ricognizione, dovuta perché riguarda me. Due nomi che avevo fornito nell'indirizzare la ricerca si sono rivelati errati, e li registro al Capitolo undicesimo anziché tacerli. La Regola di Ferro vale anche per chi la applica.</w:t>
      </w:r>
    </w:p>
    <w:p>
      <w:pPr>
        <w:pStyle w:val="Heading2"/>
        <w:spacing w:after="100" w:before="200"/>
      </w:pPr>
      <w:r>
        <w:rPr>
          <w:rFonts w:ascii="Barlow Semi Condensed" w:cs="Barlow Semi Condensed" w:eastAsia="Barlow Semi Condensed" w:hAnsi="Barlow Semi Condensed"/>
          <w:sz w:val="24"/>
          <w:szCs w:val="24"/>
        </w:rPr>
        <w:t xml:space="preserve">Capitolo secondo — Kenya: l'origine gerarchica e il personale interamente allogeno</w:t>
      </w:r>
    </w:p>
    <w:p>
      <w:pPr>
        <w:spacing w:after="120" w:line="276"/>
        <w:jc w:val="both"/>
      </w:pPr>
      <w:r>
        <w:rPr>
          <w:rFonts w:ascii="Barlow Semi Condensed" w:cs="Barlow Semi Condensed" w:eastAsia="Barlow Semi Condensed" w:hAnsi="Barlow Semi Condensed"/>
          <w:b/>
          <w:bCs/>
          <w:sz w:val="24"/>
          <w:szCs w:val="24"/>
        </w:rPr>
        <w:t xml:space="preserve">Il capitolo espone i fatti del caso cruciale, e li espone per intero perché su di essi poggia la falsificazione.</w:t>
      </w:r>
    </w:p>
    <w:p>
      <w:pPr>
        <w:spacing w:after="120" w:line="276"/>
        <w:jc w:val="both"/>
      </w:pPr>
      <w:r>
        <w:rPr>
          <w:rFonts w:ascii="Barlow Semi Condensed" w:cs="Barlow Semi Condensed" w:eastAsia="Barlow Semi Condensed" w:hAnsi="Barlow Semi Condensed"/>
          <w:b/>
          <w:bCs/>
          <w:sz w:val="24"/>
          <w:szCs w:val="24"/>
        </w:rPr>
        <w:t xml:space="preserve">L'origine non fu una domanda locale ma una sollecitazione gerarchica, e la data è precisa. Il 26 ottobre 1957 il Delegato Apostolico per l'Africa britannica orientale e occidentale, monsignor Mojaisky Perrelli, amico di Escrivá a Roma, chiese con lettera l'invio di membri dell'Opus Dei in Kenya, avendo visto le immense possibilità apostoliche del Paese e ritenendo che un'istituzione capace di offrire solida educazione cattolica alla gente dell'Africa orientale, se possibile a livello universitario, avrebbe sviluppato quel potenziale. Escrivá rispose il 4 novembre 1957.</w:t>
      </w:r>
    </w:p>
    <w:p>
      <w:pPr>
        <w:spacing w:after="120" w:line="276"/>
        <w:jc w:val="both"/>
      </w:pPr>
      <w:r>
        <w:rPr>
          <w:rFonts w:ascii="Barlow Semi Condensed" w:cs="Barlow Semi Condensed" w:eastAsia="Barlow Semi Condensed" w:hAnsi="Barlow Semi Condensed"/>
          <w:b/>
          <w:bCs/>
          <w:sz w:val="24"/>
          <w:szCs w:val="24"/>
        </w:rPr>
        <w:t xml:space="preserve">Il rilievo va enunciato perché determina tutto il resto: la richiesta iniziale non chiedeva assistenza a un ceto esistente, chiedeva di creare l'istruzione superiore che mancava.</w:t>
      </w:r>
    </w:p>
    <w:p>
      <w:pPr>
        <w:spacing w:after="120" w:line="276"/>
        <w:jc w:val="both"/>
      </w:pPr>
      <w:r>
        <w:rPr>
          <w:rFonts w:ascii="Barlow Semi Condensed" w:cs="Barlow Semi Condensed" w:eastAsia="Barlow Semi Condensed" w:hAnsi="Barlow Semi Condensed"/>
          <w:b/>
          <w:bCs/>
          <w:sz w:val="24"/>
          <w:szCs w:val="24"/>
        </w:rPr>
        <w:t xml:space="preserve">La cronologia dell'insediamento. Nel marzo 1958 due membri compirono un sopralluogo a Nairobi; il 25 agosto 1958 arrivarono i primi, seguiti in settembre e ottobre da altri, fra cui l'ingegnere civile irlandese Kevin O'Byrne. Nell'ottobre 1958 Escrivá chiese a padre Pedro Casciaro, appena giunto dal Messico, di recarsi in Kenya.</w:t>
      </w:r>
    </w:p>
    <w:p>
      <w:pPr>
        <w:spacing w:after="120" w:line="276"/>
        <w:jc w:val="both"/>
      </w:pPr>
      <w:r>
        <w:rPr>
          <w:rFonts w:ascii="Barlow Semi Condensed" w:cs="Barlow Semi Condensed" w:eastAsia="Barlow Semi Condensed" w:hAnsi="Barlow Semi Condensed"/>
          <w:b/>
          <w:bCs/>
          <w:sz w:val="24"/>
          <w:szCs w:val="24"/>
        </w:rPr>
        <w:t xml:space="preserve">Le istituzioni furono suggerite dal fondatore in persona, con l'indicazione espressa che il collegio fosse interrazziale e aperto a non cattolici e non cristiani, con ammissione per merito accademico. La fonte ufficiale precisa che il collegio non era missionario, non essendo il suo personale composto di missionari ma di professionisti laici.</w:t>
      </w:r>
    </w:p>
    <w:p>
      <w:pPr>
        <w:spacing w:after="120" w:line="276"/>
        <w:jc w:val="both"/>
      </w:pPr>
      <w:r>
        <w:rPr>
          <w:rFonts w:ascii="Barlow Semi Condensed" w:cs="Barlow Semi Condensed" w:eastAsia="Barlow Semi Condensed" w:hAnsi="Barlow Semi Condensed"/>
          <w:b/>
          <w:bCs/>
          <w:sz w:val="24"/>
          <w:szCs w:val="24"/>
        </w:rPr>
        <w:t xml:space="preserve">I nomi dei fondatori, ed è il dato che chiude la questione della provenienza. David Sperling, storico statunitense, primo preside; Silvano Borruso, biologo ed educatore italiano, primo economo e insegnante. La componente femminile arrivò il 12 giugno 1960: Olga Marlin e Mary Mahoney dagli Stati Uniti, insegnante l'una e infermiera l'altra; Tere Temes, storica spagnola; Rosario Insausti ed Encarnación Riera, spagnole formate nell'alberghiero, con altre numerarie e numerarie ausiliari.</w:t>
      </w:r>
    </w:p>
    <w:p>
      <w:pPr>
        <w:spacing w:after="120" w:line="276"/>
        <w:jc w:val="both"/>
      </w:pPr>
      <w:r>
        <w:rPr>
          <w:rFonts w:ascii="Barlow Semi Condensed" w:cs="Barlow Semi Condensed" w:eastAsia="Barlow Semi Condensed" w:hAnsi="Barlow Semi Condensed"/>
          <w:b/>
          <w:bCs/>
          <w:sz w:val="24"/>
          <w:szCs w:val="24"/>
        </w:rPr>
        <w:t xml:space="preserve">Il personale fondatore era dunque interamente allogeno: irlandese, statunitense, spagnolo, italiano, messicano. Nessun keniano figura fra i fondatori.</w:t>
      </w:r>
    </w:p>
    <w:p>
      <w:pPr>
        <w:spacing w:after="120" w:line="276"/>
        <w:jc w:val="both"/>
      </w:pPr>
      <w:r>
        <w:rPr>
          <w:rFonts w:ascii="Barlow Semi Condensed" w:cs="Barlow Semi Condensed" w:eastAsia="Barlow Semi Condensed" w:hAnsi="Barlow Semi Condensed"/>
          <w:b/>
          <w:bCs/>
          <w:sz w:val="24"/>
          <w:szCs w:val="24"/>
        </w:rPr>
        <w:t xml:space="preserve">Questo dato va tenuto fermo perché è comune a tutti e sette i casi esaminati, e produce al Capitolo nono una precisazione del diagnostico che credevo assestato.</w:t>
      </w:r>
    </w:p>
    <w:p>
      <w:pPr>
        <w:spacing w:after="120" w:line="276"/>
        <w:jc w:val="both"/>
      </w:pPr>
      <w:r>
        <w:rPr>
          <w:rFonts w:ascii="Barlow Semi Condensed" w:cs="Barlow Semi Condensed" w:eastAsia="Barlow Semi Condensed" w:hAnsi="Barlow Semi Condensed"/>
          <w:b/>
          <w:bCs/>
          <w:sz w:val="24"/>
          <w:szCs w:val="24"/>
        </w:rPr>
        <w:t xml:space="preserve">Il contesto, che è la ragione della falsificazione. Nel 1958 il Kenya era colonia britannica, e l'indipendenza sarebbe venuta nel 1963. Il sistema universitario locale era embrionale: il Royal Technical College di Nairobi era stato fondato nel 1956, e il Makerere in Uganda serviva l'intera Africa orientale. L'accesso africano all'istruzione superiore era molto restrittivo a quel tempo, per ammissione della stessa fonte ufficiale.</w:t>
      </w:r>
    </w:p>
    <w:p>
      <w:pPr>
        <w:spacing w:after="120" w:line="276"/>
        <w:jc w:val="both"/>
      </w:pPr>
      <w:r>
        <w:rPr>
          <w:rFonts w:ascii="Barlow Semi Condensed" w:cs="Barlow Semi Condensed" w:eastAsia="Barlow Semi Condensed" w:hAnsi="Barlow Semi Condensed"/>
          <w:b/>
          <w:bCs/>
          <w:sz w:val="24"/>
          <w:szCs w:val="24"/>
        </w:rPr>
        <w:t xml:space="preserve">Ne discende che il ceto cattolico universitario e professionale keniano, all'epoca dell'insediamento, non esisteva nella forma richiesta dal modello. Esisteva una popolazione cattolica prodotta dalle missioni; non esisteva un ceto professionale organizzato con accesso all'università.</w:t>
      </w:r>
    </w:p>
    <w:p>
      <w:pPr>
        <w:pStyle w:val="Heading2"/>
        <w:spacing w:after="100" w:before="200"/>
      </w:pPr>
      <w:r>
        <w:rPr>
          <w:rFonts w:ascii="Barlow Semi Condensed" w:cs="Barlow Semi Condensed" w:eastAsia="Barlow Semi Condensed" w:hAnsi="Barlow Semi Condensed"/>
          <w:sz w:val="24"/>
          <w:szCs w:val="24"/>
        </w:rPr>
        <w:t xml:space="preserve">Capitolo terzo — Kenya: le istituzioni e l'emersione del ceto</w:t>
      </w:r>
    </w:p>
    <w:p>
      <w:pPr>
        <w:spacing w:after="120" w:line="276"/>
        <w:jc w:val="both"/>
      </w:pPr>
      <w:r>
        <w:rPr>
          <w:rFonts w:ascii="Barlow Semi Condensed" w:cs="Barlow Semi Condensed" w:eastAsia="Barlow Semi Condensed" w:hAnsi="Barlow Semi Condensed"/>
          <w:b/>
          <w:bCs/>
          <w:sz w:val="24"/>
          <w:szCs w:val="24"/>
        </w:rPr>
        <w:t xml:space="preserve">Il capitolo espone ciò che l'ente costruì e ciò che ne emerse, perché la sequenza cronologica è la prova della terza modalità.</w:t>
      </w:r>
    </w:p>
    <w:p>
      <w:pPr>
        <w:spacing w:after="120" w:line="276"/>
        <w:jc w:val="both"/>
      </w:pPr>
      <w:r>
        <w:rPr>
          <w:rFonts w:ascii="Barlow Semi Condensed" w:cs="Barlow Semi Condensed" w:eastAsia="Barlow Semi Condensed" w:hAnsi="Barlow Semi Condensed"/>
          <w:b/>
          <w:bCs/>
          <w:sz w:val="24"/>
          <w:szCs w:val="24"/>
        </w:rPr>
        <w:t xml:space="preserve">Lo Strathmore College aprì nel marzo 1961 come primo collegio interrazziale del Kenya a offrire l'A-level, preparando all'ammissione universitaria.</w:t>
      </w:r>
    </w:p>
    <w:p>
      <w:pPr>
        <w:spacing w:after="120" w:line="276"/>
        <w:jc w:val="both"/>
      </w:pPr>
      <w:r>
        <w:rPr>
          <w:rFonts w:ascii="Barlow Semi Condensed" w:cs="Barlow Semi Condensed" w:eastAsia="Barlow Semi Condensed" w:hAnsi="Barlow Semi Condensed"/>
          <w:b/>
          <w:bCs/>
          <w:sz w:val="24"/>
          <w:szCs w:val="24"/>
        </w:rPr>
        <w:t xml:space="preserve">La composizione della prima coorte è documentata con precisione, e va riportata perché mostra a chi l'istituzione si rivolse. La fonte ufficiale riferisce che Strathmore iniziò come collegio A-level con le classi quinta e sesta, otto membri del personale e sessanta studenti in totale: africani di varie tribù, cinque europei, due indiani e undici goanesi.</w:t>
      </w:r>
    </w:p>
    <w:p>
      <w:pPr>
        <w:spacing w:after="120" w:line="276"/>
        <w:jc w:val="both"/>
      </w:pPr>
      <w:r>
        <w:rPr>
          <w:rFonts w:ascii="Barlow Semi Condensed" w:cs="Barlow Semi Condensed" w:eastAsia="Barlow Semi Condensed" w:hAnsi="Barlow Semi Condensed"/>
          <w:b/>
          <w:bCs/>
          <w:sz w:val="24"/>
          <w:szCs w:val="24"/>
        </w:rPr>
        <w:t xml:space="preserve">Il dato è istruttivo: la componente cattolica preesistente e professionalmente formata era la minoranza goanese e indiana, non quella africana. Gli africani erano la maggioranza numerica ma non provenivano da un ceto cattolico professionale.</w:t>
      </w:r>
    </w:p>
    <w:p>
      <w:pPr>
        <w:spacing w:after="120" w:line="276"/>
        <w:jc w:val="both"/>
      </w:pPr>
      <w:r>
        <w:rPr>
          <w:rFonts w:ascii="Barlow Semi Condensed" w:cs="Barlow Semi Condensed" w:eastAsia="Barlow Semi Condensed" w:hAnsi="Barlow Semi Condensed"/>
          <w:b/>
          <w:bCs/>
          <w:sz w:val="24"/>
          <w:szCs w:val="24"/>
        </w:rPr>
        <w:t xml:space="preserve">L'espansione, per date. Nel 1966 il collegio avviò i corsi di contabilità con venticinque studenti, sponsorizzati da Shell East Africa, BAT East Africa ed East African Breweries, preparati agli esami britannici dell'associazione dei contabili certificati. Nel 1977 aggiunse la secondaria inferiore, nel 1986 la primaria. Nel 1993 la scuola di contabilità si trasferì nel campus di Madaraka fondendosi con il Kianda College. Nel 2002 la Commissione per l'istruzione superiore concesse la lettera di autorità provvisoria per operare come università.</w:t>
      </w:r>
    </w:p>
    <w:p>
      <w:pPr>
        <w:spacing w:after="120" w:line="276"/>
        <w:jc w:val="both"/>
      </w:pPr>
      <w:r>
        <w:rPr>
          <w:rFonts w:ascii="Barlow Semi Condensed" w:cs="Barlow Semi Condensed" w:eastAsia="Barlow Semi Condensed" w:hAnsi="Barlow Semi Condensed"/>
          <w:b/>
          <w:bCs/>
          <w:sz w:val="24"/>
          <w:szCs w:val="24"/>
        </w:rPr>
        <w:t xml:space="preserve">Il versante femminile, e qui sta il dato decisivo. La Kianda Secretarial School iniziò nel gennaio 1961, aperta a ragazze di ogni razza. Nel febbraio 1961 nacque la Kibondeni School of Institutional Management, unità di formazione per donne annessa al dipartimento di ristorazione dello Strathmore, definita dalla fonte istituzione unica nel Kenya pre-indipendenza, dove i lavori di ristorazione erano svolti da uomini.</w:t>
      </w:r>
    </w:p>
    <w:p>
      <w:pPr>
        <w:spacing w:after="120" w:line="276"/>
        <w:jc w:val="both"/>
      </w:pPr>
      <w:r>
        <w:rPr>
          <w:rFonts w:ascii="Barlow Semi Condensed" w:cs="Barlow Semi Condensed" w:eastAsia="Barlow Semi Condensed" w:hAnsi="Barlow Semi Condensed"/>
          <w:b/>
          <w:bCs/>
          <w:sz w:val="24"/>
          <w:szCs w:val="24"/>
        </w:rPr>
        <w:t xml:space="preserve">E adesso la sequenza che prova la costruzione endogena.\\ \\Le prime numerarie ausiliari keniane emersero nel 1963 — Florence Auma e Mary Mumbua — e provenivano proprio dalle donne formate a Kibondeni.</w:t>
      </w:r>
    </w:p>
    <w:p>
      <w:pPr>
        <w:spacing w:after="120" w:line="276"/>
        <w:jc w:val="both"/>
      </w:pPr>
      <w:r>
        <w:rPr>
          <w:rFonts w:ascii="Barlow Semi Condensed" w:cs="Barlow Semi Condensed" w:eastAsia="Barlow Semi Condensed" w:hAnsi="Barlow Semi Condensed"/>
          <w:b/>
          <w:bCs/>
          <w:sz w:val="24"/>
          <w:szCs w:val="24"/>
        </w:rPr>
        <w:t xml:space="preserve">Due anni dopo l'apertura della scuola, e dalla scuola medesima.</w:t>
      </w:r>
    </w:p>
    <w:p>
      <w:pPr>
        <w:spacing w:after="120" w:line="276"/>
        <w:jc w:val="both"/>
      </w:pPr>
      <w:r>
        <w:rPr>
          <w:rFonts w:ascii="Barlow Semi Condensed" w:cs="Barlow Semi Condensed" w:eastAsia="Barlow Semi Condensed" w:hAnsi="Barlow Semi Condensed"/>
          <w:b/>
          <w:bCs/>
          <w:sz w:val="24"/>
          <w:szCs w:val="24"/>
        </w:rPr>
        <w:t xml:space="preserve">Il primo membro keniano numerario a completare gli studi teologici a Roma fu Paul Mimbi, ingegnere civile dell'Università di Nairobi, ordinato sacerdote nel 1982: primo sacerdote africano dell'Opus Dei. Seguì Anthony Muheria, ordinato nel 1993 e nominato vescovo di Embu nel 2004.</w:t>
      </w:r>
    </w:p>
    <w:p>
      <w:pPr>
        <w:spacing w:after="120" w:line="276"/>
        <w:jc w:val="both"/>
      </w:pPr>
      <w:r>
        <w:rPr>
          <w:rFonts w:ascii="Barlow Semi Condensed" w:cs="Barlow Semi Condensed" w:eastAsia="Barlow Semi Condensed" w:hAnsi="Barlow Semi Condensed"/>
          <w:b/>
          <w:bCs/>
          <w:sz w:val="24"/>
          <w:szCs w:val="24"/>
        </w:rPr>
        <w:t xml:space="preserve">La sequenza cronologica va enunciata perché è la dimostrazione. Istituzioni fondate nel 1961; primi membri autoctoni nel 1963; primo sacerdote keniano nel 1982; vescovo nel 2004. I membri autoctoni sono posteriori alle istituzioni e in parte prodotto diretto di esse.</w:t>
      </w:r>
    </w:p>
    <w:p>
      <w:pPr>
        <w:spacing w:after="120" w:line="276"/>
        <w:jc w:val="both"/>
      </w:pPr>
      <w:r>
        <w:rPr>
          <w:rFonts w:ascii="Barlow Semi Condensed" w:cs="Barlow Semi Condensed" w:eastAsia="Barlow Semi Condensed" w:hAnsi="Barlow Semi Condensed"/>
          <w:b/>
          <w:bCs/>
          <w:sz w:val="24"/>
          <w:szCs w:val="24"/>
        </w:rPr>
        <w:t xml:space="preserve">Ne discende che l'ente non trovò il ceto: lo formò, e da esso trasse i propri membri.</w:t>
      </w:r>
    </w:p>
    <w:p>
      <w:pPr>
        <w:pStyle w:val="Heading2"/>
        <w:spacing w:after="100" w:before="200"/>
      </w:pPr>
      <w:r>
        <w:rPr>
          <w:rFonts w:ascii="Barlow Semi Condensed" w:cs="Barlow Semi Condensed" w:eastAsia="Barlow Semi Condensed" w:hAnsi="Barlow Semi Condensed"/>
          <w:sz w:val="24"/>
          <w:szCs w:val="24"/>
        </w:rPr>
        <w:t xml:space="preserve">Capitolo quarto — Giappone: il caso opposto e la sua complicazione</w:t>
      </w:r>
    </w:p>
    <w:p>
      <w:pPr>
        <w:spacing w:after="120" w:line="276"/>
        <w:jc w:val="both"/>
      </w:pPr>
      <w:r>
        <w:rPr>
          <w:rFonts w:ascii="Barlow Semi Condensed" w:cs="Barlow Semi Condensed" w:eastAsia="Barlow Semi Condensed" w:hAnsi="Barlow Semi Condensed"/>
          <w:b/>
          <w:bCs/>
          <w:sz w:val="24"/>
          <w:szCs w:val="24"/>
        </w:rPr>
        <w:t xml:space="preserve">Il capitolo espone il caso di prova contrario, che conferma il modello nella sostanza ma vi introduce una complicazione che va riportata anziché appianata.</w:t>
      </w:r>
    </w:p>
    <w:p>
      <w:pPr>
        <w:spacing w:after="120" w:line="276"/>
        <w:jc w:val="both"/>
      </w:pPr>
      <w:r>
        <w:rPr>
          <w:rFonts w:ascii="Barlow Semi Condensed" w:cs="Barlow Semi Condensed" w:eastAsia="Barlow Semi Condensed" w:hAnsi="Barlow Semi Condensed"/>
          <w:b/>
          <w:bCs/>
          <w:sz w:val="24"/>
          <w:szCs w:val="24"/>
        </w:rPr>
        <w:t xml:space="preserve">I numeri. Nel 1975 i cattolici giapponesi erano trecentottantottomilacinquecentocinquantasei su una popolazione di centoundici milioni novecentocinquantamila: lo zero virgola tre per cento. La diocesi di Nagasaki presentava però il quattro virgola cinque per cento, quindici volte la media nazionale.</w:t>
      </w:r>
    </w:p>
    <w:p>
      <w:pPr>
        <w:spacing w:after="120" w:line="276"/>
        <w:jc w:val="both"/>
      </w:pPr>
      <w:r>
        <w:rPr>
          <w:rFonts w:ascii="Barlow Semi Condensed" w:cs="Barlow Semi Condensed" w:eastAsia="Barlow Semi Condensed" w:hAnsi="Barlow Semi Condensed"/>
          <w:b/>
          <w:bCs/>
          <w:sz w:val="24"/>
          <w:szCs w:val="24"/>
        </w:rPr>
        <w:t xml:space="preserve">L'origine della comunità. Nagasaki è sede dei cattolici nascosti, che mantennero la fede per circa sette generazioni senza sacerdoti durante due secoli e mezzo di persecuzione, riemergendo con la missione francese negli anni Sessanta dell'Ottocento e la cattedrale di Ōura del 1864.</w:t>
      </w:r>
    </w:p>
    <w:p>
      <w:pPr>
        <w:spacing w:after="120" w:line="276"/>
        <w:jc w:val="both"/>
      </w:pPr>
      <w:r>
        <w:rPr>
          <w:rFonts w:ascii="Barlow Semi Condensed" w:cs="Barlow Semi Condensed" w:eastAsia="Barlow Semi Condensed" w:hAnsi="Barlow Semi Condensed"/>
          <w:b/>
          <w:bCs/>
          <w:sz w:val="24"/>
          <w:szCs w:val="24"/>
        </w:rPr>
        <w:t xml:space="preserve">Il versante universitario, che è ciò che rende il Giappone il rovescio del Kenya. La Sophia University, fondata nel 1913 e con status pieno dal 1928, prima università cattolica del Giappone, opera di tre gesuiti — il tedesco Joseph Dahlmann, il francese Henri Boucher, l'inglese James Rockliff — con primo presidente il botanico Hermann Hoffmann.</w:t>
      </w:r>
    </w:p>
    <w:p>
      <w:pPr>
        <w:spacing w:after="120" w:line="276"/>
        <w:jc w:val="both"/>
      </w:pPr>
      <w:r>
        <w:rPr>
          <w:rFonts w:ascii="Barlow Semi Condensed" w:cs="Barlow Semi Condensed" w:eastAsia="Barlow Semi Condensed" w:hAnsi="Barlow Semi Condensed"/>
          <w:b/>
          <w:bCs/>
          <w:sz w:val="24"/>
          <w:szCs w:val="24"/>
        </w:rPr>
        <w:t xml:space="preserve">L'origine dell'insediamento fu di nuovo gerarchica. Nel 1957 l'arcivescovo di Osaka, monsignor Paul Yoshigoro Taguchi, preoccupato per l'influenza marxista sugli studenti, parlò con il cardinale Ottaviani, che gli suggerì di incontrare Escrivá. Nell'aprile 1958 padre Joseph Múzquiz percorse il Paese per un mese fra Tokyo, Osaka e Nagasaki; l'8 novembre 1958 padre José Ramón Madurga arrivò dagli Stati Uniti. L'ente iniziò nella diocesi di Osaka, prima a Toyonaka poi ad Ashiya. Il 15 luglio 1960 arrivarono otto donne, che iniziarono a Nishinomiya.</w:t>
      </w:r>
    </w:p>
    <w:p>
      <w:pPr>
        <w:spacing w:after="120" w:line="276"/>
        <w:jc w:val="both"/>
      </w:pPr>
      <w:r>
        <w:rPr>
          <w:rFonts w:ascii="Barlow Semi Condensed" w:cs="Barlow Semi Condensed" w:eastAsia="Barlow Semi Condensed" w:hAnsi="Barlow Semi Condensed"/>
          <w:b/>
          <w:bCs/>
          <w:sz w:val="24"/>
          <w:szCs w:val="24"/>
        </w:rPr>
        <w:t xml:space="preserve">Un apporto esterno peculiare va registrato. I nippo-discendenti dal Sud America, Perù e Brasile, furono richiamati in Giappone; sul letto di morte, il 26 giugno 1975, Escrivá menzionò che le mie figlie discendenti di giapponesi che vivono in America cominceranno a tornare in Giappone.</w:t>
      </w:r>
    </w:p>
    <w:p>
      <w:pPr>
        <w:spacing w:after="120" w:line="276"/>
        <w:jc w:val="both"/>
      </w:pPr>
      <w:r>
        <w:rPr>
          <w:rFonts w:ascii="Barlow Semi Condensed" w:cs="Barlow Semi Condensed" w:eastAsia="Barlow Semi Condensed" w:hAnsi="Barlow Semi Condensed"/>
          <w:b/>
          <w:bCs/>
          <w:sz w:val="24"/>
          <w:szCs w:val="24"/>
        </w:rPr>
        <w:t xml:space="preserve">Le istituzioni, con una divergenza da riportare. Il Seido Language Institute di Ashiya fu la prima opera corporativa; le fonti divergono sull'anno: ottobre 1962 secondo lo studio accademico e la pagina ufficiale spagnola, 1959 secondo altra pagina divulgativa collegata. Nel 1971 fu integrato in una fondazione; nel 1973 nacque il centro culturale; nell'aprile 1964 una residenza universitaria a Kyoto. La Nagasaki Seido School: primi passi nel gennaio 1975, elementare nell'aprile 1978, media nel 1984, superiore maschile dal 2009.</w:t>
      </w:r>
    </w:p>
    <w:p>
      <w:pPr>
        <w:spacing w:after="120" w:line="276"/>
        <w:jc w:val="both"/>
      </w:pPr>
      <w:r>
        <w:rPr>
          <w:rFonts w:ascii="Barlow Semi Condensed" w:cs="Barlow Semi Condensed" w:eastAsia="Barlow Semi Condensed" w:hAnsi="Barlow Semi Condensed"/>
          <w:b/>
          <w:bCs/>
          <w:sz w:val="24"/>
          <w:szCs w:val="24"/>
        </w:rPr>
        <w:t xml:space="preserve">E qui il dato teoricamente decisivo, documentato dall'archivio della Prelatura. La scelta di Nagasaki non fu casuale ma determinata dalla densità cattolica. Nelle scuole cattoliche del Kansai la percentuale media di alunne cattoliche era del quattro virgola cinque per cento, sicché in una scuola di cinquecento ragazze ci si potevano attendere ventidue o ventitré alunne di famiglia cattolica; ma nelle scuole cattoliche di Nagasaki le ragazze cattoliche erano il cinquantuno per cento nelle medie inferiori. L'ente scelse deliberatamente di impiantare la scuola nel cuore della parte più cattolica di Nagasaki, accanto alla parrocchia di Urakami.</w:t>
      </w:r>
    </w:p>
    <w:p>
      <w:pPr>
        <w:spacing w:after="120" w:line="276"/>
        <w:jc w:val="both"/>
      </w:pPr>
      <w:r>
        <w:rPr>
          <w:rFonts w:ascii="Barlow Semi Condensed" w:cs="Barlow Semi Condensed" w:eastAsia="Barlow Semi Condensed" w:hAnsi="Barlow Semi Condensed"/>
          <w:b/>
          <w:bCs/>
          <w:sz w:val="24"/>
          <w:szCs w:val="24"/>
        </w:rPr>
        <w:t xml:space="preserve">Questo è radicamento su comunità preesistente, e conferma la prima parte del modello.</w:t>
      </w:r>
    </w:p>
    <w:p>
      <w:pPr>
        <w:spacing w:after="120" w:line="276"/>
        <w:jc w:val="both"/>
      </w:pPr>
      <w:r>
        <w:rPr>
          <w:rFonts w:ascii="Barlow Semi Condensed" w:cs="Barlow Semi Condensed" w:eastAsia="Barlow Semi Condensed" w:hAnsi="Barlow Semi Condensed"/>
          <w:b/>
          <w:bCs/>
          <w:sz w:val="24"/>
          <w:szCs w:val="24"/>
        </w:rPr>
        <w:t xml:space="preserve">Ma due complicazioni vanno riportate.</w:t>
      </w:r>
    </w:p>
    <w:p>
      <w:pPr>
        <w:spacing w:after="120" w:line="276"/>
        <w:jc w:val="both"/>
      </w:pPr>
      <w:r>
        <w:rPr>
          <w:rFonts w:ascii="Barlow Semi Condensed" w:cs="Barlow Semi Condensed" w:eastAsia="Barlow Semi Condensed" w:hAnsi="Barlow Semi Condensed"/>
          <w:b/>
          <w:bCs/>
          <w:sz w:val="24"/>
          <w:szCs w:val="24"/>
        </w:rPr>
        <w:t xml:space="preserve">Prima: il ceto su cui l'ente si radicò a Nagasaki non era il ceto universitario e professionale d'élite — che il Giappone possedeva a Tokyo con la Sophia — bensì una comunità cattolica popolare, di antica origine contadina e peschereccia. L'ente non si insediò accanto alla Sophia dei gesuiti né presso l'élite laureata: si insediò presso una base cattolica di ceto medio-popolare, e ne produsse essa stessa l'ascesa educativa.</w:t>
      </w:r>
    </w:p>
    <w:p>
      <w:pPr>
        <w:spacing w:after="120" w:line="276"/>
        <w:jc w:val="both"/>
      </w:pPr>
      <w:r>
        <w:rPr>
          <w:rFonts w:ascii="Barlow Semi Condensed" w:cs="Barlow Semi Condensed" w:eastAsia="Barlow Semi Condensed" w:hAnsi="Barlow Semi Condensed"/>
          <w:b/>
          <w:bCs/>
          <w:sz w:val="24"/>
          <w:szCs w:val="24"/>
        </w:rPr>
        <w:t xml:space="preserve">Seconda: l'apostolato produsse conversioni. Oltre cento persone furono battezzate nell'orbita della scuola di Nagasaki, e il primo giapponese numerario, poi sacerdote, si era convertito alla fede al Seido. La prima numeraria giapponese fu Kikuko Yoshizu, il 29 maggio 1961.</w:t>
      </w:r>
    </w:p>
    <w:p>
      <w:pPr>
        <w:spacing w:after="120" w:line="276"/>
        <w:jc w:val="both"/>
      </w:pPr>
      <w:r>
        <w:rPr>
          <w:rFonts w:ascii="Barlow Semi Condensed" w:cs="Barlow Semi Condensed" w:eastAsia="Barlow Semi Condensed" w:hAnsi="Barlow Semi Condensed"/>
          <w:b/>
          <w:bCs/>
          <w:sz w:val="24"/>
          <w:szCs w:val="24"/>
        </w:rPr>
        <w:t xml:space="preserve">Ne discende che anche il Giappone contiene un elemento di costruzione, sovrapposto al radicamento: l'ente si radicò su densità confessionale preesistente ma di ceto popolare, elevandone il livello professionale e producendo insieme conversioni.</w:t>
      </w:r>
    </w:p>
    <w:p>
      <w:pPr>
        <w:pStyle w:val="Heading2"/>
        <w:spacing w:after="100" w:before="200"/>
      </w:pPr>
      <w:r>
        <w:rPr>
          <w:rFonts w:ascii="Barlow Semi Condensed" w:cs="Barlow Semi Condensed" w:eastAsia="Barlow Semi Condensed" w:hAnsi="Barlow Semi Condensed"/>
          <w:sz w:val="24"/>
          <w:szCs w:val="24"/>
        </w:rPr>
        <w:t xml:space="preserve">Capitolo quinto — Nigeria: il ceto esisteva e l'ente andò altrove</w:t>
      </w:r>
    </w:p>
    <w:p>
      <w:pPr>
        <w:spacing w:after="120" w:line="276"/>
        <w:jc w:val="both"/>
      </w:pPr>
      <w:r>
        <w:rPr>
          <w:rFonts w:ascii="Barlow Semi Condensed" w:cs="Barlow Semi Condensed" w:eastAsia="Barlow Semi Condensed" w:hAnsi="Barlow Semi Condensed"/>
          <w:b/>
          <w:bCs/>
          <w:sz w:val="24"/>
          <w:szCs w:val="24"/>
        </w:rPr>
        <w:t xml:space="preserve">Il capitolo espone il caso che complica il modello per via geografica anziché sociale.</w:t>
      </w:r>
    </w:p>
    <w:p>
      <w:pPr>
        <w:spacing w:after="120" w:line="276"/>
        <w:jc w:val="both"/>
      </w:pPr>
      <w:r>
        <w:rPr>
          <w:rFonts w:ascii="Barlow Semi Condensed" w:cs="Barlow Semi Condensed" w:eastAsia="Barlow Semi Condensed" w:hAnsi="Barlow Semi Condensed"/>
          <w:b/>
          <w:bCs/>
          <w:sz w:val="24"/>
          <w:szCs w:val="24"/>
        </w:rPr>
        <w:t xml:space="preserve">L'insediamento, con divergenza sulla data. I primi due membri arrivarono il 20 ottobre 1965 secondo una fonte ufficiale, il 19 ottobre secondo altra: Jeremy White, laico britannico, e José Domingo Gabiola, sacerdote proveniente dal Kenya. White era Commonwealth Scholar ammesso all'Università di Ibadan per un dottorato in storia; dopo il dottorato insegnò a Ife e Lagos. Gabiola fu il primo vicario regionale. La fonte ufficiale precisa che altri vennero anni dopo come docenti universitari.</w:t>
      </w:r>
    </w:p>
    <w:p>
      <w:pPr>
        <w:spacing w:after="120" w:line="276"/>
        <w:jc w:val="both"/>
      </w:pPr>
      <w:r>
        <w:rPr>
          <w:rFonts w:ascii="Barlow Semi Condensed" w:cs="Barlow Semi Condensed" w:eastAsia="Barlow Semi Condensed" w:hAnsi="Barlow Semi Condensed"/>
          <w:b/>
          <w:bCs/>
          <w:sz w:val="24"/>
          <w:szCs w:val="24"/>
        </w:rPr>
        <w:t xml:space="preserve">Personale allogeno anche qui: britannico e spagnolo via Kenya.</w:t>
      </w:r>
    </w:p>
    <w:p>
      <w:pPr>
        <w:spacing w:after="120" w:line="276"/>
        <w:jc w:val="both"/>
      </w:pPr>
      <w:r>
        <w:rPr>
          <w:rFonts w:ascii="Barlow Semi Condensed" w:cs="Barlow Semi Condensed" w:eastAsia="Barlow Semi Condensed" w:hAnsi="Barlow Semi Condensed"/>
          <w:b/>
          <w:bCs/>
          <w:sz w:val="24"/>
          <w:szCs w:val="24"/>
        </w:rPr>
        <w:t xml:space="preserve">E adesso il ceto, che in Nigeria esisteva davvero. La storiografia documenta che il cattolicesimo igbo dell'est, radicato dall'arrivo di padre Lutz a Onitsha nel 1885 e sviluppato dai vescovi Shanahan e Heerey, aveva prodotto attraverso le scuole missionarie — che a differenza delle protestanti insegnavano in inglese, considerato mezzo di avanzamento — una generazione di insegnanti, professori, avvocati, medici e altri professionisti, tanto che entro il 1965 gli igbo competevano favorevolmente con gli yoruba, con più dottorati fra i primi che fra i secondi.</w:t>
      </w:r>
    </w:p>
    <w:p>
      <w:pPr>
        <w:spacing w:after="120" w:line="276"/>
        <w:jc w:val="both"/>
      </w:pPr>
      <w:r>
        <w:rPr>
          <w:rFonts w:ascii="Barlow Semi Condensed" w:cs="Barlow Semi Condensed" w:eastAsia="Barlow Semi Condensed" w:hAnsi="Barlow Semi Condensed"/>
          <w:b/>
          <w:bCs/>
          <w:sz w:val="24"/>
          <w:szCs w:val="24"/>
        </w:rPr>
        <w:t xml:space="preserve">La prima condizione del modello era dunque soddisfatta nell'est igbo.</w:t>
      </w:r>
    </w:p>
    <w:p>
      <w:pPr>
        <w:spacing w:after="120" w:line="276"/>
        <w:jc w:val="both"/>
      </w:pPr>
      <w:r>
        <w:rPr>
          <w:rFonts w:ascii="Barlow Semi Condensed" w:cs="Barlow Semi Condensed" w:eastAsia="Barlow Semi Condensed" w:hAnsi="Barlow Semi Condensed"/>
          <w:b/>
          <w:bCs/>
          <w:sz w:val="24"/>
          <w:szCs w:val="24"/>
        </w:rPr>
        <w:t xml:space="preserve">Ma l'ente non si insediò nell'est igbo: si insediò a Ibadan, nell'ovest yoruba, presso l'università, e poi a Lagos ed Enugu.</w:t>
      </w:r>
    </w:p>
    <w:p>
      <w:pPr>
        <w:spacing w:after="120" w:line="276"/>
        <w:jc w:val="both"/>
      </w:pPr>
      <w:r>
        <w:rPr>
          <w:rFonts w:ascii="Barlow Semi Condensed" w:cs="Barlow Semi Condensed" w:eastAsia="Barlow Semi Condensed" w:hAnsi="Barlow Semi Condensed"/>
          <w:b/>
          <w:bCs/>
          <w:sz w:val="24"/>
          <w:szCs w:val="24"/>
        </w:rPr>
        <w:t xml:space="preserve">La ragione storica va esposta perché è dirimente. Il 1965 precede immediatamente la guerra del Biafra, del 1967-1970. La fonte ufficiale riconosce che i primi anni, dal 1965 al 1975, non furono facili, avendo il Paese conosciuto una serie di colpi di Stato sanguinosi e un tentativo di secessione.</w:t>
      </w:r>
    </w:p>
    <w:p>
      <w:pPr>
        <w:spacing w:after="120" w:line="276"/>
        <w:jc w:val="both"/>
      </w:pPr>
      <w:r>
        <w:rPr>
          <w:rFonts w:ascii="Barlow Semi Condensed" w:cs="Barlow Semi Condensed" w:eastAsia="Barlow Semi Condensed" w:hAnsi="Barlow Semi Condensed"/>
          <w:b/>
          <w:bCs/>
          <w:sz w:val="24"/>
          <w:szCs w:val="24"/>
        </w:rPr>
        <w:t xml:space="preserve">E l'esito sull'infrastruttura educativa cattolica dell'est fu devastante. Nel 1970, con l'editto sull'istruzione pubblica numero due, lo Stato dell'East Central assunse il controllo di tutte le scuole private, e praticamente tutti i missionari se ne andarono; la presa di controllo statale, secondo la storiografia, suonò a morto per un'istruzione solida.</w:t>
      </w:r>
    </w:p>
    <w:p>
      <w:pPr>
        <w:spacing w:after="120" w:line="276"/>
        <w:jc w:val="both"/>
      </w:pPr>
      <w:r>
        <w:rPr>
          <w:rFonts w:ascii="Barlow Semi Condensed" w:cs="Barlow Semi Condensed" w:eastAsia="Barlow Semi Condensed" w:hAnsi="Barlow Semi Condensed"/>
          <w:b/>
          <w:bCs/>
          <w:sz w:val="24"/>
          <w:szCs w:val="24"/>
        </w:rPr>
        <w:t xml:space="preserve">Ne discende che l'insediamento coincise cronologicamente con la crisi e il parziale smantellamento del ceto cattolico su cui, in astratto, avrebbe potuto radicarsi.</w:t>
      </w:r>
    </w:p>
    <w:p>
      <w:pPr>
        <w:spacing w:after="120" w:line="276"/>
        <w:jc w:val="both"/>
      </w:pPr>
      <w:r>
        <w:rPr>
          <w:rFonts w:ascii="Barlow Semi Condensed" w:cs="Barlow Semi Condensed" w:eastAsia="Barlow Semi Condensed" w:hAnsi="Barlow Semi Condensed"/>
          <w:b/>
          <w:bCs/>
          <w:sz w:val="24"/>
          <w:szCs w:val="24"/>
        </w:rPr>
        <w:t xml:space="preserve">Lo stato attuale. Centri a Lagos, Ibadan, Enugu, Benin e Abuja; la Lagos Business School spiritualmente affidata all'ente; la Lagoon School. Nel 2018 la visita del prelato raccolse a Lagos oltre mille persone e centinaia di uomini alla scuola di management; ordinazioni del 2024 includono nigeriani.</w:t>
      </w:r>
    </w:p>
    <w:p>
      <w:pPr>
        <w:spacing w:after="120" w:line="276"/>
        <w:jc w:val="both"/>
      </w:pPr>
      <w:r>
        <w:rPr>
          <w:rFonts w:ascii="Barlow Semi Condensed" w:cs="Barlow Semi Condensed" w:eastAsia="Barlow Semi Condensed" w:hAnsi="Barlow Semi Condensed"/>
          <w:b/>
          <w:bCs/>
          <w:sz w:val="24"/>
          <w:szCs w:val="24"/>
        </w:rPr>
        <w:t xml:space="preserve">Il radicamento autoctono è dunque documentato nella fase matura, ma non quantificato. La provenienza dei numerari nigeriani non è data dalle fonti reperite.</w:t>
      </w:r>
    </w:p>
    <w:p>
      <w:pPr>
        <w:spacing w:after="120" w:line="276"/>
        <w:jc w:val="both"/>
      </w:pPr>
      <w:r>
        <w:rPr>
          <w:rFonts w:ascii="Barlow Semi Condensed" w:cs="Barlow Semi Condensed" w:eastAsia="Barlow Semi Condensed" w:hAnsi="Barlow Semi Condensed"/>
          <w:b/>
          <w:bCs/>
          <w:sz w:val="24"/>
          <w:szCs w:val="24"/>
        </w:rPr>
        <w:t xml:space="preserve">Una nota di disciplina.\\ Una fonte nigeriana di natura polemica descrive pratiche di reclutamento. \\Essa è qualificata come pubblicistica polemica non corroborata da fonti primarie, e non se ne trae alcuna inferenza sulla condotta dell'ente.</w:t>
      </w:r>
    </w:p>
    <w:p>
      <w:pPr>
        <w:pStyle w:val="Heading2"/>
        <w:spacing w:after="100" w:before="200"/>
      </w:pPr>
      <w:r>
        <w:rPr>
          <w:rFonts w:ascii="Barlow Semi Condensed" w:cs="Barlow Semi Condensed" w:eastAsia="Barlow Semi Condensed" w:hAnsi="Barlow Semi Condensed"/>
          <w:sz w:val="24"/>
          <w:szCs w:val="24"/>
        </w:rPr>
        <w:t xml:space="preserve">Capitolo sesto — India, Kazakhistan, Indonesia, Sri Lanka</w:t>
      </w:r>
    </w:p>
    <w:p>
      <w:pPr>
        <w:spacing w:after="120" w:line="276"/>
        <w:jc w:val="both"/>
      </w:pPr>
      <w:r>
        <w:rPr>
          <w:rFonts w:ascii="Barlow Semi Condensed" w:cs="Barlow Semi Condensed" w:eastAsia="Barlow Semi Condensed" w:hAnsi="Barlow Semi Condensed"/>
          <w:b/>
          <w:bCs/>
          <w:sz w:val="24"/>
          <w:szCs w:val="24"/>
        </w:rPr>
        <w:t xml:space="preserve">Il capitolo raccoglie i quattro casi restanti, ciascuno in misura proporzionata al materiale.</w:t>
      </w:r>
    </w:p>
    <w:p>
      <w:pPr>
        <w:spacing w:after="120" w:line="276"/>
        <w:jc w:val="both"/>
      </w:pPr>
      <w:r>
        <w:rPr>
          <w:rFonts w:ascii="Barlow Semi Condensed" w:cs="Barlow Semi Condensed" w:eastAsia="Barlow Semi Condensed" w:hAnsi="Barlow Semi Condensed"/>
          <w:b/>
          <w:bCs/>
          <w:sz w:val="24"/>
          <w:szCs w:val="24"/>
        </w:rPr>
        <w:t xml:space="preserve">India 1993: la conferma della prima parte, con una riserva geografica. La data è confermata da tre ordini di fonti: l'elenco ufficiale; un'intervista dell'agenzia missionaria a Kevin de Souza, direttore del centro di Mumbai, secondo cui i primi membri arrivarono a Nuova Delhi nel 1993; e un quotidiano indiano laico che conferma i due soli centri, Delhi e Mumbai.</w:t>
      </w:r>
    </w:p>
    <w:p>
      <w:pPr>
        <w:spacing w:after="120" w:line="276"/>
        <w:jc w:val="both"/>
      </w:pPr>
      <w:r>
        <w:rPr>
          <w:rFonts w:ascii="Barlow Semi Condensed" w:cs="Barlow Semi Condensed" w:eastAsia="Barlow Semi Condensed" w:hAnsi="Barlow Semi Condensed"/>
          <w:b/>
          <w:bCs/>
          <w:sz w:val="24"/>
          <w:szCs w:val="24"/>
        </w:rPr>
        <w:t xml:space="preserve">La città fu Nuova Delhi, non il Kerala. E il ceto cattolico professionale indiano esisteva, antichissimo: i siro-malabaresi di origine apostolica, con gerarchia ristabilita nel 1923 ed elevazione a Chiesa arcivescovile maggiore nel 1992; e le comunità goanese e mangalorese di rito latino.</w:t>
      </w:r>
    </w:p>
    <w:p>
      <w:pPr>
        <w:spacing w:after="120" w:line="276"/>
        <w:jc w:val="both"/>
      </w:pPr>
      <w:r>
        <w:rPr>
          <w:rFonts w:ascii="Barlow Semi Condensed" w:cs="Barlow Semi Condensed" w:eastAsia="Barlow Semi Condensed" w:hAnsi="Barlow Semi Condensed"/>
          <w:b/>
          <w:bCs/>
          <w:sz w:val="24"/>
          <w:szCs w:val="24"/>
        </w:rPr>
        <w:t xml:space="preserve">I nomi dei membri documentati mostrano che l'ente attinse esattamente a quelle comunità. Josephine Kunnacherry, numeraria, ginecologa, nata in Kerala, dal 1997 a Delhi a capo di un progetto sanitario; Kevin de Souza, cognome goanese, entrato nel 1990; Tracy Fernandes, analista finanziaria a Mumbai; Nicholas Patankar, nato a Goa; Elizabeth Varghese, educatrice, cognome keralese. De Souza ha dichiarato che i membri appartengono ai diversi riti esistenti della Chiesa cattolica: latino, maronita, siro-malabarese e altri.</w:t>
      </w:r>
    </w:p>
    <w:p>
      <w:pPr>
        <w:spacing w:after="120" w:line="276"/>
        <w:jc w:val="both"/>
      </w:pPr>
      <w:r>
        <w:rPr>
          <w:rFonts w:ascii="Barlow Semi Condensed" w:cs="Barlow Semi Condensed" w:eastAsia="Barlow Semi Condensed" w:hAnsi="Barlow Semi Condensed"/>
          <w:b/>
          <w:bCs/>
          <w:sz w:val="24"/>
          <w:szCs w:val="24"/>
        </w:rPr>
        <w:t xml:space="preserve">Una lacuna va però dichiarata: la nazionalità e la professione dei membri fondatori arrivati materialmente a Nuova Delhi nel 1993 non sono nominate in alcuna fonte reperita.</w:t>
      </w:r>
    </w:p>
    <w:p>
      <w:pPr>
        <w:spacing w:after="120" w:line="276"/>
        <w:jc w:val="both"/>
      </w:pPr>
      <w:r>
        <w:rPr>
          <w:rFonts w:ascii="Barlow Semi Condensed" w:cs="Barlow Semi Condensed" w:eastAsia="Barlow Semi Condensed" w:hAnsi="Barlow Semi Condensed"/>
          <w:b/>
          <w:bCs/>
          <w:sz w:val="24"/>
          <w:szCs w:val="24"/>
        </w:rPr>
        <w:t xml:space="preserve">Kazakhistan 1997: il trapianto puro, e il contrasto con il Kenya. Su consiglio di Giovanni Paolo II un vescovo kazako si rivolse nel 1994 al prelato chiedendo un'istituzione capace di occuparsi di educazione e di giovani; la richiesta si concretò nel 1997 con l'arrivo dei primi membri ad Almaty. Claudia Valbuena, cilena; il sacerdote Carlos Lahoz, spagnolo, ad Almaty dal 1997; i primi sacerdoti descritti come spagnoli. Attività presso la scuola di management KIMEP e l'Irtysh Cultural Center.</w:t>
      </w:r>
    </w:p>
    <w:p>
      <w:pPr>
        <w:spacing w:after="120" w:line="276"/>
        <w:jc w:val="both"/>
      </w:pPr>
      <w:r>
        <w:rPr>
          <w:rFonts w:ascii="Barlow Semi Condensed" w:cs="Barlow Semi Condensed" w:eastAsia="Barlow Semi Condensed" w:hAnsi="Barlow Semi Condensed"/>
          <w:b/>
          <w:bCs/>
          <w:sz w:val="24"/>
          <w:szCs w:val="24"/>
        </w:rPr>
        <w:t xml:space="preserve">I cattolici sono circa l'uno virgola quattordici per cento, centododicimila fedeli con settanta parrocchie, e sono in larga parte discendenti di deportati: circa trecentoventimila polacchi e centodiecimila tedeschi deportati durante la seconda guerra mondiale, secondo la stampa kazaka; e circa cinquecentomila polacchi deportati fra il 1939 e il 1941 secondo un istituto per i diritti delle minoranze.</w:t>
      </w:r>
    </w:p>
    <w:p>
      <w:pPr>
        <w:spacing w:after="120" w:line="276"/>
        <w:jc w:val="both"/>
      </w:pPr>
      <w:r>
        <w:rPr>
          <w:rFonts w:ascii="Barlow Semi Condensed" w:cs="Barlow Semi Condensed" w:eastAsia="Barlow Semi Condensed" w:hAnsi="Barlow Semi Condensed"/>
          <w:b/>
          <w:bCs/>
          <w:sz w:val="24"/>
          <w:szCs w:val="24"/>
        </w:rPr>
        <w:t xml:space="preserve">Non risulta l'emersione di un numerariato kazako autoctono. Un giovane kazako è descritto come in ricerca e in relazione con l'ente, non come membro.</w:t>
      </w:r>
    </w:p>
    <w:p>
      <w:pPr>
        <w:spacing w:after="120" w:line="276"/>
        <w:jc w:val="both"/>
      </w:pPr>
      <w:r>
        <w:rPr>
          <w:rFonts w:ascii="Barlow Semi Condensed" w:cs="Barlow Semi Condensed" w:eastAsia="Barlow Semi Condensed" w:hAnsi="Barlow Semi Condensed"/>
          <w:b/>
          <w:bCs/>
          <w:sz w:val="24"/>
          <w:szCs w:val="24"/>
        </w:rPr>
        <w:t xml:space="preserve">Indonesia 2008: la modalità intermedia. Il prelato annunciò nel novembre 2007; l'insediamento materiale avvenne a Surabaya nel settembre 2009. Il primo arrivato veniva dalle Filippine, affiancato da tre indonesiani che avevano incontrato e seguito l'ente in altri Paesi mentre vi compivano studi universitari e da un membro dagli Stati Uniti.</w:t>
      </w:r>
    </w:p>
    <w:p>
      <w:pPr>
        <w:spacing w:after="120" w:line="276"/>
        <w:jc w:val="both"/>
      </w:pPr>
      <w:r>
        <w:rPr>
          <w:rFonts w:ascii="Barlow Semi Condensed" w:cs="Barlow Semi Condensed" w:eastAsia="Barlow Semi Condensed" w:hAnsi="Barlow Semi Condensed"/>
          <w:b/>
          <w:bCs/>
          <w:sz w:val="24"/>
          <w:szCs w:val="24"/>
        </w:rPr>
        <w:t xml:space="preserve">Ne discende una modalità intermedia: indonesiani reclutati all'estero durante gli studi e poi rientrati.</w:t>
      </w:r>
    </w:p>
    <w:p>
      <w:pPr>
        <w:spacing w:after="120" w:line="276"/>
        <w:jc w:val="both"/>
      </w:pPr>
      <w:r>
        <w:rPr>
          <w:rFonts w:ascii="Barlow Semi Condensed" w:cs="Barlow Semi Condensed" w:eastAsia="Barlow Semi Condensed" w:hAnsi="Barlow Semi Condensed"/>
          <w:b/>
          <w:bCs/>
          <w:sz w:val="24"/>
          <w:szCs w:val="24"/>
        </w:rPr>
        <w:t xml:space="preserve">I cattolici sono circa il tre virgola zero nove per cento, concentrati a Flores, cattolica all'ottantatré virgola cinquantasei per cento per eredità portoghese. Ma l'ente non si insediò a Flores: si insediò a Surabaya, città a maggioranza musulmana di Giava orientale, presso l'università.</w:t>
      </w:r>
    </w:p>
    <w:p>
      <w:pPr>
        <w:spacing w:after="120" w:line="276"/>
        <w:jc w:val="both"/>
      </w:pPr>
      <w:r>
        <w:rPr>
          <w:rFonts w:ascii="Barlow Semi Condensed" w:cs="Barlow Semi Condensed" w:eastAsia="Barlow Semi Condensed" w:hAnsi="Barlow Semi Condensed"/>
          <w:b/>
          <w:bCs/>
          <w:sz w:val="24"/>
          <w:szCs w:val="24"/>
        </w:rPr>
        <w:t xml:space="preserve">Sri Lanka 2011: Stato Zero documentale, e il capitolo è breve per questa ragione. La data non è confermata da alcun documento primario datato fra quelli reperiti. L'unica fonte diretta è una lettera da Colombo sul sito ufficiale che documenta attività con il coinvolgimento del cardinale Malcolm Ranjith, senza anno di fondazione né nomi né nazionalità.</w:t>
      </w:r>
    </w:p>
    <w:p>
      <w:pPr>
        <w:spacing w:after="120" w:line="276"/>
        <w:jc w:val="both"/>
      </w:pPr>
      <w:r>
        <w:rPr>
          <w:rFonts w:ascii="Barlow Semi Condensed" w:cs="Barlow Semi Condensed" w:eastAsia="Barlow Semi Condensed" w:hAnsi="Barlow Semi Condensed"/>
          <w:b/>
          <w:bCs/>
          <w:sz w:val="24"/>
          <w:szCs w:val="24"/>
        </w:rPr>
        <w:t xml:space="preserve">La comunità è invece ben documentata: censimento del 2012, un milione duecentosessantunmilacentonovantaquattro cattolici, circa il sei virgola uno per cento, concentrati nelle province occidentale, nord-occidentale e settentrionale — la fascia costiera di origine coloniale portoghese e olandese, sia sinhalese sia tamil.</w:t>
      </w:r>
    </w:p>
    <w:p>
      <w:pPr>
        <w:spacing w:after="120" w:line="276"/>
        <w:jc w:val="both"/>
      </w:pPr>
      <w:r>
        <w:rPr>
          <w:rFonts w:ascii="Barlow Semi Condensed" w:cs="Barlow Semi Condensed" w:eastAsia="Barlow Semi Condensed" w:hAnsi="Barlow Semi Condensed"/>
          <w:b/>
          <w:bCs/>
          <w:sz w:val="24"/>
          <w:szCs w:val="24"/>
        </w:rPr>
        <w:t xml:space="preserve">Il caso non è classificabile né come radicamento né come trapianto, e non contribuisce al test.</w:t>
      </w:r>
    </w:p>
    <w:p>
      <w:pPr>
        <w:pStyle w:val="Heading2"/>
        <w:spacing w:after="100" w:before="200"/>
      </w:pPr>
      <w:r>
        <w:rPr>
          <w:rFonts w:ascii="Barlow Semi Condensed" w:cs="Barlow Semi Condensed" w:eastAsia="Barlow Semi Condensed" w:hAnsi="Barlow Semi Condensed"/>
          <w:sz w:val="24"/>
          <w:szCs w:val="24"/>
        </w:rPr>
        <w:t xml:space="preserve">Capitolo settimo — Il contrasto Kenya-Kazakhistan: la variabile invisibile al modello</w:t>
      </w:r>
    </w:p>
    <w:p>
      <w:pPr>
        <w:spacing w:after="120" w:line="276"/>
        <w:jc w:val="both"/>
      </w:pPr>
      <w:r>
        <w:rPr>
          <w:rFonts w:ascii="Barlow Semi Condensed" w:cs="Barlow Semi Condensed" w:eastAsia="Barlow Semi Condensed" w:hAnsi="Barlow Semi Condensed"/>
          <w:b/>
          <w:bCs/>
          <w:sz w:val="24"/>
          <w:szCs w:val="24"/>
        </w:rPr>
        <w:t xml:space="preserve">Il capitolo isola il confronto che è la dimostrazione teorica dell'intero documento.</w:t>
      </w:r>
    </w:p>
    <w:p>
      <w:pPr>
        <w:spacing w:after="120" w:line="276"/>
        <w:jc w:val="both"/>
      </w:pPr>
      <w:r>
        <w:rPr>
          <w:rFonts w:ascii="Barlow Semi Condensed" w:cs="Barlow Semi Condensed" w:eastAsia="Barlow Semi Condensed" w:hAnsi="Barlow Semi Condensed"/>
          <w:b/>
          <w:bCs/>
          <w:sz w:val="24"/>
          <w:szCs w:val="24"/>
        </w:rPr>
        <w:t xml:space="preserve">La premessa comune ai due casi. Entrambi erano, all'epoca dell'insediamento, Paesi privi di ceto cattolico professionale autoctono nel senso proprio. Il Kenya perché il ceto cattolico africano era in formazione, prodotto di istruzione missionaria recente e privo di accesso all'istruzione superiore in regime coloniale. Il Kazakhistan perché i cattolici erano discendenti di deportati polacchi e tedeschi, minoranza attorno all'uno per cento in Paese a maggioranza musulmana.</w:t>
      </w:r>
    </w:p>
    <w:p>
      <w:pPr>
        <w:spacing w:after="120" w:line="276"/>
        <w:jc w:val="both"/>
      </w:pPr>
      <w:r>
        <w:rPr>
          <w:rFonts w:ascii="Barlow Semi Condensed" w:cs="Barlow Semi Condensed" w:eastAsia="Barlow Semi Condensed" w:hAnsi="Barlow Semi Condensed"/>
          <w:b/>
          <w:bCs/>
          <w:sz w:val="24"/>
          <w:szCs w:val="24"/>
        </w:rPr>
        <w:t xml:space="preserve">La previsione del modello bipartito è identica per entrambi: trapianto senza radicamento.</w:t>
      </w:r>
    </w:p>
    <w:p>
      <w:pPr>
        <w:spacing w:after="120" w:line="276"/>
        <w:jc w:val="both"/>
      </w:pPr>
      <w:r>
        <w:rPr>
          <w:rFonts w:ascii="Barlow Semi Condensed" w:cs="Barlow Semi Condensed" w:eastAsia="Barlow Semi Condensed" w:hAnsi="Barlow Semi Condensed"/>
          <w:b/>
          <w:bCs/>
          <w:sz w:val="24"/>
          <w:szCs w:val="24"/>
        </w:rPr>
        <w:t xml:space="preserve">Gli esiti reali divergono radicalmente, e vanno messi a confronto voce per voce.</w:t>
      </w:r>
    </w:p>
    <w:p>
      <w:pPr>
        <w:spacing w:after="120" w:line="276"/>
        <w:jc w:val="both"/>
      </w:pPr>
      <w:r>
        <w:rPr>
          <w:rFonts w:ascii="Barlow Semi Condensed" w:cs="Barlow Semi Condensed" w:eastAsia="Barlow Semi Condensed" w:hAnsi="Barlow Semi Condensed"/>
          <w:b/>
          <w:bCs/>
          <w:sz w:val="24"/>
          <w:szCs w:val="24"/>
        </w:rPr>
        <w:t xml:space="preserve">In Kazakhistan l'ente trapiantò personale cileno e spagnolo, avviò attività presso una scuola di management e un centro culturale, e — allo stato della documentazione — non risulta avere prodotto un numerariato kazako autoctono. Ventotto anni dopo l'insediamento, il solo kazako nominato dalle fonti è descritto come in ricerca.</w:t>
      </w:r>
    </w:p>
    <w:p>
      <w:pPr>
        <w:spacing w:after="120" w:line="276"/>
        <w:jc w:val="both"/>
      </w:pPr>
      <w:r>
        <w:rPr>
          <w:rFonts w:ascii="Barlow Semi Condensed" w:cs="Barlow Semi Condensed" w:eastAsia="Barlow Semi Condensed" w:hAnsi="Barlow Semi Condensed"/>
          <w:b/>
          <w:bCs/>
          <w:sz w:val="24"/>
          <w:szCs w:val="24"/>
        </w:rPr>
        <w:t xml:space="preserve">In Kenya l'ente trapiantò personale irlandese, statunitense, spagnolo, italiano e messicano; ma fondò tre istituzioni educative in quattordici mesi — Strathmore nel marzo 1961, Kianda nel gennaio 1961, Kibondeni nel febbraio 1961 — e due anni dopo aveva le prime due keniane, provenienti da una di quelle scuole. Ventiquattro anni dopo aveva il primo sacerdote africano dell'Opus Dei; quarantasei anni dopo, un vescovo.</w:t>
      </w:r>
    </w:p>
    <w:p>
      <w:pPr>
        <w:spacing w:after="120" w:line="276"/>
        <w:jc w:val="both"/>
      </w:pPr>
      <w:r>
        <w:rPr>
          <w:rFonts w:ascii="Barlow Semi Condensed" w:cs="Barlow Semi Condensed" w:eastAsia="Barlow Semi Condensed" w:hAnsi="Barlow Semi Condensed"/>
          <w:b/>
          <w:bCs/>
          <w:sz w:val="24"/>
          <w:szCs w:val="24"/>
        </w:rPr>
        <w:t xml:space="preserve">La divergenza è invisibile al modello bipartito, che non contempla la variabile che la produce.</w:t>
      </w:r>
    </w:p>
    <w:p>
      <w:pPr>
        <w:spacing w:after="120" w:line="276"/>
        <w:jc w:val="both"/>
      </w:pPr>
      <w:r>
        <w:rPr>
          <w:rFonts w:ascii="Barlow Semi Condensed" w:cs="Barlow Semi Condensed" w:eastAsia="Barlow Semi Condensed" w:hAnsi="Barlow Semi Condensed"/>
          <w:b/>
          <w:bCs/>
          <w:sz w:val="24"/>
          <w:szCs w:val="24"/>
        </w:rPr>
        <w:t xml:space="preserve">La variabile, enunciata: la fondazione o meno di istituzioni educative generative.</w:t>
      </w:r>
    </w:p>
    <w:p>
      <w:pPr>
        <w:spacing w:after="120" w:line="276"/>
        <w:jc w:val="both"/>
      </w:pPr>
      <w:r>
        <w:rPr>
          <w:rFonts w:ascii="Barlow Semi Condensed" w:cs="Barlow Semi Condensed" w:eastAsia="Barlow Semi Condensed" w:hAnsi="Barlow Semi Condensed"/>
          <w:b/>
          <w:bCs/>
          <w:sz w:val="24"/>
          <w:szCs w:val="24"/>
        </w:rPr>
        <w:t xml:space="preserve">Non basta fondare opere: occorre che esse siano generative, cioè selettive, di livello superiore, e rivolte al ceto che si vuole formare anziché a quello che già esiste. Lo Strathmore preparava all'ammissione universitaria in un Paese dove l'accesso africano all'università era precluso; Kibondeni formava donne a un mestiere che in Kenya era riservato agli uomini. Entrambe creavano una posizione sociale che prima non c'era, e da quella posizione emersero i membri.</w:t>
      </w:r>
    </w:p>
    <w:p>
      <w:pPr>
        <w:spacing w:after="120" w:line="276"/>
        <w:jc w:val="both"/>
      </w:pPr>
      <w:r>
        <w:rPr>
          <w:rFonts w:ascii="Barlow Semi Condensed" w:cs="Barlow Semi Condensed" w:eastAsia="Barlow Semi Condensed" w:hAnsi="Barlow Semi Condensed"/>
          <w:b/>
          <w:bCs/>
          <w:sz w:val="24"/>
          <w:szCs w:val="24"/>
        </w:rPr>
        <w:t xml:space="preserve">In Kazakhistan l'ente ha operato presso istituzioni esistenti — una scuola di management già fondata — anziché fondarne di proprie e selettive.</w:t>
      </w:r>
    </w:p>
    <w:p>
      <w:pPr>
        <w:spacing w:after="120" w:line="276"/>
        <w:jc w:val="both"/>
      </w:pPr>
      <w:r>
        <w:rPr>
          <w:rFonts w:ascii="Barlow Semi Condensed" w:cs="Barlow Semi Condensed" w:eastAsia="Barlow Semi Condensed" w:hAnsi="Barlow Semi Condensed"/>
          <w:b/>
          <w:bCs/>
          <w:sz w:val="24"/>
          <w:szCs w:val="24"/>
        </w:rPr>
        <w:t xml:space="preserve">Ne discende la formulazione della variabile discriminante fra seconda e terza modalità: non la presenza del ceto, ma la fondazione di istituzioni capaci di produrlo.</w:t>
      </w:r>
    </w:p>
    <w:p>
      <w:pPr>
        <w:spacing w:after="120" w:line="276"/>
        <w:jc w:val="both"/>
      </w:pPr>
      <w:r>
        <w:rPr>
          <w:rFonts w:ascii="Barlow Semi Condensed" w:cs="Barlow Semi Condensed" w:eastAsia="Barlow Semi Condensed" w:hAnsi="Barlow Semi Condensed"/>
          <w:b/>
          <w:bCs/>
          <w:sz w:val="24"/>
          <w:szCs w:val="24"/>
        </w:rPr>
        <w:t xml:space="preserve">Una avvertenza va apposta perché il confronto non provi più di quanto possa. Le due date sono distanti trentanove anni, i contesti sono incomparabili, e il Kazakhistan ha avuto ventotto anni contro i sessantasette del Kenya. Il confronto stabilisce che il modello bipartito non spiega la divergenza; non stabilisce che la variabile individuata sia la sola operante.</w:t>
      </w:r>
    </w:p>
    <w:p>
      <w:pPr>
        <w:pStyle w:val="Heading2"/>
        <w:spacing w:after="100" w:before="200"/>
      </w:pPr>
      <w:r>
        <w:rPr>
          <w:rFonts w:ascii="Barlow Semi Condensed" w:cs="Barlow Semi Condensed" w:eastAsia="Barlow Semi Condensed" w:hAnsi="Barlow Semi Condensed"/>
          <w:sz w:val="24"/>
          <w:szCs w:val="24"/>
        </w:rPr>
        <w:t xml:space="preserve">Capitolo ottavo — La terza modalità e la forma emendata del modello</w:t>
      </w:r>
    </w:p>
    <w:p>
      <w:pPr>
        <w:spacing w:after="120" w:line="276"/>
        <w:jc w:val="both"/>
      </w:pPr>
      <w:r>
        <w:rPr>
          <w:rFonts w:ascii="Barlow Semi Condensed" w:cs="Barlow Semi Condensed" w:eastAsia="Barlow Semi Condensed" w:hAnsi="Barlow Semi Condensed"/>
          <w:b/>
          <w:bCs/>
          <w:sz w:val="24"/>
          <w:szCs w:val="24"/>
        </w:rPr>
        <w:t xml:space="preserve">Il capitolo enuncia il modello nella forma che questa ricognizione consegna.</w:t>
      </w:r>
    </w:p>
    <w:p>
      <w:pPr>
        <w:spacing w:after="120" w:line="276"/>
        <w:jc w:val="both"/>
      </w:pPr>
      <w:r>
        <w:rPr>
          <w:rFonts w:ascii="Barlow Semi Condensed" w:cs="Barlow Semi Condensed" w:eastAsia="Barlow Semi Condensed" w:hAnsi="Barlow Semi Condensed"/>
          <w:b/>
          <w:bCs/>
          <w:sz w:val="24"/>
          <w:szCs w:val="24"/>
        </w:rPr>
        <w:t xml:space="preserve">Prima modalità — radicamento su ceto preesistente.\\ Dove esiste un ceto cattolico universitario e professionale autoctono, l'ente si radica su di esso, \\indipendentemente dalla confessione maggioritaria del Paese.</w:t>
      </w:r>
    </w:p>
    <w:p>
      <w:pPr>
        <w:spacing w:after="120" w:line="276"/>
        <w:jc w:val="both"/>
      </w:pPr>
      <w:r>
        <w:rPr>
          <w:rFonts w:ascii="Barlow Semi Condensed" w:cs="Barlow Semi Condensed" w:eastAsia="Barlow Semi Condensed" w:hAnsi="Barlow Semi Condensed"/>
          <w:b/>
          <w:bCs/>
          <w:sz w:val="24"/>
          <w:szCs w:val="24"/>
        </w:rPr>
        <w:t xml:space="preserve">Casi che la confermano: Germania 1952, Gran Bretagna 1946, India 1993, e — con la complicazione del ceto popolare anziché d'élite — Giappone 1958.</w:t>
      </w:r>
    </w:p>
    <w:p>
      <w:pPr>
        <w:spacing w:after="120" w:line="276"/>
        <w:jc w:val="both"/>
      </w:pPr>
      <w:r>
        <w:rPr>
          <w:rFonts w:ascii="Barlow Semi Condensed" w:cs="Barlow Semi Condensed" w:eastAsia="Barlow Semi Condensed" w:hAnsi="Barlow Semi Condensed"/>
          <w:b/>
          <w:bCs/>
          <w:sz w:val="24"/>
          <w:szCs w:val="24"/>
        </w:rPr>
        <w:t xml:space="preserve">Seconda modalità — trapianto senza radicamento. Dove tale ceto manca e l'ente si limita a trapiantare personale senza fondare istituzioni educative generative, l'ente non si radica in senso autoctono.</w:t>
      </w:r>
    </w:p>
    <w:p>
      <w:pPr>
        <w:spacing w:after="120" w:line="276"/>
        <w:jc w:val="both"/>
      </w:pPr>
      <w:r>
        <w:rPr>
          <w:rFonts w:ascii="Barlow Semi Condensed" w:cs="Barlow Semi Condensed" w:eastAsia="Barlow Semi Condensed" w:hAnsi="Barlow Semi Condensed"/>
          <w:b/>
          <w:bCs/>
          <w:sz w:val="24"/>
          <w:szCs w:val="24"/>
        </w:rPr>
        <w:t xml:space="preserve">Caso che la conferma: Kazakhistan 1997, e per analogia Svezia 1984.</w:t>
      </w:r>
    </w:p>
    <w:p>
      <w:pPr>
        <w:spacing w:after="120" w:line="276"/>
        <w:jc w:val="both"/>
      </w:pPr>
      <w:r>
        <w:rPr>
          <w:rFonts w:ascii="Barlow Semi Condensed" w:cs="Barlow Semi Condensed" w:eastAsia="Barlow Semi Condensed" w:hAnsi="Barlow Semi Condensed"/>
          <w:b/>
          <w:bCs/>
          <w:sz w:val="24"/>
          <w:szCs w:val="24"/>
        </w:rPr>
        <w:t xml:space="preserve">Terza modalità — costruzione endogena del ceto. Dove tale ceto manca ma l'ente fonda istituzioni educative selettive capaci di produrlo, l'ente costruisce il proprio ceto di riferimento e su di esso si radica in senso autoctono nell'arco di una generazione.</w:t>
      </w:r>
    </w:p>
    <w:p>
      <w:pPr>
        <w:spacing w:after="120" w:line="276"/>
        <w:jc w:val="both"/>
      </w:pPr>
      <w:r>
        <w:rPr>
          <w:rFonts w:ascii="Barlow Semi Condensed" w:cs="Barlow Semi Condensed" w:eastAsia="Barlow Semi Condensed" w:hAnsi="Barlow Semi Condensed"/>
          <w:b/>
          <w:bCs/>
          <w:sz w:val="24"/>
          <w:szCs w:val="24"/>
        </w:rPr>
        <w:t xml:space="preserve">Caso paradigmatico: Kenya 1958. Variante su base confessionale preesistente: Giappone. Possibile caso in formazione: Indonesia, se i membri di ritorno daranno origine a numerariato stabile.</w:t>
      </w:r>
    </w:p>
    <w:p>
      <w:pPr>
        <w:spacing w:after="120" w:line="276"/>
        <w:jc w:val="both"/>
      </w:pPr>
      <w:r>
        <w:rPr>
          <w:rFonts w:ascii="Barlow Semi Condensed" w:cs="Barlow Semi Condensed" w:eastAsia="Barlow Semi Condensed" w:hAnsi="Barlow Semi Condensed"/>
          <w:b/>
          <w:bCs/>
          <w:sz w:val="24"/>
          <w:szCs w:val="24"/>
        </w:rPr>
        <w:t xml:space="preserve">E adesso la revisione del diagnostico, che è la seconda acquisizione del capitolo.</w:t>
      </w:r>
    </w:p>
    <w:p>
      <w:pPr>
        <w:spacing w:after="120" w:line="276"/>
        <w:jc w:val="both"/>
      </w:pPr>
      <w:r>
        <w:rPr>
          <w:rFonts w:ascii="Barlow Semi Condensed" w:cs="Barlow Semi Condensed" w:eastAsia="Barlow Semi Condensed" w:hAnsi="Barlow Semi Condensed"/>
          <w:b/>
          <w:bCs/>
          <w:sz w:val="24"/>
          <w:szCs w:val="24"/>
        </w:rPr>
        <w:t xml:space="preserve">Il diagnostico stabilito dal caso svedese — la provenienza dei numerari — va raffinato, perché applicato alla fase d'ingresso non discrimina nulla.</w:t>
      </w:r>
    </w:p>
    <w:p>
      <w:pPr>
        <w:spacing w:after="120" w:line="276"/>
        <w:jc w:val="both"/>
      </w:pPr>
      <w:r>
        <w:rPr>
          <w:rFonts w:ascii="Barlow Semi Condensed" w:cs="Barlow Semi Condensed" w:eastAsia="Barlow Semi Condensed" w:hAnsi="Barlow Semi Condensed"/>
          <w:b/>
          <w:bCs/>
          <w:sz w:val="24"/>
          <w:szCs w:val="24"/>
        </w:rPr>
        <w:t xml:space="preserve">In tutti e sette i casi esaminati, senza eccezione, i primi membri furono allogeni: irlandese, statunitense, spagnolo, italiano e messicano in Kenya; spagnolo e statunitense con apporto nippo-sudamericano in Giappone; britannico e spagnolo via Kenya in Nigeria; cileno e spagnolo in Kazakhistan; filippino, indonesiani di ritorno e statunitense in Indonesia; ignoti in India e Sri Lanka.</w:t>
      </w:r>
    </w:p>
    <w:p>
      <w:pPr>
        <w:spacing w:after="120" w:line="276"/>
        <w:jc w:val="both"/>
      </w:pPr>
      <w:r>
        <w:rPr>
          <w:rFonts w:ascii="Barlow Semi Condensed" w:cs="Barlow Semi Condensed" w:eastAsia="Barlow Semi Condensed" w:hAnsi="Barlow Semi Condensed"/>
          <w:b/>
          <w:bCs/>
          <w:sz w:val="24"/>
          <w:szCs w:val="24"/>
        </w:rPr>
        <w:t xml:space="preserve">Il trapianto è dunque la modalità universale d'ingresso, non un tratto distintivo.</w:t>
      </w:r>
    </w:p>
    <w:p>
      <w:pPr>
        <w:spacing w:after="120" w:line="276"/>
        <w:jc w:val="both"/>
      </w:pPr>
      <w:r>
        <w:rPr>
          <w:rFonts w:ascii="Barlow Semi Condensed" w:cs="Barlow Semi Condensed" w:eastAsia="Barlow Semi Condensed" w:hAnsi="Barlow Semi Condensed"/>
          <w:b/>
          <w:bCs/>
          <w:sz w:val="24"/>
          <w:szCs w:val="24"/>
        </w:rPr>
        <w:t xml:space="preserve">Il diagnostico va perciò riferito alla fase matura anziché a quella d'ingresso: la provenienza dei numerari dopo una o due generazioni. Su questo criterio i casi si distribuiscono così. Radicamento autoctono maturo documentato: Kenya e Giappone. Radicamento probabile ma non quantificato: Nigeria e India. Trapianto senza radicamento documentato: Kazakhistan. Indeterminati per Stato Zero: Indonesia e Sri Lanka.</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del modello a tre modalità, che va dichiarata ora perché senza di essa non sarebbe una proposizione.</w:t>
      </w:r>
    </w:p>
    <w:p>
      <w:pPr>
        <w:spacing w:after="120" w:line="276"/>
        <w:jc w:val="both"/>
      </w:pPr>
      <w:r>
        <w:rPr>
          <w:rFonts w:ascii="Barlow Semi Condensed" w:cs="Barlow Semi Condensed" w:eastAsia="Barlow Semi Condensed" w:hAnsi="Barlow Semi Condensed"/>
          <w:b/>
          <w:bCs/>
          <w:sz w:val="24"/>
          <w:szCs w:val="24"/>
        </w:rPr>
        <w:t xml:space="preserve">Il modello sarebbe falsificato dal reperimento di un radicamento autoctono maturo in un Paese privo di ceto cattolico professionale e in cui l'ente non abbia fondato istituzioni educative generative.</w:t>
      </w:r>
    </w:p>
    <w:p>
      <w:pPr>
        <w:spacing w:after="120" w:line="276"/>
        <w:jc w:val="both"/>
      </w:pPr>
      <w:r>
        <w:rPr>
          <w:rFonts w:ascii="Barlow Semi Condensed" w:cs="Barlow Semi Condensed" w:eastAsia="Barlow Semi Condensed" w:hAnsi="Barlow Semi Condensed"/>
          <w:b/>
          <w:bCs/>
          <w:sz w:val="24"/>
          <w:szCs w:val="24"/>
        </w:rPr>
        <w:t xml:space="preserve">Un tale caso non è stato cercato, e la sua ricerca è la prima voce della tavola.</w:t>
      </w:r>
    </w:p>
    <w:p>
      <w:pPr>
        <w:pStyle w:val="Heading2"/>
        <w:spacing w:after="100" w:before="200"/>
      </w:pPr>
      <w:r>
        <w:rPr>
          <w:rFonts w:ascii="Barlow Semi Condensed" w:cs="Barlow Semi Condensed" w:eastAsia="Barlow Semi Condensed" w:hAnsi="Barlow Semi Condensed"/>
          <w:sz w:val="24"/>
          <w:szCs w:val="24"/>
        </w:rPr>
        <w:t xml:space="preserve">Capitolo nono — Che cosa il modello a tre modalità spiega meglio, e che cosa resta non spiegato</w:t>
      </w:r>
    </w:p>
    <w:p>
      <w:pPr>
        <w:spacing w:after="120" w:line="276"/>
        <w:jc w:val="both"/>
      </w:pPr>
      <w:r>
        <w:rPr>
          <w:rFonts w:ascii="Barlow Semi Condensed" w:cs="Barlow Semi Condensed" w:eastAsia="Barlow Semi Condensed" w:hAnsi="Barlow Semi Condensed"/>
          <w:b/>
          <w:bCs/>
          <w:sz w:val="24"/>
          <w:szCs w:val="24"/>
        </w:rPr>
        <w:t xml:space="preserve">Il capitolo verifica il guadagno della seconda revisione, come la decima ricognizione aveva fatto per la prima.</w:t>
      </w:r>
    </w:p>
    <w:p>
      <w:pPr>
        <w:spacing w:after="120" w:line="276"/>
        <w:jc w:val="both"/>
      </w:pPr>
      <w:r>
        <w:rPr>
          <w:rFonts w:ascii="Barlow Semi Condensed" w:cs="Barlow Semi Condensed" w:eastAsia="Barlow Semi Condensed" w:hAnsi="Barlow Semi Condensed"/>
          <w:b/>
          <w:bCs/>
          <w:sz w:val="24"/>
          <w:szCs w:val="24"/>
        </w:rPr>
        <w:t xml:space="preserve">Il guadagno retroattivo sui casi già studiati.</w:t>
      </w:r>
    </w:p>
    <w:p>
      <w:pPr>
        <w:spacing w:after="120" w:line="276"/>
        <w:jc w:val="both"/>
      </w:pPr>
      <w:r>
        <w:rPr>
          <w:rFonts w:ascii="Barlow Semi Condensed" w:cs="Barlow Semi Condensed" w:eastAsia="Barlow Semi Condensed" w:hAnsi="Barlow Semi Condensed"/>
          <w:b/>
          <w:bCs/>
          <w:sz w:val="24"/>
          <w:szCs w:val="24"/>
        </w:rPr>
        <w:t xml:space="preserve">La Svezia si colloca ora con precisione. Nella forma bipartita essa era il caso che aveva suggerito la distinzione fra radicamento e trapianto; nella forma tripartita essa è caso di seconda modalità in senso stretto: ceto assente, nessuna istituzione generativa fondata, numerari in prevalenza spagnoli.</w:t>
      </w:r>
    </w:p>
    <w:p>
      <w:pPr>
        <w:spacing w:after="120" w:line="276"/>
        <w:jc w:val="both"/>
      </w:pPr>
      <w:r>
        <w:rPr>
          <w:rFonts w:ascii="Barlow Semi Condensed" w:cs="Barlow Semi Condensed" w:eastAsia="Barlow Semi Condensed" w:hAnsi="Barlow Semi Condensed"/>
          <w:b/>
          <w:bCs/>
          <w:sz w:val="24"/>
          <w:szCs w:val="24"/>
        </w:rPr>
        <w:t xml:space="preserve">Cipro si conferma nella lettura della decima ricognizione, ma con una precisazione ulteriore. Nella forma bipartita si era detto che Cipro difettava del ceto; nella forma tripartita si può dire di più: l'ente non vi entrò affatto, e dunque non vi esercitò né la seconda né la terza modalità. Il caso cipriota non è un insediamento fallito: è un insediamento non tentato, e questa è distinzione che il modello precedente non permetteva di formulare.</w:t>
      </w:r>
    </w:p>
    <w:p>
      <w:pPr>
        <w:spacing w:after="120" w:line="276"/>
        <w:jc w:val="both"/>
      </w:pPr>
      <w:r>
        <w:rPr>
          <w:rFonts w:ascii="Barlow Semi Condensed" w:cs="Barlow Semi Condensed" w:eastAsia="Barlow Semi Condensed" w:hAnsi="Barlow Semi Condensed"/>
          <w:b/>
          <w:bCs/>
          <w:sz w:val="24"/>
          <w:szCs w:val="24"/>
        </w:rPr>
        <w:t xml:space="preserve">La Germania si conferma di prima modalità, e il confronto con il Kenya illumina entrambe: in Germania l'ente trovò il ceto e vi si insediò in quattordici mesi presso le residenze studentesche di Bonn e Colonia; in Kenya dovette fondare le scuole e attendere due anni per le prime due keniane e ventiquattro per il primo sacerdote. La differenza dei tempi è la differenza delle modalità.</w:t>
      </w:r>
    </w:p>
    <w:p>
      <w:pPr>
        <w:spacing w:after="120" w:line="276"/>
        <w:jc w:val="both"/>
      </w:pPr>
      <w:r>
        <w:rPr>
          <w:rFonts w:ascii="Barlow Semi Condensed" w:cs="Barlow Semi Condensed" w:eastAsia="Barlow Semi Condensed" w:hAnsi="Barlow Semi Condensed"/>
          <w:b/>
          <w:bCs/>
          <w:sz w:val="24"/>
          <w:szCs w:val="24"/>
        </w:rPr>
        <w:t xml:space="preserve">Che cosa resta non spiegato, e va dichiarato.</w:t>
      </w:r>
    </w:p>
    <w:p>
      <w:pPr>
        <w:spacing w:after="120" w:line="276"/>
        <w:jc w:val="both"/>
      </w:pPr>
      <w:r>
        <w:rPr>
          <w:rFonts w:ascii="Barlow Semi Condensed" w:cs="Barlow Semi Condensed" w:eastAsia="Barlow Semi Condensed" w:hAnsi="Barlow Semi Condensed"/>
          <w:b/>
          <w:bCs/>
          <w:sz w:val="24"/>
          <w:szCs w:val="24"/>
        </w:rPr>
        <w:t xml:space="preserve">Primo: perché in Kazakhistan l'ente non abbia adottato la terza modalità. La richiesta del vescovo kazako del 1994 chiedeva espressamente un'istituzione capace di occuparsi di educazione e di lavoro con i giovani — cioè esattamente ciò che in Kenya l'ente aveva fondato. La domanda era la medesima; la risposta fu diversa. Le fonti reperite non spiegano perché.</w:t>
      </w:r>
    </w:p>
    <w:p>
      <w:pPr>
        <w:spacing w:after="120" w:line="276"/>
        <w:jc w:val="both"/>
      </w:pPr>
      <w:r>
        <w:rPr>
          <w:rFonts w:ascii="Barlow Semi Condensed" w:cs="Barlow Semi Condensed" w:eastAsia="Barlow Semi Condensed" w:hAnsi="Barlow Semi Condensed"/>
          <w:b/>
          <w:bCs/>
          <w:sz w:val="24"/>
          <w:szCs w:val="24"/>
        </w:rPr>
        <w:t xml:space="preserve">Secondo: se la terza modalità sia una scelta deliberata o l'esito di circostanze.\\ In Kenya essa fu suggerita dal fondatore in persona e sollecitata dal Delegato Apostolico; \\non è accertato se altrove sia stata considerata e scartata.</w:t>
      </w:r>
    </w:p>
    <w:p>
      <w:pPr>
        <w:spacing w:after="120" w:line="276"/>
        <w:jc w:val="both"/>
      </w:pPr>
      <w:r>
        <w:rPr>
          <w:rFonts w:ascii="Barlow Semi Condensed" w:cs="Barlow Semi Condensed" w:eastAsia="Barlow Semi Condensed" w:hAnsi="Barlow Semi Condensed"/>
          <w:b/>
          <w:bCs/>
          <w:sz w:val="24"/>
          <w:szCs w:val="24"/>
        </w:rPr>
        <w:t xml:space="preserve">Terzo: se esistano casi di terza modalità fallita\\, cioè di istituzioni educative fondate senza che ne sia emerso un numerariato autoctono. \\Tali casi sarebbero probanti quanto quelli riusciti, e non sono stati cercati.</w:t>
      </w:r>
    </w:p>
    <w:p>
      <w:pPr>
        <w:spacing w:after="120" w:line="276"/>
        <w:jc w:val="both"/>
      </w:pPr>
      <w:r>
        <w:rPr>
          <w:rFonts w:ascii="Barlow Semi Condensed" w:cs="Barlow Semi Condensed" w:eastAsia="Barlow Semi Condensed" w:hAnsi="Barlow Semi Condensed"/>
          <w:b/>
          <w:bCs/>
          <w:sz w:val="24"/>
          <w:szCs w:val="24"/>
        </w:rPr>
        <w:t xml:space="preserve">Quarto, ed è il più grave: non esiste alcun caso documentato di ritiro dell'ente da un Paese in cui fosse entrato. La ricerca non ne ha reperiti. Ciò non prova che non ve ne siano stati: l'elenco ufficiale registra gli inizi e non gli arretramenti, e la verifica richiederebbe il confronto diacronico degli annuari interni. È la prima voce della tavola per rendimento atteso.</w:t>
      </w:r>
    </w:p>
    <w:p>
      <w:pPr>
        <w:pStyle w:val="Heading2"/>
        <w:spacing w:after="100" w:before="200"/>
      </w:pPr>
      <w:r>
        <w:rPr>
          <w:rFonts w:ascii="Barlow Semi Condensed" w:cs="Barlow Semi Condensed" w:eastAsia="Barlow Semi Condensed" w:hAnsi="Barlow Semi Condensed"/>
          <w:sz w:val="24"/>
          <w:szCs w:val="24"/>
        </w:rPr>
        <w:t xml:space="preserve">Capitolo decimo — La qualità delle fonti e il limite che essa impone</w:t>
      </w:r>
    </w:p>
    <w:p>
      <w:pPr>
        <w:spacing w:after="120" w:line="276"/>
        <w:jc w:val="both"/>
      </w:pPr>
      <w:r>
        <w:rPr>
          <w:rFonts w:ascii="Barlow Semi Condensed" w:cs="Barlow Semi Condensed" w:eastAsia="Barlow Semi Condensed" w:hAnsi="Barlow Semi Condensed"/>
          <w:b/>
          <w:bCs/>
          <w:sz w:val="24"/>
          <w:szCs w:val="24"/>
        </w:rPr>
        <w:t xml:space="preserve">Il capitolo espone un problema di statuto che grava sull'intera ricognizione e che sarebbe scorretto tacere.</w:t>
      </w:r>
    </w:p>
    <w:p>
      <w:pPr>
        <w:spacing w:after="120" w:line="276"/>
        <w:jc w:val="both"/>
      </w:pPr>
      <w:r>
        <w:rPr>
          <w:rFonts w:ascii="Barlow Semi Condensed" w:cs="Barlow Semi Condensed" w:eastAsia="Barlow Semi Condensed" w:hAnsi="Barlow Semi Condensed"/>
          <w:b/>
          <w:bCs/>
          <w:sz w:val="24"/>
          <w:szCs w:val="24"/>
        </w:rPr>
        <w:t xml:space="preserve">Il problema, enunciato.\\ \\La storiografia migliore su questi casi è pubblicata da un istituto interno alla Prelatura medesima.</w:t>
      </w:r>
    </w:p>
    <w:p>
      <w:pPr>
        <w:spacing w:after="120" w:line="276"/>
        <w:jc w:val="both"/>
      </w:pPr>
      <w:r>
        <w:rPr>
          <w:rFonts w:ascii="Barlow Semi Condensed" w:cs="Barlow Semi Condensed" w:eastAsia="Barlow Semi Condensed" w:hAnsi="Barlow Semi Condensed"/>
          <w:b/>
          <w:bCs/>
          <w:sz w:val="24"/>
          <w:szCs w:val="24"/>
        </w:rPr>
        <w:t xml:space="preserve">Studia et Documenta, rivista dell'Istituto Storico San Josemaría Escrivá di Roma, attiva dal 2007, pubblica in sei lingue ricerche fondate sull'Archivio Generale della Prelatura, con apparato critico, ed è indicizzata in una banca dati accademica di studi religiosi.</w:t>
      </w:r>
    </w:p>
    <w:p>
      <w:pPr>
        <w:spacing w:after="120" w:line="276"/>
        <w:jc w:val="both"/>
      </w:pPr>
      <w:r>
        <w:rPr>
          <w:rFonts w:ascii="Barlow Semi Condensed" w:cs="Barlow Semi Condensed" w:eastAsia="Barlow Semi Condensed" w:hAnsi="Barlow Semi Condensed"/>
          <w:b/>
          <w:bCs/>
          <w:sz w:val="24"/>
          <w:szCs w:val="24"/>
        </w:rPr>
        <w:t xml:space="preserve">Da essa provengono i due studi decisivi di questa ricognizione: Nakajima e Makiyama sulla scuola di Nagasaki, fascicolo nono del 2015; e Carlos Sotz sul contesto dell'evangelizzazione in Kenya e gli inizi dello Strathmore.</w:t>
      </w:r>
    </w:p>
    <w:p>
      <w:pPr>
        <w:spacing w:after="120" w:line="276"/>
        <w:jc w:val="both"/>
      </w:pPr>
      <w:r>
        <w:rPr>
          <w:rFonts w:ascii="Barlow Semi Condensed" w:cs="Barlow Semi Condensed" w:eastAsia="Barlow Semi Condensed" w:hAnsi="Barlow Semi Condensed"/>
          <w:b/>
          <w:bCs/>
          <w:sz w:val="24"/>
          <w:szCs w:val="24"/>
        </w:rPr>
        <w:t xml:space="preserve">Lo statuto va qualificato con precisione: non è storiografia indipendente sottoposta a revisione paritaria esterna, né è apologetica. È storiografia d'istituzione con standard accademici.</w:t>
      </w:r>
    </w:p>
    <w:p>
      <w:pPr>
        <w:spacing w:after="120" w:line="276"/>
        <w:jc w:val="both"/>
      </w:pPr>
      <w:r>
        <w:rPr>
          <w:rFonts w:ascii="Barlow Semi Condensed" w:cs="Barlow Semi Condensed" w:eastAsia="Barlow Semi Condensed" w:hAnsi="Barlow Semi Condensed"/>
          <w:b/>
          <w:bCs/>
          <w:sz w:val="24"/>
          <w:szCs w:val="24"/>
        </w:rPr>
        <w:t xml:space="preserve">Ne discende la regola d'impiego che ho seguito e che va registrata: tali studi sono utilizzabili per i dati di fatto — date, nomi, luoghi, statistiche archivistiche — e non per le valutazioni.</w:t>
      </w:r>
    </w:p>
    <w:p>
      <w:pPr>
        <w:spacing w:after="120" w:line="276"/>
        <w:jc w:val="both"/>
      </w:pPr>
      <w:r>
        <w:rPr>
          <w:rFonts w:ascii="Barlow Semi Condensed" w:cs="Barlow Semi Condensed" w:eastAsia="Barlow Semi Condensed" w:hAnsi="Barlow Semi Condensed"/>
          <w:b/>
          <w:bCs/>
          <w:sz w:val="24"/>
          <w:szCs w:val="24"/>
        </w:rPr>
        <w:t xml:space="preserve">E va aggiunto un elemento che gioca a favore di quelle fonti e va riconosciuto. Esse riportano dati che non giovano alla narrazione: che il personale fondatore era interamente straniero; che l'accesso africano all'università era precluso; che la scelta di Nagasaki fu determinata da un calcolo di densità confessionale con percentuali esplicite; che i primi anni nigeriani non furono facili. Una fonte apologetica non fornisce il calcolo del cinquantuno per cento contro il quattro virgola cinque.</w:t>
      </w:r>
    </w:p>
    <w:p>
      <w:pPr>
        <w:spacing w:after="120" w:line="276"/>
        <w:jc w:val="both"/>
      </w:pPr>
      <w:r>
        <w:rPr>
          <w:rFonts w:ascii="Barlow Semi Condensed" w:cs="Barlow Semi Condensed" w:eastAsia="Barlow Semi Condensed" w:hAnsi="Barlow Semi Condensed"/>
          <w:b/>
          <w:bCs/>
          <w:sz w:val="24"/>
          <w:szCs w:val="24"/>
        </w:rPr>
        <w:t xml:space="preserve">Esiste invece una letteratura accademica indipendente di alta qualità sul contesto e non sull'ente: sul cattolicesimo giapponese moderno, sui cattolici nascosti, sul cattolicesimo igbo e la guerra del Biafra, sulla Chiesa siro-malabarese. Essa è indispensabile per accertare la consistenza del ceto, e non tratta l'ente.</w:t>
      </w:r>
    </w:p>
    <w:p>
      <w:pPr>
        <w:spacing w:after="120" w:line="276"/>
        <w:jc w:val="both"/>
      </w:pPr>
      <w:r>
        <w:rPr>
          <w:rFonts w:ascii="Barlow Semi Condensed" w:cs="Barlow Semi Condensed" w:eastAsia="Barlow Semi Condensed" w:hAnsi="Barlow Semi Condensed"/>
          <w:b/>
          <w:bCs/>
          <w:sz w:val="24"/>
          <w:szCs w:val="24"/>
        </w:rPr>
        <w:t xml:space="preserve">E manca del tutto ciò che sarebbe necessario: una storiografia scientifica indipendente e monografica sull'espansione extraeuropea dell'Opus Dei in Africa e in Asia.</w:t>
      </w:r>
    </w:p>
    <w:p>
      <w:pPr>
        <w:spacing w:after="120" w:line="276"/>
        <w:jc w:val="both"/>
      </w:pPr>
      <w:r>
        <w:rPr>
          <w:rFonts w:ascii="Barlow Semi Condensed" w:cs="Barlow Semi Condensed" w:eastAsia="Barlow Semi Condensed" w:hAnsi="Barlow Semi Condensed"/>
          <w:b/>
          <w:bCs/>
          <w:sz w:val="24"/>
          <w:szCs w:val="24"/>
        </w:rPr>
        <w:t xml:space="preserve">Le trattazioni giornalistiche generaliste e la pubblicistica apologetica o polemica non colmano questa lacuna.</w:t>
      </w:r>
    </w:p>
    <w:p>
      <w:pPr>
        <w:spacing w:after="120" w:line="276"/>
        <w:jc w:val="both"/>
      </w:pPr>
      <w:r>
        <w:rPr>
          <w:rFonts w:ascii="Barlow Semi Condensed" w:cs="Barlow Semi Condensed" w:eastAsia="Barlow Semi Condensed" w:hAnsi="Barlow Semi Condensed"/>
          <w:b/>
          <w:bCs/>
          <w:sz w:val="24"/>
          <w:szCs w:val="24"/>
        </w:rPr>
        <w:t xml:space="preserve">Ne discende un limite che grava su ogni conclusione di questo documento e che va enunciato senza attenuazioni: il modello a tre modalità è costruito in prevalenza su fonti dell'ente medesimo, verificate contro fonti indipendenti dove queste esistono — e per il contesto esistono, per l'ente non esistono.</w:t>
      </w:r>
    </w:p>
    <w:p>
      <w:pPr>
        <w:spacing w:after="120" w:line="276"/>
        <w:jc w:val="both"/>
      </w:pPr>
      <w:r>
        <w:rPr>
          <w:rFonts w:ascii="Barlow Semi Condensed" w:cs="Barlow Semi Condensed" w:eastAsia="Barlow Semi Condensed" w:hAnsi="Barlow Semi Condensed"/>
          <w:b/>
          <w:bCs/>
          <w:sz w:val="24"/>
          <w:szCs w:val="24"/>
        </w:rPr>
        <w:t xml:space="preserve">La sede di superamento è la letteratura specialistica di storia delle missioni e di sociologia delle religioni, ove singoli contributi potrebbero esistere e non sono emersi.</w:t>
      </w:r>
    </w:p>
    <w:p>
      <w:pPr>
        <w:pStyle w:val="Heading2"/>
        <w:spacing w:after="100" w:before="200"/>
      </w:pPr>
      <w:r>
        <w:rPr>
          <w:rFonts w:ascii="Barlow Semi Condensed" w:cs="Barlow Semi Condensed" w:eastAsia="Barlow Semi Condensed" w:hAnsi="Barlow Semi Condensed"/>
          <w:sz w:val="24"/>
          <w:szCs w:val="24"/>
        </w:rPr>
        <w:t xml:space="preserve">Capitolo undicesimo — Due errori dell'autore, registrati</w:t>
      </w:r>
    </w:p>
    <w:p>
      <w:pPr>
        <w:spacing w:after="120" w:line="276"/>
        <w:jc w:val="both"/>
      </w:pPr>
      <w:r>
        <w:rPr>
          <w:rFonts w:ascii="Barlow Semi Condensed" w:cs="Barlow Semi Condensed" w:eastAsia="Barlow Semi Condensed" w:hAnsi="Barlow Semi Condensed"/>
          <w:b/>
          <w:bCs/>
          <w:sz w:val="24"/>
          <w:szCs w:val="24"/>
        </w:rPr>
        <w:t xml:space="preserve">Il capitolo registra due errori che ho commesso nell'indirizzare questa ricerca, perché la Regola di Ferro vale anche per chi la applica e perché tacerli sarebbe esattamente il vizio che questa serie serve a prevenire.</w:t>
      </w:r>
    </w:p>
    <w:p>
      <w:pPr>
        <w:spacing w:after="120" w:line="276"/>
        <w:jc w:val="both"/>
      </w:pPr>
      <w:r>
        <w:rPr>
          <w:rFonts w:ascii="Barlow Semi Condensed" w:cs="Barlow Semi Condensed" w:eastAsia="Barlow Semi Condensed" w:hAnsi="Barlow Semi Condensed"/>
          <w:b/>
          <w:bCs/>
          <w:sz w:val="24"/>
          <w:szCs w:val="24"/>
        </w:rPr>
        <w:t xml:space="preserve">Primo errore — il nome Cyril Olguin. Nell'indirizzare la ricerca sul caso keniano ho indicato tale nome come figura da verificare fra i fondatori dello Strathmore.</w:t>
      </w:r>
    </w:p>
    <w:p>
      <w:pPr>
        <w:spacing w:after="120" w:line="276"/>
        <w:jc w:val="both"/>
      </w:pPr>
      <w:r>
        <w:rPr>
          <w:rFonts w:ascii="Barlow Semi Condensed" w:cs="Barlow Semi Condensed" w:eastAsia="Barlow Semi Condensed" w:hAnsi="Barlow Semi Condensed"/>
          <w:b/>
          <w:bCs/>
          <w:sz w:val="24"/>
          <w:szCs w:val="24"/>
        </w:rPr>
        <w:t xml:space="preserve">La ricerca non ne ha reperito alcun riscontro.\\ Il nome non compare né nella narrazione ufficiale, né nella documentazione dell'istituzione, né nello studio accademico. \\I fondatori documentati sono David Sperling e Silvano Borruso.</w:t>
      </w:r>
    </w:p>
    <w:p>
      <w:pPr>
        <w:spacing w:after="120" w:line="276"/>
        <w:jc w:val="both"/>
      </w:pPr>
      <w:r>
        <w:rPr>
          <w:rFonts w:ascii="Barlow Semi Condensed" w:cs="Barlow Semi Condensed" w:eastAsia="Barlow Semi Condensed" w:hAnsi="Barlow Semi Condensed"/>
          <w:b/>
          <w:bCs/>
          <w:sz w:val="24"/>
          <w:szCs w:val="24"/>
        </w:rPr>
        <w:t xml:space="preserve">Il nome va qualificato come non sostenuto, e la sua verifica definitiva richiederebbe l'archivio della Strathmore Educational Trust e l'Archivio Generale della Prelatura.</w:t>
      </w:r>
    </w:p>
    <w:p>
      <w:pPr>
        <w:spacing w:after="120" w:line="276"/>
        <w:jc w:val="both"/>
      </w:pPr>
      <w:r>
        <w:rPr>
          <w:rFonts w:ascii="Barlow Semi Condensed" w:cs="Barlow Semi Condensed" w:eastAsia="Barlow Semi Condensed" w:hAnsi="Barlow Semi Condensed"/>
          <w:b/>
          <w:bCs/>
          <w:sz w:val="24"/>
          <w:szCs w:val="24"/>
        </w:rPr>
        <w:t xml:space="preserve">Ma la lezione è più precisa della semplice correzione, e va tratta. Io ho fornito quel nome nell'indirizzare la ricerca, e la ricerca avrebbe potuto — se meno disciplinata — cercarne conferma anziché verificarne l'esistenza. È il meccanismo che l'undicesima ricognizione ha denominato contaminazione per prossimità, applicato però in senso inverso: non un'asserzione debole che prende credito da fatti forti, ma un nome fornito dal committente che avrebbe potuto acquisire credito dalla richiesta medesima.</w:t>
      </w:r>
    </w:p>
    <w:p>
      <w:pPr>
        <w:spacing w:after="120" w:line="276"/>
        <w:jc w:val="both"/>
      </w:pPr>
      <w:r>
        <w:rPr>
          <w:rFonts w:ascii="Barlow Semi Condensed" w:cs="Barlow Semi Condensed" w:eastAsia="Barlow Semi Condensed" w:hAnsi="Barlow Semi Condensed"/>
          <w:b/>
          <w:bCs/>
          <w:sz w:val="24"/>
          <w:szCs w:val="24"/>
        </w:rPr>
        <w:t xml:space="preserve">Ne discende un corollario ai tre criteri dell'undicesima ricognizione: chi indirizza una ricerca deve distinguere fra ciò che chiede di verificare e ciò che asserisce, perché la richiesta stessa può funzionare come fonte apparente.</w:t>
      </w:r>
    </w:p>
    <w:p>
      <w:pPr>
        <w:spacing w:after="120" w:line="276"/>
        <w:jc w:val="both"/>
      </w:pPr>
      <w:r>
        <w:rPr>
          <w:rFonts w:ascii="Barlow Semi Condensed" w:cs="Barlow Semi Condensed" w:eastAsia="Barlow Semi Condensed" w:hAnsi="Barlow Semi Condensed"/>
          <w:b/>
          <w:bCs/>
          <w:sz w:val="24"/>
          <w:szCs w:val="24"/>
        </w:rPr>
        <w:t xml:space="preserve">Secondo errore — la componente cinese attribuita allo Sri Lanka. Nell'indirizzare la ricerca ho accostato allo Sri Lanka una componente cattolica cinese.</w:t>
      </w:r>
    </w:p>
    <w:p>
      <w:pPr>
        <w:spacing w:after="120" w:line="276"/>
        <w:jc w:val="both"/>
      </w:pPr>
      <w:r>
        <w:rPr>
          <w:rFonts w:ascii="Barlow Semi Condensed" w:cs="Barlow Semi Condensed" w:eastAsia="Barlow Semi Condensed" w:hAnsi="Barlow Semi Condensed"/>
          <w:b/>
          <w:bCs/>
          <w:sz w:val="24"/>
          <w:szCs w:val="24"/>
        </w:rPr>
        <w:t xml:space="preserve">È errore di attribuzione. La comunità cinese dello Sri Lanka è minuscola, circa tremilacinquecento persone, quasi tutte buddhiste, e non rileva ai fini cattolici. La componente cinese pertinente è quella indonesiana, ove i cattolici sono concentrati a Flores e fra i cinesi indonesiani.</w:t>
      </w:r>
    </w:p>
    <w:p>
      <w:pPr>
        <w:spacing w:after="120" w:line="276"/>
        <w:jc w:val="both"/>
      </w:pPr>
      <w:r>
        <w:rPr>
          <w:rFonts w:ascii="Barlow Semi Condensed" w:cs="Barlow Semi Condensed" w:eastAsia="Barlow Semi Condensed" w:hAnsi="Barlow Semi Condensed"/>
          <w:b/>
          <w:bCs/>
          <w:sz w:val="24"/>
          <w:szCs w:val="24"/>
        </w:rPr>
        <w:t xml:space="preserve">La comunità cattolica srilankese di riferimento è invece costiera, di origine coloniale portoghese e olandese, sinhalese e tamil, concentrata nelle province occidentale, nord-occidentale e settentrionale.</w:t>
      </w:r>
    </w:p>
    <w:p>
      <w:pPr>
        <w:pStyle w:val="Heading2"/>
        <w:spacing w:after="100" w:before="200"/>
      </w:pPr>
      <w:r>
        <w:rPr>
          <w:rFonts w:ascii="Barlow Semi Condensed" w:cs="Barlow Semi Condensed" w:eastAsia="Barlow Semi Condensed" w:hAnsi="Barlow Semi Condensed"/>
          <w:sz w:val="24"/>
          <w:szCs w:val="24"/>
        </w:rPr>
        <w:t xml:space="preserve">Registro entrambi gli errori perché essi non hanno inquinato l'esito — la ricerca li ha corretti — ma avrebbero potuto, e perché il corpus deve contenere anche ciò che l'autore ha sbagliato.</w:t>
      </w:r>
    </w:p>
    <w:p>
      <w:pPr>
        <w:spacing w:after="120" w:line="276"/>
        <w:jc w:val="both"/>
      </w:pPr>
      <w:r>
        <w:rPr>
          <w:rFonts w:ascii="Barlow Semi Condensed" w:cs="Barlow Semi Condensed" w:eastAsia="Barlow Semi Condensed" w:hAnsi="Barlow Semi Condensed"/>
          <w:b/>
          <w:bCs/>
          <w:sz w:val="24"/>
          <w:szCs w:val="24"/>
        </w:rPr>
        <w:t xml:space="preserve">E perché, secondo me, una serie che ha censito per undici volte gli errori altrui e le allegazioni non sostenute perderebbe titolo a farlo se tacesse i propri.</w:t>
      </w:r>
    </w:p>
    <w:p>
      <w:pPr>
        <w:pStyle w:val="Heading2"/>
        <w:spacing w:after="100" w:before="200"/>
      </w:pPr>
      <w:r>
        <w:rPr>
          <w:rFonts w:ascii="Barlow Semi Condensed" w:cs="Barlow Semi Condensed" w:eastAsia="Barlow Semi Condensed" w:hAnsi="Barlow Semi Condensed"/>
          <w:sz w:val="24"/>
          <w:szCs w:val="24"/>
        </w:rPr>
        <w:t xml:space="preserve">Capitolo dodicesimo — Stato della proposizione, tavola, e ciò che due revisioni insegnano</w:t>
      </w:r>
    </w:p>
    <w:p>
      <w:pPr>
        <w:spacing w:after="120" w:line="276"/>
        <w:jc w:val="both"/>
      </w:pPr>
      <w:r>
        <w:rPr>
          <w:rFonts w:ascii="Barlow Semi Condensed" w:cs="Barlow Semi Condensed" w:eastAsia="Barlow Semi Condensed" w:hAnsi="Barlow Semi Condensed"/>
          <w:b/>
          <w:bCs/>
          <w:sz w:val="24"/>
          <w:szCs w:val="24"/>
        </w:rPr>
        <w:t xml:space="preserve">Lo stato della proposizione, dichiarato formalmente.</w:t>
      </w:r>
    </w:p>
    <w:p>
      <w:pPr>
        <w:spacing w:after="120" w:line="276"/>
        <w:jc w:val="both"/>
      </w:pPr>
      <w:r>
        <w:rPr>
          <w:rFonts w:ascii="Barlow Semi Condensed" w:cs="Barlow Semi Condensed" w:eastAsia="Barlow Semi Condensed" w:hAnsi="Barlow Semi Condensed"/>
          <w:b/>
          <w:bCs/>
          <w:sz w:val="24"/>
          <w:szCs w:val="24"/>
        </w:rPr>
        <w:t xml:space="preserve">Non confermata; non semplicemente confutata; da revisionare una seconda volta. La condizione di falsificazione dichiarata dalla decima ricognizione è soddisfatta dal caso keniano, e la revisione consiste nell'articolazione in tre modalità anziché due, esposta al Capitolo ottavo, con il diagnostico riferito alla fase matura anziché a quella d'ingresso.</w:t>
      </w:r>
    </w:p>
    <w:p>
      <w:pPr>
        <w:spacing w:after="120" w:line="276"/>
        <w:jc w:val="both"/>
      </w:pPr>
      <w:r>
        <w:rPr>
          <w:rFonts w:ascii="Barlow Semi Condensed" w:cs="Barlow Semi Condensed" w:eastAsia="Barlow Semi Condensed" w:hAnsi="Barlow Semi Condensed"/>
          <w:b/>
          <w:bCs/>
          <w:sz w:val="24"/>
          <w:szCs w:val="24"/>
        </w:rPr>
        <w:t xml:space="preserve">La tavola delle acquisizioni non conseguite,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L'esistenza o meno di casi di ritiro dell'ente da un Paese di ingresso. Sedi: Archivio Generale della Prelatura; confronto diacronico degli annuari interni, raffrontando gli elenchi di circoscrizioni e centri di anni successivi. Condizione di chiusura: il reperimento di almeno una circoscrizione presente in un anno e assente in uno successivo. Sono probanti quanto gli insediamenti riusciti, e nessuno li ha cercati.</w:t>
      </w:r>
    </w:p>
    <w:p>
      <w:pPr>
        <w:spacing w:after="120" w:line="276"/>
        <w:jc w:val="both"/>
      </w:pPr>
      <w:r>
        <w:rPr>
          <w:rFonts w:ascii="Barlow Semi Condensed" w:cs="Barlow Semi Condensed" w:eastAsia="Barlow Semi Condensed" w:hAnsi="Barlow Semi Condensed"/>
          <w:b/>
          <w:bCs/>
          <w:sz w:val="24"/>
          <w:szCs w:val="24"/>
        </w:rPr>
        <w:t xml:space="preserve">Seconda voce. Casi di terza modalità fallita: istituzioni educative fondate senza emersione di numerariato autoctono. Nessuna sede specifica; richiede il raffronto sistematico fra elenco delle opere corporative ed elenco dei membri per Paese.</w:t>
      </w:r>
    </w:p>
    <w:p>
      <w:pPr>
        <w:spacing w:after="120" w:line="276"/>
        <w:jc w:val="both"/>
      </w:pPr>
      <w:r>
        <w:rPr>
          <w:rFonts w:ascii="Barlow Semi Condensed" w:cs="Barlow Semi Condensed" w:eastAsia="Barlow Semi Condensed" w:hAnsi="Barlow Semi Condensed"/>
          <w:b/>
          <w:bCs/>
          <w:sz w:val="24"/>
          <w:szCs w:val="24"/>
        </w:rPr>
        <w:t xml:space="preserve">Terza voce. Nazionalità e professione dei membri fondatori arrivati a Nuova Delhi nel 1993. Sede: ufficio informazioni per l'India e Archivio Generale.</w:t>
      </w:r>
    </w:p>
    <w:p>
      <w:pPr>
        <w:spacing w:after="120" w:line="276"/>
        <w:jc w:val="both"/>
      </w:pPr>
      <w:r>
        <w:rPr>
          <w:rFonts w:ascii="Barlow Semi Condensed" w:cs="Barlow Semi Condensed" w:eastAsia="Barlow Semi Condensed" w:hAnsi="Barlow Semi Condensed"/>
          <w:b/>
          <w:bCs/>
          <w:sz w:val="24"/>
          <w:szCs w:val="24"/>
        </w:rPr>
        <w:t xml:space="preserve">Quarta voce. Le modalità concrete e la provenienza dei membri per lo Sri Lanka, e la conferma della data 2011. Sede: arcidiocesi di Colombo e ufficio per l'Asia meridionale.</w:t>
      </w:r>
    </w:p>
    <w:p>
      <w:pPr>
        <w:spacing w:after="120" w:line="276"/>
        <w:jc w:val="both"/>
      </w:pPr>
      <w:r>
        <w:rPr>
          <w:rFonts w:ascii="Barlow Semi Condensed" w:cs="Barlow Semi Condensed" w:eastAsia="Barlow Semi Condensed" w:hAnsi="Barlow Semi Condensed"/>
          <w:b/>
          <w:bCs/>
          <w:sz w:val="24"/>
          <w:szCs w:val="24"/>
        </w:rPr>
        <w:t xml:space="preserve">Quinta voce. La provenienza quantificata dei numerari per Nigeria e Indonesia.</w:t>
      </w:r>
    </w:p>
    <w:p>
      <w:pPr>
        <w:spacing w:after="120" w:line="276"/>
        <w:jc w:val="both"/>
      </w:pPr>
      <w:r>
        <w:rPr>
          <w:rFonts w:ascii="Barlow Semi Condensed" w:cs="Barlow Semi Condensed" w:eastAsia="Barlow Semi Condensed" w:hAnsi="Barlow Semi Condensed"/>
          <w:b/>
          <w:bCs/>
          <w:sz w:val="24"/>
          <w:szCs w:val="24"/>
        </w:rPr>
        <w:t xml:space="preserve">Sesta voce. La verifica del nome Cyril Olguin, non riscontrato. Sede: archivio della Strathmore Educational Trust.</w:t>
      </w:r>
    </w:p>
    <w:p>
      <w:pPr>
        <w:spacing w:after="120" w:line="276"/>
        <w:jc w:val="both"/>
      </w:pPr>
      <w:r>
        <w:rPr>
          <w:rFonts w:ascii="Barlow Semi Condensed" w:cs="Barlow Semi Condensed" w:eastAsia="Barlow Semi Condensed" w:hAnsi="Barlow Semi Condensed"/>
          <w:b/>
          <w:bCs/>
          <w:sz w:val="24"/>
          <w:szCs w:val="24"/>
        </w:rPr>
        <w:t xml:space="preserve">Settima voce. Conferma su fonte ufficiale aggiornata delle date 1997, 2008 e 2011, assenti dalla versione dell'elenco recuperata, che si arresta prima. Il numero complessivo dei Paesi oscilla fra sessanta, sessantasei e sessantotto secondo le versioni, e la divergenza riflette l'aggiornamento progressivo più che una contraddizione.</w:t>
      </w:r>
    </w:p>
    <w:p>
      <w:pPr>
        <w:spacing w:after="120" w:line="276"/>
        <w:jc w:val="both"/>
      </w:pPr>
      <w:r>
        <w:rPr>
          <w:rFonts w:ascii="Barlow Semi Condensed" w:cs="Barlow Semi Condensed" w:eastAsia="Barlow Semi Condensed" w:hAnsi="Barlow Semi Condensed"/>
          <w:b/>
          <w:bCs/>
          <w:sz w:val="24"/>
          <w:szCs w:val="24"/>
        </w:rPr>
        <w:t xml:space="preserve">Ottava voce. L'esistenza di una storiografia scientifica indipendente sull'espansione extraeuropea.</w:t>
      </w:r>
    </w:p>
    <w:p>
      <w:pPr>
        <w:spacing w:after="120" w:line="276"/>
        <w:jc w:val="both"/>
      </w:pPr>
      <w:r>
        <w:rPr>
          <w:rFonts w:ascii="Barlow Semi Condensed" w:cs="Barlow Semi Condensed" w:eastAsia="Barlow Semi Condensed" w:hAnsi="Barlow Semi Condensed"/>
          <w:b/>
          <w:bCs/>
          <w:sz w:val="24"/>
          <w:szCs w:val="24"/>
        </w:rPr>
        <w:t xml:space="preserve">E adesso ciò che due revisioni insegnano, che è il lascito di questo documento.</w:t>
      </w:r>
    </w:p>
    <w:p>
      <w:pPr>
        <w:spacing w:after="120" w:line="276"/>
        <w:jc w:val="both"/>
      </w:pPr>
      <w:r>
        <w:rPr>
          <w:rFonts w:ascii="Barlow Semi Condensed" w:cs="Barlow Semi Condensed" w:eastAsia="Barlow Semi Condensed" w:hAnsi="Barlow Semi Condensed"/>
          <w:b/>
          <w:bCs/>
          <w:sz w:val="24"/>
          <w:szCs w:val="24"/>
        </w:rPr>
        <w:t xml:space="preserve">La medesima proposizione è caduta due volte in due passaggi.\\ La prima volta perdette una condizione — la maggioranza cattolica — e ne uscì più semplice. \\La seconda volta ha guadagnato una modalità, e ne esce più articolata.</w:t>
      </w:r>
    </w:p>
    <w:p>
      <w:pPr>
        <w:spacing w:after="120" w:line="276"/>
        <w:jc w:val="both"/>
      </w:pPr>
      <w:r>
        <w:rPr>
          <w:rFonts w:ascii="Barlow Semi Condensed" w:cs="Barlow Semi Condensed" w:eastAsia="Barlow Semi Condensed" w:hAnsi="Barlow Semi Condensed"/>
          <w:b/>
          <w:bCs/>
          <w:sz w:val="24"/>
          <w:szCs w:val="24"/>
        </w:rPr>
        <w:t xml:space="preserve">Le due revisioni hanno direzione opposta, e ciò va notato. Un modello che si semplifica e poi si complica non sta oscillando: sta trovando la propria forma per approssimazioni successive, e ciascuna approssimazione è stata prodotta da un caso che il modello precedente non contemplava.</w:t>
      </w:r>
    </w:p>
    <w:p>
      <w:pPr>
        <w:spacing w:after="120" w:line="276"/>
        <w:jc w:val="both"/>
      </w:pPr>
      <w:r>
        <w:rPr>
          <w:rFonts w:ascii="Barlow Semi Condensed" w:cs="Barlow Semi Condensed" w:eastAsia="Barlow Semi Condensed" w:hAnsi="Barlow Semi Condensed"/>
          <w:b/>
          <w:bCs/>
          <w:sz w:val="24"/>
          <w:szCs w:val="24"/>
        </w:rPr>
        <w:t xml:space="preserve">Ed entrambe le volte il caso confutante era nell'elenco che il modello stesso aveva scritto. La Gran Bretagna e la Germania erano nell'elenco dei Paesi europei; il Kenya era nell'elenco dei sette casi extraeuropei che l'ottava ricognizione aveva nominato come potenzialmente confutanti e mai esaminati.</w:t>
      </w:r>
    </w:p>
    <w:p>
      <w:pPr>
        <w:spacing w:after="120" w:line="276"/>
        <w:jc w:val="both"/>
      </w:pPr>
      <w:r>
        <w:rPr>
          <w:rFonts w:ascii="Barlow Semi Condensed" w:cs="Barlow Semi Condensed" w:eastAsia="Barlow Semi Condensed" w:hAnsi="Barlow Semi Condensed"/>
          <w:b/>
          <w:bCs/>
          <w:sz w:val="24"/>
          <w:szCs w:val="24"/>
        </w:rPr>
        <w:t xml:space="preserve">Ne discende la conferma più forte della quarta proposizione della serie, e in forma più precisa di come essa fu enunciata. Non basta che una proposizione dichiari la propria condizione di falsificazione: occorre che elenchi per nome i casi che potrebbero soddisfarla, perché è da quell'elenco che la confutazione viene.</w:t>
      </w:r>
    </w:p>
    <w:p>
      <w:pPr>
        <w:spacing w:after="120" w:line="276"/>
        <w:jc w:val="both"/>
      </w:pPr>
      <w:r>
        <w:rPr>
          <w:rFonts w:ascii="Barlow Semi Condensed" w:cs="Barlow Semi Condensed" w:eastAsia="Barlow Semi Condensed" w:hAnsi="Barlow Semi Condensed"/>
          <w:b/>
          <w:bCs/>
          <w:sz w:val="24"/>
          <w:szCs w:val="24"/>
        </w:rPr>
        <w:t xml:space="preserve">Il modello a due condizioni è caduto perché la ottava ricognizione aveva scritto sette nomi. Il modello a due modalità è caduto perché la decima li aveva riscritti.</w:t>
      </w:r>
    </w:p>
    <w:p>
      <w:pPr>
        <w:spacing w:after="120" w:line="276"/>
        <w:jc w:val="both"/>
      </w:pPr>
      <w:r>
        <w:rPr>
          <w:rFonts w:ascii="Barlow Semi Condensed" w:cs="Barlow Semi Condensed" w:eastAsia="Barlow Semi Condensed" w:hAnsi="Barlow Semi Condensed"/>
          <w:b/>
          <w:bCs/>
          <w:sz w:val="24"/>
          <w:szCs w:val="24"/>
        </w:rPr>
        <w:t xml:space="preserve">Se li avessi taciuti, il modello sarebbe ancora in piedi in entrambe le forme superate — e sarebbe falso in entrambe.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XIII · I Sette Casi Extraeuropei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XIII: 5.380 parole in 9 sezioni; la più ampia è §9 Altre sezioni, con 4.559.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XIII: 145 paragrafi in 9 sezioni, 16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XIV — Aginter Press E Lo Stato Italiano</w:t>
      </w:r>
    </w:p>
    <w:p>
      <w:pPr>
        <w:pStyle w:val="Heading1"/>
        <w:spacing w:after="120" w:before="240"/>
      </w:pPr>
      <w:r>
        <w:rPr>
          <w:rFonts w:ascii="Barlow Semi Condensed" w:cs="Barlow Semi Condensed" w:eastAsia="Barlow Semi Condensed" w:hAnsi="Barlow Semi Condensed"/>
          <w:sz w:val="24"/>
          <w:szCs w:val="24"/>
        </w:rPr>
        <w:t xml:space="preserve">AGINTER PRESS E LO STATO ITALIANO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Tredicesima ricognizione: i due silenzi</w:t>
      </w:r>
    </w:p>
    <w:p>
      <w:pPr>
        <w:pStyle w:val="Heading2"/>
        <w:spacing w:after="100" w:before="200"/>
      </w:pPr>
      <w:r>
        <w:rPr>
          <w:rFonts w:ascii="Barlow Semi Condensed" w:cs="Barlow Semi Condensed" w:eastAsia="Barlow Semi Condensed" w:hAnsi="Barlow Semi Condensed"/>
          <w:sz w:val="24"/>
          <w:szCs w:val="24"/>
        </w:rPr>
        <w:t xml:space="preserve">Il canale diplomatico e il canale informativo. L'ottavo grado</w:t>
      </w:r>
    </w:p>
    <w:p>
      <w:pPr>
        <w:pStyle w:val="Heading2"/>
        <w:spacing w:after="100" w:before="200"/>
      </w:pPr>
      <w:r>
        <w:rPr>
          <w:rFonts w:ascii="Barlow Semi Condensed" w:cs="Barlow Semi Condensed" w:eastAsia="Barlow Semi Condensed" w:hAnsi="Barlow Semi Condensed"/>
          <w:sz w:val="24"/>
          <w:szCs w:val="24"/>
        </w:rPr>
        <w:t xml:space="preserve">Dodici Capitoli — cinque acquisizioni — una correzione alla quinta proposizione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Due silenzi di natura diversa</w:t>
      </w:r>
    </w:p>
    <w:p>
      <w:pPr>
        <w:spacing w:after="120" w:line="276"/>
        <w:jc w:val="both"/>
      </w:pPr>
      <w:r>
        <w:rPr>
          <w:rFonts w:ascii="Barlow Semi Condensed" w:cs="Barlow Semi Condensed" w:eastAsia="Barlow Semi Condensed" w:hAnsi="Barlow Semi Condensed"/>
          <w:b/>
          <w:bCs/>
          <w:sz w:val="24"/>
          <w:szCs w:val="24"/>
        </w:rPr>
        <w:t xml:space="preserve">Questa ricognizione ha posto una domanda che dodici anteriori non avevano posto: se lo Stato italiano abbia avuto cognizione di Aginter Press attraverso il proprio apparato diplomatico, e non soltanto attraverso quello informativo.</w:t>
      </w:r>
    </w:p>
    <w:p>
      <w:pPr>
        <w:spacing w:after="120" w:line="276"/>
        <w:jc w:val="both"/>
      </w:pPr>
      <w:r>
        <w:rPr>
          <w:rFonts w:ascii="Barlow Semi Condensed" w:cs="Barlow Semi Condensed" w:eastAsia="Barlow Semi Condensed" w:hAnsi="Barlow Semi Condensed"/>
          <w:b/>
          <w:bCs/>
          <w:sz w:val="24"/>
          <w:szCs w:val="24"/>
        </w:rPr>
        <w:t xml:space="preserve">La ragione della domanda. Aginter Press operò a Lisbona dal settembre 1966 all'aprile 1974. Nello stesso periodo la Repubblica Italiana manteneva a Lisbona un'ambasciata funzionante e una rete consolare, e intratteneva con il Portogallo dell'Estado Novo relazioni ordinarie di alleanza atlantica. Aldo Moro fu ministro degli Esteri per cinque di quegli otto anni. Se un apparato dello Stato giunse a nominare Guérin-Sérac quattro giorni dopo Piazza Fontana, è lecito chiedersi se il canale diplomatico — fisicamente presente sul territorio dove Aginter operava — abbia mai prodotto un dispaccio in cui quel nome comparisse.</w:t>
      </w:r>
    </w:p>
    <w:p>
      <w:pPr>
        <w:spacing w:after="120" w:line="276"/>
        <w:jc w:val="both"/>
      </w:pPr>
      <w:r>
        <w:rPr>
          <w:rFonts w:ascii="Barlow Semi Condensed" w:cs="Barlow Semi Condensed" w:eastAsia="Barlow Semi Condensed" w:hAnsi="Barlow Semi Condensed"/>
          <w:b/>
          <w:bCs/>
          <w:sz w:val="24"/>
          <w:szCs w:val="24"/>
        </w:rPr>
        <w:t xml:space="preserve">La previsione che avevo dichiarato: Stato Zero sul versante diplomatico, esito positivo sul versante informativo, e lo scarto fra i due come risultato.</w:t>
      </w:r>
    </w:p>
    <w:p>
      <w:pPr>
        <w:spacing w:after="120" w:line="276"/>
        <w:jc w:val="both"/>
      </w:pPr>
      <w:r>
        <w:rPr>
          <w:rFonts w:ascii="Barlow Semi Condensed" w:cs="Barlow Semi Condensed" w:eastAsia="Barlow Semi Condensed" w:hAnsi="Barlow Semi Condensed"/>
          <w:b/>
          <w:bCs/>
          <w:sz w:val="24"/>
          <w:szCs w:val="24"/>
        </w:rPr>
        <w:t xml:space="preserve">La previsione si verifica. Ma l'esito è più articolato di come l'avevo formulata, e la differenza è la sostanza di questo documento.</w:t>
      </w:r>
    </w:p>
    <w:p>
      <w:pPr>
        <w:spacing w:after="120" w:line="276"/>
        <w:jc w:val="both"/>
      </w:pPr>
      <w:r>
        <w:rPr>
          <w:rFonts w:ascii="Barlow Semi Condensed" w:cs="Barlow Semi Condensed" w:eastAsia="Barlow Semi Condensed" w:hAnsi="Barlow Semi Condensed"/>
          <w:b/>
          <w:bCs/>
          <w:sz w:val="24"/>
          <w:szCs w:val="24"/>
        </w:rPr>
        <w:t xml:space="preserve">Perché i silenzi accertati sono due, e sono di natura opposta.</w:t>
      </w:r>
    </w:p>
    <w:p>
      <w:pPr>
        <w:spacing w:after="120" w:line="276"/>
        <w:jc w:val="both"/>
      </w:pPr>
      <w:r>
        <w:rPr>
          <w:rFonts w:ascii="Barlow Semi Condensed" w:cs="Barlow Semi Condensed" w:eastAsia="Barlow Semi Condensed" w:hAnsi="Barlow Semi Condensed"/>
          <w:b/>
          <w:bCs/>
          <w:sz w:val="24"/>
          <w:szCs w:val="24"/>
        </w:rPr>
        <w:t xml:space="preserve">Il primo silenzio è quello diplomatico, ed è strutturale. Non risulta alcuna traccia di segnalazioni dell'ambasciata di Lisbona o della Farnesina relative ad Aginter Press. Ma il Capitolo quinto documenta che il servizio che redasse l'appunto dipendeva dal Ministero della Difesa e non da quello degli Esteri, e che l'appunto fu diretto agli organi di polizia. La ripartizione delle competenze rende non plausibile, in linea di principio, che esso transitasse per la Farnesina.</w:t>
      </w:r>
    </w:p>
    <w:p>
      <w:pPr>
        <w:spacing w:after="120" w:line="276"/>
        <w:jc w:val="both"/>
      </w:pPr>
      <w:r>
        <w:rPr>
          <w:rFonts w:ascii="Barlow Semi Condensed" w:cs="Barlow Semi Condensed" w:eastAsia="Barlow Semi Condensed" w:hAnsi="Barlow Semi Condensed"/>
          <w:b/>
          <w:bCs/>
          <w:sz w:val="24"/>
          <w:szCs w:val="24"/>
        </w:rPr>
        <w:t xml:space="preserve">Ne discende che il silenzio diplomatico non è un occultamento: è la conseguenza prevedibile del disegno istituzionale.</w:t>
      </w:r>
    </w:p>
    <w:p>
      <w:pPr>
        <w:spacing w:after="120" w:line="276"/>
        <w:jc w:val="both"/>
      </w:pPr>
      <w:r>
        <w:rPr>
          <w:rFonts w:ascii="Barlow Semi Condensed" w:cs="Barlow Semi Condensed" w:eastAsia="Barlow Semi Condensed" w:hAnsi="Barlow Semi Condensed"/>
          <w:b/>
          <w:bCs/>
          <w:sz w:val="24"/>
          <w:szCs w:val="24"/>
        </w:rPr>
        <w:t xml:space="preserve">Il secondo silenzio non è strutturale, ed è quello che conta.</w:t>
      </w:r>
    </w:p>
    <w:p>
      <w:pPr>
        <w:spacing w:after="120" w:line="276"/>
        <w:jc w:val="both"/>
      </w:pPr>
      <w:r>
        <w:rPr>
          <w:rFonts w:ascii="Barlow Semi Condensed" w:cs="Barlow Semi Condensed" w:eastAsia="Barlow Semi Condensed" w:hAnsi="Barlow Semi Condensed"/>
          <w:b/>
          <w:bCs/>
          <w:sz w:val="24"/>
          <w:szCs w:val="24"/>
        </w:rPr>
        <w:t xml:space="preserve">Il servizio informativo sapeva, e disse il contrario.\\ Disponeva di un fascicolo nominativo che qualificava Guérin-Sérac come \\capo di un'organizzazione anticomunista\\; e trasmise all'esterno una versione che lo dipingeva come \\anarchico.</w:t>
      </w:r>
    </w:p>
    <w:p>
      <w:pPr>
        <w:spacing w:after="120" w:line="276"/>
        <w:jc w:val="both"/>
      </w:pPr>
      <w:r>
        <w:rPr>
          <w:rFonts w:ascii="Barlow Semi Condensed" w:cs="Barlow Semi Condensed" w:eastAsia="Barlow Semi Condensed" w:hAnsi="Barlow Semi Condensed"/>
          <w:b/>
          <w:bCs/>
          <w:sz w:val="24"/>
          <w:szCs w:val="24"/>
        </w:rPr>
        <w:t xml:space="preserve">Questa non è compartimentazione. È sostituzione di una qualificazione vera con una falsa.</w:t>
      </w:r>
    </w:p>
    <w:p>
      <w:pPr>
        <w:spacing w:after="120" w:line="276"/>
        <w:jc w:val="both"/>
      </w:pPr>
      <w:r>
        <w:rPr>
          <w:rFonts w:ascii="Barlow Semi Condensed" w:cs="Barlow Semi Condensed" w:eastAsia="Barlow Semi Condensed" w:hAnsi="Barlow Semi Condensed"/>
          <w:b/>
          <w:bCs/>
          <w:sz w:val="24"/>
          <w:szCs w:val="24"/>
        </w:rPr>
        <w:t xml:space="preserve">Ne discende un'acquisizione per il sistema di gradazione degli Stati Zero già consolidato nel corpus, che ne conta sette e non contempla questo. Occorre un ottavo grado, che non è assenza di informazione ma presenza di informazione falsa dove quella vera era detenuta. Lo denomino al Capitolo undicesimo.</w:t>
      </w:r>
    </w:p>
    <w:p>
      <w:pPr>
        <w:spacing w:after="120" w:line="276"/>
        <w:jc w:val="both"/>
      </w:pPr>
      <w:r>
        <w:rPr>
          <w:rFonts w:ascii="Barlow Semi Condensed" w:cs="Barlow Semi Condensed" w:eastAsia="Barlow Semi Condensed" w:hAnsi="Barlow Semi Condensed"/>
          <w:b/>
          <w:bCs/>
          <w:sz w:val="24"/>
          <w:szCs w:val="24"/>
        </w:rPr>
        <w:t xml:space="preserve">Una avvertenza sul primo silenzio, dovuta perché lo qualifica. Esso è, allo stato, Stato Zero conoscitivo e non accertamento positivo di inesistenza, e discende da tre circostanze che il Capitolo decimo documenta: i Documenti Diplomatici Italiani non hanno raggiunto il periodo, l'Archivio Storico Diplomatico ha regime di accesso condizionato, la storiografia bilaterale non ha mai incrociato il tema.</w:t>
      </w:r>
    </w:p>
    <w:p>
      <w:pPr>
        <w:pStyle w:val="Heading2"/>
        <w:spacing w:after="100" w:before="200"/>
      </w:pPr>
      <w:r>
        <w:rPr>
          <w:rFonts w:ascii="Barlow Semi Condensed" w:cs="Barlow Semi Condensed" w:eastAsia="Barlow Semi Condensed" w:hAnsi="Barlow Semi Condensed"/>
          <w:sz w:val="24"/>
          <w:szCs w:val="24"/>
        </w:rPr>
        <w:t xml:space="preserve">Capitolo secondo — Gli ambasciatori a Lisbona: il dato preliminare</w:t>
      </w:r>
    </w:p>
    <w:p>
      <w:pPr>
        <w:spacing w:after="120" w:line="276"/>
        <w:jc w:val="both"/>
      </w:pPr>
      <w:r>
        <w:rPr>
          <w:rFonts w:ascii="Barlow Semi Condensed" w:cs="Barlow Semi Condensed" w:eastAsia="Barlow Semi Condensed" w:hAnsi="Barlow Semi Condensed"/>
          <w:b/>
          <w:bCs/>
          <w:sz w:val="24"/>
          <w:szCs w:val="24"/>
        </w:rPr>
        <w:t xml:space="preserve">Il capitolo fissa un dato necessario a chiunque voglia condurre la verifica archivistica, e che nessuna ricognizione anteriore aveva stabilito.</w:t>
      </w:r>
    </w:p>
    <w:p>
      <w:pPr>
        <w:spacing w:after="120" w:line="276"/>
        <w:jc w:val="both"/>
      </w:pPr>
      <w:r>
        <w:rPr>
          <w:rFonts w:ascii="Barlow Semi Condensed" w:cs="Barlow Semi Condensed" w:eastAsia="Barlow Semi Condensed" w:hAnsi="Barlow Semi Condensed"/>
          <w:b/>
          <w:bCs/>
          <w:sz w:val="24"/>
          <w:szCs w:val="24"/>
        </w:rPr>
        <w:t xml:space="preserve">Chi resse la sede di Lisbona negli anni di Aginter Press. Secondo l'elenco ufficiale dei capi missione pubblicato dall'Ambasciata d'Italia nella propria sezione storica — fonte amministrativa e non storiografica — la successione fu la seguente.</w:t>
      </w:r>
    </w:p>
    <w:p>
      <w:pPr>
        <w:spacing w:after="120" w:line="276"/>
        <w:jc w:val="both"/>
      </w:pPr>
      <w:r>
        <w:rPr>
          <w:rFonts w:ascii="Barlow Semi Condensed" w:cs="Barlow Semi Condensed" w:eastAsia="Barlow Semi Condensed" w:hAnsi="Barlow Semi Condensed"/>
          <w:b/>
          <w:bCs/>
          <w:sz w:val="24"/>
          <w:szCs w:val="24"/>
        </w:rPr>
        <w:t xml:space="preserve">Giuseppe Cerulli Irelli, ambasciatore con lettere credenziali del 2 novembre 1964, resse la sede fino al 1971. Fu dunque il titolare all'atto della fondazione di Aginter Press nel settembre 1966 e per i primi cinque anni della sua attività.</w:t>
      </w:r>
    </w:p>
    <w:p>
      <w:pPr>
        <w:spacing w:after="120" w:line="276"/>
        <w:jc w:val="both"/>
      </w:pPr>
      <w:r>
        <w:rPr>
          <w:rFonts w:ascii="Barlow Semi Condensed" w:cs="Barlow Semi Condensed" w:eastAsia="Barlow Semi Condensed" w:hAnsi="Barlow Semi Condensed"/>
          <w:b/>
          <w:bCs/>
          <w:sz w:val="24"/>
          <w:szCs w:val="24"/>
        </w:rPr>
        <w:t xml:space="preserve">Girolamo Messeri, ambasciatore dal 26 marzo 1971. Fu il titolare negli anni cruciali: quelli che comprendono la fine del primo mandato di Moro, l'intero secondo, e la Rivoluzione dei Garofani dell'aprile 1974 che pose fine ad Aginter Press.</w:t>
      </w:r>
    </w:p>
    <w:p>
      <w:pPr>
        <w:spacing w:after="120" w:line="276"/>
        <w:jc w:val="both"/>
      </w:pPr>
      <w:r>
        <w:rPr>
          <w:rFonts w:ascii="Barlow Semi Condensed" w:cs="Barlow Semi Condensed" w:eastAsia="Barlow Semi Condensed" w:hAnsi="Barlow Semi Condensed"/>
          <w:b/>
          <w:bCs/>
          <w:sz w:val="24"/>
          <w:szCs w:val="24"/>
        </w:rPr>
        <w:t xml:space="preserve">Pier Luigi Alverà, ambasciatore dal 10 luglio 1975, coprì il periodo immediatamente successivo alla caduta dell'Estado Novo e il primo governo Moro.</w:t>
      </w:r>
    </w:p>
    <w:p>
      <w:pPr>
        <w:spacing w:after="120" w:line="276"/>
        <w:jc w:val="both"/>
      </w:pPr>
      <w:r>
        <w:rPr>
          <w:rFonts w:ascii="Barlow Semi Condensed" w:cs="Barlow Semi Condensed" w:eastAsia="Barlow Semi Condensed" w:hAnsi="Barlow Semi Condensed"/>
          <w:b/>
          <w:bCs/>
          <w:sz w:val="24"/>
          <w:szCs w:val="24"/>
        </w:rPr>
        <w:t xml:space="preserve">Il rilievo operativo va enunciato. Chi voglia condurre la verifica presso l'Archivio Storico Diplomatico deve cercare nei registri e nella corrispondenza di Cerulli Irelli e di Messeri, che sono i due capi missione competenti per l'intero arco di attività dell'agenzia. Senza questo dato la ricerca archivistica non ha punto d'attacco.</w:t>
      </w:r>
    </w:p>
    <w:p>
      <w:pPr>
        <w:spacing w:after="120" w:line="276"/>
        <w:jc w:val="both"/>
      </w:pPr>
      <w:r>
        <w:rPr>
          <w:rFonts w:ascii="Barlow Semi Condensed" w:cs="Barlow Semi Condensed" w:eastAsia="Barlow Semi Condensed" w:hAnsi="Barlow Semi Condensed"/>
          <w:b/>
          <w:bCs/>
          <w:sz w:val="24"/>
          <w:szCs w:val="24"/>
        </w:rPr>
        <w:t xml:space="preserve">E adesso l'esito, che va formulato con precisione. Nessuna delle fonti reperite attribuisce a Cerulli Irelli o a Messeri una qualsiasi cognizione, segnalazione o interessamento relativi ad Aginter Press, a Guérin-Sérac o alle sigle collegate.</w:t>
      </w:r>
    </w:p>
    <w:p>
      <w:pPr>
        <w:spacing w:after="120" w:line="276"/>
        <w:jc w:val="both"/>
      </w:pPr>
      <w:r>
        <w:rPr>
          <w:rFonts w:ascii="Barlow Semi Condensed" w:cs="Barlow Semi Condensed" w:eastAsia="Barlow Semi Condensed" w:hAnsi="Barlow Semi Condensed"/>
          <w:b/>
          <w:bCs/>
          <w:sz w:val="24"/>
          <w:szCs w:val="24"/>
        </w:rPr>
        <w:t xml:space="preserve">Questo silenzio non equivale a prova di ignoranza.\\ Equivale all'assenza, allo stato della documentazione consultabile, \\di qualsiasi traccia in un senso o nell'altro.</w:t>
      </w:r>
    </w:p>
    <w:p>
      <w:pPr>
        <w:spacing w:after="120" w:line="276"/>
        <w:jc w:val="both"/>
      </w:pPr>
      <w:r>
        <w:rPr>
          <w:rFonts w:ascii="Barlow Semi Condensed" w:cs="Barlow Semi Condensed" w:eastAsia="Barlow Semi Condensed" w:hAnsi="Barlow Semi Condensed"/>
          <w:b/>
          <w:bCs/>
          <w:sz w:val="24"/>
          <w:szCs w:val="24"/>
        </w:rPr>
        <w:t xml:space="preserve">La distinzione va tenuta ferma perché è la prima proposizione della serie applicata a se stessa: l'assenza di traccia non è l'assenza dell'atto.\\ Non si sa se i due ambasciatori sapessero; \\si sa che non risulta che abbiano scritto.</w:t>
      </w:r>
    </w:p>
    <w:p>
      <w:pPr>
        <w:spacing w:after="120" w:line="276"/>
        <w:jc w:val="both"/>
      </w:pPr>
      <w:r>
        <w:rPr>
          <w:rFonts w:ascii="Barlow Semi Condensed" w:cs="Barlow Semi Condensed" w:eastAsia="Barlow Semi Condensed" w:hAnsi="Barlow Semi Condensed"/>
          <w:b/>
          <w:bCs/>
          <w:sz w:val="24"/>
          <w:szCs w:val="24"/>
        </w:rPr>
        <w:t xml:space="preserve">Un elemento va aggiunto perché restringe ulteriormente la portata dell'esito. Il volume di Gaetano Cortese sull'Ambasciata d'Italia a Lisbona, del 2020, ricostruisce minuziosamente le relazioni bilaterali dal 1860; non menziona Aginter Press, Guérin-Sérac, Ordre et Tradition né l'OACI, e tratta il periodo 1966-1974 in modo protocollare.</w:t>
      </w:r>
    </w:p>
    <w:p>
      <w:pPr>
        <w:spacing w:after="120" w:line="276"/>
        <w:jc w:val="both"/>
      </w:pPr>
      <w:r>
        <w:rPr>
          <w:rFonts w:ascii="Barlow Semi Condensed" w:cs="Barlow Semi Condensed" w:eastAsia="Barlow Semi Condensed" w:hAnsi="Barlow Semi Condensed"/>
          <w:b/>
          <w:bCs/>
          <w:sz w:val="24"/>
          <w:szCs w:val="24"/>
        </w:rPr>
        <w:t xml:space="preserve">Un'opera dedicata a quella sede e a quel periodo tace il tema. Ciò non prova nulla sull'archivio; prova che la storiografia della sede non lo ha mai posto.</w:t>
      </w:r>
    </w:p>
    <w:p>
      <w:pPr>
        <w:pStyle w:val="Heading2"/>
        <w:spacing w:after="100" w:before="200"/>
      </w:pPr>
      <w:r>
        <w:rPr>
          <w:rFonts w:ascii="Barlow Semi Condensed" w:cs="Barlow Semi Condensed" w:eastAsia="Barlow Semi Condensed" w:hAnsi="Barlow Semi Condensed"/>
          <w:sz w:val="24"/>
          <w:szCs w:val="24"/>
        </w:rPr>
        <w:t xml:space="preserve">Capitolo terzo — L'appunto del SID: contenuto, errori, segnatura</w:t>
      </w:r>
    </w:p>
    <w:p>
      <w:pPr>
        <w:spacing w:after="120" w:line="276"/>
        <w:jc w:val="both"/>
      </w:pPr>
      <w:r>
        <w:rPr>
          <w:rFonts w:ascii="Barlow Semi Condensed" w:cs="Barlow Semi Condensed" w:eastAsia="Barlow Semi Condensed" w:hAnsi="Barlow Semi Condensed"/>
          <w:b/>
          <w:bCs/>
          <w:sz w:val="24"/>
          <w:szCs w:val="24"/>
        </w:rPr>
        <w:t xml:space="preserve">Il capitolo espone l'esito positivo sul versante informativo, con la precisione che la sua importanza richiede.</w:t>
      </w:r>
    </w:p>
    <w:p>
      <w:pPr>
        <w:spacing w:after="120" w:line="276"/>
        <w:jc w:val="both"/>
      </w:pPr>
      <w:r>
        <w:rPr>
          <w:rFonts w:ascii="Barlow Semi Condensed" w:cs="Barlow Semi Condensed" w:eastAsia="Barlow Semi Condensed" w:hAnsi="Barlow Semi Condensed"/>
          <w:b/>
          <w:bCs/>
          <w:sz w:val="24"/>
          <w:szCs w:val="24"/>
        </w:rPr>
        <w:t xml:space="preserve">La collocazione dell'appunto nella vicenda, per come l'istruttoria la formula. Il ruolo di Aginter Press rimarrebbe solo un pezzo della storia delle organizzazioni anticomuniste degli anni Sessanta e Settanta se il suo nome e quello di Guérin-Sérac non fossero entrati di prepotenza nelle indagini sugli attentati del 12 dicembre 1969 con l'appunto stilato dal SID il 16 dicembre 1969 — e cioè, precisa il testo, quando le indagini stavano imboccando la pista Valpreda.</w:t>
      </w:r>
    </w:p>
    <w:p>
      <w:pPr>
        <w:spacing w:after="120" w:line="276"/>
        <w:jc w:val="both"/>
      </w:pPr>
      <w:r>
        <w:rPr>
          <w:rFonts w:ascii="Barlow Semi Condensed" w:cs="Barlow Semi Condensed" w:eastAsia="Barlow Semi Condensed" w:hAnsi="Barlow Semi Condensed"/>
          <w:b/>
          <w:bCs/>
          <w:sz w:val="24"/>
          <w:szCs w:val="24"/>
        </w:rPr>
        <w:t xml:space="preserve">Quattro giorni dopo la strage.</w:t>
      </w:r>
    </w:p>
    <w:p>
      <w:pPr>
        <w:spacing w:after="120" w:line="276"/>
        <w:jc w:val="both"/>
      </w:pPr>
      <w:r>
        <w:rPr>
          <w:rFonts w:ascii="Barlow Semi Condensed" w:cs="Barlow Semi Condensed" w:eastAsia="Barlow Semi Condensed" w:hAnsi="Barlow Semi Condensed"/>
          <w:b/>
          <w:bCs/>
          <w:sz w:val="24"/>
          <w:szCs w:val="24"/>
        </w:rPr>
        <w:t xml:space="preserve">La natura e la sorte dell'appunto.\\ Esso era \\di fonte confidenziale\\ ed è \\pervenuto alla magistratura solo nel marzo 1973.</w:t>
      </w:r>
    </w:p>
    <w:p>
      <w:pPr>
        <w:spacing w:after="120" w:line="276"/>
        <w:jc w:val="both"/>
      </w:pPr>
      <w:r>
        <w:rPr>
          <w:rFonts w:ascii="Barlow Semi Condensed" w:cs="Barlow Semi Condensed" w:eastAsia="Barlow Semi Condensed" w:hAnsi="Barlow Semi Condensed"/>
          <w:b/>
          <w:bCs/>
          <w:sz w:val="24"/>
          <w:szCs w:val="24"/>
        </w:rPr>
        <w:t xml:space="preserve">Il ritardo va enunciato perché è esso stesso un fatto: oltre tre anni.</w:t>
      </w:r>
    </w:p>
    <w:p>
      <w:pPr>
        <w:spacing w:after="120" w:line="276"/>
        <w:jc w:val="both"/>
      </w:pPr>
      <w:r>
        <w:rPr>
          <w:rFonts w:ascii="Barlow Semi Condensed" w:cs="Barlow Semi Condensed" w:eastAsia="Barlow Semi Condensed" w:hAnsi="Barlow Semi Condensed"/>
          <w:b/>
          <w:bCs/>
          <w:sz w:val="24"/>
          <w:szCs w:val="24"/>
        </w:rPr>
        <w:t xml:space="preserve">Il contenuto, per come l'istruttoria lo riassume. La mente ispiratrice degli attentati sarebbe stato tale Guérin-Sérac. Gli attentati romani sarebbero stati organizzati da Stefano Delle Chiaie. L'esecutore materiale dei due attentati all'Altare della Patria sarebbe stato Mario Merlino, definito filo-cinese nell'appunto del 16 dicembre e, nella versione più ridotta datata 17 dicembre, anarchico.</w:t>
      </w:r>
    </w:p>
    <w:p>
      <w:pPr>
        <w:spacing w:after="120" w:line="276"/>
        <w:jc w:val="both"/>
      </w:pPr>
      <w:r>
        <w:rPr>
          <w:rFonts w:ascii="Barlow Semi Condensed" w:cs="Barlow Semi Condensed" w:eastAsia="Barlow Semi Condensed" w:hAnsi="Barlow Semi Condensed"/>
          <w:b/>
          <w:bCs/>
          <w:sz w:val="24"/>
          <w:szCs w:val="24"/>
        </w:rPr>
        <w:t xml:space="preserve">Guérin-Sérac vi è descritto come dirigente a Lisbona dell'Aginter Press e in stabile contatto con Delle Chiaie\\, e — questo è il punto — \\di ideologia anarchica.\\ Suo aiutante sarebbe \\un certo Robert Leroy.</w:t>
      </w:r>
    </w:p>
    <w:p>
      <w:pPr>
        <w:spacing w:after="120" w:line="276"/>
        <w:jc w:val="both"/>
      </w:pPr>
      <w:r>
        <w:rPr>
          <w:rFonts w:ascii="Barlow Semi Condensed" w:cs="Barlow Semi Condensed" w:eastAsia="Barlow Semi Condensed" w:hAnsi="Barlow Semi Condensed"/>
          <w:b/>
          <w:bCs/>
          <w:sz w:val="24"/>
          <w:szCs w:val="24"/>
        </w:rPr>
        <w:t xml:space="preserve">Due errori materiali vanno registrati perché qualificano la fonte. Il testo dell'appunto, per come la pubblicistica d'inchiesta lo riporta, indica Guérin-Sérac come cittadino tedesco — era francese — e storpia la denominazione dell'agenzia in Ager Interpress.</w:t>
      </w:r>
    </w:p>
    <w:p>
      <w:pPr>
        <w:spacing w:after="120" w:line="276"/>
        <w:jc w:val="both"/>
      </w:pPr>
      <w:r>
        <w:rPr>
          <w:rFonts w:ascii="Barlow Semi Condensed" w:cs="Barlow Semi Condensed" w:eastAsia="Barlow Semi Condensed" w:hAnsi="Barlow Semi Condensed"/>
          <w:b/>
          <w:bCs/>
          <w:sz w:val="24"/>
          <w:szCs w:val="24"/>
        </w:rPr>
        <w:t xml:space="preserve">Un appunto che sbaglia la nazionalità del proprio soggetto principale e il nome dell'organizzazione che gli attribuisce è documento di qualità informativa mediocre, e ciò va detto anche quando esso indichi la direzione giusta.</w:t>
      </w:r>
    </w:p>
    <w:p>
      <w:pPr>
        <w:spacing w:after="120" w:line="276"/>
        <w:jc w:val="both"/>
      </w:pPr>
      <w:r>
        <w:rPr>
          <w:rFonts w:ascii="Barlow Semi Condensed" w:cs="Barlow Semi Condensed" w:eastAsia="Barlow Semi Condensed" w:hAnsi="Barlow Semi Condensed"/>
          <w:b/>
          <w:bCs/>
          <w:sz w:val="24"/>
          <w:szCs w:val="24"/>
        </w:rPr>
        <w:t xml:space="preserve">E adesso la segnatura, che è la prova dell'esito positivo.\\ L'istruttoria individua \\il testo originale nel fascicolo del SID intestato a Guérin-Sérac, volume quaranta, fascicolo cinque, fogli diciotto e seguenti.</w:t>
      </w:r>
    </w:p>
    <w:p>
      <w:pPr>
        <w:spacing w:after="120" w:line="276"/>
        <w:jc w:val="both"/>
      </w:pPr>
      <w:r>
        <w:rPr>
          <w:rFonts w:ascii="Barlow Semi Condensed" w:cs="Barlow Semi Condensed" w:eastAsia="Barlow Semi Condensed" w:hAnsi="Barlow Semi Condensed"/>
          <w:b/>
          <w:bCs/>
          <w:sz w:val="24"/>
          <w:szCs w:val="24"/>
        </w:rPr>
        <w:t xml:space="preserve">Esisteva presso il servizio un fascicolo nominativo intestato a Guérin-Sérac.\\ Questo, e non l'appunto in sé, è l'accertamento decisivo: \\non un'informazione isolata, ma una posizione aperta a nome.</w:t>
      </w:r>
    </w:p>
    <w:p>
      <w:pPr>
        <w:spacing w:after="120" w:line="276"/>
        <w:jc w:val="both"/>
      </w:pPr>
      <w:r>
        <w:rPr>
          <w:rFonts w:ascii="Barlow Semi Condensed" w:cs="Barlow Semi Condensed" w:eastAsia="Barlow Semi Condensed" w:hAnsi="Barlow Semi Condensed"/>
          <w:b/>
          <w:bCs/>
          <w:sz w:val="24"/>
          <w:szCs w:val="24"/>
        </w:rPr>
        <w:t xml:space="preserve">Il giudizio del giudice istruttore va riportato con la sua qualificazione. Egli osserva che la pista indicata fosse tutt'altro che azzardata, salvo, da parte degli estensori, abbandonare poi la stessa a dipingere Guérin-Sérac e Merlino come anarchici e filo-cinesi, forse in ossequio ad un accordo ad alto livello.</w:t>
      </w:r>
    </w:p>
    <w:p>
      <w:pPr>
        <w:spacing w:after="120" w:line="276"/>
        <w:jc w:val="both"/>
      </w:pPr>
      <w:r>
        <w:rPr>
          <w:rFonts w:ascii="Barlow Semi Condensed" w:cs="Barlow Semi Condensed" w:eastAsia="Barlow Semi Condensed" w:hAnsi="Barlow Semi Condensed"/>
          <w:b/>
          <w:bCs/>
          <w:sz w:val="24"/>
          <w:szCs w:val="24"/>
        </w:rPr>
        <w:t xml:space="preserve">L'inciso forse in ossequio segnala che si tratta di ipotesi ricostruttiva del giudice, non di fatto provato, e va conservato con la frase.</w:t>
      </w:r>
    </w:p>
    <w:p>
      <w:pPr>
        <w:pStyle w:val="Heading2"/>
        <w:spacing w:after="100" w:before="200"/>
      </w:pPr>
      <w:r>
        <w:rPr>
          <w:rFonts w:ascii="Barlow Semi Condensed" w:cs="Barlow Semi Condensed" w:eastAsia="Barlow Semi Condensed" w:hAnsi="Barlow Semi Condensed"/>
          <w:sz w:val="24"/>
          <w:szCs w:val="24"/>
        </w:rPr>
        <w:t xml:space="preserve">Capitolo quarto — Il secondo silenzio: il servizio sapeva e disse il contrario</w:t>
      </w:r>
    </w:p>
    <w:p>
      <w:pPr>
        <w:spacing w:after="120" w:line="276"/>
        <w:jc w:val="both"/>
      </w:pPr>
      <w:r>
        <w:rPr>
          <w:rFonts w:ascii="Barlow Semi Condensed" w:cs="Barlow Semi Condensed" w:eastAsia="Barlow Semi Condensed" w:hAnsi="Barlow Semi Condensed"/>
          <w:b/>
          <w:bCs/>
          <w:sz w:val="24"/>
          <w:szCs w:val="24"/>
        </w:rPr>
        <w:t xml:space="preserve">Il capitolo espone l'accertamento che, secondo me, è il più grave prodotto da questa ricognizione, e proviene da fonte accademica indipendente.</w:t>
      </w:r>
    </w:p>
    <w:p>
      <w:pPr>
        <w:spacing w:after="120" w:line="276"/>
        <w:jc w:val="both"/>
      </w:pPr>
      <w:r>
        <w:rPr>
          <w:rFonts w:ascii="Barlow Semi Condensed" w:cs="Barlow Semi Condensed" w:eastAsia="Barlow Semi Condensed" w:hAnsi="Barlow Semi Condensed"/>
          <w:b/>
          <w:bCs/>
          <w:sz w:val="24"/>
          <w:szCs w:val="24"/>
        </w:rPr>
        <w:t xml:space="preserve">La fonte. Il capitolo dedicato ad Aginter Press nel volume collettaneo \Liaisons dangereuses\, pubblicato dalle Presses universitaires de Rennes. È storiografia accademica francese, esterna tanto alla materia italiana quanto agli apparati coinvolti.</w:t>
      </w:r>
    </w:p>
    <w:p>
      <w:pPr>
        <w:spacing w:after="120" w:line="276"/>
        <w:jc w:val="both"/>
      </w:pPr>
      <w:r>
        <w:rPr>
          <w:rFonts w:ascii="Barlow Semi Condensed" w:cs="Barlow Semi Condensed" w:eastAsia="Barlow Semi Condensed" w:hAnsi="Barlow Semi Condensed"/>
          <w:b/>
          <w:bCs/>
          <w:sz w:val="24"/>
          <w:szCs w:val="24"/>
        </w:rPr>
        <w:t xml:space="preserve">Il primo accertamento.\\ \\Il SID rifiutò sistematicamente di partecipare all'inchiesta e si limitò a trasmettere la nota sopra menzionata a responsabili della polizia e dei carabinieri.</w:t>
      </w:r>
    </w:p>
    <w:p>
      <w:pPr>
        <w:spacing w:after="120" w:line="276"/>
        <w:jc w:val="both"/>
      </w:pPr>
      <w:r>
        <w:rPr>
          <w:rFonts w:ascii="Barlow Semi Condensed" w:cs="Barlow Semi Condensed" w:eastAsia="Barlow Semi Condensed" w:hAnsi="Barlow Semi Condensed"/>
          <w:b/>
          <w:bCs/>
          <w:sz w:val="24"/>
          <w:szCs w:val="24"/>
        </w:rPr>
        <w:t xml:space="preserve">Il secondo accertamento, ed è quello decisivo.\\ Il servizio \\omise inoltre di trasmettere le informazioni contenute nei suoi dossier che, già all'epoca, identificavano in Guérin-Sérac il capo di un'organizzazione anticomunista e non anarchica.</w:t>
      </w:r>
    </w:p>
    <w:p>
      <w:pPr>
        <w:spacing w:after="120" w:line="276"/>
        <w:jc w:val="both"/>
      </w:pPr>
      <w:r>
        <w:rPr>
          <w:rFonts w:ascii="Barlow Semi Condensed" w:cs="Barlow Semi Condensed" w:eastAsia="Barlow Semi Condensed" w:hAnsi="Barlow Semi Condensed"/>
          <w:b/>
          <w:bCs/>
          <w:sz w:val="24"/>
          <w:szCs w:val="24"/>
        </w:rPr>
        <w:t xml:space="preserve">Le due proposizioni vanno lette insieme, ed enunciate senza attenuazioni.</w:t>
      </w:r>
    </w:p>
    <w:p>
      <w:pPr>
        <w:spacing w:after="120" w:line="276"/>
        <w:jc w:val="both"/>
      </w:pPr>
      <w:r>
        <w:rPr>
          <w:rFonts w:ascii="Barlow Semi Condensed" w:cs="Barlow Semi Condensed" w:eastAsia="Barlow Semi Condensed" w:hAnsi="Barlow Semi Condensed"/>
          <w:b/>
          <w:bCs/>
          <w:sz w:val="24"/>
          <w:szCs w:val="24"/>
        </w:rPr>
        <w:t xml:space="preserve">Il servizio informativo italiano deteneva un fascicolo che qualificava correttamente Guérin-Sérac come capo di organizzazione anticomunista. Trasmise all'esterno una descrizione che lo dipingeva come anarchico. E omise di trasmettere ciò che sapeva.</w:t>
      </w:r>
    </w:p>
    <w:p>
      <w:pPr>
        <w:spacing w:after="120" w:line="276"/>
        <w:jc w:val="both"/>
      </w:pPr>
      <w:r>
        <w:rPr>
          <w:rFonts w:ascii="Barlow Semi Condensed" w:cs="Barlow Semi Condensed" w:eastAsia="Barlow Semi Condensed" w:hAnsi="Barlow Semi Condensed"/>
          <w:b/>
          <w:bCs/>
          <w:sz w:val="24"/>
          <w:szCs w:val="24"/>
        </w:rPr>
        <w:t xml:space="preserve">Questo non è un difetto di circolazione dell'informazione fra apparati. È la sostituzione consapevole di una qualificazione vera con una falsa.</w:t>
      </w:r>
    </w:p>
    <w:p>
      <w:pPr>
        <w:spacing w:after="120" w:line="276"/>
        <w:jc w:val="both"/>
      </w:pPr>
      <w:r>
        <w:rPr>
          <w:rFonts w:ascii="Barlow Semi Condensed" w:cs="Barlow Semi Condensed" w:eastAsia="Barlow Semi Condensed" w:hAnsi="Barlow Semi Condensed"/>
          <w:b/>
          <w:bCs/>
          <w:sz w:val="24"/>
          <w:szCs w:val="24"/>
        </w:rPr>
        <w:t xml:space="preserve">La ragione strumentale è indicata dalla medesima fonte accademica, ed è di una lucidità che va riportata. Collegare gli anarchici a un'organizzazione internazionale come Aginter Press permetteva di rafforzare la tesi anarchica senza correre rischi particolari, poiché era assai poco probabile che il Portogallo salazarista accettasse di collaborare con le istanze giudiziarie italiane.</w:t>
      </w:r>
    </w:p>
    <w:p>
      <w:pPr>
        <w:spacing w:after="120" w:line="276"/>
        <w:jc w:val="both"/>
      </w:pPr>
      <w:r>
        <w:rPr>
          <w:rFonts w:ascii="Barlow Semi Condensed" w:cs="Barlow Semi Condensed" w:eastAsia="Barlow Semi Condensed" w:hAnsi="Barlow Semi Condensed"/>
          <w:b/>
          <w:bCs/>
          <w:sz w:val="24"/>
          <w:szCs w:val="24"/>
        </w:rPr>
        <w:t xml:space="preserve">Ne discende che l'operazione era doppiamente calcolata. Non soltanto attribuiva agli anarchici una struttura internazionale che ne accresceva la pericolosità apparente; ma la collocava in un Paese dal quale nessuna verifica sarebbe arrivata. La falsa qualificazione era protetta dalla giurisdizione in cui era ambientata.</w:t>
      </w:r>
    </w:p>
    <w:p>
      <w:pPr>
        <w:spacing w:after="120" w:line="276"/>
        <w:jc w:val="both"/>
      </w:pPr>
      <w:r>
        <w:rPr>
          <w:rFonts w:ascii="Barlow Semi Condensed" w:cs="Barlow Semi Condensed" w:eastAsia="Barlow Semi Condensed" w:hAnsi="Barlow Semi Condensed"/>
          <w:b/>
          <w:bCs/>
          <w:sz w:val="24"/>
          <w:szCs w:val="24"/>
        </w:rPr>
        <w:t xml:space="preserve">Un elemento di conferma cronologica va aggiunto. Fra la versione del 16 dicembre, che dice filo-cinese, e quella più ridotta del 17 dicembre, che dice anarchico, corre un solo giorno. La qualificazione si assesta sulla versione più utile alla pista in corso nell'arco di ventiquattro ore.</w:t>
      </w:r>
    </w:p>
    <w:p>
      <w:pPr>
        <w:spacing w:after="120" w:line="276"/>
        <w:jc w:val="both"/>
      </w:pPr>
      <w:r>
        <w:rPr>
          <w:rFonts w:ascii="Barlow Semi Condensed" w:cs="Barlow Semi Condensed" w:eastAsia="Barlow Semi Condensed" w:hAnsi="Barlow Semi Condensed"/>
          <w:b/>
          <w:bCs/>
          <w:sz w:val="24"/>
          <w:szCs w:val="24"/>
        </w:rPr>
        <w:t xml:space="preserve">Che cosa questo non stabilisce, e va dichiarato con eguale fermezza. Non stabilisce chi decise, né a quale livello, né se vi fu — come il giudice istruttore ipotizza con l'avverbio forse — un accordo ad alto livello. Stabilisce che il servizio deteneva la qualificazione corretta e ne diffuse una diversa.</w:t>
      </w:r>
    </w:p>
    <w:p>
      <w:pPr>
        <w:pStyle w:val="Heading2"/>
        <w:spacing w:after="100" w:before="200"/>
      </w:pPr>
      <w:r>
        <w:rPr>
          <w:rFonts w:ascii="Barlow Semi Condensed" w:cs="Barlow Semi Condensed" w:eastAsia="Barlow Semi Condensed" w:hAnsi="Barlow Semi Condensed"/>
          <w:sz w:val="24"/>
          <w:szCs w:val="24"/>
        </w:rPr>
        <w:t xml:space="preserve">Capitolo quinto — La composizione del governo e l'argomento di competenza</w:t>
      </w:r>
    </w:p>
    <w:p>
      <w:pPr>
        <w:spacing w:after="120" w:line="276"/>
        <w:jc w:val="both"/>
      </w:pPr>
      <w:r>
        <w:rPr>
          <w:rFonts w:ascii="Barlow Semi Condensed" w:cs="Barlow Semi Condensed" w:eastAsia="Barlow Semi Condensed" w:hAnsi="Barlow Semi Condensed"/>
          <w:b/>
          <w:bCs/>
          <w:sz w:val="24"/>
          <w:szCs w:val="24"/>
        </w:rPr>
        <w:t xml:space="preserve">Il capitolo fissa chi fossero i responsabili politici degli apparati alla data dell'appunto, e ne trae l'argomento che spiega il primo silenzio.</w:t>
      </w:r>
    </w:p>
    <w:p>
      <w:pPr>
        <w:spacing w:after="120" w:line="276"/>
        <w:jc w:val="both"/>
      </w:pPr>
      <w:r>
        <w:rPr>
          <w:rFonts w:ascii="Barlow Semi Condensed" w:cs="Barlow Semi Condensed" w:eastAsia="Barlow Semi Condensed" w:hAnsi="Barlow Semi Condensed"/>
          <w:b/>
          <w:bCs/>
          <w:sz w:val="24"/>
          <w:szCs w:val="24"/>
        </w:rPr>
        <w:t xml:space="preserve">Il governo in carica il 16 dicembre 1969.\\ Era il \\secondo governo Rumor\\, monocolore democristiano, in funzione dal \\5 agosto 1969 al 27 marzo 1970.</w:t>
      </w:r>
    </w:p>
    <w:p>
      <w:pPr>
        <w:spacing w:after="120" w:line="276"/>
        <w:jc w:val="both"/>
      </w:pPr>
      <w:r>
        <w:rPr>
          <w:rFonts w:ascii="Barlow Semi Condensed" w:cs="Barlow Semi Condensed" w:eastAsia="Barlow Semi Condensed" w:hAnsi="Barlow Semi Condensed"/>
          <w:b/>
          <w:bCs/>
          <w:sz w:val="24"/>
          <w:szCs w:val="24"/>
        </w:rPr>
        <w:t xml:space="preserve">I titolari, dal Portale storico della Camera. Presidente del Consiglio Mariano Rumor. Ministro dell'Interno Francesco Restivo, dal 5 agosto 1969 al 27 marzo 1970. Ministro della Difesa Luigi Gui, per il medesimo periodo, con Francesco Cossiga fra i sottosegretari. Ministro degli Affari Esteri Aldo Moro, nel primo dei suoi due mandati.</w:t>
      </w:r>
    </w:p>
    <w:p>
      <w:pPr>
        <w:spacing w:after="120" w:line="276"/>
        <w:jc w:val="both"/>
      </w:pPr>
      <w:r>
        <w:rPr>
          <w:rFonts w:ascii="Barlow Semi Condensed" w:cs="Barlow Semi Condensed" w:eastAsia="Barlow Semi Condensed" w:hAnsi="Barlow Semi Condensed"/>
          <w:b/>
          <w:bCs/>
          <w:sz w:val="24"/>
          <w:szCs w:val="24"/>
        </w:rPr>
        <w:t xml:space="preserve">È dunque documentato che, alla data dell'appunto che nominava Guérin-Sérac come mente degli attentati, Aldo Moro fosse ministro degli Esteri.</w:t>
      </w:r>
    </w:p>
    <w:p>
      <w:pPr>
        <w:spacing w:after="120" w:line="276"/>
        <w:jc w:val="both"/>
      </w:pPr>
      <w:r>
        <w:rPr>
          <w:rFonts w:ascii="Barlow Semi Condensed" w:cs="Barlow Semi Condensed" w:eastAsia="Barlow Semi Condensed" w:hAnsi="Barlow Semi Condensed"/>
          <w:b/>
          <w:bCs/>
          <w:sz w:val="24"/>
          <w:szCs w:val="24"/>
        </w:rPr>
        <w:t xml:space="preserve">Ma questa contemporaneità va immediatamente qualificata, perché è il tipo di dato che la pubblicistica impiega come se fosse una prova.</w:t>
      </w:r>
    </w:p>
    <w:p>
      <w:pPr>
        <w:spacing w:after="120" w:line="276"/>
        <w:jc w:val="both"/>
      </w:pPr>
      <w:r>
        <w:rPr>
          <w:rFonts w:ascii="Barlow Semi Condensed" w:cs="Barlow Semi Condensed" w:eastAsia="Barlow Semi Condensed" w:hAnsi="Barlow Semi Condensed"/>
          <w:b/>
          <w:bCs/>
          <w:sz w:val="24"/>
          <w:szCs w:val="24"/>
        </w:rPr>
        <w:t xml:space="preserve">Essa è un fatto e non è, di per sé, prova che Moro abbia avuto cognizione dell'appunto, né che tale cognizione — se vi fu — gli sia pervenuta per via diplomatica anziché per altra via. Trattare la contemporaneità come prova di un nesso è vietato dalla disciplina che governa questa serie, e la si applica qui contro l'inferenza più immediata e più suggestiva.</w:t>
      </w:r>
    </w:p>
    <w:p>
      <w:pPr>
        <w:spacing w:after="120" w:line="276"/>
        <w:jc w:val="both"/>
      </w:pPr>
      <w:r>
        <w:rPr>
          <w:rFonts w:ascii="Barlow Semi Condensed" w:cs="Barlow Semi Condensed" w:eastAsia="Barlow Semi Condensed" w:hAnsi="Barlow Semi Condensed"/>
          <w:b/>
          <w:bCs/>
          <w:sz w:val="24"/>
          <w:szCs w:val="24"/>
        </w:rPr>
        <w:t xml:space="preserve">E adesso l'argomento di competenza, che spiega il primo silenzio.</w:t>
      </w:r>
    </w:p>
    <w:p>
      <w:pPr>
        <w:spacing w:after="120" w:line="276"/>
        <w:jc w:val="both"/>
      </w:pPr>
      <w:r>
        <w:rPr>
          <w:rFonts w:ascii="Barlow Semi Condensed" w:cs="Barlow Semi Condensed" w:eastAsia="Barlow Semi Condensed" w:hAnsi="Barlow Semi Condensed"/>
          <w:b/>
          <w:bCs/>
          <w:sz w:val="24"/>
          <w:szCs w:val="24"/>
        </w:rPr>
        <w:t xml:space="preserve">Il SID dipendeva dal Ministero della Difesa, dunque da Gui, e non dal ministro degli Esteri. La competenza politica sull'apparato che redasse l'appunto era di Gui; quella sull'ordine pubblico, di Restivo. Moro, agli Esteri, presiedeva l'apparato diplomatico, che è precisamente il canale di cui questa ricognizione verifica il silenzio.</w:t>
      </w:r>
    </w:p>
    <w:p>
      <w:pPr>
        <w:spacing w:after="120" w:line="276"/>
        <w:jc w:val="both"/>
      </w:pPr>
      <w:r>
        <w:rPr>
          <w:rFonts w:ascii="Barlow Semi Condensed" w:cs="Barlow Semi Condensed" w:eastAsia="Barlow Semi Condensed" w:hAnsi="Barlow Semi Condensed"/>
          <w:b/>
          <w:bCs/>
          <w:sz w:val="24"/>
          <w:szCs w:val="24"/>
        </w:rPr>
        <w:t xml:space="preserve">Ne discende che la ripartizione delle competenze rende non plausibile, in linea di principio, che l'appunto transitasse per la Farnesina. Esso nacque nel circuito Difesa-SID e fu diretto agli organi di polizia, restando all'interno del circuito informativo-repressivo.</w:t>
      </w:r>
    </w:p>
    <w:p>
      <w:pPr>
        <w:spacing w:after="120" w:line="276"/>
        <w:jc w:val="both"/>
      </w:pPr>
      <w:r>
        <w:rPr>
          <w:rFonts w:ascii="Barlow Semi Condensed" w:cs="Barlow Semi Condensed" w:eastAsia="Barlow Semi Condensed" w:hAnsi="Barlow Semi Condensed"/>
          <w:b/>
          <w:bCs/>
          <w:sz w:val="24"/>
          <w:szCs w:val="24"/>
        </w:rPr>
        <w:t xml:space="preserve">Questo è l'argomento che trasforma il primo silenzio da anomalia a conseguenza.</w:t>
      </w:r>
    </w:p>
    <w:p>
      <w:pPr>
        <w:spacing w:after="120" w:line="276"/>
        <w:jc w:val="both"/>
      </w:pPr>
      <w:r>
        <w:rPr>
          <w:rFonts w:ascii="Barlow Semi Condensed" w:cs="Barlow Semi Condensed" w:eastAsia="Barlow Semi Condensed" w:hAnsi="Barlow Semi Condensed"/>
          <w:b/>
          <w:bCs/>
          <w:sz w:val="24"/>
          <w:szCs w:val="24"/>
        </w:rPr>
        <w:t xml:space="preserve">Un corollario va tratto e vale oltre il caso. L'ambasciata italiana a Lisbona era accreditata presso un regime alleato in ambito atlantico, e la sua funzione era la cura delle relazioni ordinarie, non la sorveglianza delle strutture clandestine anticomuniste protette da quel regime.</w:t>
      </w:r>
    </w:p>
    <w:p>
      <w:pPr>
        <w:spacing w:after="120" w:line="276"/>
        <w:jc w:val="both"/>
      </w:pPr>
      <w:r>
        <w:rPr>
          <w:rFonts w:ascii="Barlow Semi Condensed" w:cs="Barlow Semi Condensed" w:eastAsia="Barlow Semi Condensed" w:hAnsi="Barlow Semi Condensed"/>
          <w:b/>
          <w:bCs/>
          <w:sz w:val="24"/>
          <w:szCs w:val="24"/>
        </w:rPr>
        <w:t xml:space="preserve">Il riconoscimento di Aginter Press richiedeva capacità di penetrazione informativa, non semplice presenza sul territorio. Un'ambasciata vede ciò che accade nella capitale presso cui è accreditata; non vede ciò che la polizia politica di quella capitale protegge.</w:t>
      </w:r>
    </w:p>
    <w:p>
      <w:pPr>
        <w:pStyle w:val="Heading2"/>
        <w:spacing w:after="100" w:before="200"/>
      </w:pPr>
      <w:r>
        <w:rPr>
          <w:rFonts w:ascii="Barlow Semi Condensed" w:cs="Barlow Semi Condensed" w:eastAsia="Barlow Semi Condensed" w:hAnsi="Barlow Semi Condensed"/>
          <w:sz w:val="24"/>
          <w:szCs w:val="24"/>
        </w:rPr>
        <w:t xml:space="preserve">Capitolo sesto — Gli atti parlamentari e la conferma per via istituzionale</w:t>
      </w:r>
    </w:p>
    <w:p>
      <w:pPr>
        <w:spacing w:after="120" w:line="276"/>
        <w:jc w:val="both"/>
      </w:pPr>
      <w:r>
        <w:rPr>
          <w:rFonts w:ascii="Barlow Semi Condensed" w:cs="Barlow Semi Condensed" w:eastAsia="Barlow Semi Condensed" w:hAnsi="Barlow Semi Condensed"/>
          <w:b/>
          <w:bCs/>
          <w:sz w:val="24"/>
          <w:szCs w:val="24"/>
        </w:rPr>
        <w:t xml:space="preserve">Il capitolo verifica il silenzio diplomatico su una terza fonte, indipendente dalle prime due.</w:t>
      </w:r>
    </w:p>
    <w:p>
      <w:pPr>
        <w:spacing w:after="120" w:line="276"/>
        <w:jc w:val="both"/>
      </w:pPr>
      <w:r>
        <w:rPr>
          <w:rFonts w:ascii="Barlow Semi Condensed" w:cs="Barlow Semi Condensed" w:eastAsia="Barlow Semi Condensed" w:hAnsi="Barlow Semi Condensed"/>
          <w:b/>
          <w:bCs/>
          <w:sz w:val="24"/>
          <w:szCs w:val="24"/>
        </w:rPr>
        <w:t xml:space="preserve">Che cosa gli atti parlamentari accertano su Aginter Press. Nella relazione del presidente della Commissione Stragi, senatore Giovanni Pellegrino, si afferma che Aginter Press era in realtà, secondo gli ultimi documenti acquisiti dall'indagine penale, un centro di informazione direttamente collegato alla CIA e al servizio segreto portoghese, specializzato in operazioni di provocazione.</w:t>
      </w:r>
    </w:p>
    <w:p>
      <w:pPr>
        <w:spacing w:after="120" w:line="276"/>
        <w:jc w:val="both"/>
      </w:pPr>
      <w:r>
        <w:rPr>
          <w:rFonts w:ascii="Barlow Semi Condensed" w:cs="Barlow Semi Condensed" w:eastAsia="Barlow Semi Condensed" w:hAnsi="Barlow Semi Condensed"/>
          <w:b/>
          <w:bCs/>
          <w:sz w:val="24"/>
          <w:szCs w:val="24"/>
        </w:rPr>
        <w:t xml:space="preserve">Il grado va qualificato: è relazione parlamentare, cioè ricostruzione politico-istituzionale, non accertamento giudiziario definitivo.</w:t>
      </w:r>
    </w:p>
    <w:p>
      <w:pPr>
        <w:spacing w:after="120" w:line="276"/>
        <w:jc w:val="both"/>
      </w:pPr>
      <w:r>
        <w:rPr>
          <w:rFonts w:ascii="Barlow Semi Condensed" w:cs="Barlow Semi Condensed" w:eastAsia="Barlow Semi Condensed" w:hAnsi="Barlow Semi Condensed"/>
          <w:b/>
          <w:bCs/>
          <w:sz w:val="24"/>
          <w:szCs w:val="24"/>
        </w:rPr>
        <w:t xml:space="preserve">L'audizione del giudice Salvini davanti alla Commissione, negli atti della tredicesima legislatura, precisa gli accertamenti raggiunti. In queste indagini sono emersi elementi che confermano i legami fra Aginter Press, Ordine nuovo e Avanguardia nazionale. È emerso che Guido Giannettini aveva rapporti con Guérin-Sérac in Portogallo fin dal 1964; è emerso che istruttori di Aginter Press vennero a Roma tra il 1967 e il 1968 istruendo i militanti di Avanguardia nazionale all'uso degli esplosivi.</w:t>
      </w:r>
    </w:p>
    <w:p>
      <w:pPr>
        <w:spacing w:after="120" w:line="276"/>
        <w:jc w:val="both"/>
      </w:pPr>
      <w:r>
        <w:rPr>
          <w:rFonts w:ascii="Barlow Semi Condensed" w:cs="Barlow Semi Condensed" w:eastAsia="Barlow Semi Condensed" w:hAnsi="Barlow Semi Condensed"/>
          <w:b/>
          <w:bCs/>
          <w:sz w:val="24"/>
          <w:szCs w:val="24"/>
        </w:rPr>
        <w:t xml:space="preserve">Su Robert Leroy, braccio destro di Guérin-Sérac, l'audizione aggiunge due elementi. Che era stato durante la seconda guerra mondiale combattente nelle Waffen SS; e che era venuto in Italia molte volte nel 1968 ed aveva concorso ad organizzare a Torino, ad Aosta e in altre città del Nord gruppi filocinesi, presentandosi come emissario di gruppi francesi analoghi.</w:t>
      </w:r>
    </w:p>
    <w:p>
      <w:pPr>
        <w:spacing w:after="120" w:line="276"/>
        <w:jc w:val="both"/>
      </w:pPr>
      <w:r>
        <w:rPr>
          <w:rFonts w:ascii="Barlow Semi Condensed" w:cs="Barlow Semi Condensed" w:eastAsia="Barlow Semi Condensed" w:hAnsi="Barlow Semi Condensed"/>
          <w:b/>
          <w:bCs/>
          <w:sz w:val="24"/>
          <w:szCs w:val="24"/>
        </w:rPr>
        <w:t xml:space="preserve">E adesso il rilievo per il quesito di questa ricognizione, che è il punto del capitolo.</w:t>
      </w:r>
    </w:p>
    <w:p>
      <w:pPr>
        <w:spacing w:after="120" w:line="276"/>
        <w:jc w:val="both"/>
      </w:pPr>
      <w:r>
        <w:rPr>
          <w:rFonts w:ascii="Barlow Semi Condensed" w:cs="Barlow Semi Condensed" w:eastAsia="Barlow Semi Condensed" w:hAnsi="Barlow Semi Condensed"/>
          <w:b/>
          <w:bCs/>
          <w:sz w:val="24"/>
          <w:szCs w:val="24"/>
        </w:rPr>
        <w:t xml:space="preserve">In tutti questi atti la cognizione italiana di Aginter Press è ricondotta sempre e soltanto a canali investigativi, giudiziari e di intelligence\\ — il SID, il SISMI, il SISDE, l'istruttoria — \\e mai a un canale diplomatico.</w:t>
      </w:r>
    </w:p>
    <w:p>
      <w:pPr>
        <w:spacing w:after="120" w:line="276"/>
        <w:jc w:val="both"/>
      </w:pPr>
      <w:r>
        <w:rPr>
          <w:rFonts w:ascii="Barlow Semi Condensed" w:cs="Barlow Semi Condensed" w:eastAsia="Barlow Semi Condensed" w:hAnsi="Barlow Semi Condensed"/>
          <w:b/>
          <w:bCs/>
          <w:sz w:val="24"/>
          <w:szCs w:val="24"/>
        </w:rPr>
        <w:t xml:space="preserve">In nessun passaggio delle relazioni Pellegrino o delle audizioni Salvini reperiti si afferma che l'ambasciata di Lisbona o la Farnesina avessero segnalato Aginter Press.</w:t>
      </w:r>
    </w:p>
    <w:p>
      <w:pPr>
        <w:spacing w:after="120" w:line="276"/>
        <w:jc w:val="both"/>
      </w:pPr>
      <w:r>
        <w:rPr>
          <w:rFonts w:ascii="Barlow Semi Condensed" w:cs="Barlow Semi Condensed" w:eastAsia="Barlow Semi Condensed" w:hAnsi="Barlow Semi Condensed"/>
          <w:b/>
          <w:bCs/>
          <w:sz w:val="24"/>
          <w:szCs w:val="24"/>
        </w:rPr>
        <w:t xml:space="preserve">Un elemento lo conferma per via diretta. Il presidente Pellegrino, in una seduta, riconduce esplicitamente l'impianto della propria relazione a proposito dell'Aginter Press e di Guérin-Sérac ai lavori di Salvini e del colonnello Giraudo — cioè a fonti giudiziarie e investigative.</w:t>
      </w:r>
    </w:p>
    <w:p>
      <w:pPr>
        <w:spacing w:after="120" w:line="276"/>
        <w:jc w:val="both"/>
      </w:pPr>
      <w:r>
        <w:rPr>
          <w:rFonts w:ascii="Barlow Semi Condensed" w:cs="Barlow Semi Condensed" w:eastAsia="Barlow Semi Condensed" w:hAnsi="Barlow Semi Condensed"/>
          <w:b/>
          <w:bCs/>
          <w:sz w:val="24"/>
          <w:szCs w:val="24"/>
        </w:rPr>
        <w:t xml:space="preserve">E la mappa della rete degli agenti di Aginter distribuiti nelle principali città del mondo, di cui la Commissione dispose, proveniva dal materiale sequestrato e dagli atti giudiziari, non da rapporti diplomatici.</w:t>
      </w:r>
    </w:p>
    <w:p>
      <w:pPr>
        <w:spacing w:after="120" w:line="276"/>
        <w:jc w:val="both"/>
      </w:pPr>
      <w:r>
        <w:rPr>
          <w:rFonts w:ascii="Barlow Semi Condensed" w:cs="Barlow Semi Condensed" w:eastAsia="Barlow Semi Condensed" w:hAnsi="Barlow Semi Condensed"/>
          <w:b/>
          <w:bCs/>
          <w:sz w:val="24"/>
          <w:szCs w:val="24"/>
        </w:rPr>
        <w:t xml:space="preserve">Ne discende che tre fonti indipendenti — l'elenco dei capi missione, l'argomento di competenza, gli atti parlamentari — convergono sul medesimo esito: la cognizione italiana di Aginter Press circolò per il canale informativo e giudiziario, e di una sua circolazione per il canale diplomatico non esiste traccia.</w:t>
      </w:r>
    </w:p>
    <w:p>
      <w:pPr>
        <w:pStyle w:val="Heading2"/>
        <w:spacing w:after="100" w:before="200"/>
      </w:pPr>
      <w:r>
        <w:rPr>
          <w:rFonts w:ascii="Barlow Semi Condensed" w:cs="Barlow Semi Condensed" w:eastAsia="Barlow Semi Condensed" w:hAnsi="Barlow Semi Condensed"/>
          <w:sz w:val="24"/>
          <w:szCs w:val="24"/>
        </w:rPr>
        <w:t xml:space="preserve">Capitolo settimo — Il caso Moro: un esito negativo forte</w:t>
      </w:r>
    </w:p>
    <w:p>
      <w:pPr>
        <w:spacing w:after="120" w:line="276"/>
        <w:jc w:val="both"/>
      </w:pPr>
      <w:r>
        <w:rPr>
          <w:rFonts w:ascii="Barlow Semi Condensed" w:cs="Barlow Semi Condensed" w:eastAsia="Barlow Semi Condensed" w:hAnsi="Barlow Semi Condensed"/>
          <w:b/>
          <w:bCs/>
          <w:sz w:val="24"/>
          <w:szCs w:val="24"/>
        </w:rPr>
        <w:t xml:space="preserve">Il capitolo espone la verifica che il quinto obiettivo imponeva di condurre con la massima severità, e il cui esito è negativo in modo particolarmente robusto.</w:t>
      </w:r>
    </w:p>
    <w:p>
      <w:pPr>
        <w:spacing w:after="120" w:line="276"/>
        <w:jc w:val="both"/>
      </w:pPr>
      <w:r>
        <w:rPr>
          <w:rFonts w:ascii="Barlow Semi Condensed" w:cs="Barlow Semi Condensed" w:eastAsia="Barlow Semi Condensed" w:hAnsi="Barlow Semi Condensed"/>
          <w:b/>
          <w:bCs/>
          <w:sz w:val="24"/>
          <w:szCs w:val="24"/>
        </w:rPr>
        <w:t xml:space="preserve">La domanda. Se esista documentazione che colleghi Aldo Moro ad Aginter Press in qualsiasi veste; e se nelle ricostruzioni sul sequestro del 1978 sia mai stata avanzata un'ipotesi di coinvolgimento dell'agenzia, con quale fondamento.</w:t>
      </w:r>
    </w:p>
    <w:p>
      <w:pPr>
        <w:spacing w:after="120" w:line="276"/>
        <w:jc w:val="both"/>
      </w:pPr>
      <w:r>
        <w:rPr>
          <w:rFonts w:ascii="Barlow Semi Condensed" w:cs="Barlow Semi Condensed" w:eastAsia="Barlow Semi Condensed" w:hAnsi="Barlow Semi Condensed"/>
          <w:b/>
          <w:bCs/>
          <w:sz w:val="24"/>
          <w:szCs w:val="24"/>
        </w:rPr>
        <w:t xml:space="preserve">L'esito è netto: non esiste alcuna fonte primaria, giudiziaria o parlamentare, che colleghi Moro ad Aginter Press, né che attribuisca all'agenzia un ruolo nel sequestro e nell'omicidio.</w:t>
      </w:r>
    </w:p>
    <w:p>
      <w:pPr>
        <w:spacing w:after="120" w:line="276"/>
        <w:jc w:val="both"/>
      </w:pPr>
      <w:r>
        <w:rPr>
          <w:rFonts w:ascii="Barlow Semi Condensed" w:cs="Barlow Semi Condensed" w:eastAsia="Barlow Semi Condensed" w:hAnsi="Barlow Semi Condensed"/>
          <w:b/>
          <w:bCs/>
          <w:sz w:val="24"/>
          <w:szCs w:val="24"/>
        </w:rPr>
        <w:t xml:space="preserve">Il primo argomento è cronologico e tematico. Il ruolo documentato di Aginter Press è circoscritto alla stagione della strategia della tensione, dal 1969 al 1974: gli attentati del 12 dicembre 1969, i legami con Ordine Nuovo e Avanguardia Nazionale, l'addestramento agli esplosivi dei militanti romani nel 1967-1968. Tutti gli eventi accertati sono anteriori al 1974, anno in cui la Rivoluzione dei Garofani costrinse gli uomini di Aginter a lasciare Lisbona per la Spagna.</w:t>
      </w:r>
    </w:p>
    <w:p>
      <w:pPr>
        <w:spacing w:after="120" w:line="276"/>
        <w:jc w:val="both"/>
      </w:pPr>
      <w:r>
        <w:rPr>
          <w:rFonts w:ascii="Barlow Semi Condensed" w:cs="Barlow Semi Condensed" w:eastAsia="Barlow Semi Condensed" w:hAnsi="Barlow Semi Condensed"/>
          <w:b/>
          <w:bCs/>
          <w:sz w:val="24"/>
          <w:szCs w:val="24"/>
        </w:rPr>
        <w:t xml:space="preserve">Il secondo argomento è giudiziario.\\ Le sentenze sul caso Moro — dalla prima Corte d'Assise di Roma del 1983 ai successivi processi — \\attribuiscono la responsabilità del sequestro e dell'omicidio esclusivamente alle Brigate Rosse.</w:t>
      </w:r>
    </w:p>
    <w:p>
      <w:pPr>
        <w:spacing w:after="120" w:line="276"/>
        <w:jc w:val="both"/>
      </w:pPr>
      <w:r>
        <w:rPr>
          <w:rFonts w:ascii="Barlow Semi Condensed" w:cs="Barlow Semi Condensed" w:eastAsia="Barlow Semi Condensed" w:hAnsi="Barlow Semi Condensed"/>
          <w:b/>
          <w:bCs/>
          <w:sz w:val="24"/>
          <w:szCs w:val="24"/>
        </w:rPr>
        <w:t xml:space="preserve">Il terzo argomento è quello che dà forza all'esito, e va enunciato con i suoi numeri.</w:t>
      </w:r>
    </w:p>
    <w:p>
      <w:pPr>
        <w:spacing w:after="120" w:line="276"/>
        <w:jc w:val="both"/>
      </w:pPr>
      <w:r>
        <w:rPr>
          <w:rFonts w:ascii="Barlow Semi Condensed" w:cs="Barlow Semi Condensed" w:eastAsia="Barlow Semi Condensed" w:hAnsi="Barlow Semi Condensed"/>
          <w:b/>
          <w:bCs/>
          <w:sz w:val="24"/>
          <w:szCs w:val="24"/>
        </w:rPr>
        <w:t xml:space="preserve">La seconda Commissione parlamentare d'inchiesta sul rapimento e sulla morte di Aldo Moro, istituita con legge 30 maggio 2014 numero 82 e presieduta da Giuseppe Fioroni, produsse tre relazioni — Doc. XXIII numero 10 dell'11 dicembre 2015, numero 23 del 21 dicembre 2016, numero 29 del 7 dicembre 2017 — e acquisì duemiladuecentocinquanta unità documentali per un totale di settecentomila pagine, con oltre quattrocentoquaranta attività investigative delegate.</w:t>
      </w:r>
    </w:p>
    <w:p>
      <w:pPr>
        <w:spacing w:after="120" w:line="276"/>
        <w:jc w:val="both"/>
      </w:pPr>
      <w:r>
        <w:rPr>
          <w:rFonts w:ascii="Barlow Semi Condensed" w:cs="Barlow Semi Condensed" w:eastAsia="Barlow Semi Condensed" w:hAnsi="Barlow Semi Condensed"/>
          <w:b/>
          <w:bCs/>
          <w:sz w:val="24"/>
          <w:szCs w:val="24"/>
        </w:rPr>
        <w:t xml:space="preserve">In nessuna delle tre relazioni Aginter Press o Guérin-Sérac compaiono.</w:t>
      </w:r>
    </w:p>
    <w:p>
      <w:pPr>
        <w:spacing w:after="120" w:line="276"/>
        <w:jc w:val="both"/>
      </w:pPr>
      <w:r>
        <w:rPr>
          <w:rFonts w:ascii="Barlow Semi Condensed" w:cs="Barlow Semi Condensed" w:eastAsia="Barlow Semi Condensed" w:hAnsi="Barlow Semi Condensed"/>
          <w:b/>
          <w:bCs/>
          <w:sz w:val="24"/>
          <w:szCs w:val="24"/>
        </w:rPr>
        <w:t xml:space="preserve">Il rilievo va enunciato perché è la ragione della forza dell'esito. Una commissione che ha esaminato settecentomila pagine con la tesi dichiarata della verità dicibile — cioè con l'assunto che la verità giudiziaria consolidata fosse una verità di comodo — aveva ogni interesse a reperire una pista alternativa, e batté infatti via Fani, via Gradoli, il falso comunicato del lago della Duchessa, i contatti con la criminalità e i rapporti internazionali delle Brigate Rosse con i palestinesi.</w:t>
      </w:r>
    </w:p>
    <w:p>
      <w:pPr>
        <w:spacing w:after="120" w:line="276"/>
        <w:jc w:val="both"/>
      </w:pPr>
      <w:r>
        <w:rPr>
          <w:rFonts w:ascii="Barlow Semi Condensed" w:cs="Barlow Semi Condensed" w:eastAsia="Barlow Semi Condensed" w:hAnsi="Barlow Semi Condensed"/>
          <w:b/>
          <w:bCs/>
          <w:sz w:val="24"/>
          <w:szCs w:val="24"/>
        </w:rPr>
        <w:t xml:space="preserve">Non trovò Aginter, e non perché non cercasse.</w:t>
      </w:r>
    </w:p>
    <w:p>
      <w:pPr>
        <w:spacing w:after="120" w:line="276"/>
        <w:jc w:val="both"/>
      </w:pPr>
      <w:r>
        <w:rPr>
          <w:rFonts w:ascii="Barlow Semi Condensed" w:cs="Barlow Semi Condensed" w:eastAsia="Barlow Semi Condensed" w:hAnsi="Barlow Semi Condensed"/>
          <w:b/>
          <w:bCs/>
          <w:sz w:val="24"/>
          <w:szCs w:val="24"/>
        </w:rPr>
        <w:t xml:space="preserve">Ne discende che l'esito negativo qui non è debole ma forte: non è l'assenza di ricerca, è l'assenza di risultato in una ricerca vastissima e orientata a trovare.</w:t>
      </w:r>
    </w:p>
    <w:p>
      <w:pPr>
        <w:spacing w:after="120" w:line="276"/>
        <w:jc w:val="both"/>
      </w:pPr>
      <w:r>
        <w:rPr>
          <w:rFonts w:ascii="Barlow Semi Condensed" w:cs="Barlow Semi Condensed" w:eastAsia="Barlow Semi Condensed" w:hAnsi="Barlow Semi Condensed"/>
          <w:b/>
          <w:bCs/>
          <w:sz w:val="24"/>
          <w:szCs w:val="24"/>
        </w:rPr>
        <w:t xml:space="preserve">L'accostamento fra Aginter Press e il caso Moro appartiene dunque esclusivamente alla pubblicistica, dove circola in una cornice narrativa che accosta l'agenzia alla galassia Gladio e alle ingerenze internazionali sul sequestro senza produrre alcun documento che colleghi specificamente Aginter al 1978. Anche l'opera monografica dedicata all'agenzia, del 2017, si concentra sulla stagione stragista e non stabilisce un nesso con Moro.</w:t>
      </w:r>
    </w:p>
    <w:p>
      <w:pPr>
        <w:spacing w:after="120" w:line="276"/>
        <w:jc w:val="both"/>
      </w:pPr>
      <w:r>
        <w:rPr>
          <w:rFonts w:ascii="Barlow Semi Condensed" w:cs="Barlow Semi Condensed" w:eastAsia="Barlow Semi Condensed" w:hAnsi="Barlow Semi Condensed"/>
          <w:b/>
          <w:bCs/>
          <w:sz w:val="24"/>
          <w:szCs w:val="24"/>
        </w:rPr>
        <w:t xml:space="preserve">La tesi va qualificata, secondo i requisiti di metodo, come non sostenuta dalle fonti primarie.</w:t>
      </w:r>
    </w:p>
    <w:p>
      <w:pPr>
        <w:pStyle w:val="Heading2"/>
        <w:spacing w:after="100" w:before="200"/>
      </w:pPr>
      <w:r>
        <w:rPr>
          <w:rFonts w:ascii="Barlow Semi Condensed" w:cs="Barlow Semi Condensed" w:eastAsia="Barlow Semi Condensed" w:hAnsi="Barlow Semi Condensed"/>
          <w:sz w:val="24"/>
          <w:szCs w:val="24"/>
        </w:rPr>
        <w:t xml:space="preserve">Capitolo ottavo — La posizione processuale di Guérin-Sérac</w:t>
      </w:r>
    </w:p>
    <w:p>
      <w:pPr>
        <w:spacing w:after="120" w:line="276"/>
        <w:jc w:val="both"/>
      </w:pPr>
      <w:r>
        <w:rPr>
          <w:rFonts w:ascii="Barlow Semi Condensed" w:cs="Barlow Semi Condensed" w:eastAsia="Barlow Semi Condensed" w:hAnsi="Barlow Semi Condensed"/>
          <w:b/>
          <w:bCs/>
          <w:sz w:val="24"/>
          <w:szCs w:val="24"/>
        </w:rPr>
        <w:t xml:space="preserve">Il capitolo espone che cosa lo Stato italiano fece, in concreto, nei confronti dell'uomo che il proprio servizio aveva nominato nel 1969.</w:t>
      </w:r>
    </w:p>
    <w:p>
      <w:pPr>
        <w:spacing w:after="120" w:line="276"/>
        <w:jc w:val="both"/>
      </w:pPr>
      <w:r>
        <w:rPr>
          <w:rFonts w:ascii="Barlow Semi Condensed" w:cs="Barlow Semi Condensed" w:eastAsia="Barlow Semi Condensed" w:hAnsi="Barlow Semi Condensed"/>
          <w:b/>
          <w:bCs/>
          <w:sz w:val="24"/>
          <w:szCs w:val="24"/>
        </w:rPr>
        <w:t xml:space="preserve">Le acquisizioni documentali, per due filoni. Il primo, più antico: una piccola parte del materiale rinvenuto a Lisbona nella sede dell'Aginter Press era stata fotografata da alcuni giornalisti italiani e prodotta ai giudici inquirenti dottor D'Ambrosio e dottor Alessandrini durante le prime indagini milanesi. Il secondo, più tardo, deriva dalla collaborazione dei servizi: alcuni atti furono trovati grazie alla collaborazione del SISMI, e altri dati erano presenti nell'archivio del SISDE.</w:t>
      </w:r>
    </w:p>
    <w:p>
      <w:pPr>
        <w:spacing w:after="120" w:line="276"/>
        <w:jc w:val="both"/>
      </w:pPr>
      <w:r>
        <w:rPr>
          <w:rFonts w:ascii="Barlow Semi Condensed" w:cs="Barlow Semi Condensed" w:eastAsia="Barlow Semi Condensed" w:hAnsi="Barlow Semi Condensed"/>
          <w:b/>
          <w:bCs/>
          <w:sz w:val="24"/>
          <w:szCs w:val="24"/>
        </w:rPr>
        <w:t xml:space="preserve">Va notato che il primo filone passò per giornalisti e non per lo Stato.</w:t>
      </w:r>
    </w:p>
    <w:p>
      <w:pPr>
        <w:spacing w:after="120" w:line="276"/>
        <w:jc w:val="both"/>
      </w:pPr>
      <w:r>
        <w:rPr>
          <w:rFonts w:ascii="Barlow Semi Condensed" w:cs="Barlow Semi Condensed" w:eastAsia="Barlow Semi Condensed" w:hAnsi="Barlow Semi Condensed"/>
          <w:b/>
          <w:bCs/>
          <w:sz w:val="24"/>
          <w:szCs w:val="24"/>
        </w:rPr>
        <w:t xml:space="preserve">Gli atti giudiziari nei confronti di Guérin-Sérac. Fu emesso mandato di comparizione sia per costituzione di banda armata sia per i reati connessi agli attentati anti-algerini, notificato al difensore d'ufficio con il rito dell'irreperibilità.</w:t>
      </w:r>
    </w:p>
    <w:p>
      <w:pPr>
        <w:spacing w:after="120" w:line="276"/>
        <w:jc w:val="both"/>
      </w:pPr>
      <w:r>
        <w:rPr>
          <w:rFonts w:ascii="Barlow Semi Condensed" w:cs="Barlow Semi Condensed" w:eastAsia="Barlow Semi Condensed" w:hAnsi="Barlow Semi Condensed"/>
          <w:b/>
          <w:bCs/>
          <w:sz w:val="24"/>
          <w:szCs w:val="24"/>
        </w:rPr>
        <w:t xml:space="preserve">La ragione dell'irreperibilità è documentata dall'istruttoria con una formula che va riportata:\\ di lui \\esistono i dati anagrafici, ma, ad esempio, nemmeno una fotografia o un indirizzo non puramente fittizio.</w:t>
      </w:r>
    </w:p>
    <w:p>
      <w:pPr>
        <w:spacing w:after="120" w:line="276"/>
        <w:jc w:val="both"/>
      </w:pPr>
      <w:r>
        <w:rPr>
          <w:rFonts w:ascii="Barlow Semi Condensed" w:cs="Barlow Semi Condensed" w:eastAsia="Barlow Semi Condensed" w:hAnsi="Barlow Semi Condensed"/>
          <w:b/>
          <w:bCs/>
          <w:sz w:val="24"/>
          <w:szCs w:val="24"/>
        </w:rPr>
        <w:t xml:space="preserve">Il rinvio a giudizio fu disposto per il reato di costituzione e organizzazione di banda armata, articolo trecentosei primo comma del codice penale, ritenendolo il principale artefice ed organizzatore della struttura armata che, dopo la fuga dal Portogallo, ha operato con base in Spagna.</w:t>
      </w:r>
    </w:p>
    <w:p>
      <w:pPr>
        <w:spacing w:after="120" w:line="276"/>
        <w:jc w:val="both"/>
      </w:pPr>
      <w:r>
        <w:rPr>
          <w:rFonts w:ascii="Barlow Semi Condensed" w:cs="Barlow Semi Condensed" w:eastAsia="Barlow Semi Condensed" w:hAnsi="Barlow Semi Condensed"/>
          <w:b/>
          <w:bCs/>
          <w:sz w:val="24"/>
          <w:szCs w:val="24"/>
        </w:rPr>
        <w:t xml:space="preserve">Un elemento tecnico va registrato perché spiega la giurisdizione. Trattandosi di delitto contro la personalità dello Stato, la legge italiana era applicabile allo straniero anche per fatti commessi all'estero, ai sensi dell'articolo sette del codice penale.</w:t>
      </w:r>
    </w:p>
    <w:p>
      <w:pPr>
        <w:spacing w:after="120" w:line="276"/>
        <w:jc w:val="both"/>
      </w:pPr>
      <w:r>
        <w:rPr>
          <w:rFonts w:ascii="Barlow Semi Condensed" w:cs="Barlow Semi Condensed" w:eastAsia="Barlow Semi Condensed" w:hAnsi="Barlow Semi Condensed"/>
          <w:b/>
          <w:bCs/>
          <w:sz w:val="24"/>
          <w:szCs w:val="24"/>
        </w:rPr>
        <w:t xml:space="preserve">I reati connessi agli attentati anti-algerini dell'estate 1975 furono invece dichiarati estinti per prescrizione.</w:t>
      </w:r>
    </w:p>
    <w:p>
      <w:pPr>
        <w:spacing w:after="120" w:line="276"/>
        <w:jc w:val="both"/>
      </w:pPr>
      <w:r>
        <w:rPr>
          <w:rFonts w:ascii="Barlow Semi Condensed" w:cs="Barlow Semi Condensed" w:eastAsia="Barlow Semi Condensed" w:hAnsi="Barlow Semi Condensed"/>
          <w:b/>
          <w:bCs/>
          <w:sz w:val="24"/>
          <w:szCs w:val="24"/>
        </w:rPr>
        <w:t xml:space="preserve">L'esito materiale. Guérin-Sérac non fu mai catturato né interrogato; nessun magistrato riuscì a rintracciarlo. Le ultime notizie acquisite dai carabinieri lo indicavano, senza indirizzo accertato, in Spagna e poi in Colombia. L'irreperibilità durò fino alla morte, il 9 marzo 2022.</w:t>
      </w:r>
    </w:p>
    <w:p>
      <w:pPr>
        <w:spacing w:after="120" w:line="276"/>
        <w:jc w:val="both"/>
      </w:pPr>
      <w:r>
        <w:rPr>
          <w:rFonts w:ascii="Barlow Semi Condensed" w:cs="Barlow Semi Condensed" w:eastAsia="Barlow Semi Condensed" w:hAnsi="Barlow Semi Condensed"/>
          <w:b/>
          <w:bCs/>
          <w:sz w:val="24"/>
          <w:szCs w:val="24"/>
        </w:rPr>
        <w:t xml:space="preserve">E adesso il dato che chiude il capitolo e riguarda il quesito di questa ricognizione.</w:t>
      </w:r>
    </w:p>
    <w:p>
      <w:pPr>
        <w:spacing w:after="120" w:line="276"/>
        <w:jc w:val="both"/>
      </w:pPr>
      <w:r>
        <w:rPr>
          <w:rFonts w:ascii="Barlow Semi Condensed" w:cs="Barlow Semi Condensed" w:eastAsia="Barlow Semi Condensed" w:hAnsi="Barlow Semi Condensed"/>
          <w:b/>
          <w:bCs/>
          <w:sz w:val="24"/>
          <w:szCs w:val="24"/>
        </w:rPr>
        <w:t xml:space="preserve">Non risulta alcuna richiesta italiana di estradizione accolta o respinta dal Portogallo o da altro Stato. La questione non si pose mai in termini di estradizione, perché l'uomo non fu mai localizzato in un luogo accertato, e la notifica avvenne per irreperibilità.</w:t>
      </w:r>
    </w:p>
    <w:p>
      <w:pPr>
        <w:spacing w:after="120" w:line="276"/>
        <w:jc w:val="both"/>
      </w:pPr>
      <w:r>
        <w:rPr>
          <w:rFonts w:ascii="Barlow Semi Condensed" w:cs="Barlow Semi Condensed" w:eastAsia="Barlow Semi Condensed" w:hAnsi="Barlow Semi Condensed"/>
          <w:b/>
          <w:bCs/>
          <w:sz w:val="24"/>
          <w:szCs w:val="24"/>
        </w:rPr>
        <w:t xml:space="preserve">Ne discende un accertamento che rafforza l'esito generale: l'unica azione dello Stato italiano nei confronti di Guérin-Sérac transitò per l'autorità giudiziaria e le forze di polizia. Mai per un canale diplomatico. Mai per una richiesta formale a Lisbona.</w:t>
      </w:r>
    </w:p>
    <w:p>
      <w:pPr>
        <w:spacing w:after="120" w:line="276"/>
        <w:jc w:val="both"/>
      </w:pPr>
      <w:r>
        <w:rPr>
          <w:rFonts w:ascii="Barlow Semi Condensed" w:cs="Barlow Semi Condensed" w:eastAsia="Barlow Semi Condensed" w:hAnsi="Barlow Semi Condensed"/>
          <w:b/>
          <w:bCs/>
          <w:sz w:val="24"/>
          <w:szCs w:val="24"/>
        </w:rPr>
        <w:t xml:space="preserve">Nemmeno dopo l'aprile 1974, quando il regime che lo proteggeva era caduto e la collaborazione sarebbe divenuta possibile.</w:t>
      </w:r>
    </w:p>
    <w:p>
      <w:pPr>
        <w:pStyle w:val="Heading2"/>
        <w:spacing w:after="100" w:before="200"/>
      </w:pPr>
      <w:r>
        <w:rPr>
          <w:rFonts w:ascii="Barlow Semi Condensed" w:cs="Barlow Semi Condensed" w:eastAsia="Barlow Semi Condensed" w:hAnsi="Barlow Semi Condensed"/>
          <w:sz w:val="24"/>
          <w:szCs w:val="24"/>
        </w:rPr>
        <w:t xml:space="preserve">Capitolo nono — La relazione bilaterale italo-portoghese</w:t>
      </w:r>
    </w:p>
    <w:p>
      <w:pPr>
        <w:spacing w:after="120" w:line="276"/>
        <w:jc w:val="both"/>
      </w:pPr>
      <w:r>
        <w:rPr>
          <w:rFonts w:ascii="Barlow Semi Condensed" w:cs="Barlow Semi Condensed" w:eastAsia="Barlow Semi Condensed" w:hAnsi="Barlow Semi Condensed"/>
          <w:b/>
          <w:bCs/>
          <w:sz w:val="24"/>
          <w:szCs w:val="24"/>
        </w:rPr>
        <w:t xml:space="preserve">Il capitolo espone il contesto delle relazioni fra i due Stati, e verifica se la materia clandestina vi sia mai comparsa.</w:t>
      </w:r>
    </w:p>
    <w:p>
      <w:pPr>
        <w:spacing w:after="120" w:line="276"/>
        <w:jc w:val="both"/>
      </w:pPr>
      <w:r>
        <w:rPr>
          <w:rFonts w:ascii="Barlow Semi Condensed" w:cs="Barlow Semi Condensed" w:eastAsia="Barlow Semi Condensed" w:hAnsi="Barlow Semi Condensed"/>
          <w:b/>
          <w:bCs/>
          <w:sz w:val="24"/>
          <w:szCs w:val="24"/>
        </w:rPr>
        <w:t xml:space="preserve">Il quadro generale, dalla storiografia accademica. Le relazioni luso-italiane furono in quegli anni profondamente condizionate dalla guerra coloniale portoghese, con l'Italia divisa fra la fedeltà atlantica all'alleato e posizioni crescentemente favorevoli all'autodeterminazione.</w:t>
      </w:r>
    </w:p>
    <w:p>
      <w:pPr>
        <w:spacing w:after="120" w:line="276"/>
        <w:jc w:val="both"/>
      </w:pPr>
      <w:r>
        <w:rPr>
          <w:rFonts w:ascii="Barlow Semi Condensed" w:cs="Barlow Semi Condensed" w:eastAsia="Barlow Semi Condensed" w:hAnsi="Barlow Semi Condensed"/>
          <w:b/>
          <w:bCs/>
          <w:sz w:val="24"/>
          <w:szCs w:val="24"/>
        </w:rPr>
        <w:t xml:space="preserve">Un dato va enunciato perché è notevole. Roma divenne un centro dell'opposizione antisalazarista in esilio, e l'Italia — soprattutto attraverso il rapporto con il movimento di liberazione mozambicano e a partire dai primi anni Settanta — giocò un ruolo importante nella legittimazione internazionale dei movimenti di liberazione delle colonie portoghesi in sede delle Nazioni Unite.</w:t>
      </w:r>
    </w:p>
    <w:p>
      <w:pPr>
        <w:spacing w:after="120" w:line="276"/>
        <w:jc w:val="both"/>
      </w:pPr>
      <w:r>
        <w:rPr>
          <w:rFonts w:ascii="Barlow Semi Condensed" w:cs="Barlow Semi Condensed" w:eastAsia="Barlow Semi Condensed" w:hAnsi="Barlow Semi Condensed"/>
          <w:b/>
          <w:bCs/>
          <w:sz w:val="24"/>
          <w:szCs w:val="24"/>
        </w:rPr>
        <w:t xml:space="preserve">Ne discende una circostanza che merita di essere registrata: nel medesimo periodo in cui Aginter Press operava a Lisbona contro quei movimenti, Roma ne ospitava la rappresentanza in esilio. Le due cose sono documentate e indipendenti; il loro accostamento non stabilisce alcun nesso, e lo si registra come contesto e non come connessione.</w:t>
      </w:r>
    </w:p>
    <w:p>
      <w:pPr>
        <w:spacing w:after="120" w:line="276"/>
        <w:jc w:val="both"/>
      </w:pPr>
      <w:r>
        <w:rPr>
          <w:rFonts w:ascii="Barlow Semi Condensed" w:cs="Barlow Semi Condensed" w:eastAsia="Barlow Semi Condensed" w:hAnsi="Barlow Semi Condensed"/>
          <w:b/>
          <w:bCs/>
          <w:sz w:val="24"/>
          <w:szCs w:val="24"/>
        </w:rPr>
        <w:t xml:space="preserve">Un episodio del dialogo bilaterale, del 1965.\\ Salazar, in conversazione con l'ambasciatore italiano, \\deplorava che fra le conseguenze della Seconda guerra mondiale vi fosse stata l'imposizione all'Italia di abbandonare le proprie colonie.</w:t>
      </w:r>
    </w:p>
    <w:p>
      <w:pPr>
        <w:spacing w:after="120" w:line="276"/>
        <w:jc w:val="both"/>
      </w:pPr>
      <w:r>
        <w:rPr>
          <w:rFonts w:ascii="Barlow Semi Condensed" w:cs="Barlow Semi Condensed" w:eastAsia="Barlow Semi Condensed" w:hAnsi="Barlow Semi Condensed"/>
          <w:b/>
          <w:bCs/>
          <w:sz w:val="24"/>
          <w:szCs w:val="24"/>
        </w:rPr>
        <w:t xml:space="preserve">L'episodio attesta un dialogo diretto fra il capo del regime e l'ambasciatore italiano, ma su temi coloniali e ideologici — non su attività clandestine.</w:t>
      </w:r>
    </w:p>
    <w:p>
      <w:pPr>
        <w:spacing w:after="120" w:line="276"/>
        <w:jc w:val="both"/>
      </w:pPr>
      <w:r>
        <w:rPr>
          <w:rFonts w:ascii="Barlow Semi Condensed" w:cs="Barlow Semi Condensed" w:eastAsia="Barlow Semi Condensed" w:hAnsi="Barlow Semi Condensed"/>
          <w:b/>
          <w:bCs/>
          <w:sz w:val="24"/>
          <w:szCs w:val="24"/>
        </w:rPr>
        <w:t xml:space="preserve">Non è stata reperita alcuna traccia di un incidente diplomatico bilaterale relativo ad attività clandestine su suolo portoghese, né di una sollevazione in sede bilaterale della questione Aginter.</w:t>
      </w:r>
    </w:p>
    <w:p>
      <w:pPr>
        <w:spacing w:after="120" w:line="276"/>
        <w:jc w:val="both"/>
      </w:pPr>
      <w:r>
        <w:rPr>
          <w:rFonts w:ascii="Barlow Semi Condensed" w:cs="Barlow Semi Condensed" w:eastAsia="Barlow Semi Condensed" w:hAnsi="Barlow Semi Condensed"/>
          <w:b/>
          <w:bCs/>
          <w:sz w:val="24"/>
          <w:szCs w:val="24"/>
        </w:rPr>
        <w:t xml:space="preserve">Sulle forniture di armamenti, le fonti indicano che l'armamento portoghese dipendeva prevalentemente da forniture americane e tedesche, e non menzionano l'Italia come fornitore. Questa assenza va segnalata con cautela, non avendo la ricerca potuto consultare lo studio specialistico portoghese né le banche dati sull'export.</w:t>
      </w:r>
    </w:p>
    <w:p>
      <w:pPr>
        <w:spacing w:after="120" w:line="276"/>
        <w:jc w:val="both"/>
      </w:pPr>
      <w:r>
        <w:rPr>
          <w:rFonts w:ascii="Barlow Semi Condensed" w:cs="Barlow Semi Condensed" w:eastAsia="Barlow Semi Condensed" w:hAnsi="Barlow Semi Condensed"/>
          <w:b/>
          <w:bCs/>
          <w:sz w:val="24"/>
          <w:szCs w:val="24"/>
        </w:rPr>
        <w:t xml:space="preserve">Un caso emblematico della cautela diplomatica italiana verso Lisbona chiude il capitolo, ed è già acquisito nel corpus. L'espulsione dal Mozambico, il 13 aprile 1974, di un gruppo di missionari comboniani italiani a seguito del documento Imperativo di coscienza del vescovo di Nampula Manuel Vieira Pinto, anch'egli allontanato.</w:t>
      </w:r>
    </w:p>
    <w:p>
      <w:pPr>
        <w:spacing w:after="120" w:line="276"/>
        <w:jc w:val="both"/>
      </w:pPr>
      <w:r>
        <w:rPr>
          <w:rFonts w:ascii="Barlow Semi Condensed" w:cs="Barlow Semi Condensed" w:eastAsia="Barlow Semi Condensed" w:hAnsi="Barlow Semi Condensed"/>
          <w:b/>
          <w:bCs/>
          <w:sz w:val="24"/>
          <w:szCs w:val="24"/>
        </w:rPr>
        <w:t xml:space="preserve">Sul numero degli espulsi le fonti divergono, e la divergenza va registrata perché tocca un dato già iscritto nel corpus. Le fonti comboniane parlano di undici comboniani; altra tradizione riferisce del vescovo e di tredici; il contesto acquisito dalla quinta ricognizione indicava nove.</w:t>
      </w:r>
    </w:p>
    <w:p>
      <w:pPr>
        <w:spacing w:after="120" w:line="276"/>
        <w:jc w:val="both"/>
      </w:pPr>
      <w:r>
        <w:rPr>
          <w:rFonts w:ascii="Barlow Semi Condensed" w:cs="Barlow Semi Condensed" w:eastAsia="Barlow Semi Condensed" w:hAnsi="Barlow Semi Condensed"/>
          <w:b/>
          <w:bCs/>
          <w:sz w:val="24"/>
          <w:szCs w:val="24"/>
        </w:rPr>
        <w:t xml:space="preserve">La divergenza non intacca il dato che qui rileva: l'assenza di traccia di un intervento diplomatico italiano.</w:t>
      </w:r>
    </w:p>
    <w:p>
      <w:pPr>
        <w:pStyle w:val="Heading2"/>
        <w:spacing w:after="100" w:before="200"/>
      </w:pPr>
      <w:r>
        <w:rPr>
          <w:rFonts w:ascii="Barlow Semi Condensed" w:cs="Barlow Semi Condensed" w:eastAsia="Barlow Semi Condensed" w:hAnsi="Barlow Semi Condensed"/>
          <w:sz w:val="24"/>
          <w:szCs w:val="24"/>
        </w:rPr>
        <w:t xml:space="preserve">Capitolo decimo — Perché il primo silenzio è conoscitivo e non accertato</w:t>
      </w:r>
    </w:p>
    <w:p>
      <w:pPr>
        <w:spacing w:after="120" w:line="276"/>
        <w:jc w:val="both"/>
      </w:pPr>
      <w:r>
        <w:rPr>
          <w:rFonts w:ascii="Barlow Semi Condensed" w:cs="Barlow Semi Condensed" w:eastAsia="Barlow Semi Condensed" w:hAnsi="Barlow Semi Condensed"/>
          <w:b/>
          <w:bCs/>
          <w:sz w:val="24"/>
          <w:szCs w:val="24"/>
        </w:rPr>
        <w:t xml:space="preserve">Il capitolo documenta le tre circostanze che rendono lo Stato Zero diplomatico un esito conoscitivo anziché un accertamento positivo, perché tacerle sarebbe presentare come prova ciò che è limite.</w:t>
      </w:r>
    </w:p>
    <w:p>
      <w:pPr>
        <w:spacing w:after="120" w:line="276"/>
        <w:jc w:val="both"/>
      </w:pPr>
      <w:r>
        <w:rPr>
          <w:rFonts w:ascii="Barlow Semi Condensed" w:cs="Barlow Semi Condensed" w:eastAsia="Barlow Semi Condensed" w:hAnsi="Barlow Semi Condensed"/>
          <w:b/>
          <w:bCs/>
          <w:sz w:val="24"/>
          <w:szCs w:val="24"/>
        </w:rPr>
        <w:t xml:space="preserve">Prima circostanza — i Documenti Diplomatici Italiani non coprono il periodo. La collana ufficiale, che sarebbe lo strumento più rapido per una prima verifica, procede per serie e l'ultimo volume edito arriva cronologicamente al 1952: sesto volume dell'undicesima serie, relativo al settimo governo De Gasperi fino al 30 giugno 1952.</w:t>
      </w:r>
    </w:p>
    <w:p>
      <w:pPr>
        <w:spacing w:after="120" w:line="276"/>
        <w:jc w:val="both"/>
      </w:pPr>
      <w:r>
        <w:rPr>
          <w:rFonts w:ascii="Barlow Semi Condensed" w:cs="Barlow Semi Condensed" w:eastAsia="Barlow Semi Condensed" w:hAnsi="Barlow Semi Condensed"/>
          <w:b/>
          <w:bCs/>
          <w:sz w:val="24"/>
          <w:szCs w:val="24"/>
        </w:rPr>
        <w:t xml:space="preserve">Ne discende che i Documenti Diplomatici Italiani non possono contenere alcun riferimento ad Aginter Press — non per silenzio selettivo ma per non avvenuto raggiungimento del periodo.</w:t>
      </w:r>
    </w:p>
    <w:p>
      <w:pPr>
        <w:spacing w:after="120" w:line="276"/>
        <w:jc w:val="both"/>
      </w:pPr>
      <w:r>
        <w:rPr>
          <w:rFonts w:ascii="Barlow Semi Condensed" w:cs="Barlow Semi Condensed" w:eastAsia="Barlow Semi Condensed" w:hAnsi="Barlow Semi Condensed"/>
          <w:b/>
          <w:bCs/>
          <w:sz w:val="24"/>
          <w:szCs w:val="24"/>
        </w:rPr>
        <w:t xml:space="preserve">È assenza strutturale, non editoriale, e va distinta da ogni altra.</w:t>
      </w:r>
    </w:p>
    <w:p>
      <w:pPr>
        <w:spacing w:after="120" w:line="276"/>
        <w:jc w:val="both"/>
      </w:pPr>
      <w:r>
        <w:rPr>
          <w:rFonts w:ascii="Barlow Semi Condensed" w:cs="Barlow Semi Condensed" w:eastAsia="Barlow Semi Condensed" w:hAnsi="Barlow Semi Condensed"/>
          <w:b/>
          <w:bCs/>
          <w:sz w:val="24"/>
          <w:szCs w:val="24"/>
        </w:rPr>
        <w:t xml:space="preserve">Seconda circostanza — il regime di accesso dell'Archivio Storico Diplomatico. Esso conserva circa trenta chilometri lineari di documenti e — circostanza rilevante — non versa la propria documentazione all'Archivio Centrale dello Stato ma la conserva presso di sé.</w:t>
      </w:r>
    </w:p>
    <w:p>
      <w:pPr>
        <w:spacing w:after="120" w:line="276"/>
        <w:jc w:val="both"/>
      </w:pPr>
      <w:r>
        <w:rPr>
          <w:rFonts w:ascii="Barlow Semi Condensed" w:cs="Barlow Semi Condensed" w:eastAsia="Barlow Semi Condensed" w:hAnsi="Barlow Semi Condensed"/>
          <w:b/>
          <w:bCs/>
          <w:sz w:val="24"/>
          <w:szCs w:val="24"/>
        </w:rPr>
        <w:t xml:space="preserve">L'accesso è subordinato\\ a registrazione, autorizzazione del capo dell'Unità e prenotazione; e \\per la documentazione dal 1949 in poi l'utente è tenuto a inviare un elenco dei faldoni che intende consultare per verificarne la disponibilità.</w:t>
      </w:r>
    </w:p>
    <w:p>
      <w:pPr>
        <w:spacing w:after="120" w:line="276"/>
        <w:jc w:val="both"/>
      </w:pPr>
      <w:r>
        <w:rPr>
          <w:rFonts w:ascii="Barlow Semi Condensed" w:cs="Barlow Semi Condensed" w:eastAsia="Barlow Semi Condensed" w:hAnsi="Barlow Semi Condensed"/>
          <w:b/>
          <w:bCs/>
          <w:sz w:val="24"/>
          <w:szCs w:val="24"/>
        </w:rPr>
        <w:t xml:space="preserve">Il rilievo operativo va enunciato: non è possibile una ricerca esplorativa. Occorre sapere che cosa si cerca prima di poterlo cercare — ed è precisamente ciò che rende necessario il dato dei capi missione fissato al Capitolo secondo.</w:t>
      </w:r>
    </w:p>
    <w:p>
      <w:pPr>
        <w:spacing w:after="120" w:line="276"/>
        <w:jc w:val="both"/>
      </w:pPr>
      <w:r>
        <w:rPr>
          <w:rFonts w:ascii="Barlow Semi Condensed" w:cs="Barlow Semi Condensed" w:eastAsia="Barlow Semi Condensed" w:hAnsi="Barlow Semi Condensed"/>
          <w:b/>
          <w:bCs/>
          <w:sz w:val="24"/>
          <w:szCs w:val="24"/>
        </w:rPr>
        <w:t xml:space="preserve">Si aggiunge che la serie Telegrammi, già segnalata come esclusa per lavori, risulta restaurata e rilegata e per ciò stesso non fotocopiabile, il che limita ulteriormente la ricerca anche a esclusione superata.</w:t>
      </w:r>
    </w:p>
    <w:p>
      <w:pPr>
        <w:spacing w:after="120" w:line="276"/>
        <w:jc w:val="both"/>
      </w:pPr>
      <w:r>
        <w:rPr>
          <w:rFonts w:ascii="Barlow Semi Condensed" w:cs="Barlow Semi Condensed" w:eastAsia="Barlow Semi Condensed" w:hAnsi="Barlow Semi Condensed"/>
          <w:b/>
          <w:bCs/>
          <w:sz w:val="24"/>
          <w:szCs w:val="24"/>
        </w:rPr>
        <w:t xml:space="preserve">Terza circostanza — il silenzio della storiografia bilaterale.\\ La letteratura sulle relazioni italo-portoghesi del periodo esiste ed è di qualità, ma \\non ha mai incrociato il tema Aginter.</w:t>
      </w:r>
    </w:p>
    <w:p>
      <w:pPr>
        <w:spacing w:after="120" w:line="276"/>
        <w:jc w:val="both"/>
      </w:pPr>
      <w:r>
        <w:rPr>
          <w:rFonts w:ascii="Barlow Semi Condensed" w:cs="Barlow Semi Condensed" w:eastAsia="Barlow Semi Condensed" w:hAnsi="Barlow Semi Condensed"/>
          <w:b/>
          <w:bCs/>
          <w:sz w:val="24"/>
          <w:szCs w:val="24"/>
        </w:rPr>
        <w:t xml:space="preserve">Ne discende che nessuna delle tre vie di verifica rapida è percorribile, e che l'esito negativo qui raggiunto è Stato Zero di secondo grado secondo la gradazione consolidata nel corpus: limite di strumento, non impossibilità istituzionale né deposito inesplorato.</w:t>
      </w:r>
    </w:p>
    <w:p>
      <w:pPr>
        <w:spacing w:after="120" w:line="276"/>
        <w:jc w:val="both"/>
      </w:pPr>
      <w:r>
        <w:rPr>
          <w:rFonts w:ascii="Barlow Semi Condensed" w:cs="Barlow Semi Condensed" w:eastAsia="Barlow Semi Condensed" w:hAnsi="Barlow Semi Condensed"/>
          <w:b/>
          <w:bCs/>
          <w:sz w:val="24"/>
          <w:szCs w:val="24"/>
        </w:rPr>
        <w:t xml:space="preserve">La sede per convertirlo in accertamento definitivo, positivo o negativo, è l'Archivio Storico Diplomatico, serie Portogallo 1966-1975 e registri dell'ambasciata di Lisbona sotto Cerulli Irelli e Messeri.</w:t>
      </w:r>
    </w:p>
    <w:p>
      <w:pPr>
        <w:spacing w:after="120" w:line="276"/>
        <w:jc w:val="both"/>
      </w:pPr>
      <w:r>
        <w:rPr>
          <w:rFonts w:ascii="Barlow Semi Condensed" w:cs="Barlow Semi Condensed" w:eastAsia="Barlow Semi Condensed" w:hAnsi="Barlow Semi Condensed"/>
          <w:b/>
          <w:bCs/>
          <w:sz w:val="24"/>
          <w:szCs w:val="24"/>
        </w:rPr>
        <w:t xml:space="preserve">Sul versante portoghese il fondo della polizia politica alla Torre do Tombo — parte di un complesso di circa centoquaranta chilometri lineari — è integrato nell'archivio nazionale per legge del 17 gennaio 1991 ma soggetto a regolamento proprio; e resta valida la dichiarazione del capo divisione secondo cui metà della documentazione esistente nei depositi è ancora da consultare.</w:t>
      </w:r>
    </w:p>
    <w:p>
      <w:pPr>
        <w:spacing w:after="120" w:line="276"/>
        <w:jc w:val="both"/>
      </w:pPr>
      <w:r>
        <w:rPr>
          <w:rFonts w:ascii="Barlow Semi Condensed" w:cs="Barlow Semi Condensed" w:eastAsia="Barlow Semi Condensed" w:hAnsi="Barlow Semi Condensed"/>
          <w:b/>
          <w:bCs/>
          <w:sz w:val="24"/>
          <w:szCs w:val="24"/>
        </w:rPr>
        <w:t xml:space="preserve">Sarebbe la sede dove verificare l'eventuale presenza di nominativi o corrispondenza italiani di fonte diplomatica anziché politica o poliziesca.</w:t>
      </w:r>
    </w:p>
    <w:p>
      <w:pPr>
        <w:pStyle w:val="Heading2"/>
        <w:spacing w:after="100" w:before="200"/>
      </w:pPr>
      <w:r>
        <w:rPr>
          <w:rFonts w:ascii="Barlow Semi Condensed" w:cs="Barlow Semi Condensed" w:eastAsia="Barlow Semi Condensed" w:hAnsi="Barlow Semi Condensed"/>
          <w:sz w:val="24"/>
          <w:szCs w:val="24"/>
        </w:rPr>
        <w:t xml:space="preserve">Capitolo undicesimo — L'ottavo grado: il falso positivo</w:t>
      </w:r>
    </w:p>
    <w:p>
      <w:pPr>
        <w:spacing w:after="120" w:line="276"/>
        <w:jc w:val="both"/>
      </w:pPr>
      <w:r>
        <w:rPr>
          <w:rFonts w:ascii="Barlow Semi Condensed" w:cs="Barlow Semi Condensed" w:eastAsia="Barlow Semi Condensed" w:hAnsi="Barlow Semi Condensed"/>
          <w:b/>
          <w:bCs/>
          <w:sz w:val="24"/>
          <w:szCs w:val="24"/>
        </w:rPr>
        <w:t xml:space="preserve">Il capitolo enuncia l'acquisizione che questa ricognizione consegna al sistema di gradazione degli Stati Zero già consolidato nel corpus.</w:t>
      </w:r>
    </w:p>
    <w:p>
      <w:pPr>
        <w:spacing w:after="120" w:line="276"/>
        <w:jc w:val="both"/>
      </w:pPr>
      <w:r>
        <w:rPr>
          <w:rFonts w:ascii="Barlow Semi Condensed" w:cs="Barlow Semi Condensed" w:eastAsia="Barlow Semi Condensed" w:hAnsi="Barlow Semi Condensed"/>
          <w:b/>
          <w:bCs/>
          <w:sz w:val="24"/>
          <w:szCs w:val="24"/>
        </w:rPr>
        <w:t xml:space="preserve">Il sistema vigente conta sette gradi, ordinati per natura dell'impedimento: impossibilità istituzionale; limite di strumento; deposito inesplorato; insieme vuoto verificato; esito negativo presso i beneficiari; assenza coerente con la collocazione; allegazione senza base documentale.</w:t>
      </w:r>
    </w:p>
    <w:p>
      <w:pPr>
        <w:spacing w:after="120" w:line="276"/>
        <w:jc w:val="both"/>
      </w:pPr>
      <w:r>
        <w:rPr>
          <w:rFonts w:ascii="Barlow Semi Condensed" w:cs="Barlow Semi Condensed" w:eastAsia="Barlow Semi Condensed" w:hAnsi="Barlow Semi Condensed"/>
          <w:b/>
          <w:bCs/>
          <w:sz w:val="24"/>
          <w:szCs w:val="24"/>
        </w:rPr>
        <w:t xml:space="preserve">Nessuno dei sette contempla il caso accertato al Capitolo quarto.</w:t>
      </w:r>
    </w:p>
    <w:p>
      <w:pPr>
        <w:spacing w:after="120" w:line="276"/>
        <w:jc w:val="both"/>
      </w:pPr>
      <w:r>
        <w:rPr>
          <w:rFonts w:ascii="Barlow Semi Condensed" w:cs="Barlow Semi Condensed" w:eastAsia="Barlow Semi Condensed" w:hAnsi="Barlow Semi Condensed"/>
          <w:b/>
          <w:bCs/>
          <w:sz w:val="24"/>
          <w:szCs w:val="24"/>
        </w:rPr>
        <w:t xml:space="preserve">Perché essi presuppongono tutti che l'informazione manchi. Il primo perché nessuno può accedervi; il secondo perché non è interrogabile; il terzo perché nessuno l'ha letta; il quarto perché non c'è; il quinto e il sesto perché non se ne trova traccia; il settimo perché ciò che si afferma non ha base.</w:t>
      </w:r>
    </w:p>
    <w:p>
      <w:pPr>
        <w:spacing w:after="120" w:line="276"/>
        <w:jc w:val="both"/>
      </w:pPr>
      <w:r>
        <w:rPr>
          <w:rFonts w:ascii="Barlow Semi Condensed" w:cs="Barlow Semi Condensed" w:eastAsia="Barlow Semi Condensed" w:hAnsi="Barlow Semi Condensed"/>
          <w:b/>
          <w:bCs/>
          <w:sz w:val="24"/>
          <w:szCs w:val="24"/>
        </w:rPr>
        <w:t xml:space="preserve">Ma nel caso del SID l'informazione non mancava: era detenuta, ed è stata sostituita.</w:t>
      </w:r>
    </w:p>
    <w:p>
      <w:pPr>
        <w:spacing w:after="120" w:line="276"/>
        <w:jc w:val="both"/>
      </w:pPr>
      <w:r>
        <w:rPr>
          <w:rFonts w:ascii="Barlow Semi Condensed" w:cs="Barlow Semi Condensed" w:eastAsia="Barlow Semi Condensed" w:hAnsi="Barlow Semi Condensed"/>
          <w:b/>
          <w:bCs/>
          <w:sz w:val="24"/>
          <w:szCs w:val="24"/>
        </w:rPr>
        <w:t xml:space="preserve">Propongo dunque un ottavo grado, e lo denomino falso positivo.</w:t>
      </w:r>
    </w:p>
    <w:p>
      <w:pPr>
        <w:spacing w:after="120" w:line="276"/>
        <w:jc w:val="both"/>
      </w:pPr>
      <w:r>
        <w:rPr>
          <w:rFonts w:ascii="Barlow Semi Condensed" w:cs="Barlow Semi Condensed" w:eastAsia="Barlow Semi Condensed" w:hAnsi="Barlow Semi Condensed"/>
          <w:b/>
          <w:bCs/>
          <w:sz w:val="24"/>
          <w:szCs w:val="24"/>
        </w:rPr>
        <w:t xml:space="preserve">Definizione: un apparato detiene la qualificazione corretta di un soggetto e ne diffonde una diversa, sicché all'esterno non risulta un'assenza di informazione ma la presenza di un'informazione falsa.</w:t>
      </w:r>
    </w:p>
    <w:p>
      <w:pPr>
        <w:spacing w:after="120" w:line="276"/>
        <w:jc w:val="both"/>
      </w:pPr>
      <w:r>
        <w:rPr>
          <w:rFonts w:ascii="Barlow Semi Condensed" w:cs="Barlow Semi Condensed" w:eastAsia="Barlow Semi Condensed" w:hAnsi="Barlow Semi Condensed"/>
          <w:b/>
          <w:bCs/>
          <w:sz w:val="24"/>
          <w:szCs w:val="24"/>
        </w:rPr>
        <w:t xml:space="preserve">Le sue proprietà vanno enunciate perché lo distinguono dagli altri sette, e sono tre.</w:t>
      </w:r>
    </w:p>
    <w:p>
      <w:pPr>
        <w:spacing w:after="120" w:line="276"/>
        <w:jc w:val="both"/>
      </w:pPr>
      <w:r>
        <w:rPr>
          <w:rFonts w:ascii="Barlow Semi Condensed" w:cs="Barlow Semi Condensed" w:eastAsia="Barlow Semi Condensed" w:hAnsi="Barlow Semi Condensed"/>
          <w:b/>
          <w:bCs/>
          <w:sz w:val="24"/>
          <w:szCs w:val="24"/>
        </w:rPr>
        <w:t xml:space="preserve">Prima: è invisibile alla ricerca che cerchi assenze. Chi verifichi se lo Stato sapesse trova che qualcosa fu scritto e comunicato, e conclude che l'apparato funzionò. Occorre il confronto fra ciò che fu detenuto e ciò che fu trasmesso, e tale confronto richiede l'accesso al fascicolo interno, che è precisamente ciò che manca di norma.</w:t>
      </w:r>
    </w:p>
    <w:p>
      <w:pPr>
        <w:spacing w:after="120" w:line="276"/>
        <w:jc w:val="both"/>
      </w:pPr>
      <w:r>
        <w:rPr>
          <w:rFonts w:ascii="Barlow Semi Condensed" w:cs="Barlow Semi Condensed" w:eastAsia="Barlow Semi Condensed" w:hAnsi="Barlow Semi Condensed"/>
          <w:b/>
          <w:bCs/>
          <w:sz w:val="24"/>
          <w:szCs w:val="24"/>
        </w:rPr>
        <w:t xml:space="preserve">Seconda: esso corrompe a valle. L'appunto del 16 dicembre entrò nelle indagini e ne orientò una parte; il ritardo di oltre tre anni con cui pervenne alla magistratura ne differì la valutazione critica. Un'informazione falsa immessa in un procedimento produce effetti che la sua successiva smentita non annulla.</w:t>
      </w:r>
    </w:p>
    <w:p>
      <w:pPr>
        <w:spacing w:after="120" w:line="276"/>
        <w:jc w:val="both"/>
      </w:pPr>
      <w:r>
        <w:rPr>
          <w:rFonts w:ascii="Barlow Semi Condensed" w:cs="Barlow Semi Condensed" w:eastAsia="Barlow Semi Condensed" w:hAnsi="Barlow Semi Condensed"/>
          <w:b/>
          <w:bCs/>
          <w:sz w:val="24"/>
          <w:szCs w:val="24"/>
        </w:rPr>
        <w:t xml:space="preserve">Terza: è verificabile soltanto per via esterna. In questo caso l'accertamento proviene da storiografia accademica francese, cioè da un soggetto estraneo tanto agli apparati quanto alla materia nazionale. Nessuna fonte interna al sistema che produsse il falso positivo poteva rilevarlo.</w:t>
      </w:r>
    </w:p>
    <w:p>
      <w:pPr>
        <w:spacing w:after="120" w:line="276"/>
        <w:jc w:val="both"/>
      </w:pPr>
      <w:r>
        <w:rPr>
          <w:rFonts w:ascii="Barlow Semi Condensed" w:cs="Barlow Semi Condensed" w:eastAsia="Barlow Semi Condensed" w:hAnsi="Barlow Semi Condensed"/>
          <w:b/>
          <w:bCs/>
          <w:sz w:val="24"/>
          <w:szCs w:val="24"/>
        </w:rPr>
        <w:t xml:space="preserve">Ne discende un corollario che tocca la quinta proposizione della serie e va enunciato perché la corregge.</w:t>
      </w:r>
    </w:p>
    <w:p>
      <w:pPr>
        <w:spacing w:after="120" w:line="276"/>
        <w:jc w:val="both"/>
      </w:pPr>
      <w:r>
        <w:rPr>
          <w:rFonts w:ascii="Barlow Semi Condensed" w:cs="Barlow Semi Condensed" w:eastAsia="Barlow Semi Condensed" w:hAnsi="Barlow Semi Condensed"/>
          <w:b/>
          <w:bCs/>
          <w:sz w:val="24"/>
          <w:szCs w:val="24"/>
        </w:rPr>
        <w:t xml:space="preserve">La quinta proposizione dice che una connessione reale lascia tracce presso soggetti che non avevano interesse a produrle. Essa resta valida. Ma il falso positivo mostra che il rovescio non tiene: l'esistenza di una traccia presso un soggetto istituzionale non prova la realtà di ciò che essa afferma, perché quella traccia può essere stata prodotta proprio da chi aveva interesse a produrla in quella forma.</w:t>
      </w:r>
    </w:p>
    <w:p>
      <w:pPr>
        <w:spacing w:after="120" w:line="276"/>
        <w:jc w:val="both"/>
      </w:pPr>
      <w:r>
        <w:rPr>
          <w:rFonts w:ascii="Barlow Semi Condensed" w:cs="Barlow Semi Condensed" w:eastAsia="Barlow Semi Condensed" w:hAnsi="Barlow Semi Condensed"/>
          <w:b/>
          <w:bCs/>
          <w:sz w:val="24"/>
          <w:szCs w:val="24"/>
        </w:rPr>
        <w:t xml:space="preserve">La quinta proposizione va dunque letta in una sola direzione: l'assenza totale di traccia presso soggetti disinteressati indica un'affermazione; ma la presenza di traccia presso un soggetto interessato non indica un fatto.</w:t>
      </w:r>
    </w:p>
    <w:p>
      <w:pPr>
        <w:pStyle w:val="Heading2"/>
        <w:spacing w:after="100" w:before="200"/>
      </w:pPr>
      <w:r>
        <w:rPr>
          <w:rFonts w:ascii="Barlow Semi Condensed" w:cs="Barlow Semi Condensed" w:eastAsia="Barlow Semi Condensed" w:hAnsi="Barlow Semi Condensed"/>
          <w:sz w:val="24"/>
          <w:szCs w:val="24"/>
        </w:rPr>
        <w:t xml:space="preserve">Capitolo dodicesimo — Bilancio, tavola, e ciò che tredici ricognizioni hanno stabilito sull'Italia</w:t>
      </w:r>
    </w:p>
    <w:p>
      <w:pPr>
        <w:spacing w:after="120" w:line="276"/>
        <w:jc w:val="both"/>
      </w:pPr>
      <w:r>
        <w:rPr>
          <w:rFonts w:ascii="Barlow Semi Condensed" w:cs="Barlow Semi Condensed" w:eastAsia="Barlow Semi Condensed" w:hAnsi="Barlow Semi Condensed"/>
          <w:b/>
          <w:bCs/>
          <w:sz w:val="24"/>
          <w:szCs w:val="24"/>
        </w:rPr>
        <w:t xml:space="preserve">La previsione, verificata nei suoi tre elementi.</w:t>
      </w:r>
    </w:p>
    <w:p>
      <w:pPr>
        <w:spacing w:after="120" w:line="276"/>
        <w:jc w:val="both"/>
      </w:pPr>
      <w:r>
        <w:rPr>
          <w:rFonts w:ascii="Barlow Semi Condensed" w:cs="Barlow Semi Condensed" w:eastAsia="Barlow Semi Condensed" w:hAnsi="Barlow Semi Condensed"/>
          <w:b/>
          <w:bCs/>
          <w:sz w:val="24"/>
          <w:szCs w:val="24"/>
        </w:rPr>
        <w:t xml:space="preserve">Sul versante informativo l'esito è positivo e documentato con segnatura: il fascicolo del SID intestato a Guérin-Sérac, volume quaranta fascicolo cinque fogli diciotto e seguenti, oltre alle acquisizioni successive tramite SISMI e SISDE.</w:t>
      </w:r>
    </w:p>
    <w:p>
      <w:pPr>
        <w:spacing w:after="120" w:line="276"/>
        <w:jc w:val="both"/>
      </w:pPr>
      <w:r>
        <w:rPr>
          <w:rFonts w:ascii="Barlow Semi Condensed" w:cs="Barlow Semi Condensed" w:eastAsia="Barlow Semi Condensed" w:hAnsi="Barlow Semi Condensed"/>
          <w:b/>
          <w:bCs/>
          <w:sz w:val="24"/>
          <w:szCs w:val="24"/>
        </w:rPr>
        <w:t xml:space="preserve">Sul versante diplomatico l'esito è Stato Zero, qualificato al Capitolo decimo come conoscitivo e di secondo grado.</w:t>
      </w:r>
    </w:p>
    <w:p>
      <w:pPr>
        <w:spacing w:after="120" w:line="276"/>
        <w:jc w:val="both"/>
      </w:pPr>
      <w:r>
        <w:rPr>
          <w:rFonts w:ascii="Barlow Semi Condensed" w:cs="Barlow Semi Condensed" w:eastAsia="Barlow Semi Condensed" w:hAnsi="Barlow Semi Condensed"/>
          <w:b/>
          <w:bCs/>
          <w:sz w:val="24"/>
          <w:szCs w:val="24"/>
        </w:rPr>
        <w:t xml:space="preserve">Lo scarto fra i due è il risultato principale\\, e il Capitolo primo ne ha enunciato la lettura: \\non è un'anomalia da spiegare con un occultamento, ma la conseguenza prevedibile della diversa missione dei due apparati.</w:t>
      </w:r>
    </w:p>
    <w:p>
      <w:pPr>
        <w:spacing w:after="120" w:line="276"/>
        <w:jc w:val="both"/>
      </w:pPr>
      <w:r>
        <w:rPr>
          <w:rFonts w:ascii="Barlow Semi Condensed" w:cs="Barlow Semi Condensed" w:eastAsia="Barlow Semi Condensed" w:hAnsi="Barlow Semi Condensed"/>
          <w:b/>
          <w:bCs/>
          <w:sz w:val="24"/>
          <w:szCs w:val="24"/>
        </w:rPr>
        <w:t xml:space="preserve">Ne discende una prescrizione doppia e simmetrica, che va enunciata perché entrambe le inferenze opposte sono disponibili e nessuna delle due è autorizzata.</w:t>
      </w:r>
    </w:p>
    <w:p>
      <w:pPr>
        <w:spacing w:after="120" w:line="276"/>
        <w:jc w:val="both"/>
      </w:pPr>
      <w:r>
        <w:rPr>
          <w:rFonts w:ascii="Barlow Semi Condensed" w:cs="Barlow Semi Condensed" w:eastAsia="Barlow Semi Condensed" w:hAnsi="Barlow Semi Condensed"/>
          <w:b/>
          <w:bCs/>
          <w:sz w:val="24"/>
          <w:szCs w:val="24"/>
        </w:rPr>
        <w:t xml:space="preserve">Trattare il silenzio diplomatico come prova di complicità è inferenza non autorizzata dalle fonti. Trattarlo come prova di ignoranza lo è altrettanto.</w:t>
      </w:r>
    </w:p>
    <w:p>
      <w:pPr>
        <w:spacing w:after="120" w:line="276"/>
        <w:jc w:val="both"/>
      </w:pPr>
      <w:r>
        <w:rPr>
          <w:rFonts w:ascii="Barlow Semi Condensed" w:cs="Barlow Semi Condensed" w:eastAsia="Barlow Semi Condensed" w:hAnsi="Barlow Semi Condensed"/>
          <w:b/>
          <w:bCs/>
          <w:sz w:val="24"/>
          <w:szCs w:val="24"/>
        </w:rPr>
        <w:t xml:space="preserve">Ciò che le fonti consentono di affermare è che la cognizione di Aginter Press, nello Stato italiano, circolò per il canale informativo e giudiziario, e che di una sua circolazione per il canale diplomatico non esiste, allo stato, alcuna traccia.</w:t>
      </w:r>
    </w:p>
    <w:p>
      <w:pPr>
        <w:spacing w:after="120" w:line="276"/>
        <w:jc w:val="both"/>
      </w:pPr>
      <w:r>
        <w:rPr>
          <w:rFonts w:ascii="Barlow Semi Condensed" w:cs="Barlow Semi Condensed" w:eastAsia="Barlow Semi Condensed" w:hAnsi="Barlow Semi Condensed"/>
          <w:b/>
          <w:bCs/>
          <w:sz w:val="24"/>
          <w:szCs w:val="24"/>
        </w:rPr>
        <w:t xml:space="preserve">La tavola delle acquisizioni non conseguite,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Verifica diretta della serie Portogallo 1966-1975 e dei registri dell'ambasciata di Lisbona presso l'Archivio Storico Diplomatico, sotto i due capi missione Cerulli Irelli e Messeri. Condizione: consultazione autorizzata previo invio dell'elenco dei faldoni, e sblocco della serie telegrafica.</w:t>
      </w:r>
    </w:p>
    <w:p>
      <w:pPr>
        <w:spacing w:after="120" w:line="276"/>
        <w:jc w:val="both"/>
      </w:pPr>
      <w:r>
        <w:rPr>
          <w:rFonts w:ascii="Barlow Semi Condensed" w:cs="Barlow Semi Condensed" w:eastAsia="Barlow Semi Condensed" w:hAnsi="Barlow Semi Condensed"/>
          <w:b/>
          <w:bCs/>
          <w:sz w:val="24"/>
          <w:szCs w:val="24"/>
        </w:rPr>
        <w:t xml:space="preserve">Seconda voce. Verifica, nel fondo della polizia politica alla Torre do Tombo, dell'eventuale presenza di nominativi o corrispondenza italiani di fonte diplomatica. Condizione: autorizzazione secondo il regolamento proprio, e accesso alla metà inesplorata dei depositi.</w:t>
      </w:r>
    </w:p>
    <w:p>
      <w:pPr>
        <w:spacing w:after="120" w:line="276"/>
        <w:jc w:val="both"/>
      </w:pPr>
      <w:r>
        <w:rPr>
          <w:rFonts w:ascii="Barlow Semi Condensed" w:cs="Barlow Semi Condensed" w:eastAsia="Barlow Semi Condensed" w:hAnsi="Barlow Semi Condensed"/>
          <w:b/>
          <w:bCs/>
          <w:sz w:val="24"/>
          <w:szCs w:val="24"/>
        </w:rPr>
        <w:t xml:space="preserve">Terza voce. Verifica negli atti integrali della Commissione P2 — circa centoventi volumi, informatizzati e disponibili anche presso un archivio privato — dell'eventuale presenza del nome Aginter in contesti diplomatici.</w:t>
      </w:r>
    </w:p>
    <w:p>
      <w:pPr>
        <w:spacing w:after="120" w:line="276"/>
        <w:jc w:val="both"/>
      </w:pPr>
      <w:r>
        <w:rPr>
          <w:rFonts w:ascii="Barlow Semi Condensed" w:cs="Barlow Semi Condensed" w:eastAsia="Barlow Semi Condensed" w:hAnsi="Barlow Semi Condensed"/>
          <w:b/>
          <w:bCs/>
          <w:sz w:val="24"/>
          <w:szCs w:val="24"/>
        </w:rPr>
        <w:t xml:space="preserve">Quarta voce, di rendimento incerto. L'eventuale export di armamenti italiani verso il Portogallo coloniale. Condizione: studio specialistico portoghese e banche dati sull'export.</w:t>
      </w:r>
    </w:p>
    <w:p>
      <w:pPr>
        <w:spacing w:after="120" w:line="276"/>
        <w:jc w:val="both"/>
      </w:pPr>
      <w:r>
        <w:rPr>
          <w:rFonts w:ascii="Barlow Semi Condensed" w:cs="Barlow Semi Condensed" w:eastAsia="Barlow Semi Condensed" w:hAnsi="Barlow Semi Condensed"/>
          <w:b/>
          <w:bCs/>
          <w:sz w:val="24"/>
          <w:szCs w:val="24"/>
        </w:rPr>
        <w:t xml:space="preserve">Quinta voce, residuale.\\ Conferma documentale del mancato risalire dell'appunto alla catena politica. Condizione: desecretazione integrale degli archivi del servizio. \\Condizione non disponibile.</w:t>
      </w:r>
    </w:p>
    <w:p>
      <w:pPr>
        <w:spacing w:after="120" w:line="276"/>
        <w:jc w:val="both"/>
      </w:pPr>
      <w:r>
        <w:rPr>
          <w:rFonts w:ascii="Barlow Semi Condensed" w:cs="Barlow Semi Condensed" w:eastAsia="Barlow Semi Condensed" w:hAnsi="Barlow Semi Condensed"/>
          <w:b/>
          <w:bCs/>
          <w:sz w:val="24"/>
          <w:szCs w:val="24"/>
        </w:rPr>
        <w:t xml:space="preserve">E adesso ciò che tredici ricognizioni hanno stabilito sull'Italia, che è il lascito di questo documento.</w:t>
      </w:r>
    </w:p>
    <w:p>
      <w:pPr>
        <w:spacing w:after="120" w:line="276"/>
        <w:jc w:val="both"/>
      </w:pPr>
      <w:r>
        <w:rPr>
          <w:rFonts w:ascii="Barlow Semi Condensed" w:cs="Barlow Semi Condensed" w:eastAsia="Barlow Semi Condensed" w:hAnsi="Barlow Semi Condensed"/>
          <w:b/>
          <w:bCs/>
          <w:sz w:val="24"/>
          <w:szCs w:val="24"/>
        </w:rPr>
        <w:t xml:space="preserve">Dodici ricognizioni avevano accertato l'assenza dello Stato italiano come attore documentato in sei perimetri diplomatici: Spagna, Portogallo, Grecia, Cipro, Turchia, Germania. La spiegazione era stata l'inaccessibilità degli archivi di governo.</w:t>
      </w:r>
    </w:p>
    <w:p>
      <w:pPr>
        <w:spacing w:after="120" w:line="276"/>
        <w:jc w:val="both"/>
      </w:pPr>
      <w:r>
        <w:rPr>
          <w:rFonts w:ascii="Barlow Semi Condensed" w:cs="Barlow Semi Condensed" w:eastAsia="Barlow Semi Condensed" w:hAnsi="Barlow Semi Condensed"/>
          <w:b/>
          <w:bCs/>
          <w:sz w:val="24"/>
          <w:szCs w:val="24"/>
        </w:rPr>
        <w:t xml:space="preserve">Questa tredicesima aggiunge un caso in cui lo Stato italiano non è assente: è presente, e produce un documento falso.</w:t>
      </w:r>
    </w:p>
    <w:p>
      <w:pPr>
        <w:spacing w:after="120" w:line="276"/>
        <w:jc w:val="both"/>
      </w:pPr>
      <w:r>
        <w:rPr>
          <w:rFonts w:ascii="Barlow Semi Condensed" w:cs="Barlow Semi Condensed" w:eastAsia="Barlow Semi Condensed" w:hAnsi="Barlow Semi Condensed"/>
          <w:b/>
          <w:bCs/>
          <w:sz w:val="24"/>
          <w:szCs w:val="24"/>
        </w:rPr>
        <w:t xml:space="preserve">La differenza fra i due tipi di silenzio va enunciata come acquisizione finale.</w:t>
      </w:r>
    </w:p>
    <w:p>
      <w:pPr>
        <w:spacing w:after="120" w:line="276"/>
        <w:jc w:val="both"/>
      </w:pPr>
      <w:r>
        <w:rPr>
          <w:rFonts w:ascii="Barlow Semi Condensed" w:cs="Barlow Semi Condensed" w:eastAsia="Barlow Semi Condensed" w:hAnsi="Barlow Semi Condensed"/>
          <w:b/>
          <w:bCs/>
          <w:sz w:val="24"/>
          <w:szCs w:val="24"/>
        </w:rPr>
        <w:t xml:space="preserve">Dove lo Stato italiano taceva, in dodici ricognizioni, non si è mai potuto stabilire se tacesse perché non agiva o perché il suo archivio non si apre.</w:t>
      </w:r>
    </w:p>
    <w:p>
      <w:pPr>
        <w:spacing w:after="120" w:line="276"/>
        <w:jc w:val="both"/>
      </w:pPr>
      <w:r>
        <w:rPr>
          <w:rFonts w:ascii="Barlow Semi Condensed" w:cs="Barlow Semi Condensed" w:eastAsia="Barlow Semi Condensed" w:hAnsi="Barlow Semi Condensed"/>
          <w:b/>
          <w:bCs/>
          <w:sz w:val="24"/>
          <w:szCs w:val="24"/>
        </w:rPr>
        <w:t xml:space="preserve">Qui, per una volta, l'archivio si è aperto — attraverso un'istruttoria giudiziaria e una segnatura — e ciò che vi si è trovato non è il silenzio. È un appunto che sbaglia la nazionalità del proprio soggetto, ne inverte l'ideologia, e arriva alla magistratura con tre anni di ritardo.</w:t>
      </w:r>
    </w:p>
    <w:p>
      <w:pPr>
        <w:spacing w:after="120" w:line="276"/>
        <w:jc w:val="both"/>
      </w:pPr>
      <w:r>
        <w:rPr>
          <w:rFonts w:ascii="Barlow Semi Condensed" w:cs="Barlow Semi Condensed" w:eastAsia="Barlow Semi Condensed" w:hAnsi="Barlow Semi Condensed"/>
          <w:b/>
          <w:bCs/>
          <w:sz w:val="24"/>
          <w:szCs w:val="24"/>
        </w:rPr>
        <w:t xml:space="preserve">Non so se questo renda più o meno preoccupante il silenzio degli altri undici perimetri. So che lo rende una domanda diversa.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XIV · Aginter Press E Lo Stato Italiano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XIV: 5.059 parole in 9 sezioni; la più ampia è §9 Altre sezioni, con 4.250.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XIV: 154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 — Il Silenzio Dello Stato: Azione O Archivio</w:t>
      </w:r>
    </w:p>
    <w:p>
      <w:pPr>
        <w:pStyle w:val="Heading1"/>
        <w:spacing w:after="120" w:before="240"/>
      </w:pPr>
      <w:r>
        <w:rPr>
          <w:rFonts w:ascii="Barlow Semi Condensed" w:cs="Barlow Semi Condensed" w:eastAsia="Barlow Semi Condensed" w:hAnsi="Barlow Semi Condensed"/>
          <w:sz w:val="24"/>
          <w:szCs w:val="24"/>
        </w:rPr>
        <w:t xml:space="preserve">IL SILENZIO DELLO STATO: AZIONE O ARCHIVIO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Quattordicesima ricognizione: la calibrazione libica</w:t>
      </w:r>
    </w:p>
    <w:p>
      <w:pPr>
        <w:pStyle w:val="Heading2"/>
        <w:spacing w:after="100" w:before="200"/>
      </w:pPr>
      <w:r>
        <w:rPr>
          <w:rFonts w:ascii="Barlow Semi Condensed" w:cs="Barlow Semi Condensed" w:eastAsia="Barlow Semi Condensed" w:hAnsi="Barlow Semi Condensed"/>
          <w:sz w:val="24"/>
          <w:szCs w:val="24"/>
        </w:rPr>
        <w:t xml:space="preserve">La Farnesina agi. Osimo, il canale parallelo, e l'emendazione al Registro</w:t>
      </w:r>
    </w:p>
    <w:p>
      <w:pPr>
        <w:pStyle w:val="Heading2"/>
        <w:spacing w:after="100" w:before="200"/>
      </w:pPr>
      <w:r>
        <w:rPr>
          <w:rFonts w:ascii="Barlow Semi Condensed" w:cs="Barlow Semi Condensed" w:eastAsia="Barlow Semi Condensed" w:hAnsi="Barlow Semi Condensed"/>
          <w:sz w:val="24"/>
          <w:szCs w:val="24"/>
        </w:rPr>
        <w:t xml:space="preserve">Dodici Capitoli — verdetto perimetro per perimetro — tre voci nuove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La domanda che quattordici ricognizioni giravano intorno</w:t>
      </w:r>
    </w:p>
    <w:p>
      <w:pPr>
        <w:spacing w:after="120" w:line="276"/>
        <w:jc w:val="both"/>
      </w:pPr>
      <w:r>
        <w:rPr>
          <w:rFonts w:ascii="Barlow Semi Condensed" w:cs="Barlow Semi Condensed" w:eastAsia="Barlow Semi Condensed" w:hAnsi="Barlow Semi Condensed"/>
          <w:b/>
          <w:bCs/>
          <w:sz w:val="24"/>
          <w:szCs w:val="24"/>
        </w:rPr>
        <w:t xml:space="preserve">Tredici ricognizioni hanno accertato che il governo italiano non compare come attore documentato in sei perimetri diplomatici del ministero Moro: Spagna, Portogallo, Grecia, Cipro, Turchia, Germania. L'accertamento è stato ripetuto tante volte da diventare una regolarità del corpus.</w:t>
      </w:r>
    </w:p>
    <w:p>
      <w:pPr>
        <w:spacing w:after="120" w:line="276"/>
        <w:jc w:val="both"/>
      </w:pPr>
      <w:r>
        <w:rPr>
          <w:rFonts w:ascii="Barlow Semi Condensed" w:cs="Barlow Semi Condensed" w:eastAsia="Barlow Semi Condensed" w:hAnsi="Barlow Semi Condensed"/>
          <w:b/>
          <w:bCs/>
          <w:sz w:val="24"/>
          <w:szCs w:val="24"/>
        </w:rPr>
        <w:t xml:space="preserve">Ma nessuna di esse ha chiesto che cosa quell'assenza significhi.</w:t>
      </w:r>
    </w:p>
    <w:p>
      <w:pPr>
        <w:spacing w:after="120" w:line="276"/>
        <w:jc w:val="both"/>
      </w:pPr>
      <w:r>
        <w:rPr>
          <w:rFonts w:ascii="Barlow Semi Condensed" w:cs="Barlow Semi Condensed" w:eastAsia="Barlow Semi Condensed" w:hAnsi="Barlow Semi Condensed"/>
          <w:b/>
          <w:bCs/>
          <w:sz w:val="24"/>
          <w:szCs w:val="24"/>
        </w:rPr>
        <w:t xml:space="preserve">La domanda, formulata.\\ Lo Stato italiano non compare \\perché effettivamente non agiva\\, oppure \\perché la documentazione della sua azione non è accessibile, non è indicizzata, non è stata studiata?</w:t>
      </w:r>
    </w:p>
    <w:p>
      <w:pPr>
        <w:spacing w:after="120" w:line="276"/>
        <w:jc w:val="both"/>
      </w:pPr>
      <w:r>
        <w:rPr>
          <w:rFonts w:ascii="Barlow Semi Condensed" w:cs="Barlow Semi Condensed" w:eastAsia="Barlow Semi Condensed" w:hAnsi="Barlow Semi Condensed"/>
          <w:b/>
          <w:bCs/>
          <w:sz w:val="24"/>
          <w:szCs w:val="24"/>
        </w:rPr>
        <w:t xml:space="preserve">Nel primo caso le tredici ricognizioni hanno misurato una condotta. Nel secondo hanno misurato l'accessibilità delle carte, e non lo sapevano.</w:t>
      </w:r>
    </w:p>
    <w:p>
      <w:pPr>
        <w:spacing w:after="120" w:line="276"/>
        <w:jc w:val="both"/>
      </w:pPr>
      <w:r>
        <w:rPr>
          <w:rFonts w:ascii="Barlow Semi Condensed" w:cs="Barlow Semi Condensed" w:eastAsia="Barlow Semi Condensed" w:hAnsi="Barlow Semi Condensed"/>
          <w:b/>
          <w:bCs/>
          <w:sz w:val="24"/>
          <w:szCs w:val="24"/>
        </w:rPr>
        <w:t xml:space="preserve">Perché la Libia scioglie la domanda, e nessun altro perimetro lo farebbe. Il primo settembre 1969 — un mese dopo l'insediamento di Moro — Gheddafi rovesciò re Idris. Nel luglio 1970 il regime confiscò i beni della comunità italiana, presente dal 1911, e ne dispose l'espulsione: circa ventimila persone, cittadini italiani espropriati in massa.</w:t>
      </w:r>
    </w:p>
    <w:p>
      <w:pPr>
        <w:spacing w:after="120" w:line="276"/>
        <w:jc w:val="both"/>
      </w:pPr>
      <w:r>
        <w:rPr>
          <w:rFonts w:ascii="Barlow Semi Condensed" w:cs="Barlow Semi Condensed" w:eastAsia="Barlow Semi Condensed" w:hAnsi="Barlow Semi Condensed"/>
          <w:b/>
          <w:bCs/>
          <w:sz w:val="24"/>
          <w:szCs w:val="24"/>
        </w:rPr>
        <w:t xml:space="preserve">È il caso in cui il governo italiano non poteva non agire. Non per scelta politica ma per obbligo verso i propri cittadini, e con in gioco interessi energetici rilevanti.</w:t>
      </w:r>
    </w:p>
    <w:p>
      <w:pPr>
        <w:spacing w:after="120" w:line="276"/>
        <w:jc w:val="both"/>
      </w:pPr>
      <w:r>
        <w:rPr>
          <w:rFonts w:ascii="Barlow Semi Condensed" w:cs="Barlow Semi Condensed" w:eastAsia="Barlow Semi Condensed" w:hAnsi="Barlow Semi Condensed"/>
          <w:b/>
          <w:bCs/>
          <w:sz w:val="24"/>
          <w:szCs w:val="24"/>
        </w:rPr>
        <w:t xml:space="preserve">Il disegno del test, e la sua simmetria. Se la Farnesina agì e l'azione è ricostruibile, il silenzio altrove è comportamentale. Se anche la Libia risultasse povera di documentazione italiana, il silenzio è archivistico e le tredici ricognizioni hanno misurato altro da ciò che credevano.</w:t>
      </w:r>
    </w:p>
    <w:p>
      <w:pPr>
        <w:spacing w:after="120" w:line="276"/>
        <w:jc w:val="both"/>
      </w:pPr>
      <w:r>
        <w:rPr>
          <w:rFonts w:ascii="Barlow Semi Condensed" w:cs="Barlow Semi Condensed" w:eastAsia="Barlow Semi Condensed" w:hAnsi="Barlow Semi Condensed"/>
          <w:b/>
          <w:bCs/>
          <w:sz w:val="24"/>
          <w:szCs w:val="24"/>
        </w:rPr>
        <w:t xml:space="preserve">L'esito, enunciato subito.\\ \\La Farnesina agì. L'azione è documentata e ricostruibile su carte dell'Archivio Storico Diplomatico e del Fondo Moro.</w:t>
      </w:r>
    </w:p>
    <w:p>
      <w:pPr>
        <w:spacing w:after="120" w:line="276"/>
        <w:jc w:val="both"/>
      </w:pPr>
      <w:r>
        <w:rPr>
          <w:rFonts w:ascii="Barlow Semi Condensed" w:cs="Barlow Semi Condensed" w:eastAsia="Barlow Semi Condensed" w:hAnsi="Barlow Semi Condensed"/>
          <w:b/>
          <w:bCs/>
          <w:sz w:val="24"/>
          <w:szCs w:val="24"/>
        </w:rPr>
        <w:t xml:space="preserve">Ma l'esito non è quello semplice che il test prevedeva, e la complicazione è il vero risultato. Perché la ricerca ha trovato tre cose che il disegno non contemplava, e ciascuna modifica la conclusione.</w:t>
      </w:r>
    </w:p>
    <w:p>
      <w:pPr>
        <w:spacing w:after="120" w:line="276"/>
        <w:jc w:val="both"/>
      </w:pPr>
      <w:r>
        <w:rPr>
          <w:rFonts w:ascii="Barlow Semi Condensed" w:cs="Barlow Semi Condensed" w:eastAsia="Barlow Semi Condensed" w:hAnsi="Barlow Semi Condensed"/>
          <w:b/>
          <w:bCs/>
          <w:sz w:val="24"/>
          <w:szCs w:val="24"/>
        </w:rPr>
        <w:t xml:space="preserve">Prima: dove uno studioso ha aperto le serie della Farnesina, l'azione italiana è sempre emersa. Libia, Cina, Helsinki, Adriatico. Gli assi studiati coincidono con gli assi in cui qualcuno ha lavorato in archivio; i sei perimetri silenziosi coincidono con assi che nessuno ha scandagliato.</w:t>
      </w:r>
    </w:p>
    <w:p>
      <w:pPr>
        <w:spacing w:after="120" w:line="276"/>
        <w:jc w:val="both"/>
      </w:pPr>
      <w:r>
        <w:rPr>
          <w:rFonts w:ascii="Barlow Semi Condensed" w:cs="Barlow Semi Condensed" w:eastAsia="Barlow Semi Condensed" w:hAnsi="Barlow Semi Condensed"/>
          <w:b/>
          <w:bCs/>
          <w:sz w:val="24"/>
          <w:szCs w:val="24"/>
        </w:rPr>
        <w:t xml:space="preserve">Seconda: per almeno un dossier maggiore l'azione dello Stato italiano fu condotta deliberatamente fuori dalla Farnesina. Il Capitolo ottavo lo documenta. Ne discende che l'assenza dall'archivio diplomatico è compatibile con la presenza di azione.</w:t>
      </w:r>
    </w:p>
    <w:p>
      <w:pPr>
        <w:spacing w:after="120" w:line="276"/>
        <w:jc w:val="both"/>
      </w:pPr>
      <w:r>
        <w:rPr>
          <w:rFonts w:ascii="Barlow Semi Condensed" w:cs="Barlow Semi Condensed" w:eastAsia="Barlow Semi Condensed" w:hAnsi="Barlow Semi Condensed"/>
          <w:b/>
          <w:bCs/>
          <w:sz w:val="24"/>
          <w:szCs w:val="24"/>
        </w:rPr>
        <w:t xml:space="preserve">Terza: una voce già iscritta nel Registro va emendata, e il Capitolo decimo lo esegue.</w:t>
      </w:r>
    </w:p>
    <w:p>
      <w:pPr>
        <w:spacing w:after="120" w:line="276"/>
        <w:jc w:val="both"/>
      </w:pPr>
      <w:r>
        <w:rPr>
          <w:rFonts w:ascii="Barlow Semi Condensed" w:cs="Barlow Semi Condensed" w:eastAsia="Barlow Semi Condensed" w:hAnsi="Barlow Semi Condensed"/>
          <w:b/>
          <w:bCs/>
          <w:sz w:val="24"/>
          <w:szCs w:val="24"/>
        </w:rPr>
        <w:t xml:space="preserve">Ne discende una conclusione mista che il Capitolo undicesimo articola perimetro per perimetro, e una lezione sul metodo delle tredici ricognizioni che il Capitolo dodicesimo enuncia senza attenuazioni.</w:t>
      </w:r>
    </w:p>
    <w:p>
      <w:pPr>
        <w:pStyle w:val="Heading2"/>
        <w:spacing w:after="100" w:before="200"/>
      </w:pPr>
      <w:r>
        <w:rPr>
          <w:rFonts w:ascii="Barlow Semi Condensed" w:cs="Barlow Semi Condensed" w:eastAsia="Barlow Semi Condensed" w:hAnsi="Barlow Semi Condensed"/>
          <w:sz w:val="24"/>
          <w:szCs w:val="24"/>
        </w:rPr>
        <w:t xml:space="preserve">Capitolo secondo — Il colpo di Stato e la prima reazione</w:t>
      </w:r>
    </w:p>
    <w:p>
      <w:pPr>
        <w:spacing w:after="120" w:line="276"/>
        <w:jc w:val="both"/>
      </w:pPr>
      <w:r>
        <w:rPr>
          <w:rFonts w:ascii="Barlow Semi Condensed" w:cs="Barlow Semi Condensed" w:eastAsia="Barlow Semi Condensed" w:hAnsi="Barlow Semi Condensed"/>
          <w:b/>
          <w:bCs/>
          <w:sz w:val="24"/>
          <w:szCs w:val="24"/>
        </w:rPr>
        <w:t xml:space="preserve">Il capitolo espone i fatti della fase iniziale, e dichiara subito ciò che non si è trovato.</w:t>
      </w:r>
    </w:p>
    <w:p>
      <w:pPr>
        <w:spacing w:after="120" w:line="276"/>
        <w:jc w:val="both"/>
      </w:pPr>
      <w:r>
        <w:rPr>
          <w:rFonts w:ascii="Barlow Semi Condensed" w:cs="Barlow Semi Condensed" w:eastAsia="Barlow Semi Condensed" w:hAnsi="Barlow Semi Condensed"/>
          <w:b/>
          <w:bCs/>
          <w:sz w:val="24"/>
          <w:szCs w:val="24"/>
        </w:rPr>
        <w:t xml:space="preserve">Il colpo. Nella notte fra il 31 agosto e il 1 settembre 1969 un gruppo di ufficiali guidati da Muammar Gheddafi rovesciò la monarchia di re Idris, assente dal Paese per cure mediche. Il Consiglio del Comando della Rivoluzione proclamò la Repubblica Araba di Libia.</w:t>
      </w:r>
    </w:p>
    <w:p>
      <w:pPr>
        <w:spacing w:after="120" w:line="276"/>
        <w:jc w:val="both"/>
      </w:pPr>
      <w:r>
        <w:rPr>
          <w:rFonts w:ascii="Barlow Semi Condensed" w:cs="Barlow Semi Condensed" w:eastAsia="Barlow Semi Condensed" w:hAnsi="Barlow Semi Condensed"/>
          <w:b/>
          <w:bCs/>
          <w:sz w:val="24"/>
          <w:szCs w:val="24"/>
        </w:rPr>
        <w:t xml:space="preserve">Il regime informò i rappresentanti diplomatici che i trattati e gli accordi esistenti sarebbero rimasti in vigore e che le vite e le proprietà straniere sarebbero state protette, e il riconoscimento diplomatico giunse rapidamente da numerosi Paesi.</w:t>
      </w:r>
    </w:p>
    <w:p>
      <w:pPr>
        <w:spacing w:after="120" w:line="276"/>
        <w:jc w:val="both"/>
      </w:pPr>
      <w:r>
        <w:rPr>
          <w:rFonts w:ascii="Barlow Semi Condensed" w:cs="Barlow Semi Condensed" w:eastAsia="Barlow Semi Condensed" w:hAnsi="Barlow Semi Condensed"/>
          <w:b/>
          <w:bCs/>
          <w:sz w:val="24"/>
          <w:szCs w:val="24"/>
        </w:rPr>
        <w:t xml:space="preserve">Va notato, e sarà rilevante al Capitolo terzo, che la garanzia sulle proprietà straniere fu esplicita e fu violata dieci mesi dopo.</w:t>
      </w:r>
    </w:p>
    <w:p>
      <w:pPr>
        <w:spacing w:after="120" w:line="276"/>
        <w:jc w:val="both"/>
      </w:pPr>
      <w:r>
        <w:rPr>
          <w:rFonts w:ascii="Barlow Semi Condensed" w:cs="Barlow Semi Condensed" w:eastAsia="Barlow Semi Condensed" w:hAnsi="Barlow Semi Condensed"/>
          <w:b/>
          <w:bCs/>
          <w:sz w:val="24"/>
          <w:szCs w:val="24"/>
        </w:rPr>
        <w:t xml:space="preserve">Il primo esito negativo, dichiarato. La data esatta del riconoscimento italiano del nuovo regime non è stata reperita. È voce da sciogliere presso l'Archivio Storico Diplomatico, serie Affari Politici Libia 1969, e sulla stampa italiana coeva.</w:t>
      </w:r>
    </w:p>
    <w:p>
      <w:pPr>
        <w:spacing w:after="120" w:line="276"/>
        <w:jc w:val="both"/>
      </w:pPr>
      <w:r>
        <w:rPr>
          <w:rFonts w:ascii="Barlow Semi Condensed" w:cs="Barlow Semi Condensed" w:eastAsia="Barlow Semi Condensed" w:hAnsi="Barlow Semi Condensed"/>
          <w:b/>
          <w:bCs/>
          <w:sz w:val="24"/>
          <w:szCs w:val="24"/>
        </w:rPr>
        <w:t xml:space="preserve">Che questo dato manchi è esso stesso significativo: si tratta dell'atto formale più elementare di uno Stato verso un nuovo governo, e non risulta.</w:t>
      </w:r>
    </w:p>
    <w:p>
      <w:pPr>
        <w:spacing w:after="120" w:line="276"/>
        <w:jc w:val="both"/>
      </w:pPr>
      <w:r>
        <w:rPr>
          <w:rFonts w:ascii="Barlow Semi Condensed" w:cs="Barlow Semi Condensed" w:eastAsia="Barlow Semi Condensed" w:hAnsi="Barlow Semi Condensed"/>
          <w:b/>
          <w:bCs/>
          <w:sz w:val="24"/>
          <w:szCs w:val="24"/>
        </w:rPr>
        <w:t xml:space="preserve">La chiusura delle basi straniere. Le forze britanniche lasciarono la Libia il 28 marzo 1970, data celebrata dal regime come giornata dell'evacuazione britannica; la base statunitense di Wheelus Field fu consegnata alla Libia l'11 giugno 1970.</w:t>
      </w:r>
    </w:p>
    <w:p>
      <w:pPr>
        <w:spacing w:after="120" w:line="276"/>
        <w:jc w:val="both"/>
      </w:pPr>
      <w:r>
        <w:rPr>
          <w:rFonts w:ascii="Barlow Semi Condensed" w:cs="Barlow Semi Condensed" w:eastAsia="Barlow Semi Condensed" w:hAnsi="Barlow Semi Condensed"/>
          <w:b/>
          <w:bCs/>
          <w:sz w:val="24"/>
          <w:szCs w:val="24"/>
        </w:rPr>
        <w:t xml:space="preserve">L'ambasciatore italiano a Tripoli nella fase cruciale, ed è dato preliminare necessario a chiunque voglia condurre la verifica archivistica.\\ Fu l'ambasciatore \\Borromeo\\, in servizio dal \\20 dicembre 1969 al 30 agosto 1971.</w:t>
      </w:r>
    </w:p>
    <w:p>
      <w:pPr>
        <w:spacing w:after="120" w:line="276"/>
        <w:jc w:val="both"/>
      </w:pPr>
      <w:r>
        <w:rPr>
          <w:rFonts w:ascii="Barlow Semi Condensed" w:cs="Barlow Semi Condensed" w:eastAsia="Barlow Semi Condensed" w:hAnsi="Barlow Semi Condensed"/>
          <w:b/>
          <w:bCs/>
          <w:sz w:val="24"/>
          <w:szCs w:val="24"/>
        </w:rPr>
        <w:t xml:space="preserve">Il suo rapporto di fine missione è conservato nel Fondo Aldo Moro presso l'Archivio Centrale dello Stato, busta centotrentanove, fascicolo due punto due, ed è stato utilizzato dalla letteratura recente.</w:t>
      </w:r>
    </w:p>
    <w:p>
      <w:pPr>
        <w:spacing w:after="120" w:line="276"/>
        <w:jc w:val="both"/>
      </w:pPr>
      <w:r>
        <w:rPr>
          <w:rFonts w:ascii="Barlow Semi Condensed" w:cs="Barlow Semi Condensed" w:eastAsia="Barlow Semi Condensed" w:hAnsi="Barlow Semi Condensed"/>
          <w:b/>
          <w:bCs/>
          <w:sz w:val="24"/>
          <w:szCs w:val="24"/>
        </w:rPr>
        <w:t xml:space="preserve">Questa segnatura è il primo elemento della calibrazione, e va tenuta a mente fino al Capitolo decimo, dove produce l'emendazione al Registro.</w:t>
      </w:r>
    </w:p>
    <w:p>
      <w:pPr>
        <w:spacing w:after="120" w:line="276"/>
        <w:jc w:val="both"/>
      </w:pPr>
      <w:r>
        <w:rPr>
          <w:rFonts w:ascii="Barlow Semi Condensed" w:cs="Barlow Semi Condensed" w:eastAsia="Barlow Semi Condensed" w:hAnsi="Barlow Semi Condensed"/>
          <w:b/>
          <w:bCs/>
          <w:sz w:val="24"/>
          <w:szCs w:val="24"/>
        </w:rPr>
        <w:t xml:space="preserve">Un secondo esito negativo. Il nome di battesimo dell'ambasciatore non è stato reperito e andrebbe verificato nell'annuario diplomatico del Ministero per il 1970-1971.</w:t>
      </w:r>
    </w:p>
    <w:p>
      <w:pPr>
        <w:spacing w:after="120" w:line="276"/>
        <w:jc w:val="both"/>
      </w:pPr>
      <w:r>
        <w:rPr>
          <w:rFonts w:ascii="Barlow Semi Condensed" w:cs="Barlow Semi Condensed" w:eastAsia="Barlow Semi Condensed" w:hAnsi="Barlow Semi Condensed"/>
          <w:b/>
          <w:bCs/>
          <w:sz w:val="24"/>
          <w:szCs w:val="24"/>
        </w:rPr>
        <w:t xml:space="preserve">La documentazione italiana su questa prima fase esiste ed è stata studiata, per il versante diplomatico, dagli studi di Massimiliano Cricco e dalla monografia di Arturo Varvelli fondata sull'Archivio Storico del Ministero degli Affari Esteri. Entrambi mostrano che la diplomazia italiana seguì con attenzione la transizione, preoccupata per la comunità e per gli approvvigionamenti.</w:t>
      </w:r>
    </w:p>
    <w:p>
      <w:pPr>
        <w:spacing w:after="120" w:line="276"/>
        <w:jc w:val="both"/>
      </w:pPr>
      <w:r>
        <w:rPr>
          <w:rFonts w:ascii="Barlow Semi Condensed" w:cs="Barlow Semi Condensed" w:eastAsia="Barlow Semi Condensed" w:hAnsi="Barlow Semi Condensed"/>
          <w:b/>
          <w:bCs/>
          <w:sz w:val="24"/>
          <w:szCs w:val="24"/>
        </w:rPr>
        <w:t xml:space="preserve">Ne discende, già a questo stadio, che la Farnesina osservava e riferiva. La questione è se agì.</w:t>
      </w:r>
    </w:p>
    <w:p>
      <w:pPr>
        <w:pStyle w:val="Heading2"/>
        <w:spacing w:after="100" w:before="200"/>
      </w:pPr>
      <w:r>
        <w:rPr>
          <w:rFonts w:ascii="Barlow Semi Condensed" w:cs="Barlow Semi Condensed" w:eastAsia="Barlow Semi Condensed" w:hAnsi="Barlow Semi Condensed"/>
          <w:sz w:val="24"/>
          <w:szCs w:val="24"/>
        </w:rPr>
        <w:t xml:space="preserve">Capitolo terzo — La confisca: date, natura, divergenze</w:t>
      </w:r>
    </w:p>
    <w:p>
      <w:pPr>
        <w:spacing w:after="120" w:line="276"/>
        <w:jc w:val="both"/>
      </w:pPr>
      <w:r>
        <w:rPr>
          <w:rFonts w:ascii="Barlow Semi Condensed" w:cs="Barlow Semi Condensed" w:eastAsia="Barlow Semi Condensed" w:hAnsi="Barlow Semi Condensed"/>
          <w:b/>
          <w:bCs/>
          <w:sz w:val="24"/>
          <w:szCs w:val="24"/>
        </w:rPr>
        <w:t xml:space="preserve">Il capitolo espone il provvedimento con le divergenze mantenute.</w:t>
      </w:r>
    </w:p>
    <w:p>
      <w:pPr>
        <w:spacing w:after="120" w:line="276"/>
        <w:jc w:val="both"/>
      </w:pPr>
      <w:r>
        <w:rPr>
          <w:rFonts w:ascii="Barlow Semi Condensed" w:cs="Barlow Semi Condensed" w:eastAsia="Barlow Semi Condensed" w:hAnsi="Barlow Semi Condensed"/>
          <w:b/>
          <w:bCs/>
          <w:sz w:val="24"/>
          <w:szCs w:val="24"/>
        </w:rPr>
        <w:t xml:space="preserve">La data e l'organo. Il 21 luglio 1970 il Consiglio del Comando della Rivoluzione promulgò le leggi che disposero la confisca dei beni della comunità italiana — e di quella ebraica — con obbligo di dichiarazione dei beni e pene detentive per i trasgressori.</w:t>
      </w:r>
    </w:p>
    <w:p>
      <w:pPr>
        <w:spacing w:after="120" w:line="276"/>
        <w:jc w:val="both"/>
      </w:pPr>
      <w:r>
        <w:rPr>
          <w:rFonts w:ascii="Barlow Semi Condensed" w:cs="Barlow Semi Condensed" w:eastAsia="Barlow Semi Condensed" w:hAnsi="Barlow Semi Condensed"/>
          <w:b/>
          <w:bCs/>
          <w:sz w:val="24"/>
          <w:szCs w:val="24"/>
        </w:rPr>
        <w:t xml:space="preserve">La giustificazione del regime.\\ Restituzione al popolo libico delle ricchezze \\usurpate dagli oppressori\\ nel corso del colonialismo, secondo la formula pronunciata da Gheddafi nel discorso di \\Misurata.</w:t>
      </w:r>
    </w:p>
    <w:p>
      <w:pPr>
        <w:spacing w:after="120" w:line="276"/>
        <w:jc w:val="both"/>
      </w:pPr>
      <w:r>
        <w:rPr>
          <w:rFonts w:ascii="Barlow Semi Condensed" w:cs="Barlow Semi Condensed" w:eastAsia="Barlow Semi Condensed" w:hAnsi="Barlow Semi Condensed"/>
          <w:b/>
          <w:bCs/>
          <w:sz w:val="24"/>
          <w:szCs w:val="24"/>
        </w:rPr>
        <w:t xml:space="preserve">Una divergenza va riportata. Alcune fonti datano quel discorso al 9 luglio 1970; altre lo collocano genericamente poche settimane prima del 21 luglio.</w:t>
      </w:r>
    </w:p>
    <w:p>
      <w:pPr>
        <w:spacing w:after="120" w:line="276"/>
        <w:jc w:val="both"/>
      </w:pPr>
      <w:r>
        <w:rPr>
          <w:rFonts w:ascii="Barlow Semi Condensed" w:cs="Barlow Semi Condensed" w:eastAsia="Barlow Semi Condensed" w:hAnsi="Barlow Semi Condensed"/>
          <w:b/>
          <w:bCs/>
          <w:sz w:val="24"/>
          <w:szCs w:val="24"/>
        </w:rPr>
        <w:t xml:space="preserve">La natura giuridica va precisata perché è dirimente.\\ Fu \\legge di confisca e non nazionalizzazione economica\\: colpì \\specificamente i beni dei cittadini italiani in quanto tali.</w:t>
      </w:r>
    </w:p>
    <w:p>
      <w:pPr>
        <w:spacing w:after="120" w:line="276"/>
        <w:jc w:val="both"/>
      </w:pPr>
      <w:r>
        <w:rPr>
          <w:rFonts w:ascii="Barlow Semi Condensed" w:cs="Barlow Semi Condensed" w:eastAsia="Barlow Semi Condensed" w:hAnsi="Barlow Semi Condensed"/>
          <w:b/>
          <w:bCs/>
          <w:sz w:val="24"/>
          <w:szCs w:val="24"/>
        </w:rPr>
        <w:t xml:space="preserve">La distinzione conta.\\ Una nazionalizzazione colpisce settori; una confisca su base di cittadinanza colpisce persone. \\La seconda apre al governo dello Stato dei colpiti una possibilità di reazione che la prima non apre nella stessa forma.</w:t>
      </w:r>
    </w:p>
    <w:p>
      <w:pPr>
        <w:spacing w:after="120" w:line="276"/>
        <w:jc w:val="both"/>
      </w:pPr>
      <w:r>
        <w:rPr>
          <w:rFonts w:ascii="Barlow Semi Condensed" w:cs="Barlow Semi Condensed" w:eastAsia="Barlow Semi Condensed" w:hAnsi="Barlow Semi Condensed"/>
          <w:b/>
          <w:bCs/>
          <w:sz w:val="24"/>
          <w:szCs w:val="24"/>
        </w:rPr>
        <w:t xml:space="preserve">Il testo integrale del provvedimento non è stato reperito\\, e va cercato nella gazzetta ufficiale libica del 1970 e, in traduzione, negli allegati della documentazione della Farnesina. \\Esito negativo dichiarato.</w:t>
      </w:r>
    </w:p>
    <w:p>
      <w:pPr>
        <w:spacing w:after="120" w:line="276"/>
        <w:jc w:val="both"/>
      </w:pPr>
      <w:r>
        <w:rPr>
          <w:rFonts w:ascii="Barlow Semi Condensed" w:cs="Barlow Semi Condensed" w:eastAsia="Barlow Semi Condensed" w:hAnsi="Barlow Semi Condensed"/>
          <w:b/>
          <w:bCs/>
          <w:sz w:val="24"/>
          <w:szCs w:val="24"/>
        </w:rPr>
        <w:t xml:space="preserve">Il valore dei beni, con le stime divergenti e la ragione della divergenza. Il Governo italiano calcolò al 1970 duecento miliardi di lire per il solo valore immobiliare, cifra che includendo depositi bancari e attività varie supera i quattrocento miliardi.</w:t>
      </w:r>
    </w:p>
    <w:p>
      <w:pPr>
        <w:spacing w:after="120" w:line="276"/>
        <w:jc w:val="both"/>
      </w:pPr>
      <w:r>
        <w:rPr>
          <w:rFonts w:ascii="Barlow Semi Condensed" w:cs="Barlow Semi Condensed" w:eastAsia="Barlow Semi Condensed" w:hAnsi="Barlow Semi Condensed"/>
          <w:b/>
          <w:bCs/>
          <w:sz w:val="24"/>
          <w:szCs w:val="24"/>
        </w:rPr>
        <w:t xml:space="preserve">L'inventario circolante nella pubblicistica quantifica quattromila ettari di terreni con settecentoquattordicimila olivi, duecentoquarantacinquemila piante di agrumi, centoottantaquattromila mandorli, un milione di tralci di uva, quattromila ville, settecentosessantacinque appartamenti, quattrocentosessantotto edifici, settecentoventisette fra veicoli industriali e trattori, duecentosessantacinque officine e cinquanta industrie.</w:t>
      </w:r>
    </w:p>
    <w:p>
      <w:pPr>
        <w:spacing w:after="120" w:line="276"/>
        <w:jc w:val="both"/>
      </w:pPr>
      <w:r>
        <w:rPr>
          <w:rFonts w:ascii="Barlow Semi Condensed" w:cs="Barlow Semi Condensed" w:eastAsia="Barlow Semi Condensed" w:hAnsi="Barlow Semi Condensed"/>
          <w:b/>
          <w:bCs/>
          <w:sz w:val="24"/>
          <w:szCs w:val="24"/>
        </w:rPr>
        <w:t xml:space="preserve">Queste cifre hanno statuto di pubblicistica e non di rilevazione ufficiale verificata, e vanno impiegate come ordine di grandezza e non come dato.</w:t>
      </w:r>
    </w:p>
    <w:p>
      <w:pPr>
        <w:spacing w:after="120" w:line="276"/>
        <w:jc w:val="both"/>
      </w:pPr>
      <w:r>
        <w:rPr>
          <w:rFonts w:ascii="Barlow Semi Condensed" w:cs="Barlow Semi Condensed" w:eastAsia="Barlow Semi Condensed" w:hAnsi="Barlow Semi Condensed"/>
          <w:b/>
          <w:bCs/>
          <w:sz w:val="24"/>
          <w:szCs w:val="24"/>
        </w:rPr>
        <w:t xml:space="preserve">Va detto qui, per correttezza storica e una volta sola, ciò che il perimetro impone. L'esproprio del 1970 fu preceduto dalla colonizzazione italiana della Libia fra il 1911 e il 1943 e dai suoi crimini. Il fatto va menzionato senza che costituisca giustificazione dell'esproprio né viceversa.</w:t>
      </w:r>
    </w:p>
    <w:p>
      <w:pPr>
        <w:spacing w:after="120" w:line="276"/>
        <w:jc w:val="both"/>
      </w:pPr>
      <w:r>
        <w:rPr>
          <w:rFonts w:ascii="Barlow Semi Condensed" w:cs="Barlow Semi Condensed" w:eastAsia="Barlow Semi Condensed" w:hAnsi="Barlow Semi Condensed"/>
          <w:b/>
          <w:bCs/>
          <w:sz w:val="24"/>
          <w:szCs w:val="24"/>
        </w:rPr>
        <w:t xml:space="preserve">Le due narrazioni contrapposte — quella della memoria dei rimpatriati e quella anticoloniale del regime — vanno riportate con il loro statuto e nessuna delle due va adottata.</w:t>
      </w:r>
    </w:p>
    <w:p>
      <w:pPr>
        <w:pStyle w:val="Heading2"/>
        <w:spacing w:after="100" w:before="200"/>
      </w:pPr>
      <w:r>
        <w:rPr>
          <w:rFonts w:ascii="Barlow Semi Condensed" w:cs="Barlow Semi Condensed" w:eastAsia="Barlow Semi Condensed" w:hAnsi="Barlow Semi Condensed"/>
          <w:sz w:val="24"/>
          <w:szCs w:val="24"/>
        </w:rPr>
        <w:t xml:space="preserve">Capitolo quarto — L'espulsione e i numeri</w:t>
      </w:r>
    </w:p>
    <w:p>
      <w:pPr>
        <w:spacing w:after="120" w:line="276"/>
        <w:jc w:val="both"/>
      </w:pPr>
      <w:r>
        <w:rPr>
          <w:rFonts w:ascii="Barlow Semi Condensed" w:cs="Barlow Semi Condensed" w:eastAsia="Barlow Semi Condensed" w:hAnsi="Barlow Semi Condensed"/>
          <w:b/>
          <w:bCs/>
          <w:sz w:val="24"/>
          <w:szCs w:val="24"/>
        </w:rPr>
        <w:t xml:space="preserve">Il capitolo espone l'esodo e ne registra le stime divergenti.</w:t>
      </w:r>
    </w:p>
    <w:p>
      <w:pPr>
        <w:spacing w:after="120" w:line="276"/>
        <w:jc w:val="both"/>
      </w:pPr>
      <w:r>
        <w:rPr>
          <w:rFonts w:ascii="Barlow Semi Condensed" w:cs="Barlow Semi Condensed" w:eastAsia="Barlow Semi Condensed" w:hAnsi="Barlow Semi Condensed"/>
          <w:b/>
          <w:bCs/>
          <w:sz w:val="24"/>
          <w:szCs w:val="24"/>
        </w:rPr>
        <w:t xml:space="preserve">La cronologia. L'espulsione fu perfezionata entro il 15 ottobre 1970, otto giorni dopo l'ultimatum del 7 ottobre che il regime consacrò come giorno della vendetta, festività nazionale celebrata per un trentennio e ribattezzata giorno dell'amicizia nel quadro del riavvicinamento italo-libico degli anni Duemila.</w:t>
      </w:r>
    </w:p>
    <w:p>
      <w:pPr>
        <w:spacing w:after="120" w:line="276"/>
        <w:jc w:val="both"/>
      </w:pPr>
      <w:r>
        <w:rPr>
          <w:rFonts w:ascii="Barlow Semi Condensed" w:cs="Barlow Semi Condensed" w:eastAsia="Barlow Semi Condensed" w:hAnsi="Barlow Semi Condensed"/>
          <w:b/>
          <w:bCs/>
          <w:sz w:val="24"/>
          <w:szCs w:val="24"/>
        </w:rPr>
        <w:t xml:space="preserve">L'organizzazione del rimpatrio, ed è azione italiana documentata. Il traghettamento fu organizzato attraverso il Ministero della Marina Mercantile, che mise a disposizione nove navi; molte famiglie furono accolte in centri di raccolta distribuiti nella penisola.</w:t>
      </w:r>
    </w:p>
    <w:p>
      <w:pPr>
        <w:spacing w:after="120" w:line="276"/>
        <w:jc w:val="both"/>
      </w:pPr>
      <w:r>
        <w:rPr>
          <w:rFonts w:ascii="Barlow Semi Condensed" w:cs="Barlow Semi Condensed" w:eastAsia="Barlow Semi Condensed" w:hAnsi="Barlow Semi Condensed"/>
          <w:b/>
          <w:bCs/>
          <w:sz w:val="24"/>
          <w:szCs w:val="24"/>
        </w:rPr>
        <w:t xml:space="preserve">Questo è il primo atto italiano accertato della vicenda: non un negoziato, ma un'operazione logistica di rimpatrio.</w:t>
      </w:r>
    </w:p>
    <w:p>
      <w:pPr>
        <w:spacing w:after="120" w:line="276"/>
        <w:jc w:val="both"/>
      </w:pPr>
      <w:r>
        <w:rPr>
          <w:rFonts w:ascii="Barlow Semi Condensed" w:cs="Barlow Semi Condensed" w:eastAsia="Barlow Semi Condensed" w:hAnsi="Barlow Semi Condensed"/>
          <w:b/>
          <w:bCs/>
          <w:sz w:val="24"/>
          <w:szCs w:val="24"/>
        </w:rPr>
        <w:t xml:space="preserve">I numeri, con la loro divergenza e la sua ragione. La cifra più ricorrente è di circa ventimila italiani. Ma alcune fonti parlano di più di diciassettemila effettivamente traghettati entro il 15 ottobre; altre di oltre quindicimila rimasti al momento dell'ultimatum; una fonte divulgativa evoca fino a trentacinquemila italo-libici comprendendo i nati in Libia.</w:t>
      </w:r>
    </w:p>
    <w:p>
      <w:pPr>
        <w:spacing w:after="120" w:line="276"/>
        <w:jc w:val="both"/>
      </w:pPr>
      <w:r>
        <w:rPr>
          <w:rFonts w:ascii="Barlow Semi Condensed" w:cs="Barlow Semi Condensed" w:eastAsia="Barlow Semi Condensed" w:hAnsi="Barlow Semi Condensed"/>
          <w:b/>
          <w:bCs/>
          <w:sz w:val="24"/>
          <w:szCs w:val="24"/>
        </w:rPr>
        <w:t xml:space="preserve">Lo scarto dipende dal criterio adottato — residenti registrati, effettivamente imbarcati, aventi cittadinanza, nati in loco — e la divergenza va riportata anziché risolta.</w:t>
      </w:r>
    </w:p>
    <w:p>
      <w:pPr>
        <w:spacing w:after="120" w:line="276"/>
        <w:jc w:val="both"/>
      </w:pPr>
      <w:r>
        <w:rPr>
          <w:rFonts w:ascii="Barlow Semi Condensed" w:cs="Barlow Semi Condensed" w:eastAsia="Barlow Semi Condensed" w:hAnsi="Barlow Semi Condensed"/>
          <w:b/>
          <w:bCs/>
          <w:sz w:val="24"/>
          <w:szCs w:val="24"/>
        </w:rPr>
        <w:t xml:space="preserve">Il versante degli indennizzi, che è azione italiana ma interna. Una prima legge del 1971, la numero millesessantasei, dispose un acconto sugli indennizzi con coefficienti scalari, nella misura media del quindici per cento, in attesa di accordi internazionali.</w:t>
      </w:r>
    </w:p>
    <w:p>
      <w:pPr>
        <w:spacing w:after="120" w:line="276"/>
        <w:jc w:val="both"/>
      </w:pPr>
      <w:r>
        <w:rPr>
          <w:rFonts w:ascii="Barlow Semi Condensed" w:cs="Barlow Semi Condensed" w:eastAsia="Barlow Semi Condensed" w:hAnsi="Barlow Semi Condensed"/>
          <w:b/>
          <w:bCs/>
          <w:sz w:val="24"/>
          <w:szCs w:val="24"/>
        </w:rPr>
        <w:t xml:space="preserve">Seguirono leggi parziali e senza rivalutazione: la numero sedici del 1980, la centotrentacinque del 1985, la novantotto del 1994. L'ammontare, secondo la fonte associativa dei rimpatriati, non coprì nemmeno il valore nominale delle perdite al 1970.</w:t>
      </w:r>
    </w:p>
    <w:p>
      <w:pPr>
        <w:spacing w:after="120" w:line="276"/>
        <w:jc w:val="both"/>
      </w:pPr>
      <w:r>
        <w:rPr>
          <w:rFonts w:ascii="Barlow Semi Condensed" w:cs="Barlow Semi Condensed" w:eastAsia="Barlow Semi Condensed" w:hAnsi="Barlow Semi Condensed"/>
          <w:b/>
          <w:bCs/>
          <w:sz w:val="24"/>
          <w:szCs w:val="24"/>
        </w:rPr>
        <w:t xml:space="preserve">Il dato che rileva per la calibrazione va isolato: il primo intervento legislativo italiano è del 1971, coevo alla crisi.\\ Lo Stato agì — \\sul versante interno\\, verso i propri cittadini, \\anziché sul versante del negoziato bilaterale.</w:t>
      </w:r>
    </w:p>
    <w:p>
      <w:pPr>
        <w:spacing w:after="120" w:line="276"/>
        <w:jc w:val="both"/>
      </w:pPr>
      <w:r>
        <w:rPr>
          <w:rFonts w:ascii="Barlow Semi Condensed" w:cs="Barlow Semi Condensed" w:eastAsia="Barlow Semi Condensed" w:hAnsi="Barlow Semi Condensed"/>
          <w:b/>
          <w:bCs/>
          <w:sz w:val="24"/>
          <w:szCs w:val="24"/>
        </w:rPr>
        <w:t xml:space="preserve">La chiusura della partita, molto posteriore. Il Trattato di amicizia italo-libico firmato a Bengasi il 30 agosto 2008, ratificato con legge numero sette del 2009, il cui articolo quattro riguarda i rimpatriati, chiuse gli indennizzi fra Stati ottenendo in cambio la cessazione della discriminazione sui visti per i nati a Tripoli; l'associazione dei rimpatriati ottenne un indennizzo che essa stessa definisce men che simbolico.</w:t>
      </w:r>
    </w:p>
    <w:p>
      <w:pPr>
        <w:spacing w:after="120" w:line="276"/>
        <w:jc w:val="both"/>
      </w:pPr>
      <w:r>
        <w:rPr>
          <w:rFonts w:ascii="Barlow Semi Condensed" w:cs="Barlow Semi Condensed" w:eastAsia="Barlow Semi Condensed" w:hAnsi="Barlow Semi Condensed"/>
          <w:b/>
          <w:bCs/>
          <w:sz w:val="24"/>
          <w:szCs w:val="24"/>
        </w:rPr>
        <w:t xml:space="preserve">Sul piano giurisdizionale, i ricorrenti Giovanna Ortu, presidente dell'associazione, Nella e Antonio Ortu presentarono ricorso alla Corte europea dei diritti dell'uomo il 6 ottobre 2005; il ricorso fu respinto con sentenza del 15 febbraio 2011.</w:t>
      </w:r>
    </w:p>
    <w:p>
      <w:pPr>
        <w:pStyle w:val="Heading2"/>
        <w:spacing w:after="100" w:before="200"/>
      </w:pPr>
      <w:r>
        <w:rPr>
          <w:rFonts w:ascii="Barlow Semi Condensed" w:cs="Barlow Semi Condensed" w:eastAsia="Barlow Semi Condensed" w:hAnsi="Barlow Semi Condensed"/>
          <w:sz w:val="24"/>
          <w:szCs w:val="24"/>
        </w:rPr>
        <w:t xml:space="preserve">Capitolo quinto — La Farnesina agì: il cuore della calibrazione</w:t>
      </w:r>
    </w:p>
    <w:p>
      <w:pPr>
        <w:spacing w:after="120" w:line="276"/>
        <w:jc w:val="both"/>
      </w:pPr>
      <w:r>
        <w:rPr>
          <w:rFonts w:ascii="Barlow Semi Condensed" w:cs="Barlow Semi Condensed" w:eastAsia="Barlow Semi Condensed" w:hAnsi="Barlow Semi Condensed"/>
          <w:b/>
          <w:bCs/>
          <w:sz w:val="24"/>
          <w:szCs w:val="24"/>
        </w:rPr>
        <w:t xml:space="preserve">Il capitolo espone l'accertamento su cui il test si decide.</w:t>
      </w:r>
    </w:p>
    <w:p>
      <w:pPr>
        <w:spacing w:after="120" w:line="276"/>
        <w:jc w:val="both"/>
      </w:pPr>
      <w:r>
        <w:rPr>
          <w:rFonts w:ascii="Barlow Semi Condensed" w:cs="Barlow Semi Condensed" w:eastAsia="Barlow Semi Condensed" w:hAnsi="Barlow Semi Condensed"/>
          <w:b/>
          <w:bCs/>
          <w:sz w:val="24"/>
          <w:szCs w:val="24"/>
        </w:rPr>
        <w:t xml:space="preserve">La fonte, e il suo statuto va dichiarato perché è ciò che rende l'accertamento possibile. Arturo Varvelli, \L'Italia e l'ascesa di Gheddafi. La cacciata degli italiani, le armi e il petrolio, 1969-1974\, Baldini Castoldi Dalai, 2009. È monografia fondata su documentazione dell'Archivio Storico del Ministero degli Affari Esteri, integrata con archivi britannici e statunitensi.</w:t>
      </w:r>
    </w:p>
    <w:p>
      <w:pPr>
        <w:spacing w:after="120" w:line="276"/>
        <w:jc w:val="both"/>
      </w:pPr>
      <w:r>
        <w:rPr>
          <w:rFonts w:ascii="Barlow Semi Condensed" w:cs="Barlow Semi Condensed" w:eastAsia="Barlow Semi Condensed" w:hAnsi="Barlow Semi Condensed"/>
          <w:b/>
          <w:bCs/>
          <w:sz w:val="24"/>
          <w:szCs w:val="24"/>
        </w:rPr>
        <w:t xml:space="preserve">Qualcuno ha aperto le serie della Farnesina per questo perimetro. È l'unica differenza fra la Libia e i sei perimetri silenziosi, e produce tutto ciò che segue.</w:t>
      </w:r>
    </w:p>
    <w:p>
      <w:pPr>
        <w:spacing w:after="120" w:line="276"/>
        <w:jc w:val="both"/>
      </w:pPr>
      <w:r>
        <w:rPr>
          <w:rFonts w:ascii="Barlow Semi Condensed" w:cs="Barlow Semi Condensed" w:eastAsia="Barlow Semi Condensed" w:hAnsi="Barlow Semi Condensed"/>
          <w:b/>
          <w:bCs/>
          <w:sz w:val="24"/>
          <w:szCs w:val="24"/>
        </w:rPr>
        <w:t xml:space="preserve">Che cosa ne emerge, in due tempi.</w:t>
      </w:r>
    </w:p>
    <w:p>
      <w:pPr>
        <w:spacing w:after="120" w:line="276"/>
        <w:jc w:val="both"/>
      </w:pPr>
      <w:r>
        <w:rPr>
          <w:rFonts w:ascii="Barlow Semi Condensed" w:cs="Barlow Semi Condensed" w:eastAsia="Barlow Semi Condensed" w:hAnsi="Barlow Semi Condensed"/>
          <w:b/>
          <w:bCs/>
          <w:sz w:val="24"/>
          <w:szCs w:val="24"/>
        </w:rPr>
        <w:t xml:space="preserve">Primo: la diplomazia italiana fu spiazzata dalla legge del 21 luglio 1970, e la mediazione attesa da Nasser si rivelò inconsistente.</w:t>
      </w:r>
    </w:p>
    <w:p>
      <w:pPr>
        <w:spacing w:after="120" w:line="276"/>
        <w:jc w:val="both"/>
      </w:pPr>
      <w:r>
        <w:rPr>
          <w:rFonts w:ascii="Barlow Semi Condensed" w:cs="Barlow Semi Condensed" w:eastAsia="Barlow Semi Condensed" w:hAnsi="Barlow Semi Condensed"/>
          <w:b/>
          <w:bCs/>
          <w:sz w:val="24"/>
          <w:szCs w:val="24"/>
        </w:rPr>
        <w:t xml:space="preserve">Secondo, e decisivo: Moro scelse consapevolmente di scartare le misure di ritorsione, di riallacciare i rapporti con Tripoli e di puntare a compensazioni economiche indirette anziché a improbabili risarcimenti diretti per gli espropri.</w:t>
      </w:r>
    </w:p>
    <w:p>
      <w:pPr>
        <w:spacing w:after="120" w:line="276"/>
        <w:jc w:val="both"/>
      </w:pPr>
      <w:r>
        <w:rPr>
          <w:rFonts w:ascii="Barlow Semi Condensed" w:cs="Barlow Semi Condensed" w:eastAsia="Barlow Semi Condensed" w:hAnsi="Barlow Semi Condensed"/>
          <w:b/>
          <w:bCs/>
          <w:sz w:val="24"/>
          <w:szCs w:val="24"/>
        </w:rPr>
        <w:t xml:space="preserve">La tattica, secondo Varvelli, era stata delineata già dall'autunno precedente\\: in alternativa ai risarcimenti, \\l'ottenimento di rapporti economici privilegiati.</w:t>
      </w:r>
    </w:p>
    <w:p>
      <w:pPr>
        <w:spacing w:after="120" w:line="276"/>
        <w:jc w:val="both"/>
      </w:pPr>
      <w:r>
        <w:rPr>
          <w:rFonts w:ascii="Barlow Semi Condensed" w:cs="Barlow Semi Condensed" w:eastAsia="Barlow Semi Condensed" w:hAnsi="Barlow Semi Condensed"/>
          <w:b/>
          <w:bCs/>
          <w:sz w:val="24"/>
          <w:szCs w:val="24"/>
        </w:rPr>
        <w:t xml:space="preserve">Questo va enunciato con precisione perché è il punto dell'intero documento.</w:t>
      </w:r>
    </w:p>
    <w:p>
      <w:pPr>
        <w:spacing w:after="120" w:line="276"/>
        <w:jc w:val="both"/>
      </w:pPr>
      <w:r>
        <w:rPr>
          <w:rFonts w:ascii="Barlow Semi Condensed" w:cs="Barlow Semi Condensed" w:eastAsia="Barlow Semi Condensed" w:hAnsi="Barlow Semi Condensed"/>
          <w:b/>
          <w:bCs/>
          <w:sz w:val="24"/>
          <w:szCs w:val="24"/>
        </w:rPr>
        <w:t xml:space="preserve">Non è inazione. È una linea politica precisa, tracciabile, deliberata — che privilegiava l'interesse energetico e la stabilità del rapporto rispetto alla tutela patrimoniale dei cittadini espropriati.</w:t>
      </w:r>
    </w:p>
    <w:p>
      <w:pPr>
        <w:spacing w:after="120" w:line="276"/>
        <w:jc w:val="both"/>
      </w:pPr>
      <w:r>
        <w:rPr>
          <w:rFonts w:ascii="Barlow Semi Condensed" w:cs="Barlow Semi Condensed" w:eastAsia="Barlow Semi Condensed" w:hAnsi="Barlow Semi Condensed"/>
          <w:b/>
          <w:bCs/>
          <w:sz w:val="24"/>
          <w:szCs w:val="24"/>
        </w:rPr>
        <w:t xml:space="preserve">Una scelta di questo genere è più difficile da leggere di un'assenza, ed è per questo che le ricognizioni anteriori non l'avrebbero rilevata: non produce atti di protesta, produce l'assenza deliberata di atti di protesta.</w:t>
      </w:r>
    </w:p>
    <w:p>
      <w:pPr>
        <w:spacing w:after="120" w:line="276"/>
        <w:jc w:val="both"/>
      </w:pPr>
      <w:r>
        <w:rPr>
          <w:rFonts w:ascii="Barlow Semi Condensed" w:cs="Barlow Semi Condensed" w:eastAsia="Barlow Semi Condensed" w:hAnsi="Barlow Semi Condensed"/>
          <w:b/>
          <w:bCs/>
          <w:sz w:val="24"/>
          <w:szCs w:val="24"/>
        </w:rPr>
        <w:t xml:space="preserve">Due episodi di azione attiva documentata vanno aggiunti.</w:t>
      </w:r>
    </w:p>
    <w:p>
      <w:pPr>
        <w:spacing w:after="120" w:line="276"/>
        <w:jc w:val="both"/>
      </w:pPr>
      <w:r>
        <w:rPr>
          <w:rFonts w:ascii="Barlow Semi Condensed" w:cs="Barlow Semi Condensed" w:eastAsia="Barlow Semi Condensed" w:hAnsi="Barlow Semi Condensed"/>
          <w:b/>
          <w:bCs/>
          <w:sz w:val="24"/>
          <w:szCs w:val="24"/>
        </w:rPr>
        <w:t xml:space="preserve">Nel marzo 1971 l'Italia contribuì a far fallire un tentativo di colpo di Stato anti-Gheddafi\\, con il sequestro a \\Trieste\\ del battello \\Conquistador Tredicesimo.</w:t>
      </w:r>
    </w:p>
    <w:p>
      <w:pPr>
        <w:spacing w:after="120" w:line="276"/>
        <w:jc w:val="both"/>
      </w:pPr>
      <w:r>
        <w:rPr>
          <w:rFonts w:ascii="Barlow Semi Condensed" w:cs="Barlow Semi Condensed" w:eastAsia="Barlow Semi Condensed" w:hAnsi="Barlow Semi Condensed"/>
          <w:b/>
          <w:bCs/>
          <w:sz w:val="24"/>
          <w:szCs w:val="24"/>
        </w:rPr>
        <w:t xml:space="preserve">Il 5 maggio 1971 Moro si recò a Tripoli e incontrò Gheddafi.\\ Dell'incontro \\resta traccia nel Fondo Aldo Moro conservato presso l'Archivio storico del Senato.</w:t>
      </w:r>
    </w:p>
    <w:p>
      <w:pPr>
        <w:spacing w:after="120" w:line="276"/>
        <w:jc w:val="both"/>
      </w:pPr>
      <w:r>
        <w:rPr>
          <w:rFonts w:ascii="Barlow Semi Condensed" w:cs="Barlow Semi Condensed" w:eastAsia="Barlow Semi Condensed" w:hAnsi="Barlow Semi Condensed"/>
          <w:b/>
          <w:bCs/>
          <w:sz w:val="24"/>
          <w:szCs w:val="24"/>
        </w:rPr>
        <w:t xml:space="preserve">Diciotto mesi dopo la confisca dei beni dei propri cittadini, il ministro degli Esteri italiano andò a Tripoli. Questo è un fatto, e la sua lettura appartiene a chi legge.</w:t>
      </w:r>
    </w:p>
    <w:p>
      <w:pPr>
        <w:spacing w:after="120" w:line="276"/>
        <w:jc w:val="both"/>
      </w:pPr>
      <w:r>
        <w:rPr>
          <w:rFonts w:ascii="Barlow Semi Condensed" w:cs="Barlow Semi Condensed" w:eastAsia="Barlow Semi Condensed" w:hAnsi="Barlow Semi Condensed"/>
          <w:b/>
          <w:bCs/>
          <w:sz w:val="24"/>
          <w:szCs w:val="24"/>
        </w:rPr>
        <w:t xml:space="preserve">Che cosa non si è trovato, e va dichiarato. Note verbali, richiami dell'ambasciatore, ricorsi a organizzazioni internazionali: non è stata reperita conferma documentaria diretta del loro testo. Le fonti concordano anzi nel senso di una linea prudente, priva di provvedimenti formali di ritorsione.</w:t>
      </w:r>
    </w:p>
    <w:p>
      <w:pPr>
        <w:spacing w:after="120" w:line="276"/>
        <w:jc w:val="both"/>
      </w:pPr>
      <w:r>
        <w:rPr>
          <w:rFonts w:ascii="Barlow Semi Condensed" w:cs="Barlow Semi Condensed" w:eastAsia="Barlow Semi Condensed" w:hAnsi="Barlow Semi Condensed"/>
          <w:b/>
          <w:bCs/>
          <w:sz w:val="24"/>
          <w:szCs w:val="24"/>
        </w:rPr>
        <w:t xml:space="preserve">L'esistenza o meno di una formale nota di protesta italiana nel luglio-ottobre 1970 e il testo di eventuali dichiarazioni di Moro in Parlamento restano esiti negativi, da sciogliere presso l'Archivio Storico Diplomatico, serie Affari Politici Libia 1970-1971, e sugli Atti parlamentari a stampa della quinta e sesta legislatura.</w:t>
      </w:r>
    </w:p>
    <w:p>
      <w:pPr>
        <w:spacing w:after="120" w:line="276"/>
        <w:jc w:val="both"/>
      </w:pPr>
      <w:r>
        <w:rPr>
          <w:rFonts w:ascii="Barlow Semi Condensed" w:cs="Barlow Semi Condensed" w:eastAsia="Barlow Semi Condensed" w:hAnsi="Barlow Semi Condensed"/>
          <w:b/>
          <w:bCs/>
          <w:sz w:val="24"/>
          <w:szCs w:val="24"/>
        </w:rPr>
        <w:t xml:space="preserve">Ma la conclusione del capitolo non muta: la condotta italiana esiste, è coerente, è documentata. È dunque una condotta reale, che le ricognizioni potrebbero misurare.</w:t>
      </w:r>
    </w:p>
    <w:p>
      <w:pPr>
        <w:pStyle w:val="Heading2"/>
        <w:spacing w:after="100" w:before="200"/>
      </w:pPr>
      <w:r>
        <w:rPr>
          <w:rFonts w:ascii="Barlow Semi Condensed" w:cs="Barlow Semi Condensed" w:eastAsia="Barlow Semi Condensed" w:hAnsi="Barlow Semi Condensed"/>
          <w:sz w:val="24"/>
          <w:szCs w:val="24"/>
        </w:rPr>
        <w:t xml:space="preserve">Capitolo sesto — L'ENI e la ragione della linea</w:t>
      </w:r>
    </w:p>
    <w:p>
      <w:pPr>
        <w:spacing w:after="120" w:line="276"/>
        <w:jc w:val="both"/>
      </w:pPr>
      <w:r>
        <w:rPr>
          <w:rFonts w:ascii="Barlow Semi Condensed" w:cs="Barlow Semi Condensed" w:eastAsia="Barlow Semi Condensed" w:hAnsi="Barlow Semi Condensed"/>
          <w:b/>
          <w:bCs/>
          <w:sz w:val="24"/>
          <w:szCs w:val="24"/>
        </w:rPr>
        <w:t xml:space="preserve">Il capitolo espone perché la linea di Moro fu quella, e distingue ciò che è documentato da ciò che è interpretato.</w:t>
      </w:r>
    </w:p>
    <w:p>
      <w:pPr>
        <w:spacing w:after="120" w:line="276"/>
        <w:jc w:val="both"/>
      </w:pPr>
      <w:r>
        <w:rPr>
          <w:rFonts w:ascii="Barlow Semi Condensed" w:cs="Barlow Semi Condensed" w:eastAsia="Barlow Semi Condensed" w:hAnsi="Barlow Semi Condensed"/>
          <w:b/>
          <w:bCs/>
          <w:sz w:val="24"/>
          <w:szCs w:val="24"/>
        </w:rPr>
        <w:t xml:space="preserve">Il dato strutturale. L'Italia dipendeva dall'estero per circa l'ottantacinque per cento del proprio fabbisogno energetico all'inizio degli anni Settanta.</w:t>
      </w:r>
    </w:p>
    <w:p>
      <w:pPr>
        <w:spacing w:after="120" w:line="276"/>
        <w:jc w:val="both"/>
      </w:pPr>
      <w:r>
        <w:rPr>
          <w:rFonts w:ascii="Barlow Semi Condensed" w:cs="Barlow Semi Condensed" w:eastAsia="Barlow Semi Condensed" w:hAnsi="Barlow Semi Condensed"/>
          <w:b/>
          <w:bCs/>
          <w:sz w:val="24"/>
          <w:szCs w:val="24"/>
        </w:rPr>
        <w:t xml:space="preserve">La posizione dell'ENI.\\ Presente in Libia dalla fine degli anni Cinquanta, con concessioni ottenute grazie a \\royalty vantaggiose\\ e con la scoperta del giacimento di \\Bu Attifel.</w:t>
      </w:r>
    </w:p>
    <w:p>
      <w:pPr>
        <w:spacing w:after="120" w:line="276"/>
        <w:jc w:val="both"/>
      </w:pPr>
      <w:r>
        <w:rPr>
          <w:rFonts w:ascii="Barlow Semi Condensed" w:cs="Barlow Semi Condensed" w:eastAsia="Barlow Semi Condensed" w:hAnsi="Barlow Semi Condensed"/>
          <w:b/>
          <w:bCs/>
          <w:sz w:val="24"/>
          <w:szCs w:val="24"/>
        </w:rPr>
        <w:t xml:space="preserve">E il fatto che va isolato.\\ \\A differenza delle compagnie anglo-americane, l'ENI non fu nazionalizzata dopo il colpo di Stato e continuò a operare.</w:t>
      </w:r>
    </w:p>
    <w:p>
      <w:pPr>
        <w:spacing w:after="120" w:line="276"/>
        <w:jc w:val="both"/>
      </w:pPr>
      <w:r>
        <w:rPr>
          <w:rFonts w:ascii="Barlow Semi Condensed" w:cs="Barlow Semi Condensed" w:eastAsia="Barlow Semi Condensed" w:hAnsi="Barlow Semi Condensed"/>
          <w:b/>
          <w:bCs/>
          <w:sz w:val="24"/>
          <w:szCs w:val="24"/>
        </w:rPr>
        <w:t xml:space="preserve">La cronologia successiva. Nel 1971 l'accordo di Tripoli impose alle compagnie l'aumento del prezzo del greggio da due virgola cinquantatré a tre virgola trentadue dollari al barile; nel 1972 fu raggiunto un accordo fra l'ENI e il governo libico.</w:t>
      </w:r>
    </w:p>
    <w:p>
      <w:pPr>
        <w:spacing w:after="120" w:line="276"/>
        <w:jc w:val="both"/>
      </w:pPr>
      <w:r>
        <w:rPr>
          <w:rFonts w:ascii="Barlow Semi Condensed" w:cs="Barlow Semi Condensed" w:eastAsia="Barlow Semi Condensed" w:hAnsi="Barlow Semi Condensed"/>
          <w:b/>
          <w:bCs/>
          <w:sz w:val="24"/>
          <w:szCs w:val="24"/>
        </w:rPr>
        <w:t xml:space="preserve">La storiografia su questo versante è solida e fondata su archivi, e va nominata perché è essa a rendere l'accertamento possibile: gli studi di Massimiliano Cricco — \L'ENI in Libia: dal trattato italo-libico del 1956 ai negoziati degli anni Settanta\, in \Nuova Rivista Storica\, novantottesimo volume, fascicolo secondo del 2014, pagine cinquecentocinquantacinque-cinquecentosessantasei; e \Gheddafi e la nuova strategia del petrolio in Libia\, del 2004 — quelli di Silvio Labbate sul governo dell'energia, quelli di Ilaria Tremolada sulla via italiana al petrolio.</w:t>
      </w:r>
    </w:p>
    <w:p>
      <w:pPr>
        <w:spacing w:after="120" w:line="276"/>
        <w:jc w:val="both"/>
      </w:pPr>
      <w:r>
        <w:rPr>
          <w:rFonts w:ascii="Barlow Semi Condensed" w:cs="Barlow Semi Condensed" w:eastAsia="Barlow Semi Condensed" w:hAnsi="Barlow Semi Condensed"/>
          <w:b/>
          <w:bCs/>
          <w:sz w:val="24"/>
          <w:szCs w:val="24"/>
        </w:rPr>
        <w:t xml:space="preserve">E adesso la distinzione che la disciplina impone, perché qui l'inferenza facile è disponibile e seducente.</w:t>
      </w:r>
    </w:p>
    <w:p>
      <w:pPr>
        <w:spacing w:after="120" w:line="276"/>
        <w:jc w:val="both"/>
      </w:pPr>
      <w:r>
        <w:rPr>
          <w:rFonts w:ascii="Barlow Semi Condensed" w:cs="Barlow Semi Condensed" w:eastAsia="Barlow Semi Condensed" w:hAnsi="Barlow Semi Condensed"/>
          <w:b/>
          <w:bCs/>
          <w:sz w:val="24"/>
          <w:szCs w:val="24"/>
        </w:rPr>
        <w:t xml:space="preserve">Che gli interessi petroliferi abbiano condizionato la risposta politica è tesi sostenuta dalla storiografia e coerente con la documentazione.</w:t>
      </w:r>
    </w:p>
    <w:p>
      <w:pPr>
        <w:spacing w:after="120" w:line="276"/>
        <w:jc w:val="both"/>
      </w:pPr>
      <w:r>
        <w:rPr>
          <w:rFonts w:ascii="Barlow Semi Condensed" w:cs="Barlow Semi Condensed" w:eastAsia="Barlow Semi Condensed" w:hAnsi="Barlow Semi Condensed"/>
          <w:b/>
          <w:bCs/>
          <w:sz w:val="24"/>
          <w:szCs w:val="24"/>
        </w:rPr>
        <w:t xml:space="preserve">Ma va enunciata come interpretazione degli studiosi e non come fatto autoevidente. La contemporaneità fra la tutela dell'ENI e la rinuncia alle ritorsioni è forte; ma il nesso causale è argomentato da Varvelli e da Cricco, non semplicemente dedotto dalla coincidenza cronologica.</w:t>
      </w:r>
    </w:p>
    <w:p>
      <w:pPr>
        <w:spacing w:after="120" w:line="276"/>
        <w:jc w:val="both"/>
      </w:pPr>
      <w:r>
        <w:rPr>
          <w:rFonts w:ascii="Barlow Semi Condensed" w:cs="Barlow Semi Condensed" w:eastAsia="Barlow Semi Condensed" w:hAnsi="Barlow Semi Condensed"/>
          <w:b/>
          <w:bCs/>
          <w:sz w:val="24"/>
          <w:szCs w:val="24"/>
        </w:rPr>
        <w:t xml:space="preserve">Ne discende che la ricostruzione qui accolta — Moro rinunciò alle ritorsioni per proteggere la posizione energetica — è la lettura della storiografia fondata su archivio, e come tale va riportata: non come accertamento del documento, ma come tesi argomentata da chi il documento lo ha letto.</w:t>
      </w:r>
    </w:p>
    <w:p>
      <w:pPr>
        <w:spacing w:after="120" w:line="276"/>
        <w:jc w:val="both"/>
      </w:pPr>
      <w:r>
        <w:rPr>
          <w:rFonts w:ascii="Barlow Semi Condensed" w:cs="Barlow Semi Condensed" w:eastAsia="Barlow Semi Condensed" w:hAnsi="Barlow Semi Condensed"/>
          <w:b/>
          <w:bCs/>
          <w:sz w:val="24"/>
          <w:szCs w:val="24"/>
        </w:rPr>
        <w:t xml:space="preserve">Il che, secondo me, è comunque assai più di quanto le tredici ricognizioni anteriori abbiano potuto dire su alcuno dei sei perimetri.</w:t>
      </w:r>
    </w:p>
    <w:p>
      <w:pPr>
        <w:pStyle w:val="Heading2"/>
        <w:spacing w:after="100" w:before="200"/>
      </w:pPr>
      <w:r>
        <w:rPr>
          <w:rFonts w:ascii="Barlow Semi Condensed" w:cs="Barlow Semi Condensed" w:eastAsia="Barlow Semi Condensed" w:hAnsi="Barlow Semi Condensed"/>
          <w:sz w:val="24"/>
          <w:szCs w:val="24"/>
        </w:rPr>
        <w:t xml:space="preserve">Capitolo settimo — Gli altri casi in cui qualcuno ha aperto l'archivio</w:t>
      </w:r>
    </w:p>
    <w:p>
      <w:pPr>
        <w:spacing w:after="120" w:line="276"/>
        <w:jc w:val="both"/>
      </w:pPr>
      <w:r>
        <w:rPr>
          <w:rFonts w:ascii="Barlow Semi Condensed" w:cs="Barlow Semi Condensed" w:eastAsia="Barlow Semi Condensed" w:hAnsi="Barlow Semi Condensed"/>
          <w:b/>
          <w:bCs/>
          <w:sz w:val="24"/>
          <w:szCs w:val="24"/>
        </w:rPr>
        <w:t xml:space="preserve">Il capitolo verifica se la Libia sia eccezione o regola, e trova la regola.</w:t>
      </w:r>
    </w:p>
    <w:p>
      <w:pPr>
        <w:spacing w:after="120" w:line="276"/>
        <w:jc w:val="both"/>
      </w:pPr>
      <w:r>
        <w:rPr>
          <w:rFonts w:ascii="Barlow Semi Condensed" w:cs="Barlow Semi Condensed" w:eastAsia="Barlow Semi Condensed" w:hAnsi="Barlow Semi Condensed"/>
          <w:b/>
          <w:bCs/>
          <w:sz w:val="24"/>
          <w:szCs w:val="24"/>
        </w:rPr>
        <w:t xml:space="preserve">Il riconoscimento della Cina. Formalizzato con il comunicato congiunto di Parigi del 6 novembre 1970. La trattativa è documentata con precisione: il quarto incontro si tenne il 27 e 28 ottobre 1970 presso l'ambasciata cinese a Parigi, ed è attestato da carte dell'Archivio Storico del Ministero — scarico dell'ambasciata a Pechino, busta sul riconoscimento — e da un carteggio Moro-Saragat del 2 e 3 novembre 1970 conservato nel Fondo Moro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La preparazione della Conferenza di Helsinki. I colloqui preparatori si aprirono a Helsinki il 22 novembre 1972; la fase di Ginevra durò dal settembre 1973 al luglio 1975; Moro firmò l'Atto finale il 1 agosto 1975. L'azione italiana sul terzo cesto — libera circolazione di persone, idee e informazioni — è ricostruita da studi fondati sull'Archivio storico del Ministero, quelli di Giuseppe Spagnulo, e da lavori che incrociano fonti tedesche e italiane, quelli di Francesca Zilio, \Roma e Bonn fra Ostpolitik e CSCE 1969-1975.\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Questo nome va isolato perché tocca direttamente un perimetro della serie.\\ \\Zilio ha lavorato sull'azione italiana verso la Germania e la sua Ostpolitik, e l'ha trovata.</w:t>
      </w:r>
    </w:p>
    <w:p>
      <w:pPr>
        <w:spacing w:after="120" w:line="276"/>
        <w:jc w:val="both"/>
      </w:pPr>
      <w:r>
        <w:rPr>
          <w:rFonts w:ascii="Barlow Semi Condensed" w:cs="Barlow Semi Condensed" w:eastAsia="Barlow Semi Condensed" w:hAnsi="Barlow Semi Condensed"/>
          <w:b/>
          <w:bCs/>
          <w:sz w:val="24"/>
          <w:szCs w:val="24"/>
        </w:rPr>
        <w:t xml:space="preserve">Ne discende che la nona ricognizione, che aveva dichiarato non reperita la posizione italiana sui cinque atti della Ostpolitik, ha misurato la propria mancata consultazione di quello studio e non l'assenza dell'azione.</w:t>
      </w:r>
    </w:p>
    <w:p>
      <w:pPr>
        <w:spacing w:after="120" w:line="276"/>
        <w:jc w:val="both"/>
      </w:pPr>
      <w:r>
        <w:rPr>
          <w:rFonts w:ascii="Barlow Semi Condensed" w:cs="Barlow Semi Condensed" w:eastAsia="Barlow Semi Condensed" w:hAnsi="Barlow Semi Condensed"/>
          <w:b/>
          <w:bCs/>
          <w:sz w:val="24"/>
          <w:szCs w:val="24"/>
        </w:rPr>
        <w:t xml:space="preserve">L'Adriatico. Il negoziato di Osimo è ora servito da un volume documentario ufficiale: \Documenti sulla Pace Adriatica. Il negoziato per gli Accordi di Osimo nelle carte della diplomazia italiana\, a cura di Massimo Bucarelli e Arrigo Bonifacio, edito dall'Istituto Poligrafico nel 2025.</w:t>
      </w:r>
    </w:p>
    <w:p>
      <w:pPr>
        <w:spacing w:after="120" w:line="276"/>
        <w:jc w:val="both"/>
      </w:pPr>
      <w:r>
        <w:rPr>
          <w:rFonts w:ascii="Barlow Semi Condensed" w:cs="Barlow Semi Condensed" w:eastAsia="Barlow Semi Condensed" w:hAnsi="Barlow Semi Condensed"/>
          <w:b/>
          <w:bCs/>
          <w:sz w:val="24"/>
          <w:szCs w:val="24"/>
        </w:rPr>
        <w:t xml:space="preserve">Il quadro complessivo, ed è la regolarità.\\ \\Ogni volta che uno studioso ha aperto le serie pertinenti dell'archivio diplomatico, l'azione italiana è emersa.</w:t>
      </w:r>
    </w:p>
    <w:p>
      <w:pPr>
        <w:spacing w:after="120" w:line="276"/>
        <w:jc w:val="both"/>
      </w:pPr>
      <w:r>
        <w:rPr>
          <w:rFonts w:ascii="Barlow Semi Condensed" w:cs="Barlow Semi Condensed" w:eastAsia="Barlow Semi Condensed" w:hAnsi="Barlow Semi Condensed"/>
          <w:b/>
          <w:bCs/>
          <w:sz w:val="24"/>
          <w:szCs w:val="24"/>
        </w:rPr>
        <w:t xml:space="preserve">Libia, Cina, Helsinki, Adriatico. Quattro casi su quattro.</w:t>
      </w:r>
    </w:p>
    <w:p>
      <w:pPr>
        <w:spacing w:after="120" w:line="276"/>
        <w:jc w:val="both"/>
      </w:pPr>
      <w:r>
        <w:rPr>
          <w:rFonts w:ascii="Barlow Semi Condensed" w:cs="Barlow Semi Condensed" w:eastAsia="Barlow Semi Condensed" w:hAnsi="Barlow Semi Condensed"/>
          <w:b/>
          <w:bCs/>
          <w:sz w:val="24"/>
          <w:szCs w:val="24"/>
        </w:rPr>
        <w:t xml:space="preserve">La Libia non è dunque eccezione. È un esempio della regola secondo cui l'azione esiste ed è documentabile là dove è stata cercata.</w:t>
      </w:r>
    </w:p>
    <w:p>
      <w:pPr>
        <w:spacing w:after="120" w:line="276"/>
        <w:jc w:val="both"/>
      </w:pPr>
      <w:r>
        <w:rPr>
          <w:rFonts w:ascii="Barlow Semi Condensed" w:cs="Barlow Semi Condensed" w:eastAsia="Barlow Semi Condensed" w:hAnsi="Barlow Semi Condensed"/>
          <w:b/>
          <w:bCs/>
          <w:sz w:val="24"/>
          <w:szCs w:val="24"/>
        </w:rPr>
        <w:t xml:space="preserve">E ne discende il sospetto che governa il resto di questo documento: i sei perimetri silenziosi potrebbero essere semplicemente i sei perimetri che nessuno ha cercato.</w:t>
      </w:r>
    </w:p>
    <w:p>
      <w:pPr>
        <w:pStyle w:val="Heading2"/>
        <w:spacing w:after="100" w:before="200"/>
      </w:pPr>
      <w:r>
        <w:rPr>
          <w:rFonts w:ascii="Barlow Semi Condensed" w:cs="Barlow Semi Condensed" w:eastAsia="Barlow Semi Condensed" w:hAnsi="Barlow Semi Condensed"/>
          <w:sz w:val="24"/>
          <w:szCs w:val="24"/>
        </w:rPr>
        <w:t xml:space="preserve">Capitolo ottavo — Osimo: l'azione condotta fuori dalla Farnesina</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che, secondo me, ha la conseguenza metodologica più grave dell'intera serie.</w:t>
      </w:r>
    </w:p>
    <w:p>
      <w:pPr>
        <w:spacing w:after="120" w:line="276"/>
        <w:jc w:val="both"/>
      </w:pPr>
      <w:r>
        <w:rPr>
          <w:rFonts w:ascii="Barlow Semi Condensed" w:cs="Barlow Semi Condensed" w:eastAsia="Barlow Semi Condensed" w:hAnsi="Barlow Semi Condensed"/>
          <w:b/>
          <w:bCs/>
          <w:sz w:val="24"/>
          <w:szCs w:val="24"/>
        </w:rPr>
        <w:t xml:space="preserve">Il fatto.\\ Il negoziato che portò al \\trattato di Osimo del 10 novembre 1975\\ con la Jugoslavia \\fu condotto, per scelta deliberata, attraverso un canale del Ministero dell'Industria.</w:t>
      </w:r>
    </w:p>
    <w:p>
      <w:pPr>
        <w:spacing w:after="120" w:line="276"/>
        <w:jc w:val="both"/>
      </w:pPr>
      <w:r>
        <w:rPr>
          <w:rFonts w:ascii="Barlow Semi Condensed" w:cs="Barlow Semi Condensed" w:eastAsia="Barlow Semi Condensed" w:hAnsi="Barlow Semi Condensed"/>
          <w:b/>
          <w:bCs/>
          <w:sz w:val="24"/>
          <w:szCs w:val="24"/>
        </w:rPr>
        <w:t xml:space="preserve">Il nome del canale: Eugenio Carbone, direttore generale.\\ Il canale era stato \\predisposto nel 1973 dai ministri Medici e Minić.</w:t>
      </w:r>
    </w:p>
    <w:p>
      <w:pPr>
        <w:spacing w:after="120" w:line="276"/>
        <w:jc w:val="both"/>
      </w:pPr>
      <w:r>
        <w:rPr>
          <w:rFonts w:ascii="Barlow Semi Condensed" w:cs="Barlow Semi Condensed" w:eastAsia="Barlow Semi Condensed" w:hAnsi="Barlow Semi Condensed"/>
          <w:b/>
          <w:bCs/>
          <w:sz w:val="24"/>
          <w:szCs w:val="24"/>
        </w:rPr>
        <w:t xml:space="preserve">E la qualificazione che le fonti gli danno va riportata testualmente perché è categorica.\\ \\Fu il primo trattato internazionale i cui negoziati per l'Italia non furono curati dal Ministero degli Esteri.</w:t>
      </w:r>
    </w:p>
    <w:p>
      <w:pPr>
        <w:spacing w:after="120" w:line="276"/>
        <w:jc w:val="both"/>
      </w:pPr>
      <w:r>
        <w:rPr>
          <w:rFonts w:ascii="Barlow Semi Condensed" w:cs="Barlow Semi Condensed" w:eastAsia="Barlow Semi Condensed" w:hAnsi="Barlow Semi Condensed"/>
          <w:b/>
          <w:bCs/>
          <w:sz w:val="24"/>
          <w:szCs w:val="24"/>
        </w:rPr>
        <w:t xml:space="preserve">La conferma per via di conflitto.\\ \\Alla vigilia della firma si registrarono le dimissioni dell'ambasciatore Camillo Giurati.</w:t>
      </w:r>
    </w:p>
    <w:p>
      <w:pPr>
        <w:spacing w:after="120" w:line="276"/>
        <w:jc w:val="both"/>
      </w:pPr>
      <w:r>
        <w:rPr>
          <w:rFonts w:ascii="Barlow Semi Condensed" w:cs="Barlow Semi Condensed" w:eastAsia="Barlow Semi Condensed" w:hAnsi="Barlow Semi Condensed"/>
          <w:b/>
          <w:bCs/>
          <w:sz w:val="24"/>
          <w:szCs w:val="24"/>
        </w:rPr>
        <w:t xml:space="preserve">Un ambasciatore si dimette quando il proprio ministero viene aggirato: la dimissione è la prova che l'aggiramento fu reale e percepito come tale.</w:t>
      </w:r>
    </w:p>
    <w:p>
      <w:pPr>
        <w:spacing w:after="120" w:line="276"/>
        <w:jc w:val="both"/>
      </w:pPr>
      <w:r>
        <w:rPr>
          <w:rFonts w:ascii="Barlow Semi Condensed" w:cs="Barlow Semi Condensed" w:eastAsia="Barlow Semi Condensed" w:hAnsi="Barlow Semi Condensed"/>
          <w:b/>
          <w:bCs/>
          <w:sz w:val="24"/>
          <w:szCs w:val="24"/>
        </w:rPr>
        <w:t xml:space="preserve">La circostanza era stata indicata dal committente come da verificare. Risulta confermata.</w:t>
      </w:r>
    </w:p>
    <w:p>
      <w:pPr>
        <w:spacing w:after="120" w:line="276"/>
        <w:jc w:val="both"/>
      </w:pPr>
      <w:r>
        <w:rPr>
          <w:rFonts w:ascii="Barlow Semi Condensed" w:cs="Barlow Semi Condensed" w:eastAsia="Barlow Semi Condensed" w:hAnsi="Barlow Semi Condensed"/>
          <w:b/>
          <w:bCs/>
          <w:sz w:val="24"/>
          <w:szCs w:val="24"/>
        </w:rPr>
        <w:t xml:space="preserve">E adesso la conseguenza metodologica, che va enunciata con la massima chiarezza perché rovescia il presupposto di tredici ricognizioni.</w:t>
      </w:r>
    </w:p>
    <w:p>
      <w:pPr>
        <w:spacing w:after="120" w:line="276"/>
        <w:jc w:val="both"/>
      </w:pPr>
      <w:r>
        <w:rPr>
          <w:rFonts w:ascii="Barlow Semi Condensed" w:cs="Barlow Semi Condensed" w:eastAsia="Barlow Semi Condensed" w:hAnsi="Barlow Semi Condensed"/>
          <w:b/>
          <w:bCs/>
          <w:sz w:val="24"/>
          <w:szCs w:val="24"/>
        </w:rPr>
        <w:t xml:space="preserve">Per alcuni dossier l'azione dello Stato può non lasciare traccia nell'archivio diplomatico proprio perché fu condotta altrove.</w:t>
      </w:r>
    </w:p>
    <w:p>
      <w:pPr>
        <w:spacing w:after="120" w:line="276"/>
        <w:jc w:val="both"/>
      </w:pPr>
      <w:r>
        <w:rPr>
          <w:rFonts w:ascii="Barlow Semi Condensed" w:cs="Barlow Semi Condensed" w:eastAsia="Barlow Semi Condensed" w:hAnsi="Barlow Semi Condensed"/>
          <w:b/>
          <w:bCs/>
          <w:sz w:val="24"/>
          <w:szCs w:val="24"/>
        </w:rPr>
        <w:t xml:space="preserve">Ne discende che l'assenza in Archivio Storico Diplomatico è compatibile con la presenza di azione.</w:t>
      </w:r>
    </w:p>
    <w:p>
      <w:pPr>
        <w:spacing w:after="120" w:line="276"/>
        <w:jc w:val="both"/>
      </w:pPr>
      <w:r>
        <w:rPr>
          <w:rFonts w:ascii="Barlow Semi Condensed" w:cs="Barlow Semi Condensed" w:eastAsia="Barlow Semi Condensed" w:hAnsi="Barlow Semi Condensed"/>
          <w:b/>
          <w:bCs/>
          <w:sz w:val="24"/>
          <w:szCs w:val="24"/>
        </w:rPr>
        <w:t xml:space="preserve">Questo non è un dettaglio procedurale: è la falsificazione del criterio implicito con cui le tredici ricognizioni hanno letto il silenzio. Esse assumevano che, se lo Stato avesse agito, l'azione sarebbe stata nell'archivio della Farnesina o negli atti parlamentari. Osimo prova che tale assunto non tiene in generale.</w:t>
      </w:r>
    </w:p>
    <w:p>
      <w:pPr>
        <w:spacing w:after="120" w:line="276"/>
        <w:jc w:val="both"/>
      </w:pPr>
      <w:r>
        <w:rPr>
          <w:rFonts w:ascii="Barlow Semi Condensed" w:cs="Barlow Semi Condensed" w:eastAsia="Barlow Semi Condensed" w:hAnsi="Barlow Semi Condensed"/>
          <w:b/>
          <w:bCs/>
          <w:sz w:val="24"/>
          <w:szCs w:val="24"/>
        </w:rPr>
        <w:t xml:space="preserve">E apre una domanda che nessuna ricognizione ha posto: per i sei perimetri, esistevano canali paralleli?</w:t>
      </w:r>
    </w:p>
    <w:p>
      <w:pPr>
        <w:spacing w:after="120" w:line="276"/>
        <w:jc w:val="both"/>
      </w:pPr>
      <w:r>
        <w:rPr>
          <w:rFonts w:ascii="Barlow Semi Condensed" w:cs="Barlow Semi Condensed" w:eastAsia="Barlow Semi Condensed" w:hAnsi="Barlow Semi Condensed"/>
          <w:b/>
          <w:bCs/>
          <w:sz w:val="24"/>
          <w:szCs w:val="24"/>
        </w:rPr>
        <w:t xml:space="preserve">Il caso jugoslavo passò per il Ministero dell'Industria perché la materia era in larga parte economica. I sei perimetri hanno materie diverse — Spagna e Portogallo con questioni migratorie e comunitarie, Grecia e Turchia con questioni comunitarie e atlantiche, Cipro con questione multilaterale, Germania con questione economica e monetaria — e ciascuna di esse ha un ministero competente diverso dalla Farnesina.</w:t>
      </w:r>
    </w:p>
    <w:p>
      <w:pPr>
        <w:spacing w:after="120" w:line="276"/>
        <w:jc w:val="both"/>
      </w:pPr>
      <w:r>
        <w:rPr>
          <w:rFonts w:ascii="Barlow Semi Condensed" w:cs="Barlow Semi Condensed" w:eastAsia="Barlow Semi Condensed" w:hAnsi="Barlow Semi Condensed"/>
          <w:b/>
          <w:bCs/>
          <w:sz w:val="24"/>
          <w:szCs w:val="24"/>
        </w:rPr>
        <w:t xml:space="preserve">Nessuna delle tredici ricognizioni ha cercato in quei ministeri. È voce nuova della tavola, e la si colloca al Capitolo dodicesimo.</w:t>
      </w:r>
    </w:p>
    <w:p>
      <w:pPr>
        <w:pStyle w:val="Heading2"/>
        <w:spacing w:after="100" w:before="200"/>
      </w:pPr>
      <w:r>
        <w:rPr>
          <w:rFonts w:ascii="Barlow Semi Condensed" w:cs="Barlow Semi Condensed" w:eastAsia="Barlow Semi Condensed" w:hAnsi="Barlow Semi Condensed"/>
          <w:sz w:val="24"/>
          <w:szCs w:val="24"/>
        </w:rPr>
        <w:t xml:space="preserve">Capitolo nono — Lo stato degli archivi e perché il silenzio è in parte artefatto</w:t>
      </w:r>
    </w:p>
    <w:p>
      <w:pPr>
        <w:spacing w:after="120" w:line="276"/>
        <w:jc w:val="both"/>
      </w:pPr>
      <w:r>
        <w:rPr>
          <w:rFonts w:ascii="Barlow Semi Condensed" w:cs="Barlow Semi Condensed" w:eastAsia="Barlow Semi Condensed" w:hAnsi="Barlow Semi Condensed"/>
          <w:b/>
          <w:bCs/>
          <w:sz w:val="24"/>
          <w:szCs w:val="24"/>
        </w:rPr>
        <w:t xml:space="preserve">Il capitolo documenta le condizioni materiali che producono il silenzio percepito.</w:t>
      </w:r>
    </w:p>
    <w:p>
      <w:pPr>
        <w:spacing w:after="120" w:line="276"/>
        <w:jc w:val="both"/>
      </w:pPr>
      <w:r>
        <w:rPr>
          <w:rFonts w:ascii="Barlow Semi Condensed" w:cs="Barlow Semi Condensed" w:eastAsia="Barlow Semi Condensed" w:hAnsi="Barlow Semi Condensed"/>
          <w:b/>
          <w:bCs/>
          <w:sz w:val="24"/>
          <w:szCs w:val="24"/>
        </w:rPr>
        <w:t xml:space="preserve">L'Archivio Storico Diplomatico. Conserva circa trenta chilometri lineari di documenti ordinati per ufficio versante. Sono ammessi alla consultazione i documenti anteriori al cinquantennio; per quelli fra i trenta e i cinquant'anni occorre il parere favorevole dell'ufficio produttore, secondo il decreto ministeriale milledodici bis settecentododici del 22 dicembre 2015.</w:t>
      </w:r>
    </w:p>
    <w:p>
      <w:pPr>
        <w:spacing w:after="120" w:line="276"/>
        <w:jc w:val="both"/>
      </w:pPr>
      <w:r>
        <w:rPr>
          <w:rFonts w:ascii="Barlow Semi Condensed" w:cs="Barlow Semi Condensed" w:eastAsia="Barlow Semi Condensed" w:hAnsi="Barlow Semi Condensed"/>
          <w:b/>
          <w:bCs/>
          <w:sz w:val="24"/>
          <w:szCs w:val="24"/>
        </w:rPr>
        <w:t xml:space="preserve">Per la documentazione dal 1949 in poi l'utente deve inviare preventivamente l'elenco dei faldoni per verificarne la disponibilità\\, e l'archivio avverte che \\il materiale potrebbe non essere disponibile in tempi brevi.</w:t>
      </w:r>
    </w:p>
    <w:p>
      <w:pPr>
        <w:spacing w:after="120" w:line="276"/>
        <w:jc w:val="both"/>
      </w:pPr>
      <w:r>
        <w:rPr>
          <w:rFonts w:ascii="Barlow Semi Condensed" w:cs="Barlow Semi Condensed" w:eastAsia="Barlow Semi Condensed" w:hAnsi="Barlow Semi Condensed"/>
          <w:b/>
          <w:bCs/>
          <w:sz w:val="24"/>
          <w:szCs w:val="24"/>
        </w:rPr>
        <w:t xml:space="preserve">Ne discende una condizione operativa che va enunciata perché spiega molto. Le serie del periodo Moro sono formalmente aperte ma di accesso condizionato e non indicizzato online. Non è possibile una ricerca esplorativa: occorre sapere che cosa si cerca prima di poterlo cercare, il che scoraggia lo spoglio sistematico e favorisce chi lavori su un perimetro già delimitato.</w:t>
      </w:r>
    </w:p>
    <w:p>
      <w:pPr>
        <w:spacing w:after="120" w:line="276"/>
        <w:jc w:val="both"/>
      </w:pPr>
      <w:r>
        <w:rPr>
          <w:rFonts w:ascii="Barlow Semi Condensed" w:cs="Barlow Semi Condensed" w:eastAsia="Barlow Semi Condensed" w:hAnsi="Barlow Semi Condensed"/>
          <w:b/>
          <w:bCs/>
          <w:sz w:val="24"/>
          <w:szCs w:val="24"/>
        </w:rPr>
        <w:t xml:space="preserve">I Documenti Diplomatici Italiani. La collana che renderebbe l'azione consultabile in edizione critica non ha raggiunto gli anni Sessanta-Settanta: l'ultimo volume pubblicato è il sesto dell'undicesima serie, relativo alla prima parte del settimo governo De Gasperi, 1951-1952.</w:t>
      </w:r>
    </w:p>
    <w:p>
      <w:pPr>
        <w:spacing w:after="120" w:line="276"/>
        <w:jc w:val="both"/>
      </w:pPr>
      <w:r>
        <w:rPr>
          <w:rFonts w:ascii="Barlow Semi Condensed" w:cs="Barlow Semi Condensed" w:eastAsia="Barlow Semi Condensed" w:hAnsi="Barlow Semi Condensed"/>
          <w:b/>
          <w:bCs/>
          <w:sz w:val="24"/>
          <w:szCs w:val="24"/>
        </w:rPr>
        <w:t xml:space="preserve">Per il periodo Moro non esiste edizione. Questo è, secondo me, il singolo fattore che più pesa sul silenzio documentario percepito.</w:t>
      </w:r>
    </w:p>
    <w:p>
      <w:pPr>
        <w:spacing w:after="120" w:line="276"/>
        <w:jc w:val="both"/>
      </w:pPr>
      <w:r>
        <w:rPr>
          <w:rFonts w:ascii="Barlow Semi Condensed" w:cs="Barlow Semi Condensed" w:eastAsia="Barlow Semi Condensed" w:hAnsi="Barlow Semi Condensed"/>
          <w:b/>
          <w:bCs/>
          <w:sz w:val="24"/>
          <w:szCs w:val="24"/>
        </w:rPr>
        <w:t xml:space="preserve">Gli atti parlamentari.\\ La banca dati del sindacato ispettivo \\copre soltanto dal 5 luglio 1976.\\ Per la quinta e sesta legislatura la ricerca va condotta \\sui resoconti a stampa, non digitalizzati in forma indicizzata.</w:t>
      </w:r>
    </w:p>
    <w:p>
      <w:pPr>
        <w:spacing w:after="120" w:line="276"/>
        <w:jc w:val="both"/>
      </w:pPr>
      <w:r>
        <w:rPr>
          <w:rFonts w:ascii="Barlow Semi Condensed" w:cs="Barlow Semi Condensed" w:eastAsia="Barlow Semi Condensed" w:hAnsi="Barlow Semi Condensed"/>
          <w:b/>
          <w:bCs/>
          <w:sz w:val="24"/>
          <w:szCs w:val="24"/>
        </w:rPr>
        <w:t xml:space="preserve">Il che spiega perché le dichiarazioni di Moro sulla Libia non emergano nelle ricerche online: non perché non esistano, ma perché non sono cercabili.</w:t>
      </w:r>
    </w:p>
    <w:p>
      <w:pPr>
        <w:spacing w:after="120" w:line="276"/>
        <w:jc w:val="both"/>
      </w:pPr>
      <w:r>
        <w:rPr>
          <w:rFonts w:ascii="Barlow Semi Condensed" w:cs="Barlow Semi Condensed" w:eastAsia="Barlow Semi Condensed" w:hAnsi="Barlow Semi Condensed"/>
          <w:b/>
          <w:bCs/>
          <w:sz w:val="24"/>
          <w:szCs w:val="24"/>
        </w:rPr>
        <w:t xml:space="preserve">I fondi personali collaterali consultabili, che nessuna ricognizione ha aperto: il Fondo Ugo La Malfa all'Archivio Centrale dello Stato; il Fondo Nenni; le carte Andreotti presso l'Istituto Luigi Sturzo, base del volume Bucarelli-Micheletta del 2018.</w:t>
      </w:r>
    </w:p>
    <w:p>
      <w:pPr>
        <w:spacing w:after="120" w:line="276"/>
        <w:jc w:val="both"/>
      </w:pPr>
      <w:r>
        <w:rPr>
          <w:rFonts w:ascii="Barlow Semi Condensed" w:cs="Barlow Semi Condensed" w:eastAsia="Barlow Semi Condensed" w:hAnsi="Barlow Semi Condensed"/>
          <w:b/>
          <w:bCs/>
          <w:sz w:val="24"/>
          <w:szCs w:val="24"/>
        </w:rPr>
        <w:t xml:space="preserve">Ne discende il bilancio del capitolo.\\ \\Nessuna delle tre vie di verifica rapida — edizione critica, banca dati parlamentare, catalogo online dell'archivio — è percorribile per il periodo Moro.</w:t>
      </w:r>
    </w:p>
    <w:p>
      <w:pPr>
        <w:spacing w:after="120" w:line="276"/>
        <w:jc w:val="both"/>
      </w:pPr>
      <w:r>
        <w:rPr>
          <w:rFonts w:ascii="Barlow Semi Condensed" w:cs="Barlow Semi Condensed" w:eastAsia="Barlow Semi Condensed" w:hAnsi="Barlow Semi Condensed"/>
          <w:b/>
          <w:bCs/>
          <w:sz w:val="24"/>
          <w:szCs w:val="24"/>
        </w:rPr>
        <w:t xml:space="preserve">Chi cerchi per via telematica trova silenzio. Chi vada in sede con un perimetro delimitato trova carte. La differenza fra le tredici ricognizioni e Varvelli è tutta qui.</w:t>
      </w:r>
    </w:p>
    <w:p>
      <w:pPr>
        <w:pStyle w:val="Heading2"/>
        <w:spacing w:after="100" w:before="200"/>
      </w:pPr>
      <w:r>
        <w:rPr>
          <w:rFonts w:ascii="Barlow Semi Condensed" w:cs="Barlow Semi Condensed" w:eastAsia="Barlow Semi Condensed" w:hAnsi="Barlow Semi Condensed"/>
          <w:sz w:val="24"/>
          <w:szCs w:val="24"/>
        </w:rPr>
        <w:t xml:space="preserve">Capitolo decimo — L'emendazione al Registro</w:t>
      </w:r>
    </w:p>
    <w:p>
      <w:pPr>
        <w:spacing w:after="120" w:line="276"/>
        <w:jc w:val="both"/>
      </w:pPr>
      <w:r>
        <w:rPr>
          <w:rFonts w:ascii="Barlow Semi Condensed" w:cs="Barlow Semi Condensed" w:eastAsia="Barlow Semi Condensed" w:hAnsi="Barlow Semi Condensed"/>
          <w:b/>
          <w:bCs/>
          <w:sz w:val="24"/>
          <w:szCs w:val="24"/>
        </w:rPr>
        <w:t xml:space="preserve">Il capitolo esegue una correzione a una voce già iscritta nel corpus, e la esegue formalmente perché una voce errata è peggio di una voce assente.</w:t>
      </w:r>
    </w:p>
    <w:p>
      <w:pPr>
        <w:spacing w:after="120" w:line="276"/>
        <w:jc w:val="both"/>
      </w:pPr>
      <w:r>
        <w:rPr>
          <w:rFonts w:ascii="Barlow Semi Condensed" w:cs="Barlow Semi Condensed" w:eastAsia="Barlow Semi Condensed" w:hAnsi="Barlow Semi Condensed"/>
          <w:b/>
          <w:bCs/>
          <w:sz w:val="24"/>
          <w:szCs w:val="24"/>
        </w:rPr>
        <w:t xml:space="preserve">La voce da emendare. Il Registro delle Undici Ricognizioni, al Capitolo quinto, quinta sede, iscrive il Fondo Moro presso l'Archivio Centrale dello Stato con l'avvertenza che l'inventario per la titolarità degli Esteri comincerebbe dal quarto governo Moro, cioè da novembre 1974, e dunque posteriore a gran parte del perimetro.</w:t>
      </w:r>
    </w:p>
    <w:p>
      <w:pPr>
        <w:spacing w:after="120" w:line="276"/>
        <w:jc w:val="both"/>
      </w:pPr>
      <w:r>
        <w:rPr>
          <w:rFonts w:ascii="Barlow Semi Condensed" w:cs="Barlow Semi Condensed" w:eastAsia="Barlow Semi Condensed" w:hAnsi="Barlow Semi Condensed"/>
          <w:b/>
          <w:bCs/>
          <w:sz w:val="24"/>
          <w:szCs w:val="24"/>
        </w:rPr>
        <w:t xml:space="preserve">Quell'avvertenza è smentita da questa ricognizione.</w:t>
      </w:r>
    </w:p>
    <w:p>
      <w:pPr>
        <w:spacing w:after="120" w:line="276"/>
        <w:jc w:val="both"/>
      </w:pPr>
      <w:r>
        <w:rPr>
          <w:rFonts w:ascii="Barlow Semi Condensed" w:cs="Barlow Semi Condensed" w:eastAsia="Barlow Semi Condensed" w:hAnsi="Barlow Semi Condensed"/>
          <w:b/>
          <w:bCs/>
          <w:sz w:val="24"/>
          <w:szCs w:val="24"/>
        </w:rPr>
        <w:t xml:space="preserve">Il riscontro. Il Fondo Aldo Moro cinquantatré-settantotto conserva documentazione sulla comunità italiana di Libia alla busta centotrentanove, fascicoli due punto uno, due punto due e due punto quattro; e il fascicolo due punto due contiene il rapporto di fine missione dell'ambasciatore Borromeo, del 1971.</w:t>
      </w:r>
    </w:p>
    <w:p>
      <w:pPr>
        <w:spacing w:after="120" w:line="276"/>
        <w:jc w:val="both"/>
      </w:pPr>
      <w:r>
        <w:rPr>
          <w:rFonts w:ascii="Barlow Semi Condensed" w:cs="Barlow Semi Condensed" w:eastAsia="Barlow Semi Condensed" w:hAnsi="Barlow Semi Condensed"/>
          <w:b/>
          <w:bCs/>
          <w:sz w:val="24"/>
          <w:szCs w:val="24"/>
        </w:rPr>
        <w:t xml:space="preserve">Ne discende che il materiale esteri del primo mandato è presente nel fondo, ancorché forse non riflesso pienamente nella struttura inventariale che l'avvertenza descriveva.</w:t>
      </w:r>
    </w:p>
    <w:p>
      <w:pPr>
        <w:spacing w:after="120" w:line="276"/>
        <w:jc w:val="both"/>
      </w:pPr>
      <w:r>
        <w:rPr>
          <w:rFonts w:ascii="Barlow Semi Condensed" w:cs="Barlow Semi Condensed" w:eastAsia="Barlow Semi Condensed" w:hAnsi="Barlow Semi Condensed"/>
          <w:b/>
          <w:bCs/>
          <w:sz w:val="24"/>
          <w:szCs w:val="24"/>
        </w:rPr>
        <w:t xml:space="preserve">La correzione va formulata così: il Fondo Moro contiene documentazione di rilievo esteri già per il 1969-1971, e l'avvertenza sulla decorrenza da novembre 1974 va espunta o quanto meno circoscritta a una parte dell'inventario.</w:t>
      </w:r>
    </w:p>
    <w:p>
      <w:pPr>
        <w:spacing w:after="120" w:line="276"/>
        <w:jc w:val="both"/>
      </w:pPr>
      <w:r>
        <w:rPr>
          <w:rFonts w:ascii="Barlow Semi Condensed" w:cs="Barlow Semi Condensed" w:eastAsia="Barlow Semi Condensed" w:hAnsi="Barlow Semi Condensed"/>
          <w:b/>
          <w:bCs/>
          <w:sz w:val="24"/>
          <w:szCs w:val="24"/>
        </w:rPr>
        <w:t xml:space="preserve">La conseguenza operativa è considerevole e va enunciata. Il Fondo Moro passa dall'ultimo posto in cui l'avvertenza lo collocava — sede parzialmente inutile per il perimetro — a sede di primo rango, perché consta di duecentodiciotto buste per gli anni 1953-1978, ha inventario analitico informatizzato e parziale digitalizzazione consultabile sul portale del Senato.</w:t>
      </w:r>
    </w:p>
    <w:p>
      <w:pPr>
        <w:spacing w:after="120" w:line="276"/>
        <w:jc w:val="both"/>
      </w:pPr>
      <w:r>
        <w:rPr>
          <w:rFonts w:ascii="Barlow Semi Condensed" w:cs="Barlow Semi Condensed" w:eastAsia="Barlow Semi Condensed" w:hAnsi="Barlow Semi Condensed"/>
          <w:b/>
          <w:bCs/>
          <w:sz w:val="24"/>
          <w:szCs w:val="24"/>
        </w:rPr>
        <w:t xml:space="preserve">Un fondo di duecentodiciotto buste, inventariato e in parte digitalizzato, che contiene carte esteri del primo mandato, era stato accantonato per un'avvertenza inesatta.</w:t>
      </w:r>
    </w:p>
    <w:p>
      <w:pPr>
        <w:pStyle w:val="Heading2"/>
        <w:spacing w:after="100" w:before="200"/>
      </w:pPr>
      <w:r>
        <w:rPr>
          <w:rFonts w:ascii="Barlow Semi Condensed" w:cs="Barlow Semi Condensed" w:eastAsia="Barlow Semi Condensed" w:hAnsi="Barlow Semi Condensed"/>
          <w:sz w:val="24"/>
          <w:szCs w:val="24"/>
        </w:rPr>
        <w:t xml:space="preserve">Registro l'errore come tale, e ne traggo la lezione che vale oltre il caso: un'avvertenza sull'inaccessibilità di un fondo, se accolta senza verifica, produce esattamente lo stesso effetto dell'inaccessibilità reale — con la differenza che è rimediabile.</w:t>
      </w:r>
    </w:p>
    <w:p>
      <w:pPr>
        <w:spacing w:after="120" w:line="276"/>
        <w:jc w:val="both"/>
      </w:pPr>
      <w:r>
        <w:rPr>
          <w:rFonts w:ascii="Barlow Semi Condensed" w:cs="Barlow Semi Condensed" w:eastAsia="Barlow Semi Condensed" w:hAnsi="Barlow Semi Condensed"/>
          <w:b/>
          <w:bCs/>
          <w:sz w:val="24"/>
          <w:szCs w:val="24"/>
        </w:rPr>
        <w:t xml:space="preserve">E ne discende un sospetto che la tavola dovrà verificare: quante altre delle quattordici sedi del Registro portano avvertenze non verificate?</w:t>
      </w:r>
    </w:p>
    <w:p>
      <w:pPr>
        <w:pStyle w:val="Heading2"/>
        <w:spacing w:after="100" w:before="200"/>
      </w:pPr>
      <w:r>
        <w:rPr>
          <w:rFonts w:ascii="Barlow Semi Condensed" w:cs="Barlow Semi Condensed" w:eastAsia="Barlow Semi Condensed" w:hAnsi="Barlow Semi Condensed"/>
          <w:sz w:val="24"/>
          <w:szCs w:val="24"/>
        </w:rPr>
        <w:t xml:space="preserve">Capitolo undicesimo — Il verdetto, perimetro per perimetro</w:t>
      </w:r>
    </w:p>
    <w:p>
      <w:pPr>
        <w:spacing w:after="120" w:line="276"/>
        <w:jc w:val="both"/>
      </w:pPr>
      <w:r>
        <w:rPr>
          <w:rFonts w:ascii="Barlow Semi Condensed" w:cs="Barlow Semi Condensed" w:eastAsia="Barlow Semi Condensed" w:hAnsi="Barlow Semi Condensed"/>
          <w:b/>
          <w:bCs/>
          <w:sz w:val="24"/>
          <w:szCs w:val="24"/>
        </w:rPr>
        <w:t xml:space="preserve">Il capitolo si pronuncia sulla domanda centrale, come il committente ha richiesto, e lo fa in modo articolato perché la risposta uniforme non sarebbe onesta.</w:t>
      </w:r>
    </w:p>
    <w:p>
      <w:pPr>
        <w:spacing w:after="120" w:line="276"/>
        <w:jc w:val="both"/>
      </w:pPr>
      <w:r>
        <w:rPr>
          <w:rFonts w:ascii="Barlow Semi Condensed" w:cs="Barlow Semi Condensed" w:eastAsia="Barlow Semi Condensed" w:hAnsi="Barlow Semi Condensed"/>
          <w:b/>
          <w:bCs/>
          <w:sz w:val="24"/>
          <w:szCs w:val="24"/>
        </w:rPr>
        <w:t xml:space="preserve">Il verdetto complessivo: il silenzio è misto.\\ Prevalentemente \\comportamentale nei casi già studiati\\, prevalentemente \\archivistico nei casi non studiati.</w:t>
      </w:r>
    </w:p>
    <w:p>
      <w:pPr>
        <w:spacing w:after="120" w:line="276"/>
        <w:jc w:val="both"/>
      </w:pPr>
      <w:r>
        <w:rPr>
          <w:rFonts w:ascii="Barlow Semi Condensed" w:cs="Barlow Semi Condensed" w:eastAsia="Barlow Semi Condensed" w:hAnsi="Barlow Semi Condensed"/>
          <w:b/>
          <w:bCs/>
          <w:sz w:val="24"/>
          <w:szCs w:val="24"/>
        </w:rPr>
        <w:t xml:space="preserve">La ragione della forma mista. La calibrazione libica dimostra che, quando lo Stato non poteva non agire, esso agì e la sua azione è ricostruibile. Ciò autorizza a leggere il non-comparire dello Stato come misura di condotta — ma solo a condizione che la condotta sia stata cercata dove essa risiede.</w:t>
      </w:r>
    </w:p>
    <w:p>
      <w:pPr>
        <w:spacing w:after="120" w:line="276"/>
        <w:jc w:val="both"/>
      </w:pPr>
      <w:r>
        <w:rPr>
          <w:rFonts w:ascii="Barlow Semi Condensed" w:cs="Barlow Semi Condensed" w:eastAsia="Barlow Semi Condensed" w:hAnsi="Barlow Semi Condensed"/>
          <w:b/>
          <w:bCs/>
          <w:sz w:val="24"/>
          <w:szCs w:val="24"/>
        </w:rPr>
        <w:t xml:space="preserve">Poiché nei sei perimetri non risultano studi fondati sullo spoglio delle serie pertinenti della Farnesina, il loro silenzio non può essere qualificato come comportamentale con la sicurezza con cui lo si può fare per la Libia.</w:t>
      </w:r>
    </w:p>
    <w:p>
      <w:pPr>
        <w:spacing w:after="120" w:line="276"/>
        <w:jc w:val="both"/>
      </w:pPr>
      <w:r>
        <w:rPr>
          <w:rFonts w:ascii="Barlow Semi Condensed" w:cs="Barlow Semi Condensed" w:eastAsia="Barlow Semi Condensed" w:hAnsi="Barlow Semi Condensed"/>
          <w:b/>
          <w:bCs/>
          <w:sz w:val="24"/>
          <w:szCs w:val="24"/>
        </w:rPr>
        <w:t xml:space="preserve">La ripartizione, perimetro per perimetro.</w:t>
      </w:r>
    </w:p>
    <w:p>
      <w:pPr>
        <w:spacing w:after="120" w:line="276"/>
        <w:jc w:val="both"/>
      </w:pPr>
      <w:r>
        <w:rPr>
          <w:rFonts w:ascii="Barlow Semi Condensed" w:cs="Barlow Semi Condensed" w:eastAsia="Barlow Semi Condensed" w:hAnsi="Barlow Semi Condensed"/>
          <w:b/>
          <w:bCs/>
          <w:sz w:val="24"/>
          <w:szCs w:val="24"/>
        </w:rPr>
        <w:t xml:space="preserve">Germania: silenzio probabilmente archivistico più che comportamentale. La ricerca di Francesca Zilio su Roma e Bonn fra Ostpolitik e CSCE dimostra che l'azione italiana verso la Germania esiste ed è documentabile. L'assenza rilevata dalla nona ricognizione riflette la mancanza di uno spoglio dedicato, non l'inazione.</w:t>
      </w:r>
    </w:p>
    <w:p>
      <w:pPr>
        <w:spacing w:after="120" w:line="276"/>
        <w:jc w:val="both"/>
      </w:pPr>
      <w:r>
        <w:rPr>
          <w:rFonts w:ascii="Barlow Semi Condensed" w:cs="Barlow Semi Condensed" w:eastAsia="Barlow Semi Condensed" w:hAnsi="Barlow Semi Condensed"/>
          <w:b/>
          <w:bCs/>
          <w:sz w:val="24"/>
          <w:szCs w:val="24"/>
        </w:rPr>
        <w:t xml:space="preserve">Questo è il caso in cui la ricognizione anteriore ha sbagliato con maggiore certezza, e lo si registra.</w:t>
      </w:r>
    </w:p>
    <w:p>
      <w:pPr>
        <w:spacing w:after="120" w:line="276"/>
        <w:jc w:val="both"/>
      </w:pPr>
      <w:r>
        <w:rPr>
          <w:rFonts w:ascii="Barlow Semi Condensed" w:cs="Barlow Semi Condensed" w:eastAsia="Barlow Semi Condensed" w:hAnsi="Barlow Semi Condensed"/>
          <w:b/>
          <w:bCs/>
          <w:sz w:val="24"/>
          <w:szCs w:val="24"/>
        </w:rPr>
        <w:t xml:space="preserve">Portogallo: silenzio misto. L'espulsione dei comboniani dal Mozambico il 13 aprile 1974, conseguenza del documento \Imperativo di coscienza\ del vescovo Manuel Vieira Pinto, è documentata da fonti ecclesiastiche — che parlano di undici comboniani, contro i nove del contesto acquisito e i tredici di altra tradizione — ma non risulta studiata sul versante della reazione italiana, che andrebbe cercata in Archivio Storico Diplomatico e negli archivi della Santa Sede e dell'ordine.</w:t>
      </w:r>
    </w:p>
    <w:p>
      <w:pPr>
        <w:spacing w:after="120" w:line="276"/>
        <w:jc w:val="both"/>
      </w:pPr>
      <w:r>
        <w:rPr>
          <w:rFonts w:ascii="Barlow Semi Condensed" w:cs="Barlow Semi Condensed" w:eastAsia="Barlow Semi Condensed" w:hAnsi="Barlow Semi Condensed"/>
          <w:b/>
          <w:bCs/>
          <w:sz w:val="24"/>
          <w:szCs w:val="24"/>
        </w:rPr>
        <w:t xml:space="preserve">Grecia, Cipro e Turchia: silenzio indeterminato, presuntivamente archivistico fino a spoglio contrario. Con un'avvertenza che li accomuna e che va enunciata: l'azione italiana in questi teatri passò in larga misura per sedi multilaterali — Comunità europea, Alleanza atlantica, Nazioni Unite — dove la traccia documentaria è dispersa fra più archivi.</w:t>
      </w:r>
    </w:p>
    <w:p>
      <w:pPr>
        <w:spacing w:after="120" w:line="276"/>
        <w:jc w:val="both"/>
      </w:pPr>
      <w:r>
        <w:rPr>
          <w:rFonts w:ascii="Barlow Semi Condensed" w:cs="Barlow Semi Condensed" w:eastAsia="Barlow Semi Condensed" w:hAnsi="Barlow Semi Condensed"/>
          <w:b/>
          <w:bCs/>
          <w:sz w:val="24"/>
          <w:szCs w:val="24"/>
        </w:rPr>
        <w:t xml:space="preserve">Ne discende che per questi tre perimetri il silenzio potrebbe non essere né comportamentale né archivistico ma topologico: l'azione esiste ed è documentata, ma non in un archivio nazionale.</w:t>
      </w:r>
    </w:p>
    <w:p>
      <w:pPr>
        <w:spacing w:after="120" w:line="276"/>
        <w:jc w:val="both"/>
      </w:pPr>
      <w:r>
        <w:rPr>
          <w:rFonts w:ascii="Barlow Semi Condensed" w:cs="Barlow Semi Condensed" w:eastAsia="Barlow Semi Condensed" w:hAnsi="Barlow Semi Condensed"/>
          <w:b/>
          <w:bCs/>
          <w:sz w:val="24"/>
          <w:szCs w:val="24"/>
        </w:rPr>
        <w:t xml:space="preserve">Spagna: il solo caso in cui la povertà di iniziative potrebbe riflettere una reale marginalità del dossier nell'agenda di Moro.\\ Ma \\anche qui l'affermazione va sospesa fino allo spoglio della serie spagnola.</w:t>
      </w:r>
    </w:p>
    <w:p>
      <w:pPr>
        <w:spacing w:after="120" w:line="276"/>
        <w:jc w:val="both"/>
      </w:pPr>
      <w:r>
        <w:rPr>
          <w:rFonts w:ascii="Barlow Semi Condensed" w:cs="Barlow Semi Condensed" w:eastAsia="Barlow Semi Condensed" w:hAnsi="Barlow Semi Condensed"/>
          <w:b/>
          <w:bCs/>
          <w:sz w:val="24"/>
          <w:szCs w:val="24"/>
        </w:rPr>
        <w:t xml:space="preserve">Ne discende che, dei sei perimetri, nessuno può oggi essere dichiarato comportamentalmente silenzioso con la sicurezza che compete alla Libia — dove peraltro la sicurezza riguarda l'esito opposto, cioè la presenza dell'azione.</w:t>
      </w:r>
    </w:p>
    <w:p>
      <w:pPr>
        <w:pStyle w:val="Heading2"/>
        <w:spacing w:after="100" w:before="200"/>
      </w:pPr>
      <w:r>
        <w:rPr>
          <w:rFonts w:ascii="Barlow Semi Condensed" w:cs="Barlow Semi Condensed" w:eastAsia="Barlow Semi Condensed" w:hAnsi="Barlow Semi Condensed"/>
          <w:sz w:val="24"/>
          <w:szCs w:val="24"/>
        </w:rPr>
        <w:t xml:space="preserve">Capitolo dodicesimo — Che cosa questo fa alle tredici ricognizioni</w:t>
      </w:r>
    </w:p>
    <w:p>
      <w:pPr>
        <w:spacing w:after="120" w:line="276"/>
        <w:jc w:val="both"/>
      </w:pPr>
      <w:r>
        <w:rPr>
          <w:rFonts w:ascii="Barlow Semi Condensed" w:cs="Barlow Semi Condensed" w:eastAsia="Barlow Semi Condensed" w:hAnsi="Barlow Semi Condensed"/>
          <w:b/>
          <w:bCs/>
          <w:sz w:val="24"/>
          <w:szCs w:val="24"/>
        </w:rPr>
        <w:t xml:space="preserve">La lezione metodologica, enunciata senza attenuazioni perché riguarda il lavoro fatto.</w:t>
      </w:r>
    </w:p>
    <w:p>
      <w:pPr>
        <w:spacing w:after="120" w:line="276"/>
        <w:jc w:val="both"/>
      </w:pPr>
      <w:r>
        <w:rPr>
          <w:rFonts w:ascii="Barlow Semi Condensed" w:cs="Barlow Semi Condensed" w:eastAsia="Barlow Semi Condensed" w:hAnsi="Barlow Semi Condensed"/>
          <w:b/>
          <w:bCs/>
          <w:sz w:val="24"/>
          <w:szCs w:val="24"/>
        </w:rPr>
        <w:t xml:space="preserve">Le tredici ricognizioni hanno misurato in modo affidabile ciò che gli studi hanno reso visibile, e in modo inaffidabile ciò che nessuno studio ha ancora scandagliato.</w:t>
      </w:r>
    </w:p>
    <w:p>
      <w:pPr>
        <w:spacing w:after="120" w:line="276"/>
        <w:jc w:val="both"/>
      </w:pPr>
      <w:r>
        <w:rPr>
          <w:rFonts w:ascii="Barlow Semi Condensed" w:cs="Barlow Semi Condensed" w:eastAsia="Barlow Semi Condensed" w:hAnsi="Barlow Semi Condensed"/>
          <w:b/>
          <w:bCs/>
          <w:sz w:val="24"/>
          <w:szCs w:val="24"/>
        </w:rPr>
        <w:t xml:space="preserve">La Libia prova che lo strumento funziona. Prova anche che va calibrato sull'accessibilità delle carte prima di trarre conclusioni sull'inazione.</w:t>
      </w:r>
    </w:p>
    <w:p>
      <w:pPr>
        <w:spacing w:after="120" w:line="276"/>
        <w:jc w:val="both"/>
      </w:pPr>
      <w:r>
        <w:rPr>
          <w:rFonts w:ascii="Barlow Semi Condensed" w:cs="Barlow Semi Condensed" w:eastAsia="Barlow Semi Condensed" w:hAnsi="Barlow Semi Condensed"/>
          <w:b/>
          <w:bCs/>
          <w:sz w:val="24"/>
          <w:szCs w:val="24"/>
        </w:rPr>
        <w:t xml:space="preserve">Che cosa resta valido del lavoro anteriore. Restano validi tutti gli accertamenti positivi; resta valido il nesso Oder-Neisse; restano validi gli Stati Zero di quarto grado, cioè gli insiemi vuoti verificati contro il registro ufficiale del soggetto, che non dipendono dall'accessibilità di archivi di Stato. Resta valida la genealogia della connessione falsa.</w:t>
      </w:r>
    </w:p>
    <w:p>
      <w:pPr>
        <w:spacing w:after="120" w:line="276"/>
        <w:jc w:val="both"/>
      </w:pPr>
      <w:r>
        <w:rPr>
          <w:rFonts w:ascii="Barlow Semi Condensed" w:cs="Barlow Semi Condensed" w:eastAsia="Barlow Semi Condensed" w:hAnsi="Barlow Semi Condensed"/>
          <w:b/>
          <w:bCs/>
          <w:sz w:val="24"/>
          <w:szCs w:val="24"/>
        </w:rPr>
        <w:t xml:space="preserve">Che cosa va riqualificato.\\ \\La regolarità sull'assenza dello Stato italiano\\, che il Registro iscrive come prima regolarità empirica della serie, \\va riformulata.</w:t>
      </w:r>
    </w:p>
    <w:p>
      <w:pPr>
        <w:spacing w:after="120" w:line="276"/>
        <w:jc w:val="both"/>
      </w:pPr>
      <w:r>
        <w:rPr>
          <w:rFonts w:ascii="Barlow Semi Condensed" w:cs="Barlow Semi Condensed" w:eastAsia="Barlow Semi Condensed" w:hAnsi="Barlow Semi Condensed"/>
          <w:b/>
          <w:bCs/>
          <w:sz w:val="24"/>
          <w:szCs w:val="24"/>
        </w:rPr>
        <w:t xml:space="preserve">Nella forma attuale essa dice: il governo italiano non compare come attore documentato in nessuno dei sei perimetri.</w:t>
      </w:r>
    </w:p>
    <w:p>
      <w:pPr>
        <w:spacing w:after="120" w:line="276"/>
        <w:jc w:val="both"/>
      </w:pPr>
      <w:r>
        <w:rPr>
          <w:rFonts w:ascii="Barlow Semi Condensed" w:cs="Barlow Semi Condensed" w:eastAsia="Barlow Semi Condensed" w:hAnsi="Barlow Semi Condensed"/>
          <w:b/>
          <w:bCs/>
          <w:sz w:val="24"/>
          <w:szCs w:val="24"/>
        </w:rPr>
        <w:t xml:space="preserve">Nella forma emendata deve dire: il governo italiano non compare negli studi disponibili su nessuno dei sei perimetri, e per nessuno di essi è stato condotto lo spoglio archivistico che solo potrebbe distinguere l'assenza di azione dall'assenza di ricerca.</w:t>
      </w:r>
    </w:p>
    <w:p>
      <w:pPr>
        <w:spacing w:after="120" w:line="276"/>
        <w:jc w:val="both"/>
      </w:pPr>
      <w:r>
        <w:rPr>
          <w:rFonts w:ascii="Barlow Semi Condensed" w:cs="Barlow Semi Condensed" w:eastAsia="Barlow Semi Condensed" w:hAnsi="Barlow Semi Condensed"/>
          <w:b/>
          <w:bCs/>
          <w:sz w:val="24"/>
          <w:szCs w:val="24"/>
        </w:rPr>
        <w:t xml:space="preserve">La differenza fra le due formulazioni è la differenza fra un accertamento e una descrizione dello stato della letteratura.</w:t>
      </w:r>
    </w:p>
    <w:p>
      <w:pPr>
        <w:spacing w:after="120" w:line="276"/>
        <w:jc w:val="both"/>
      </w:pPr>
      <w:r>
        <w:rPr>
          <w:rFonts w:ascii="Barlow Semi Condensed" w:cs="Barlow Semi Condensed" w:eastAsia="Barlow Semi Condensed" w:hAnsi="Barlow Semi Condensed"/>
          <w:b/>
          <w:bCs/>
          <w:sz w:val="24"/>
          <w:szCs w:val="24"/>
        </w:rPr>
        <w:t xml:space="preserve">Tre voci nuove per la tavola, in ordine di rendimento.</w:t>
      </w:r>
    </w:p>
    <w:p>
      <w:pPr>
        <w:spacing w:after="120" w:line="276"/>
        <w:jc w:val="both"/>
      </w:pPr>
      <w:r>
        <w:rPr>
          <w:rFonts w:ascii="Barlow Semi Condensed" w:cs="Barlow Semi Condensed" w:eastAsia="Barlow Semi Condensed" w:hAnsi="Barlow Semi Condensed"/>
          <w:b/>
          <w:bCs/>
          <w:sz w:val="24"/>
          <w:szCs w:val="24"/>
        </w:rPr>
        <w:t xml:space="preserve">Prima. Lo spoglio della serie Affari Politici dell'Archivio Storico Diplomatico per ciascuno dei sei perimetri, 1969-1974, previa richiesta dell'elenco dei faldoni. È la sola operazione che trasformi un silenzio presunto in esito accertato.</w:t>
      </w:r>
    </w:p>
    <w:p>
      <w:pPr>
        <w:spacing w:after="120" w:line="276"/>
        <w:jc w:val="both"/>
      </w:pPr>
      <w:r>
        <w:rPr>
          <w:rFonts w:ascii="Barlow Semi Condensed" w:cs="Barlow Semi Condensed" w:eastAsia="Barlow Semi Condensed" w:hAnsi="Barlow Semi Condensed"/>
          <w:b/>
          <w:bCs/>
          <w:sz w:val="24"/>
          <w:szCs w:val="24"/>
        </w:rPr>
        <w:t xml:space="preserve">Seconda, ed è nuova e nasce da Osimo.\\ La verifica dell'esistenza di \\canali paralleli alla Farnesina\\ per ciascun perimetro, presso i ministeri competenti per materia. \\Nessuna ricognizione l'ha cercata, e Osimo prova che il caso esiste.</w:t>
      </w:r>
    </w:p>
    <w:p>
      <w:pPr>
        <w:spacing w:after="120" w:line="276"/>
        <w:jc w:val="both"/>
      </w:pPr>
      <w:r>
        <w:rPr>
          <w:rFonts w:ascii="Barlow Semi Condensed" w:cs="Barlow Semi Condensed" w:eastAsia="Barlow Semi Condensed" w:hAnsi="Barlow Semi Condensed"/>
          <w:b/>
          <w:bCs/>
          <w:sz w:val="24"/>
          <w:szCs w:val="24"/>
        </w:rPr>
        <w:t xml:space="preserve">Terza. Lo spoglio integrale del Fondo Moro oltre la busta centotrentanove, con verifica diretta della struttura inventariale, alla luce dell'emendazione del Capitolo decimo.</w:t>
      </w:r>
    </w:p>
    <w:p>
      <w:pPr>
        <w:spacing w:after="120" w:line="276"/>
        <w:jc w:val="both"/>
      </w:pPr>
      <w:r>
        <w:rPr>
          <w:rFonts w:ascii="Barlow Semi Condensed" w:cs="Barlow Semi Condensed" w:eastAsia="Barlow Semi Condensed" w:hAnsi="Barlow Semi Condensed"/>
          <w:b/>
          <w:bCs/>
          <w:sz w:val="24"/>
          <w:szCs w:val="24"/>
        </w:rPr>
        <w:t xml:space="preserve">E una osservazione conclusiva, che riguarda il senso di quattordici ricognizioni.</w:t>
      </w:r>
    </w:p>
    <w:p>
      <w:pPr>
        <w:spacing w:after="120" w:line="276"/>
        <w:jc w:val="both"/>
      </w:pPr>
      <w:r>
        <w:rPr>
          <w:rFonts w:ascii="Barlow Semi Condensed" w:cs="Barlow Semi Condensed" w:eastAsia="Barlow Semi Condensed" w:hAnsi="Barlow Semi Condensed"/>
          <w:b/>
          <w:bCs/>
          <w:sz w:val="24"/>
          <w:szCs w:val="24"/>
        </w:rPr>
        <w:t xml:space="preserve">La tredicesima si chiudeva constatando che, dove l'archivio italiano si era aperto una volta, non vi era silenzio ma un documento falso. Concludevo che non sapevo se questo rendesse più o meno preoccupante il silenzio degli altri perimetri, e che lo rendeva una domanda diversa.</w:t>
      </w:r>
    </w:p>
    <w:p>
      <w:pPr>
        <w:spacing w:after="120" w:line="276"/>
        <w:jc w:val="both"/>
      </w:pPr>
      <w:r>
        <w:rPr>
          <w:rFonts w:ascii="Barlow Semi Condensed" w:cs="Barlow Semi Condensed" w:eastAsia="Barlow Semi Condensed" w:hAnsi="Barlow Semi Condensed"/>
          <w:b/>
          <w:bCs/>
          <w:sz w:val="24"/>
          <w:szCs w:val="24"/>
        </w:rPr>
        <w:t xml:space="preserve">Questa quattordicesima risponde a quella domanda, e la risposta è meno drammatica di quanto la formulazione lasciasse temere.</w:t>
      </w:r>
    </w:p>
    <w:p>
      <w:pPr>
        <w:spacing w:after="120" w:line="276"/>
        <w:jc w:val="both"/>
      </w:pPr>
      <w:r>
        <w:rPr>
          <w:rFonts w:ascii="Barlow Semi Condensed" w:cs="Barlow Semi Condensed" w:eastAsia="Barlow Semi Condensed" w:hAnsi="Barlow Semi Condensed"/>
          <w:b/>
          <w:bCs/>
          <w:sz w:val="24"/>
          <w:szCs w:val="24"/>
        </w:rPr>
        <w:t xml:space="preserve">Il silenzio degli altri perimetri non è, in prevalenza, un occultamento. È in larga parte l'ombra proiettata da tre circostanze materiali: una collana documentaria ferma al 1952, una banca dati parlamentare che comincia dal 1976, un archivio che non si lascia esplorare ma solo interrogare.</w:t>
      </w:r>
    </w:p>
    <w:p>
      <w:pPr>
        <w:spacing w:after="120" w:line="276"/>
        <w:jc w:val="both"/>
      </w:pPr>
      <w:r>
        <w:rPr>
          <w:rFonts w:ascii="Barlow Semi Condensed" w:cs="Barlow Semi Condensed" w:eastAsia="Barlow Semi Condensed" w:hAnsi="Barlow Semi Condensed"/>
          <w:b/>
          <w:bCs/>
          <w:sz w:val="24"/>
          <w:szCs w:val="24"/>
        </w:rPr>
        <w:t xml:space="preserve">Non è un risultato meno importante. È un risultato meno romanzesco, e per questo più utile: perché indica che cosa fare — quattordici sedi, un elenco di faldoni, e qualcuno che ci vada.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 · Il Silenzio Dello Stato: Azione O Archivio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 4.573 parole in 9 sezioni; la più ampia è §9 Altre sezioni, con 3.776.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 150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 — L'Italia, L'Aermacchi E Il Sudafrica Dell'Apartheid</w:t>
      </w:r>
    </w:p>
    <w:p>
      <w:pPr>
        <w:pStyle w:val="Heading1"/>
        <w:spacing w:after="120" w:before="240"/>
      </w:pPr>
      <w:r>
        <w:rPr>
          <w:rFonts w:ascii="Barlow Semi Condensed" w:cs="Barlow Semi Condensed" w:eastAsia="Barlow Semi Condensed" w:hAnsi="Barlow Semi Condensed"/>
          <w:sz w:val="24"/>
          <w:szCs w:val="24"/>
        </w:rPr>
        <w:t xml:space="preserve">L'ITALIA, L'AERMACCHI E IL SUDAFRICA DELL'APARTHEID</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Quindicesima ricognizione: la presenza anziche l'assenza</w:t>
      </w:r>
    </w:p>
    <w:p>
      <w:pPr>
        <w:pStyle w:val="Heading2"/>
        <w:spacing w:after="100" w:before="200"/>
      </w:pPr>
      <w:r>
        <w:rPr>
          <w:rFonts w:ascii="Barlow Semi Condensed" w:cs="Barlow Semi Condensed" w:eastAsia="Barlow Semi Condensed" w:hAnsi="Barlow Semi Condensed"/>
          <w:sz w:val="24"/>
          <w:szCs w:val="24"/>
        </w:rPr>
        <w:t xml:space="preserve">Il regime del 1941 e il nono grado di Stato Zero: l'atto atipico</w:t>
      </w:r>
    </w:p>
    <w:p>
      <w:pPr>
        <w:pStyle w:val="Heading2"/>
        <w:spacing w:after="100" w:before="200"/>
      </w:pPr>
      <w:r>
        <w:rPr>
          <w:rFonts w:ascii="Barlow Semi Condensed" w:cs="Barlow Semi Condensed" w:eastAsia="Barlow Semi Condensed" w:hAnsi="Barlow Semi Condensed"/>
          <w:sz w:val="24"/>
          <w:szCs w:val="24"/>
        </w:rPr>
        <w:t xml:space="preserve">Dodici Capitoli — sette acquisizioni — due voti opposti nello stesso giorno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La sola ricognizione che muova da una presenza</w:t>
      </w:r>
    </w:p>
    <w:p>
      <w:pPr>
        <w:spacing w:after="120" w:line="276"/>
        <w:jc w:val="both"/>
      </w:pPr>
      <w:r>
        <w:rPr>
          <w:rFonts w:ascii="Barlow Semi Condensed" w:cs="Barlow Semi Condensed" w:eastAsia="Barlow Semi Condensed" w:hAnsi="Barlow Semi Condensed"/>
          <w:b/>
          <w:bCs/>
          <w:sz w:val="24"/>
          <w:szCs w:val="24"/>
        </w:rPr>
        <w:t xml:space="preserve">Quattordici ricognizioni sono partite da un'assenza da verificare. Questa parte da una presenza documentata, e la differenza cambia tutto.</w:t>
      </w:r>
    </w:p>
    <w:p>
      <w:pPr>
        <w:spacing w:after="120" w:line="276"/>
        <w:jc w:val="both"/>
      </w:pPr>
      <w:r>
        <w:rPr>
          <w:rFonts w:ascii="Barlow Semi Condensed" w:cs="Barlow Semi Condensed" w:eastAsia="Barlow Semi Condensed" w:hAnsi="Barlow Semi Condensed"/>
          <w:b/>
          <w:bCs/>
          <w:sz w:val="24"/>
          <w:szCs w:val="24"/>
        </w:rPr>
        <w:t xml:space="preserve">Il fatto di partenza, che non richiede dimostrazione. L'Aermacchi MB-326, progettato dall'ingegnere Ermanno Bazzocchi presso l'Aeronautica Macchi di Varese e volato in prototipo il 10 dicembre 1957, fu prodotto su licenza in Sudafrica dall'Atlas Aircraft Corporation con la denominazione Impala. La licenza è del 1964, la produzione locale iniziò nel 1966, e gli esemplari furono impiegati operativamente dalla South African Air Force.</w:t>
      </w:r>
    </w:p>
    <w:p>
      <w:pPr>
        <w:spacing w:after="120" w:line="276"/>
        <w:jc w:val="both"/>
      </w:pPr>
      <w:r>
        <w:rPr>
          <w:rFonts w:ascii="Barlow Semi Condensed" w:cs="Barlow Semi Condensed" w:eastAsia="Barlow Semi Condensed" w:hAnsi="Barlow Semi Condensed"/>
          <w:b/>
          <w:bCs/>
          <w:sz w:val="24"/>
          <w:szCs w:val="24"/>
        </w:rPr>
        <w:t xml:space="preserve">La produzione corse per l'intero arco in cui Aldo Moro resse la Farnesina e poi la Presidenza del Consiglio.</w:t>
      </w:r>
    </w:p>
    <w:p>
      <w:pPr>
        <w:spacing w:after="120" w:line="276"/>
        <w:jc w:val="both"/>
      </w:pPr>
      <w:r>
        <w:rPr>
          <w:rFonts w:ascii="Barlow Semi Condensed" w:cs="Barlow Semi Condensed" w:eastAsia="Barlow Semi Condensed" w:hAnsi="Barlow Semi Condensed"/>
          <w:b/>
          <w:bCs/>
          <w:sz w:val="24"/>
          <w:szCs w:val="24"/>
        </w:rPr>
        <w:t xml:space="preserve">Ne discende che la domanda non è se l'Italia fosse presente — lo era in modo palese — ma che cosa il governo italiano abbia fatto di quella presenza.</w:t>
      </w:r>
    </w:p>
    <w:p>
      <w:pPr>
        <w:spacing w:after="120" w:line="276"/>
        <w:jc w:val="both"/>
      </w:pPr>
      <w:r>
        <w:rPr>
          <w:rFonts w:ascii="Barlow Semi Condensed" w:cs="Barlow Semi Condensed" w:eastAsia="Barlow Semi Condensed" w:hAnsi="Barlow Semi Condensed"/>
          <w:b/>
          <w:bCs/>
          <w:sz w:val="24"/>
          <w:szCs w:val="24"/>
        </w:rPr>
        <w:t xml:space="preserve">La prescrizione ereditata dalla ricognizione anteriore, e va enunciata perché governa tutto il documento. La quattordicesima ha accertato che il negoziato di Osimo fu condotto attraverso un canale del Ministero dell'Industria, e che esso fu il primo trattato internazionale i cui negoziati per l'Italia non furono curati dal Ministero degli Esteri.</w:t>
      </w:r>
    </w:p>
    <w:p>
      <w:pPr>
        <w:spacing w:after="120" w:line="276"/>
        <w:jc w:val="both"/>
      </w:pPr>
      <w:r>
        <w:rPr>
          <w:rFonts w:ascii="Barlow Semi Condensed" w:cs="Barlow Semi Condensed" w:eastAsia="Barlow Semi Condensed" w:hAnsi="Barlow Semi Condensed"/>
          <w:b/>
          <w:bCs/>
          <w:sz w:val="24"/>
          <w:szCs w:val="24"/>
        </w:rPr>
        <w:t xml:space="preserve">Ne discende che l'assenza di traccia nell'archivio diplomatico è compatibile con la presenza di azione altrove.</w:t>
      </w:r>
    </w:p>
    <w:p>
      <w:pPr>
        <w:spacing w:after="120" w:line="276"/>
        <w:jc w:val="both"/>
      </w:pPr>
      <w:r>
        <w:rPr>
          <w:rFonts w:ascii="Barlow Semi Condensed" w:cs="Barlow Semi Condensed" w:eastAsia="Barlow Semi Condensed" w:hAnsi="Barlow Semi Condensed"/>
          <w:b/>
          <w:bCs/>
          <w:sz w:val="24"/>
          <w:szCs w:val="24"/>
        </w:rPr>
        <w:t xml:space="preserve">Pertanto questa ricognizione si è vietata di concludere per l'inazione senza avere prima identificato l'apparato competente. E l'ha identificato. Il Capitolo sesto espone il risultato, che è il più importante del documento e che non somiglia a nulla di quanto la serie abbia finora prodotto.</w:t>
      </w:r>
    </w:p>
    <w:p>
      <w:pPr>
        <w:spacing w:after="120" w:line="276"/>
        <w:jc w:val="both"/>
      </w:pPr>
      <w:r>
        <w:rPr>
          <w:rFonts w:ascii="Barlow Semi Condensed" w:cs="Barlow Semi Condensed" w:eastAsia="Barlow Semi Condensed" w:hAnsi="Barlow Semi Condensed"/>
          <w:b/>
          <w:bCs/>
          <w:sz w:val="24"/>
          <w:szCs w:val="24"/>
        </w:rPr>
        <w:t xml:space="preserve">Il regime giuridico, che va fissato subito perché è dirimente e perché la valutazione retroattiva sarebbe scorretta. La risoluzione centottantuno del Consiglio di Sicurezza del 7 agosto 1963 chiese a tutti gli Stati di cessare la vendita di armi al Sudafrica con formula di raccomandazione ed espressamente su base volontaria; la centottantadue del 4 dicembre 1963 ne confermò il carattere volontario. L'embargo divenne obbligatorio solo con la risoluzione quattrocentodiciotto del 4 novembre 1977, adottata all'unanimità ai sensi del Capitolo settimo della Carta.</w:t>
      </w:r>
    </w:p>
    <w:p>
      <w:pPr>
        <w:spacing w:after="120" w:line="276"/>
        <w:jc w:val="both"/>
      </w:pPr>
      <w:r>
        <w:rPr>
          <w:rFonts w:ascii="Barlow Semi Condensed" w:cs="Barlow Semi Condensed" w:eastAsia="Barlow Semi Condensed" w:hAnsi="Barlow Semi Condensed"/>
          <w:b/>
          <w:bCs/>
          <w:sz w:val="24"/>
          <w:szCs w:val="24"/>
        </w:rPr>
        <w:t xml:space="preserve">I mandati di Moro si chiusero il 29 luglio 1976. L'intero periodo si colloca sotto il regime raccomandato e non sotto quello obbligatorio.</w:t>
      </w:r>
    </w:p>
    <w:p>
      <w:pPr>
        <w:spacing w:after="120" w:line="276"/>
        <w:jc w:val="both"/>
      </w:pPr>
      <w:r>
        <w:rPr>
          <w:rFonts w:ascii="Barlow Semi Condensed" w:cs="Barlow Semi Condensed" w:eastAsia="Barlow Semi Condensed" w:hAnsi="Barlow Semi Condensed"/>
          <w:b/>
          <w:bCs/>
          <w:sz w:val="24"/>
          <w:szCs w:val="24"/>
        </w:rPr>
        <w:t xml:space="preserve">Ciò non esclude la valutazione politica, ma impone di non qualificare come violazione ciò che nel diritto del tempo non lo era.</w:t>
      </w:r>
    </w:p>
    <w:p>
      <w:pPr>
        <w:spacing w:after="120" w:line="276"/>
        <w:jc w:val="both"/>
      </w:pPr>
      <w:r>
        <w:rPr>
          <w:rFonts w:ascii="Barlow Semi Condensed" w:cs="Barlow Semi Condensed" w:eastAsia="Barlow Semi Condensed" w:hAnsi="Barlow Semi Condensed"/>
          <w:b/>
          <w:bCs/>
          <w:sz w:val="24"/>
          <w:szCs w:val="24"/>
        </w:rPr>
        <w:t xml:space="preserve">E va enunciato come contesto, una volta e senza che impedisca l'accertamento dei fatti: l'apartheid fu un sistema di segregazione razziale istituzionalizzata che l'Assemblea generale qualificò come crimine contro l'umanità.</w:t>
      </w:r>
    </w:p>
    <w:p>
      <w:pPr>
        <w:pStyle w:val="Heading2"/>
        <w:spacing w:after="100" w:before="200"/>
      </w:pPr>
      <w:r>
        <w:rPr>
          <w:rFonts w:ascii="Barlow Semi Condensed" w:cs="Barlow Semi Condensed" w:eastAsia="Barlow Semi Condensed" w:hAnsi="Barlow Semi Condensed"/>
          <w:sz w:val="24"/>
          <w:szCs w:val="24"/>
        </w:rPr>
        <w:t xml:space="preserve">Capitolo secondo — La licenza, i numeri, e le divergenze che non si risolvono</w:t>
      </w:r>
    </w:p>
    <w:p>
      <w:pPr>
        <w:spacing w:after="120" w:line="276"/>
        <w:jc w:val="both"/>
      </w:pPr>
      <w:r>
        <w:rPr>
          <w:rFonts w:ascii="Barlow Semi Condensed" w:cs="Barlow Semi Condensed" w:eastAsia="Barlow Semi Condensed" w:hAnsi="Barlow Semi Condensed"/>
          <w:b/>
          <w:bCs/>
          <w:sz w:val="24"/>
          <w:szCs w:val="24"/>
        </w:rPr>
        <w:t xml:space="preserve">Il capitolo espone i fatti industriali e mantiene le divergenze.</w:t>
      </w:r>
    </w:p>
    <w:p>
      <w:pPr>
        <w:spacing w:after="120" w:line="276"/>
        <w:jc w:val="both"/>
      </w:pPr>
      <w:r>
        <w:rPr>
          <w:rFonts w:ascii="Barlow Semi Condensed" w:cs="Barlow Semi Condensed" w:eastAsia="Barlow Semi Condensed" w:hAnsi="Barlow Semi Condensed"/>
          <w:b/>
          <w:bCs/>
          <w:sz w:val="24"/>
          <w:szCs w:val="24"/>
        </w:rPr>
        <w:t xml:space="preserve">La cronologia. Il Sudafrica ottenne nel 1964 la licenza di produzione della versione MB-326M, corrispondente alla variante G, denominata localmente Impala Mark primo; la produzione iniziò nel 1966, con primo volo dell'esemplare di costruzione locale nell'autunno 1966. La produzione della versione monoposto Impala Mark secondo iniziò nel 1974.</w:t>
      </w:r>
    </w:p>
    <w:p>
      <w:pPr>
        <w:spacing w:after="120" w:line="276"/>
        <w:jc w:val="both"/>
      </w:pPr>
      <w:r>
        <w:rPr>
          <w:rFonts w:ascii="Barlow Semi Condensed" w:cs="Barlow Semi Condensed" w:eastAsia="Barlow Semi Condensed" w:hAnsi="Barlow Semi Condensed"/>
          <w:b/>
          <w:bCs/>
          <w:sz w:val="24"/>
          <w:szCs w:val="24"/>
        </w:rPr>
        <w:t xml:space="preserve">L'Atlas Aircraft Corporation era stata costituita nel 1965 con lo scopo precipuo di fabbricare localmente velivoli militari, e fu riorganizzata nel 1968 poco dopo la creazione dell'Armaments Corporation of South Africa, il conglomerato statale della difesa, sotto il cui controllo venne posta.</w:t>
      </w:r>
    </w:p>
    <w:p>
      <w:pPr>
        <w:spacing w:after="120" w:line="276"/>
        <w:jc w:val="both"/>
      </w:pPr>
      <w:r>
        <w:rPr>
          <w:rFonts w:ascii="Barlow Semi Condensed" w:cs="Barlow Semi Condensed" w:eastAsia="Barlow Semi Condensed" w:hAnsi="Barlow Semi Condensed"/>
          <w:b/>
          <w:bCs/>
          <w:sz w:val="24"/>
          <w:szCs w:val="24"/>
        </w:rPr>
        <w:t xml:space="preserve">Un dato va isolato perché qualifica la natura dell'operazione. L'MB-326 fu il primo velivolo prodotto su licenza in Sudafrica, e il programma servì da leva per la costituzione di un'industria aeronautica nazionale, secondo un disegno di sostituzione delle importazioni che le pressioni internazionali rendevano necessario.</w:t>
      </w:r>
    </w:p>
    <w:p>
      <w:pPr>
        <w:spacing w:after="120" w:line="276"/>
        <w:jc w:val="both"/>
      </w:pPr>
      <w:r>
        <w:rPr>
          <w:rFonts w:ascii="Barlow Semi Condensed" w:cs="Barlow Semi Condensed" w:eastAsia="Barlow Semi Condensed" w:hAnsi="Barlow Semi Condensed"/>
          <w:b/>
          <w:bCs/>
          <w:sz w:val="24"/>
          <w:szCs w:val="24"/>
        </w:rPr>
        <w:t xml:space="preserve">Ne discende che il canale italiano non fornì soltanto aerei: fornì la capacità di costruirli.</w:t>
      </w:r>
    </w:p>
    <w:p>
      <w:pPr>
        <w:spacing w:after="120" w:line="276"/>
        <w:jc w:val="both"/>
      </w:pPr>
      <w:r>
        <w:rPr>
          <w:rFonts w:ascii="Barlow Semi Condensed" w:cs="Barlow Semi Condensed" w:eastAsia="Barlow Semi Condensed" w:hAnsi="Barlow Semi Condensed"/>
          <w:b/>
          <w:bCs/>
          <w:sz w:val="24"/>
          <w:szCs w:val="24"/>
        </w:rPr>
        <w:t xml:space="preserve">Le due varianti vanno distinte e la distinzione va tenuta ferma. L'Impala Mark primo era il biposto da addestramento e appoggio. L'Impala Mark secondo era il monoposto da attacco al suolo derivato dall'MB-326K, con cellula rinforzata, motore Viper della serie seicento, due cannoni da trenta millimetri, armamento di produzione francese e una suite di guerra elettronica di sviluppo sudafricano.</w:t>
      </w:r>
    </w:p>
    <w:p>
      <w:pPr>
        <w:spacing w:after="120" w:line="276"/>
        <w:jc w:val="both"/>
      </w:pPr>
      <w:r>
        <w:rPr>
          <w:rFonts w:ascii="Barlow Semi Condensed" w:cs="Barlow Semi Condensed" w:eastAsia="Barlow Semi Condensed" w:hAnsi="Barlow Semi Condensed"/>
          <w:b/>
          <w:bCs/>
          <w:sz w:val="24"/>
          <w:szCs w:val="24"/>
        </w:rPr>
        <w:t xml:space="preserve">L'evoluzione — dal biposto italiano al monoposto a contenuto crescentemente locale — documenta come il Sudafrica abbia progressivamente ridotto la dipendenza dal fornitore originario.</w:t>
      </w:r>
    </w:p>
    <w:p>
      <w:pPr>
        <w:spacing w:after="120" w:line="276"/>
        <w:jc w:val="both"/>
      </w:pPr>
      <w:r>
        <w:rPr>
          <w:rFonts w:ascii="Barlow Semi Condensed" w:cs="Barlow Semi Condensed" w:eastAsia="Barlow Semi Condensed" w:hAnsi="Barlow Semi Condensed"/>
          <w:b/>
          <w:bCs/>
          <w:sz w:val="24"/>
          <w:szCs w:val="24"/>
        </w:rPr>
        <w:t xml:space="preserve">E adesso i numeri, con le divergenze che il metodo impone di riportare anziché risolvere.</w:t>
      </w:r>
    </w:p>
    <w:p>
      <w:pPr>
        <w:spacing w:after="120" w:line="276"/>
        <w:jc w:val="both"/>
      </w:pPr>
      <w:r>
        <w:rPr>
          <w:rFonts w:ascii="Barlow Semi Condensed" w:cs="Barlow Semi Condensed" w:eastAsia="Barlow Semi Condensed" w:hAnsi="Barlow Semi Condensed"/>
          <w:b/>
          <w:bCs/>
          <w:sz w:val="24"/>
          <w:szCs w:val="24"/>
        </w:rPr>
        <w:t xml:space="preserve">Sul primo lotto di costruzione italiana: la maggior parte delle fonti indica quaranta esemplari; almeno una riporta sedici, segnalando essa stessa la variabilità.</w:t>
      </w:r>
    </w:p>
    <w:p>
      <w:pPr>
        <w:spacing w:after="120" w:line="276"/>
        <w:jc w:val="both"/>
      </w:pPr>
      <w:r>
        <w:rPr>
          <w:rFonts w:ascii="Barlow Semi Condensed" w:cs="Barlow Semi Condensed" w:eastAsia="Barlow Semi Condensed" w:hAnsi="Barlow Semi Condensed"/>
          <w:b/>
          <w:bCs/>
          <w:sz w:val="24"/>
          <w:szCs w:val="24"/>
        </w:rPr>
        <w:t xml:space="preserve">Sugli esemplari costruiti localmente\\: la cifra più ricorrente è di circa \\centoventicinque\\ Impala Mark primo; compare anche \\centotrentacinque.</w:t>
      </w:r>
    </w:p>
    <w:p>
      <w:pPr>
        <w:spacing w:after="120" w:line="276"/>
        <w:jc w:val="both"/>
      </w:pPr>
      <w:r>
        <w:rPr>
          <w:rFonts w:ascii="Barlow Semi Condensed" w:cs="Barlow Semi Condensed" w:eastAsia="Barlow Semi Condensed" w:hAnsi="Barlow Semi Condensed"/>
          <w:b/>
          <w:bCs/>
          <w:sz w:val="24"/>
          <w:szCs w:val="24"/>
        </w:rPr>
        <w:t xml:space="preserve">Sulla versione monoposto: sette MB-326K acquistati, quindici assemblati da kit, circa settantotto prodotti su licenza.</w:t>
      </w:r>
    </w:p>
    <w:p>
      <w:pPr>
        <w:spacing w:after="120" w:line="276"/>
        <w:jc w:val="both"/>
      </w:pPr>
      <w:r>
        <w:rPr>
          <w:rFonts w:ascii="Barlow Semi Condensed" w:cs="Barlow Semi Condensed" w:eastAsia="Barlow Semi Condensed" w:hAnsi="Barlow Semi Condensed"/>
          <w:b/>
          <w:bCs/>
          <w:sz w:val="24"/>
          <w:szCs w:val="24"/>
        </w:rPr>
        <w:t xml:space="preserve">Una fonte museale sudafricana propone invece centocinque biposto e cento monoposto, cifre che non collimano con le precedenti.</w:t>
      </w:r>
    </w:p>
    <w:p>
      <w:pPr>
        <w:spacing w:after="120" w:line="276"/>
        <w:jc w:val="both"/>
      </w:pPr>
      <w:r>
        <w:rPr>
          <w:rFonts w:ascii="Barlow Semi Condensed" w:cs="Barlow Semi Condensed" w:eastAsia="Barlow Semi Condensed" w:hAnsi="Barlow Semi Condensed"/>
          <w:b/>
          <w:bCs/>
          <w:sz w:val="24"/>
          <w:szCs w:val="24"/>
        </w:rPr>
        <w:t xml:space="preserve">Un ordine di grandezza indipendente proviene dai motori: degli oltre cinquemilasettecento Viper costruiti nel mondo, trecentotrentaquattro furono fabbricati in Sudafrica.</w:t>
      </w:r>
    </w:p>
    <w:p>
      <w:pPr>
        <w:spacing w:after="120" w:line="276"/>
        <w:jc w:val="both"/>
      </w:pPr>
      <w:r>
        <w:rPr>
          <w:rFonts w:ascii="Barlow Semi Condensed" w:cs="Barlow Semi Condensed" w:eastAsia="Barlow Semi Condensed" w:hAnsi="Barlow Semi Condensed"/>
          <w:b/>
          <w:bCs/>
          <w:sz w:val="24"/>
          <w:szCs w:val="24"/>
        </w:rPr>
        <w:t xml:space="preserve">La ragione della divergenza è duplice. Le fonti contano cose diverse — alcune sommano costruzione italiana, assemblaggio da kit e produzione su licenza, altre distinguono. E la produzione bellica sudafricana fu materia di riservatezza crescente, tanto più dopo il 1977.</w:t>
      </w:r>
    </w:p>
    <w:p>
      <w:pPr>
        <w:spacing w:after="120" w:line="276"/>
        <w:jc w:val="both"/>
      </w:pPr>
      <w:r>
        <w:rPr>
          <w:rFonts w:ascii="Barlow Semi Condensed" w:cs="Barlow Semi Condensed" w:eastAsia="Barlow Semi Condensed" w:hAnsi="Barlow Semi Condensed"/>
          <w:b/>
          <w:bCs/>
          <w:sz w:val="24"/>
          <w:szCs w:val="24"/>
        </w:rPr>
        <w:t xml:space="preserve">Non è possibile stabilire una cifra unica, e proporne una sarebbe scorretto.</w:t>
      </w:r>
    </w:p>
    <w:p>
      <w:pPr>
        <w:pStyle w:val="Heading2"/>
        <w:spacing w:after="100" w:before="200"/>
      </w:pPr>
      <w:r>
        <w:rPr>
          <w:rFonts w:ascii="Barlow Semi Condensed" w:cs="Barlow Semi Condensed" w:eastAsia="Barlow Semi Condensed" w:hAnsi="Barlow Semi Condensed"/>
          <w:sz w:val="24"/>
          <w:szCs w:val="24"/>
        </w:rPr>
        <w:t xml:space="preserve">Capitolo terzo — Il motore, e il documento americano che nomina l'Italia</w:t>
      </w:r>
    </w:p>
    <w:p>
      <w:pPr>
        <w:spacing w:after="120" w:line="276"/>
        <w:jc w:val="both"/>
      </w:pPr>
      <w:r>
        <w:rPr>
          <w:rFonts w:ascii="Barlow Semi Condensed" w:cs="Barlow Semi Condensed" w:eastAsia="Barlow Semi Condensed" w:hAnsi="Barlow Semi Condensed"/>
          <w:b/>
          <w:bCs/>
          <w:sz w:val="24"/>
          <w:szCs w:val="24"/>
        </w:rPr>
        <w:t xml:space="preserve">Il capitolo espone il nodo che attraversa tre giurisdizioni, ed è il ritrovamento documentale maggiore.</w:t>
      </w:r>
    </w:p>
    <w:p>
      <w:pPr>
        <w:spacing w:after="120" w:line="276"/>
        <w:jc w:val="both"/>
      </w:pPr>
      <w:r>
        <w:rPr>
          <w:rFonts w:ascii="Barlow Semi Condensed" w:cs="Barlow Semi Condensed" w:eastAsia="Barlow Semi Condensed" w:hAnsi="Barlow Semi Condensed"/>
          <w:b/>
          <w:bCs/>
          <w:sz w:val="24"/>
          <w:szCs w:val="24"/>
        </w:rPr>
        <w:t xml:space="preserve">La catena, per anelli. Il propulsore era il turbogetto Viper, progettato dalla Armstrong Siddeley come unità a vita breve per bersagli radiocomandati, e rivelatosi poi affidabile e longevo. Attraverso le concentrazioni industriali britanniche esso passò alla Bristol Siddeley e infine alla Rolls-Royce, che acquisì la Bristol Siddeley nel 1966.</w:t>
      </w:r>
    </w:p>
    <w:p>
      <w:pPr>
        <w:spacing w:after="120" w:line="276"/>
        <w:jc w:val="both"/>
      </w:pPr>
      <w:r>
        <w:rPr>
          <w:rFonts w:ascii="Barlow Semi Condensed" w:cs="Barlow Semi Condensed" w:eastAsia="Barlow Semi Condensed" w:hAnsi="Barlow Semi Condensed"/>
          <w:b/>
          <w:bCs/>
          <w:sz w:val="24"/>
          <w:szCs w:val="24"/>
        </w:rPr>
        <w:t xml:space="preserve">Il secondo anello, ed è italiano.\\ Il Viper destinato all'MB-326 fu \\prodotto in Italia su licenza dalla Piaggio in forza di un accordo con la Bristol Siddeley del 1959.</w:t>
      </w:r>
    </w:p>
    <w:p>
      <w:pPr>
        <w:spacing w:after="120" w:line="276"/>
        <w:jc w:val="both"/>
      </w:pPr>
      <w:r>
        <w:rPr>
          <w:rFonts w:ascii="Barlow Semi Condensed" w:cs="Barlow Semi Condensed" w:eastAsia="Barlow Semi Condensed" w:hAnsi="Barlow Semi Condensed"/>
          <w:b/>
          <w:bCs/>
          <w:sz w:val="24"/>
          <w:szCs w:val="24"/>
        </w:rPr>
        <w:t xml:space="preserve">La ripartizione italiana è attestata con precisione dal Museo Motori dell'Università di Palermo\\, secondo cui \\la Piaggio produceva il modello Mark ventidue per l'addestratore Aermacchi, mentre la FIAT produsse la più potente serie seicento.</w:t>
      </w:r>
    </w:p>
    <w:p>
      <w:pPr>
        <w:spacing w:after="120" w:line="276"/>
        <w:jc w:val="both"/>
      </w:pPr>
      <w:r>
        <w:rPr>
          <w:rFonts w:ascii="Barlow Semi Condensed" w:cs="Barlow Semi Condensed" w:eastAsia="Barlow Semi Condensed" w:hAnsi="Barlow Semi Condensed"/>
          <w:b/>
          <w:bCs/>
          <w:sz w:val="24"/>
          <w:szCs w:val="24"/>
        </w:rPr>
        <w:t xml:space="preserve">Ne consegue che il Sudafrica ottenne il Viper non direttamente dal Regno Unito ma attraverso la catena della sub-licenza italiana.</w:t>
      </w:r>
    </w:p>
    <w:p>
      <w:pPr>
        <w:spacing w:after="120" w:line="276"/>
        <w:jc w:val="both"/>
      </w:pPr>
      <w:r>
        <w:rPr>
          <w:rFonts w:ascii="Barlow Semi Condensed" w:cs="Barlow Semi Condensed" w:eastAsia="Barlow Semi Condensed" w:hAnsi="Barlow Semi Condensed"/>
          <w:b/>
          <w:bCs/>
          <w:sz w:val="24"/>
          <w:szCs w:val="24"/>
        </w:rPr>
        <w:t xml:space="preserve">E adesso il documento. Un rapporto declassificato della Central Intelligence Agency, intitolato \South Africa: Evading the Arms Embargo\ e reso disponibile nel 2018 con segnatura C06283667, nell'elencare i sistemi prodotti localmente registra il motore a getto Rolls-Royce Viper, Atlas, con l'annotazione: produzione autorizzata su licenza dall'Italia per l'Impala.</w:t>
      </w:r>
    </w:p>
    <w:p>
      <w:pPr>
        <w:spacing w:after="120" w:line="276"/>
        <w:jc w:val="both"/>
      </w:pPr>
      <w:r>
        <w:rPr>
          <w:rFonts w:ascii="Barlow Semi Condensed" w:cs="Barlow Semi Condensed" w:eastAsia="Barlow Semi Condensed" w:hAnsi="Barlow Semi Condensed"/>
          <w:b/>
          <w:bCs/>
          <w:sz w:val="24"/>
          <w:szCs w:val="24"/>
        </w:rPr>
        <w:t xml:space="preserve">Un documento d'intelligence statunitense attribuisce all'Italia, e non al Regno Unito, l'anello autorizzativo attraverso cui il motore raggiunse la linea di montaggio sudafricana.</w:t>
      </w:r>
    </w:p>
    <w:p>
      <w:pPr>
        <w:spacing w:after="120" w:line="276"/>
        <w:jc w:val="both"/>
      </w:pPr>
      <w:r>
        <w:rPr>
          <w:rFonts w:ascii="Barlow Semi Condensed" w:cs="Barlow Semi Condensed" w:eastAsia="Barlow Semi Condensed" w:hAnsi="Barlow Semi Condensed"/>
          <w:b/>
          <w:bCs/>
          <w:sz w:val="24"/>
          <w:szCs w:val="24"/>
        </w:rPr>
        <w:t xml:space="preserve">Il medesimo rapporto, alla voce Impala, registra: copia su licenza dell'italiano MB 326, prodotto dal 1964 al 1986.</w:t>
      </w:r>
    </w:p>
    <w:p>
      <w:pPr>
        <w:spacing w:after="120" w:line="276"/>
        <w:jc w:val="both"/>
      </w:pPr>
      <w:r>
        <w:rPr>
          <w:rFonts w:ascii="Barlow Semi Condensed" w:cs="Barlow Semi Condensed" w:eastAsia="Barlow Semi Condensed" w:hAnsi="Barlow Semi Condensed"/>
          <w:b/>
          <w:bCs/>
          <w:sz w:val="24"/>
          <w:szCs w:val="24"/>
        </w:rPr>
        <w:t xml:space="preserve">Lo statuto della fonte va dichiarato: è documento d'intelligence declassificato, di natura valutativa e non giudiziaria. Ma il suo tenore è univoco.</w:t>
      </w:r>
    </w:p>
    <w:p>
      <w:pPr>
        <w:spacing w:after="120" w:line="276"/>
        <w:jc w:val="both"/>
      </w:pPr>
      <w:r>
        <w:rPr>
          <w:rFonts w:ascii="Barlow Semi Condensed" w:cs="Barlow Semi Condensed" w:eastAsia="Barlow Semi Condensed" w:hAnsi="Barlow Semi Condensed"/>
          <w:b/>
          <w:bCs/>
          <w:sz w:val="24"/>
          <w:szCs w:val="24"/>
        </w:rPr>
        <w:t xml:space="preserve">Perché la responsabilità si concentrò sull'Italia e non sul Regno Unito, ed è la spiegazione strutturale. La licenza originaria britannica alla Piaggio è del 1959, anteriore a qualunque embargo, anche a quello raccomandato del 1963. La struttura della catena — Bristol Siddeley verso Piaggio, Piaggio o Aermacchi verso Atlas — colloca l'anello decisionale rilevante in Italia.</w:t>
      </w:r>
    </w:p>
    <w:p>
      <w:pPr>
        <w:spacing w:after="120" w:line="276"/>
        <w:jc w:val="both"/>
      </w:pPr>
      <w:r>
        <w:rPr>
          <w:rFonts w:ascii="Barlow Semi Condensed" w:cs="Barlow Semi Condensed" w:eastAsia="Barlow Semi Condensed" w:hAnsi="Barlow Semi Condensed"/>
          <w:b/>
          <w:bCs/>
          <w:sz w:val="24"/>
          <w:szCs w:val="24"/>
        </w:rPr>
        <w:t xml:space="preserve">Che cosa non si è trovato, e va dichiarato.\\ \\Nessun documento primario in cui la Rolls-Royce o il governo britannico autorizzino espressamente la produzione sudafricana del Viper o la fornitura di ricambi.</w:t>
      </w:r>
    </w:p>
    <w:p>
      <w:pPr>
        <w:spacing w:after="120" w:line="276"/>
        <w:jc w:val="both"/>
      </w:pPr>
      <w:r>
        <w:rPr>
          <w:rFonts w:ascii="Barlow Semi Condensed" w:cs="Barlow Semi Condensed" w:eastAsia="Barlow Semi Condensed" w:hAnsi="Barlow Semi Condensed"/>
          <w:b/>
          <w:bCs/>
          <w:sz w:val="24"/>
          <w:szCs w:val="24"/>
        </w:rPr>
        <w:t xml:space="preserve">Le sedi: i National Archives britannici, che conservano i fascicoli sull'applicazione dell'embargo, e gli archivi della Bristol Siddeley e del Rolls-Royce Heritage Trust.</w:t>
      </w:r>
    </w:p>
    <w:p>
      <w:pPr>
        <w:spacing w:after="120" w:line="276"/>
        <w:jc w:val="both"/>
      </w:pPr>
      <w:r>
        <w:rPr>
          <w:rFonts w:ascii="Barlow Semi Condensed" w:cs="Barlow Semi Condensed" w:eastAsia="Barlow Semi Condensed" w:hAnsi="Barlow Semi Condensed"/>
          <w:b/>
          <w:bCs/>
          <w:sz w:val="24"/>
          <w:szCs w:val="24"/>
        </w:rPr>
        <w:t xml:space="preserve">Sino a tale verifica, ogni affermazione sul ruolo attivo o passivo della Rolls-Royce nella catena sudafricana è inferenza e non fatto.</w:t>
      </w:r>
    </w:p>
    <w:p>
      <w:pPr>
        <w:pStyle w:val="Heading2"/>
        <w:spacing w:after="100" w:before="200"/>
      </w:pPr>
      <w:r>
        <w:rPr>
          <w:rFonts w:ascii="Barlow Semi Condensed" w:cs="Barlow Semi Condensed" w:eastAsia="Barlow Semi Condensed" w:hAnsi="Barlow Semi Condensed"/>
          <w:sz w:val="24"/>
          <w:szCs w:val="24"/>
        </w:rPr>
        <w:t xml:space="preserve">Capitolo quarto — L'impiego operativo, e la sua collocazione cronologica</w:t>
      </w:r>
    </w:p>
    <w:p>
      <w:pPr>
        <w:spacing w:after="120" w:line="276"/>
        <w:jc w:val="both"/>
      </w:pPr>
      <w:r>
        <w:rPr>
          <w:rFonts w:ascii="Barlow Semi Condensed" w:cs="Barlow Semi Condensed" w:eastAsia="Barlow Semi Condensed" w:hAnsi="Barlow Semi Condensed"/>
          <w:b/>
          <w:bCs/>
          <w:sz w:val="24"/>
          <w:szCs w:val="24"/>
        </w:rPr>
        <w:t xml:space="preserve">Il capitolo espone che cosa fu fatto degli aerei, e colloca il tutto rispetto ai mandati di Moro.</w:t>
      </w:r>
    </w:p>
    <w:p>
      <w:pPr>
        <w:spacing w:after="120" w:line="276"/>
        <w:jc w:val="both"/>
      </w:pPr>
      <w:r>
        <w:rPr>
          <w:rFonts w:ascii="Barlow Semi Condensed" w:cs="Barlow Semi Condensed" w:eastAsia="Barlow Semi Condensed" w:hAnsi="Barlow Semi Condensed"/>
          <w:b/>
          <w:bCs/>
          <w:sz w:val="24"/>
          <w:szCs w:val="24"/>
        </w:rPr>
        <w:t xml:space="preserve">L'impiego.\\ Il velivolo fu adoperato sia come addestratore sia in configurazione armata. La \\scuola di volo aveva sede a Langebaanweg\\; gli squadroni operativi indicati sono il \\quarto, il quinto, il sesto, il settimo e l'ottavo.</w:t>
      </w:r>
    </w:p>
    <w:p>
      <w:pPr>
        <w:spacing w:after="120" w:line="276"/>
        <w:jc w:val="both"/>
      </w:pPr>
      <w:r>
        <w:rPr>
          <w:rFonts w:ascii="Barlow Semi Condensed" w:cs="Barlow Semi Condensed" w:eastAsia="Barlow Semi Condensed" w:hAnsi="Barlow Semi Condensed"/>
          <w:b/>
          <w:bCs/>
          <w:sz w:val="24"/>
          <w:szCs w:val="24"/>
        </w:rPr>
        <w:t xml:space="preserve">La versione monoposto Impala Mark secondo fu impiegata come velivolo da attacco al suolo nella guerra di confine contro le forze angolane e cubane\\, nel periodo indicato dalle fonti fra il \\1975 e il 1989.</w:t>
      </w:r>
    </w:p>
    <w:p>
      <w:pPr>
        <w:spacing w:after="120" w:line="276"/>
        <w:jc w:val="both"/>
      </w:pPr>
      <w:r>
        <w:rPr>
          <w:rFonts w:ascii="Barlow Semi Condensed" w:cs="Barlow Semi Condensed" w:eastAsia="Barlow Semi Condensed" w:hAnsi="Barlow Semi Condensed"/>
          <w:b/>
          <w:bCs/>
          <w:sz w:val="24"/>
          <w:szCs w:val="24"/>
        </w:rPr>
        <w:t xml:space="preserve">I vantaggi operativi documentati. Benché più lento dei caccia ad alte prestazioni, il velivolo poteva operare da piste sommarie e colpire con rapidità a bassissima quota; le fonti riferiscono missioni condotte a circa seicentocinquanta chilometri orari e ad altezze di poche decine di metri.</w:t>
      </w:r>
    </w:p>
    <w:p>
      <w:pPr>
        <w:spacing w:after="120" w:line="276"/>
        <w:jc w:val="both"/>
      </w:pPr>
      <w:r>
        <w:rPr>
          <w:rFonts w:ascii="Barlow Semi Condensed" w:cs="Barlow Semi Condensed" w:eastAsia="Barlow Semi Condensed" w:hAnsi="Barlow Semi Condensed"/>
          <w:b/>
          <w:bCs/>
          <w:sz w:val="24"/>
          <w:szCs w:val="24"/>
        </w:rPr>
        <w:t xml:space="preserve">Due episodi specifici, con lo statuto della fonte dichiarato. Nel 1985, in una fase cruciale della guerra terrestre, gli Impala Mark secondo sarebbero stati impiegati anche in funzione di intercettazione contro elicotteri, con l'abbattimento di sei velivoli ad ala rotante fra Mi-otto e Mi-ventiquattro. È registrata altresì la perdita di un Impala abbattuto da un missile portatile SA-sette angolano.</w:t>
      </w:r>
    </w:p>
    <w:p>
      <w:pPr>
        <w:spacing w:after="120" w:line="276"/>
        <w:jc w:val="both"/>
      </w:pPr>
      <w:r>
        <w:rPr>
          <w:rFonts w:ascii="Barlow Semi Condensed" w:cs="Barlow Semi Condensed" w:eastAsia="Barlow Semi Condensed" w:hAnsi="Barlow Semi Condensed"/>
          <w:b/>
          <w:bCs/>
          <w:sz w:val="24"/>
          <w:szCs w:val="24"/>
        </w:rPr>
        <w:t xml:space="preserve">Questi dati provengono da pubblicistica aeronautica e vanno assunti con la cautela dovuta a tale natura di fonte. Il quadro complessivo — impiego operativo effettivo del velivolo di origine italiana nel teatro angolano-namibiano — è invece solidamente attestato e non controverso.</w:t>
      </w:r>
    </w:p>
    <w:p>
      <w:pPr>
        <w:spacing w:after="120" w:line="276"/>
        <w:jc w:val="both"/>
      </w:pPr>
      <w:r>
        <w:rPr>
          <w:rFonts w:ascii="Barlow Semi Condensed" w:cs="Barlow Semi Condensed" w:eastAsia="Barlow Semi Condensed" w:hAnsi="Barlow Semi Condensed"/>
          <w:b/>
          <w:bCs/>
          <w:sz w:val="24"/>
          <w:szCs w:val="24"/>
        </w:rPr>
        <w:t xml:space="preserve">E adesso la collocazione cronologica, che è di rilievo giuridico e va enunciata con precisione perché impedisce un'imputazione facile.</w:t>
      </w:r>
    </w:p>
    <w:p>
      <w:pPr>
        <w:spacing w:after="120" w:line="276"/>
        <w:jc w:val="both"/>
      </w:pPr>
      <w:r>
        <w:rPr>
          <w:rFonts w:ascii="Barlow Semi Condensed" w:cs="Barlow Semi Condensed" w:eastAsia="Barlow Semi Condensed" w:hAnsi="Barlow Semi Condensed"/>
          <w:b/>
          <w:bCs/>
          <w:sz w:val="24"/>
          <w:szCs w:val="24"/>
        </w:rPr>
        <w:t xml:space="preserve">La quota maggiore delle operazioni belliche documentate si colloca dopo il 1976, dunque dopo la fine dei mandati di Moro, e in larga parte dopo il 1977, cioè sotto il regime dell'embargo obbligatorio.</w:t>
      </w:r>
    </w:p>
    <w:p>
      <w:pPr>
        <w:spacing w:after="120" w:line="276"/>
        <w:jc w:val="both"/>
      </w:pPr>
      <w:r>
        <w:rPr>
          <w:rFonts w:ascii="Barlow Semi Condensed" w:cs="Barlow Semi Condensed" w:eastAsia="Barlow Semi Condensed" w:hAnsi="Barlow Semi Condensed"/>
          <w:b/>
          <w:bCs/>
          <w:sz w:val="24"/>
          <w:szCs w:val="24"/>
        </w:rPr>
        <w:t xml:space="preserve">Ne discende che l'impiego operativo degli anni Ottanta non può essere retroattivamente imputato alle decisioni del governo italiano del periodo 1969-1976 — se non nella misura, tutta da dimostrare documentalmente, in cui a quelle decisioni sia riconducibile la fornitura continuativa di ricambi, motori e assistenza tecnica in epoca successiva.</w:t>
      </w:r>
    </w:p>
    <w:p>
      <w:pPr>
        <w:spacing w:after="120" w:line="276"/>
        <w:jc w:val="both"/>
      </w:pPr>
      <w:r>
        <w:rPr>
          <w:rFonts w:ascii="Barlow Semi Condensed" w:cs="Barlow Semi Condensed" w:eastAsia="Barlow Semi Condensed" w:hAnsi="Barlow Semi Condensed"/>
          <w:b/>
          <w:bCs/>
          <w:sz w:val="24"/>
          <w:szCs w:val="24"/>
        </w:rPr>
        <w:t xml:space="preserve">Su tale fornitura continuativa esiste un indizio, esposto al Capitolo settimo, che si colloca però nel gennaio 1980 e va tenuto distinto.</w:t>
      </w:r>
    </w:p>
    <w:p>
      <w:pPr>
        <w:pStyle w:val="Heading2"/>
        <w:spacing w:after="100" w:before="200"/>
      </w:pPr>
      <w:r>
        <w:rPr>
          <w:rFonts w:ascii="Barlow Semi Condensed" w:cs="Barlow Semi Condensed" w:eastAsia="Barlow Semi Condensed" w:hAnsi="Barlow Semi Condensed"/>
          <w:sz w:val="24"/>
          <w:szCs w:val="24"/>
        </w:rPr>
        <w:t xml:space="preserve">Capitolo quinto — I voti alle Nazioni Unite: due voti opposti nello stesso giorno</w:t>
      </w:r>
    </w:p>
    <w:p>
      <w:pPr>
        <w:spacing w:after="120" w:line="276"/>
        <w:jc w:val="both"/>
      </w:pPr>
      <w:r>
        <w:rPr>
          <w:rFonts w:ascii="Barlow Semi Condensed" w:cs="Barlow Semi Condensed" w:eastAsia="Barlow Semi Condensed" w:hAnsi="Barlow Semi Condensed"/>
          <w:b/>
          <w:bCs/>
          <w:sz w:val="24"/>
          <w:szCs w:val="24"/>
        </w:rPr>
        <w:t xml:space="preserve">Il capitolo espone il versante multilaterale, dove le fonti sono primarie e di prima qualità, e produce il risultato documentale più netto della ricognizione.</w:t>
      </w:r>
    </w:p>
    <w:p>
      <w:pPr>
        <w:spacing w:after="120" w:line="276"/>
        <w:jc w:val="both"/>
      </w:pPr>
      <w:r>
        <w:rPr>
          <w:rFonts w:ascii="Barlow Semi Condensed" w:cs="Barlow Semi Condensed" w:eastAsia="Barlow Semi Condensed" w:hAnsi="Barlow Semi Condensed"/>
          <w:b/>
          <w:bCs/>
          <w:sz w:val="24"/>
          <w:szCs w:val="24"/>
        </w:rPr>
        <w:t xml:space="preserve">Il voto sulle credenziali del 1974, e l'Italia vi è fra i contrari. Sul rifiuto delle credenziali della delegazione sudafricana alla ventinovesima sessione, deciso con la risoluzione tremiladuecentosei nella duemiladuecentoquarantottesima seduta plenaria del 30 settembre 1974, verbale A/PV.2248, il registro di voto documenta novantotto favorevoli, ventitré contrari e quattordici astenuti.</w:t>
      </w:r>
    </w:p>
    <w:p>
      <w:pPr>
        <w:spacing w:after="120" w:line="276"/>
        <w:jc w:val="both"/>
      </w:pPr>
      <w:r>
        <w:rPr>
          <w:rFonts w:ascii="Barlow Semi Condensed" w:cs="Barlow Semi Condensed" w:eastAsia="Barlow Semi Condensed" w:hAnsi="Barlow Semi Condensed"/>
          <w:b/>
          <w:bCs/>
          <w:sz w:val="24"/>
          <w:szCs w:val="24"/>
        </w:rPr>
        <w:t xml:space="preserve">L'Italia votò contro\\, in compagnia di \\Belgio, Danimarca, Francia, Germania Federale, Irlanda, Lussemburgo, Paesi Bassi, Regno Unito e Stati Uniti.</w:t>
      </w:r>
    </w:p>
    <w:p>
      <w:pPr>
        <w:spacing w:after="120" w:line="276"/>
        <w:jc w:val="both"/>
      </w:pPr>
      <w:r>
        <w:rPr>
          <w:rFonts w:ascii="Barlow Semi Condensed" w:cs="Barlow Semi Condensed" w:eastAsia="Barlow Semi Condensed" w:hAnsi="Barlow Semi Condensed"/>
          <w:b/>
          <w:bCs/>
          <w:sz w:val="24"/>
          <w:szCs w:val="24"/>
        </w:rPr>
        <w:t xml:space="preserve">Alla successiva decisione del Presidente dell'Assemblea, l'algerino Abdelaziz Bouteflika, del 12 novembre 1974, di ritenere il rifiuto delle credenziali equivalente all'esclusione, seguì la conferma in aula con novantuno favorevoli, ventidue contrari e diciannove astenuti.</w:t>
      </w:r>
    </w:p>
    <w:p>
      <w:pPr>
        <w:spacing w:after="120" w:line="276"/>
        <w:jc w:val="both"/>
      </w:pPr>
      <w:r>
        <w:rPr>
          <w:rFonts w:ascii="Barlow Semi Condensed" w:cs="Barlow Semi Condensed" w:eastAsia="Barlow Semi Condensed" w:hAnsi="Barlow Semi Condensed"/>
          <w:b/>
          <w:bCs/>
          <w:sz w:val="24"/>
          <w:szCs w:val="24"/>
        </w:rPr>
        <w:t xml:space="preserve">E adesso il voto che rende il quadro non semplice, ed è del medesimo giorno.</w:t>
      </w:r>
    </w:p>
    <w:p>
      <w:pPr>
        <w:spacing w:after="120" w:line="276"/>
        <w:jc w:val="both"/>
      </w:pPr>
      <w:r>
        <w:rPr>
          <w:rFonts w:ascii="Barlow Semi Condensed" w:cs="Barlow Semi Condensed" w:eastAsia="Barlow Semi Condensed" w:hAnsi="Barlow Semi Condensed"/>
          <w:b/>
          <w:bCs/>
          <w:sz w:val="24"/>
          <w:szCs w:val="24"/>
        </w:rPr>
        <w:t xml:space="preserve">Sulla risoluzione tremiladuecentosette del 30 settembre 1974, relativa alla relazione fra Nazioni Unite e Sudafrica, il registro riporta centoventicinque favorevoli, un solo contrario e nove astenuti, e vi annota l'Italia fra i favorevoli.</w:t>
      </w:r>
    </w:p>
    <w:p>
      <w:pPr>
        <w:spacing w:after="120" w:line="276"/>
        <w:jc w:val="both"/>
      </w:pPr>
      <w:r>
        <w:rPr>
          <w:rFonts w:ascii="Barlow Semi Condensed" w:cs="Barlow Semi Condensed" w:eastAsia="Barlow Semi Condensed" w:hAnsi="Barlow Semi Condensed"/>
          <w:b/>
          <w:bCs/>
          <w:sz w:val="24"/>
          <w:szCs w:val="24"/>
        </w:rPr>
        <w:t xml:space="preserve">Il 30 settembre 1974 l'Italia votò contro la sospensione procedurale del Sudafrica e a favore della condanna di merito. Due voti, lo stesso giorno, in direzione opposta.</w:t>
      </w:r>
    </w:p>
    <w:p>
      <w:pPr>
        <w:spacing w:after="120" w:line="276"/>
        <w:jc w:val="both"/>
      </w:pPr>
      <w:r>
        <w:rPr>
          <w:rFonts w:ascii="Barlow Semi Condensed" w:cs="Barlow Semi Condensed" w:eastAsia="Barlow Semi Condensed" w:hAnsi="Barlow Semi Condensed"/>
          <w:b/>
          <w:bCs/>
          <w:sz w:val="24"/>
          <w:szCs w:val="24"/>
        </w:rPr>
        <w:t xml:space="preserve">Questa è la chiave interpretativa dell'intera condotta italiana e va tenuta ferma: no alla misura procedurale, sì alla condanna sostanziale.</w:t>
      </w:r>
    </w:p>
    <w:p>
      <w:pPr>
        <w:spacing w:after="120" w:line="276"/>
        <w:jc w:val="both"/>
      </w:pPr>
      <w:r>
        <w:rPr>
          <w:rFonts w:ascii="Barlow Semi Condensed" w:cs="Barlow Semi Condensed" w:eastAsia="Barlow Semi Condensed" w:hAnsi="Barlow Semi Condensed"/>
          <w:b/>
          <w:bCs/>
          <w:sz w:val="24"/>
          <w:szCs w:val="24"/>
        </w:rPr>
        <w:t xml:space="preserve">La ragione della posizione procedurale è documentata\\: le principali democrazie occidentali ritenevano \\l'uso della procedura delle credenziali per escludere uno Stato membro un precedente pericoloso e contrario alla Carta.</w:t>
      </w:r>
    </w:p>
    <w:p>
      <w:pPr>
        <w:spacing w:after="120" w:line="276"/>
        <w:jc w:val="both"/>
      </w:pPr>
      <w:r>
        <w:rPr>
          <w:rFonts w:ascii="Barlow Semi Condensed" w:cs="Barlow Semi Condensed" w:eastAsia="Barlow Semi Condensed" w:hAnsi="Barlow Semi Condensed"/>
          <w:b/>
          <w:bCs/>
          <w:sz w:val="24"/>
          <w:szCs w:val="24"/>
        </w:rPr>
        <w:t xml:space="preserve">Il versante del Consiglio di Sicurezza. L'Italia fu membro non permanente nel 1971-1972 e nel 1975-1976. La risoluzione trecentoundici del 4 febbraio 1972, adottata nella milleseicentotrentottesima seduta, condannò l'apartheid con quattordici favorevoli e la sola astensione francese, e l'Italia, allora membro, concorse alla condanna. La risoluzione trecentonovantadue del 19 giugno 1976, adottata dopo il massacro di Soweto, vide nuovamente l'Italia fra i membri.</w:t>
      </w:r>
    </w:p>
    <w:p>
      <w:pPr>
        <w:spacing w:after="120" w:line="276"/>
        <w:jc w:val="both"/>
      </w:pPr>
      <w:r>
        <w:rPr>
          <w:rFonts w:ascii="Barlow Semi Condensed" w:cs="Barlow Semi Condensed" w:eastAsia="Barlow Semi Condensed" w:hAnsi="Barlow Semi Condensed"/>
          <w:b/>
          <w:bCs/>
          <w:sz w:val="24"/>
          <w:szCs w:val="24"/>
        </w:rPr>
        <w:t xml:space="preserve">Un dato storiografico va riportato con la sua qualificazione. Uno studio pubblicato dal \Journal for Contemporary History\ dell'Università dello Stato Libero accerta che Italia, Regno Unito, Germania Federale e Stati Uniti si adeguarono all'embargo raccomandato del 1963 senza particolari ritardi, mentre fu la Francia a sfruttare l'occasione per divenire il principale fornitore militare di Pretoria.</w:t>
      </w:r>
    </w:p>
    <w:p>
      <w:pPr>
        <w:spacing w:after="120" w:line="276"/>
        <w:jc w:val="both"/>
      </w:pPr>
      <w:r>
        <w:rPr>
          <w:rFonts w:ascii="Barlow Semi Condensed" w:cs="Barlow Semi Condensed" w:eastAsia="Barlow Semi Condensed" w:hAnsi="Barlow Semi Condensed"/>
          <w:b/>
          <w:bCs/>
          <w:sz w:val="24"/>
          <w:szCs w:val="24"/>
        </w:rPr>
        <w:t xml:space="preserve">Ma tale affermazione va contemperata con il dato del canale Aermacchi, che mostra come l'adeguamento italiano non abbia comportato la cessazione della licenza già concessa. Distinzione, ancora una volta, fra il divieto di nuove vendite e la prosecuzione di un accordo industriale preesistente, che il regime raccomandato non imponeva di risolvere.</w:t>
      </w:r>
    </w:p>
    <w:p>
      <w:pPr>
        <w:pStyle w:val="Heading2"/>
        <w:spacing w:after="100" w:before="200"/>
      </w:pPr>
      <w:r>
        <w:rPr>
          <w:rFonts w:ascii="Barlow Semi Condensed" w:cs="Barlow Semi Condensed" w:eastAsia="Barlow Semi Condensed" w:hAnsi="Barlow Semi Condensed"/>
          <w:sz w:val="24"/>
          <w:szCs w:val="24"/>
        </w:rPr>
        <w:t xml:space="preserve">Capitolo sesto — Il regime del millenovecentoquarantuno, e il nono grado di Stato Zero</w:t>
      </w:r>
    </w:p>
    <w:p>
      <w:pPr>
        <w:spacing w:after="120" w:line="276"/>
        <w:jc w:val="both"/>
      </w:pPr>
      <w:r>
        <w:rPr>
          <w:rFonts w:ascii="Barlow Semi Condensed" w:cs="Barlow Semi Condensed" w:eastAsia="Barlow Semi Condensed" w:hAnsi="Barlow Semi Condensed"/>
          <w:b/>
          <w:bCs/>
          <w:sz w:val="24"/>
          <w:szCs w:val="24"/>
        </w:rPr>
        <w:t xml:space="preserve">Il capitolo espone il risultato più importante della ricognizione, e propone una categoria che il sistema di gradazione del corpus non contiene.</w:t>
      </w:r>
    </w:p>
    <w:p>
      <w:pPr>
        <w:spacing w:after="120" w:line="276"/>
        <w:jc w:val="both"/>
      </w:pPr>
      <w:r>
        <w:rPr>
          <w:rFonts w:ascii="Barlow Semi Condensed" w:cs="Barlow Semi Condensed" w:eastAsia="Barlow Semi Condensed" w:hAnsi="Barlow Semi Condensed"/>
          <w:b/>
          <w:bCs/>
          <w:sz w:val="24"/>
          <w:szCs w:val="24"/>
        </w:rPr>
        <w:t xml:space="preserve">Il fatto giuridico centrale.\\ \\Per tutto il periodo in esame l'Italia non ebbe una legge organica sul controllo dell'esportazione di materiale di armamento.</w:t>
      </w:r>
    </w:p>
    <w:p>
      <w:pPr>
        <w:spacing w:after="120" w:line="276"/>
        <w:jc w:val="both"/>
      </w:pPr>
      <w:r>
        <w:rPr>
          <w:rFonts w:ascii="Barlow Semi Condensed" w:cs="Barlow Semi Condensed" w:eastAsia="Barlow Semi Condensed" w:hAnsi="Barlow Semi Condensed"/>
          <w:b/>
          <w:bCs/>
          <w:sz w:val="24"/>
          <w:szCs w:val="24"/>
        </w:rPr>
        <w:t xml:space="preserve">La disciplina applicabile. Il Testo unico delle leggi di pubblica sicurezza, e in particolare l'articolo ventotto e gli articoli dal quarantuno al cinquantotto del regolamento di attuazione, regio decreto 6 maggio 1940 numero seicentotrentacinque.</w:t>
      </w:r>
    </w:p>
    <w:p>
      <w:pPr>
        <w:spacing w:after="120" w:line="276"/>
        <w:jc w:val="both"/>
      </w:pPr>
      <w:r>
        <w:rPr>
          <w:rFonts w:ascii="Barlow Semi Condensed" w:cs="Barlow Semi Condensed" w:eastAsia="Barlow Semi Condensed" w:hAnsi="Barlow Semi Condensed"/>
          <w:b/>
          <w:bCs/>
          <w:sz w:val="24"/>
          <w:szCs w:val="24"/>
        </w:rPr>
        <w:t xml:space="preserve">E soprattutto il regio decreto 11 luglio 1941 numero millecentosessantuno, firmato da Mussolini, Ciano, Teruzzi e Grandi, che sottoponeva l'esportazione di armi al segreto di Stato, sottraendola al controllo del Parlamento e della società civile.</w:t>
      </w:r>
    </w:p>
    <w:p>
      <w:pPr>
        <w:spacing w:after="120" w:line="276"/>
        <w:jc w:val="both"/>
      </w:pPr>
      <w:r>
        <w:rPr>
          <w:rFonts w:ascii="Barlow Semi Condensed" w:cs="Barlow Semi Condensed" w:eastAsia="Barlow Semi Condensed" w:hAnsi="Barlow Semi Condensed"/>
          <w:b/>
          <w:bCs/>
          <w:sz w:val="24"/>
          <w:szCs w:val="24"/>
        </w:rPr>
        <w:t xml:space="preserve">Questo assetto rimase in vigore fino alla legge 9 luglio 1990 numero centottantacinque.</w:t>
      </w:r>
    </w:p>
    <w:p>
      <w:pPr>
        <w:spacing w:after="120" w:line="276"/>
        <w:jc w:val="both"/>
      </w:pPr>
      <w:r>
        <w:rPr>
          <w:rFonts w:ascii="Barlow Semi Condensed" w:cs="Barlow Semi Condensed" w:eastAsia="Barlow Semi Condensed" w:hAnsi="Barlow Semi Condensed"/>
          <w:b/>
          <w:bCs/>
          <w:sz w:val="24"/>
          <w:szCs w:val="24"/>
        </w:rPr>
        <w:t xml:space="preserve">Ne discendono tre conseguenze che vanno enunciate una per una.</w:t>
      </w:r>
    </w:p>
    <w:p>
      <w:pPr>
        <w:spacing w:after="120" w:line="276"/>
        <w:jc w:val="both"/>
      </w:pPr>
      <w:r>
        <w:rPr>
          <w:rFonts w:ascii="Barlow Semi Condensed" w:cs="Barlow Semi Condensed" w:eastAsia="Barlow Semi Condensed" w:hAnsi="Barlow Semi Condensed"/>
          <w:b/>
          <w:bCs/>
          <w:sz w:val="24"/>
          <w:szCs w:val="24"/>
        </w:rPr>
        <w:t xml:space="preserve">Prima: nel periodo di Moro non esistevano il comitato interministeriale per gli scambi di materiali di armamento, né l'unità autorizzativa della Farnesina, né il potere di veto o consultivo formalizzato del Ministro degli esteri. Sono tutte istituzioni create dalla legge del 1990.</w:t>
      </w:r>
    </w:p>
    <w:p>
      <w:pPr>
        <w:spacing w:after="120" w:line="276"/>
        <w:jc w:val="both"/>
      </w:pPr>
      <w:r>
        <w:rPr>
          <w:rFonts w:ascii="Barlow Semi Condensed" w:cs="Barlow Semi Condensed" w:eastAsia="Barlow Semi Condensed" w:hAnsi="Barlow Semi Condensed"/>
          <w:b/>
          <w:bCs/>
          <w:sz w:val="24"/>
          <w:szCs w:val="24"/>
        </w:rPr>
        <w:t xml:space="preserve">Seconda, e decisiva: la concessione all'estero di licenze industriali di produzione — la fattispecie propria del caso Aermacchi-Atlas — non era espressamente disciplinata come tale. La disciplina organica della cessione all'estero delle licenze di produzione comparve solo con l'articolo tredici della legge centottantacinque del 1990, che la sottopose ad autorizzazione del Ministro degli affari esteri di concerto con quello delle finanze.</w:t>
      </w:r>
    </w:p>
    <w:p>
      <w:pPr>
        <w:spacing w:after="120" w:line="276"/>
        <w:jc w:val="both"/>
      </w:pPr>
      <w:r>
        <w:rPr>
          <w:rFonts w:ascii="Barlow Semi Condensed" w:cs="Barlow Semi Condensed" w:eastAsia="Barlow Semi Condensed" w:hAnsi="Barlow Semi Condensed"/>
          <w:b/>
          <w:bCs/>
          <w:sz w:val="24"/>
          <w:szCs w:val="24"/>
        </w:rPr>
        <w:t xml:space="preserve">Terza: la storiografia specializzata qualifica il regime anteriore senza ambiguità. Fino al 1990 l'industria italiana degli armamenti fu sostanzialmente libera di esportare, senza una legge che ne subordinasse le vendite alla situazione dei diritti umani nei Paesi destinatari, e la politica delle esportazioni era improntata a criteri prevalentemente commerciali.</w:t>
      </w:r>
    </w:p>
    <w:p>
      <w:pPr>
        <w:spacing w:after="120" w:line="276"/>
        <w:jc w:val="both"/>
      </w:pPr>
      <w:r>
        <w:rPr>
          <w:rFonts w:ascii="Barlow Semi Condensed" w:cs="Barlow Semi Condensed" w:eastAsia="Barlow Semi Condensed" w:hAnsi="Barlow Semi Condensed"/>
          <w:b/>
          <w:bCs/>
          <w:sz w:val="24"/>
          <w:szCs w:val="24"/>
        </w:rPr>
        <w:t xml:space="preserve">E adesso la conseguenza metodologica, che è il contributo di questo documento al sistema di gradazione degli Stati Zero.</w:t>
      </w:r>
    </w:p>
    <w:p>
      <w:pPr>
        <w:spacing w:after="120" w:line="276"/>
        <w:jc w:val="both"/>
      </w:pPr>
      <w:r>
        <w:rPr>
          <w:rFonts w:ascii="Barlow Semi Condensed" w:cs="Barlow Semi Condensed" w:eastAsia="Barlow Semi Condensed" w:hAnsi="Barlow Semi Condensed"/>
          <w:b/>
          <w:bCs/>
          <w:sz w:val="24"/>
          <w:szCs w:val="24"/>
        </w:rPr>
        <w:t xml:space="preserve">Quando si cerca la traccia dell'azione governativa sulla licenza Aermacchi, non la si deve cercare nelle forme procedurali che esisteranno solo dopo il 1990.</w:t>
      </w:r>
    </w:p>
    <w:p>
      <w:pPr>
        <w:spacing w:after="120" w:line="276"/>
        <w:jc w:val="both"/>
      </w:pPr>
      <w:r>
        <w:rPr>
          <w:rFonts w:ascii="Barlow Semi Condensed" w:cs="Barlow Semi Condensed" w:eastAsia="Barlow Semi Condensed" w:hAnsi="Barlow Semi Condensed"/>
          <w:b/>
          <w:bCs/>
          <w:sz w:val="24"/>
          <w:szCs w:val="24"/>
        </w:rPr>
        <w:t xml:space="preserve">Nel periodo di Moro non vi era un atto tipico di autorizzazione o di revoca di una licenza di produzione all'estero, perché la fattispecie non era tipizzata.</w:t>
      </w:r>
    </w:p>
    <w:p>
      <w:pPr>
        <w:spacing w:after="120" w:line="276"/>
        <w:jc w:val="both"/>
      </w:pPr>
      <w:r>
        <w:rPr>
          <w:rFonts w:ascii="Barlow Semi Condensed" w:cs="Barlow Semi Condensed" w:eastAsia="Barlow Semi Condensed" w:hAnsi="Barlow Semi Condensed"/>
          <w:b/>
          <w:bCs/>
          <w:sz w:val="24"/>
          <w:szCs w:val="24"/>
        </w:rPr>
        <w:t xml:space="preserve">Ne discende che l'atto non è documentato non perché sia stato occultato, ma perché nell'ordinamento del tempo esso non esisteva come atto.</w:t>
      </w:r>
    </w:p>
    <w:p>
      <w:pPr>
        <w:spacing w:after="120" w:line="276"/>
        <w:jc w:val="both"/>
      </w:pPr>
      <w:r>
        <w:rPr>
          <w:rFonts w:ascii="Barlow Semi Condensed" w:cs="Barlow Semi Condensed" w:eastAsia="Barlow Semi Condensed" w:hAnsi="Barlow Semi Condensed"/>
          <w:b/>
          <w:bCs/>
          <w:sz w:val="24"/>
          <w:szCs w:val="24"/>
        </w:rPr>
        <w:t xml:space="preserve">Il sistema del corpus conta sette gradi, e la tredicesima ricognizione ne ha aggiunto un ottavo, il falso positivo. Tutti e otto presuppongono che l'informazione o esista e sia inaccessibile, o non esista perché il fatto non avvenne.</w:t>
      </w:r>
    </w:p>
    <w:p>
      <w:pPr>
        <w:spacing w:after="120" w:line="276"/>
        <w:jc w:val="both"/>
      </w:pPr>
      <w:r>
        <w:rPr>
          <w:rFonts w:ascii="Barlow Semi Condensed" w:cs="Barlow Semi Condensed" w:eastAsia="Barlow Semi Condensed" w:hAnsi="Barlow Semi Condensed"/>
          <w:b/>
          <w:bCs/>
          <w:sz w:val="24"/>
          <w:szCs w:val="24"/>
        </w:rPr>
        <w:t xml:space="preserve">Qui il fatto avvenne e non produsse documento, perché l'ordinamento non lo richiedeva.</w:t>
      </w:r>
    </w:p>
    <w:p>
      <w:pPr>
        <w:spacing w:after="120" w:line="276"/>
        <w:jc w:val="both"/>
      </w:pPr>
      <w:r>
        <w:rPr>
          <w:rFonts w:ascii="Barlow Semi Condensed" w:cs="Barlow Semi Condensed" w:eastAsia="Barlow Semi Condensed" w:hAnsi="Barlow Semi Condensed"/>
          <w:b/>
          <w:bCs/>
          <w:sz w:val="24"/>
          <w:szCs w:val="24"/>
        </w:rPr>
        <w:t xml:space="preserve">Propongo un nono grado, e lo denomino l'atto atipico.</w:t>
      </w:r>
    </w:p>
    <w:p>
      <w:pPr>
        <w:spacing w:after="120" w:line="276"/>
        <w:jc w:val="both"/>
      </w:pPr>
      <w:r>
        <w:rPr>
          <w:rFonts w:ascii="Barlow Semi Condensed" w:cs="Barlow Semi Condensed" w:eastAsia="Barlow Semi Condensed" w:hAnsi="Barlow Semi Condensed"/>
          <w:b/>
          <w:bCs/>
          <w:sz w:val="24"/>
          <w:szCs w:val="24"/>
        </w:rPr>
        <w:t xml:space="preserve">Definizione: una condotta dello Stato non lascia traccia documentale perché il diritto vigente al momento non la configurava come atto giuridico tipico, e dunque non ne prescriveva la forma, la motivazione né la registrazione.</w:t>
      </w:r>
    </w:p>
    <w:p>
      <w:pPr>
        <w:spacing w:after="120" w:line="276"/>
        <w:jc w:val="both"/>
      </w:pPr>
      <w:r>
        <w:rPr>
          <w:rFonts w:ascii="Barlow Semi Condensed" w:cs="Barlow Semi Condensed" w:eastAsia="Barlow Semi Condensed" w:hAnsi="Barlow Semi Condensed"/>
          <w:b/>
          <w:bCs/>
          <w:sz w:val="24"/>
          <w:szCs w:val="24"/>
        </w:rPr>
        <w:t xml:space="preserve">La proprietà che lo distingue dagli altri otto: non è rimediabile con l'apertura di un archivio, perché non vi è nulla da aprire. È rimediabile soltanto per via indiretta — corrispondenza aziendale, carte ministeriali informali, atti parlamentari — e con la consapevolezza che l'assenza è strutturale e non colposa.</w:t>
      </w:r>
    </w:p>
    <w:p>
      <w:pPr>
        <w:pStyle w:val="Heading2"/>
        <w:spacing w:after="100" w:before="200"/>
      </w:pPr>
      <w:r>
        <w:rPr>
          <w:rFonts w:ascii="Barlow Semi Condensed" w:cs="Barlow Semi Condensed" w:eastAsia="Barlow Semi Condensed" w:hAnsi="Barlow Semi Condensed"/>
          <w:sz w:val="24"/>
          <w:szCs w:val="24"/>
        </w:rPr>
        <w:t xml:space="preserve">Capitolo settimo — Le due lettere alle Nazioni Unite e l'operaio di Varese</w:t>
      </w:r>
    </w:p>
    <w:p>
      <w:pPr>
        <w:spacing w:after="120" w:line="276"/>
        <w:jc w:val="both"/>
      </w:pPr>
      <w:r>
        <w:rPr>
          <w:rFonts w:ascii="Barlow Semi Condensed" w:cs="Barlow Semi Condensed" w:eastAsia="Barlow Semi Condensed" w:hAnsi="Barlow Semi Condensed"/>
          <w:b/>
          <w:bCs/>
          <w:sz w:val="24"/>
          <w:szCs w:val="24"/>
        </w:rPr>
        <w:t xml:space="preserve">Il capitolo espone la sola traccia reperita di un'azione italiana specificamente riferita alla questione, e la fonte che la mise in moto.</w:t>
      </w:r>
    </w:p>
    <w:p>
      <w:pPr>
        <w:spacing w:after="120" w:line="276"/>
        <w:jc w:val="both"/>
      </w:pPr>
      <w:r>
        <w:rPr>
          <w:rFonts w:ascii="Barlow Semi Condensed" w:cs="Barlow Semi Condensed" w:eastAsia="Barlow Semi Condensed" w:hAnsi="Barlow Semi Condensed"/>
          <w:b/>
          <w:bCs/>
          <w:sz w:val="24"/>
          <w:szCs w:val="24"/>
        </w:rPr>
        <w:t xml:space="preserve">La questione fu sollevata in sede internazionale, e l'Italia rispose formalmente due volte, a dieci anni di distanza.</w:t>
      </w:r>
    </w:p>
    <w:p>
      <w:pPr>
        <w:spacing w:after="120" w:line="276"/>
        <w:jc w:val="both"/>
      </w:pPr>
      <w:r>
        <w:rPr>
          <w:rFonts w:ascii="Barlow Semi Condensed" w:cs="Barlow Semi Condensed" w:eastAsia="Barlow Semi Condensed" w:hAnsi="Barlow Semi Condensed"/>
          <w:b/>
          <w:bCs/>
          <w:sz w:val="24"/>
          <w:szCs w:val="24"/>
        </w:rPr>
        <w:t xml:space="preserve">Prima lettera. Documento S/9640 del 6 febbraio 1970, indirizzato al Presidente del Consiglio di Sicurezza, con cui l'Italia confutava l'affermazione dello Zambia secondo cui essa avrebbe rifiutato di imporre un divieto alla vendita di armi al Sudafrica.</w:t>
      </w:r>
    </w:p>
    <w:p>
      <w:pPr>
        <w:spacing w:after="120" w:line="276"/>
        <w:jc w:val="both"/>
      </w:pPr>
      <w:r>
        <w:rPr>
          <w:rFonts w:ascii="Barlow Semi Condensed" w:cs="Barlow Semi Condensed" w:eastAsia="Barlow Semi Condensed" w:hAnsi="Barlow Semi Condensed"/>
          <w:b/>
          <w:bCs/>
          <w:sz w:val="24"/>
          <w:szCs w:val="24"/>
        </w:rPr>
        <w:t xml:space="preserve">Va notata la data: febbraio 1970, sei mesi dopo l'insediamento di Moro alla Farnesina. L'accusa era già stata mossa allora.</w:t>
      </w:r>
    </w:p>
    <w:p>
      <w:pPr>
        <w:spacing w:after="120" w:line="276"/>
        <w:jc w:val="both"/>
      </w:pPr>
      <w:r>
        <w:rPr>
          <w:rFonts w:ascii="Barlow Semi Condensed" w:cs="Barlow Semi Condensed" w:eastAsia="Barlow Semi Condensed" w:hAnsi="Barlow Semi Condensed"/>
          <w:b/>
          <w:bCs/>
          <w:sz w:val="24"/>
          <w:szCs w:val="24"/>
        </w:rPr>
        <w:t xml:space="preserve">Seconda lettera. Documento S/AC.20/27 del 27 giugno 1980, con cui il Rappresentante permanente italiano negava le accuse di violazione dell'embargo formulate da Abdul Minty nella dichiarazione registrata come S/AC.20/SR.25 dinanzi al Comitato del Consiglio di Sicurezza istituito dalla risoluzione quattrocentoventuno del 1977.</w:t>
      </w:r>
    </w:p>
    <w:p>
      <w:pPr>
        <w:spacing w:after="120" w:line="276"/>
        <w:jc w:val="both"/>
      </w:pPr>
      <w:r>
        <w:rPr>
          <w:rFonts w:ascii="Barlow Semi Condensed" w:cs="Barlow Semi Condensed" w:eastAsia="Barlow Semi Condensed" w:hAnsi="Barlow Semi Condensed"/>
          <w:b/>
          <w:bCs/>
          <w:sz w:val="24"/>
          <w:szCs w:val="24"/>
        </w:rPr>
        <w:t xml:space="preserve">Il testo integrale di entrambe le lettere e della dichiarazione di Minty non è stato reperito, e va cercato presso la Biblioteca digitale delle Nazioni Unite e negli atti del Comitato. È l'acquisizione a più basso costo e più rapido rendimento dell'intera tavola.</w:t>
      </w:r>
    </w:p>
    <w:p>
      <w:pPr>
        <w:spacing w:after="120" w:line="276"/>
        <w:jc w:val="both"/>
      </w:pPr>
      <w:r>
        <w:rPr>
          <w:rFonts w:ascii="Barlow Semi Condensed" w:cs="Barlow Semi Condensed" w:eastAsia="Barlow Semi Condensed" w:hAnsi="Barlow Semi Condensed"/>
          <w:b/>
          <w:bCs/>
          <w:sz w:val="24"/>
          <w:szCs w:val="24"/>
        </w:rPr>
        <w:t xml:space="preserve">Ma la sola esistenza delle due lettere è già un accertamento: la questione della complicità italiana con l'apparato militare sudafricano fu sollevata due volte in sede internazionale, e l'Italia vi rispose negando.</w:t>
      </w:r>
    </w:p>
    <w:p>
      <w:pPr>
        <w:spacing w:after="120" w:line="276"/>
        <w:jc w:val="both"/>
      </w:pPr>
      <w:r>
        <w:rPr>
          <w:rFonts w:ascii="Barlow Semi Condensed" w:cs="Barlow Semi Condensed" w:eastAsia="Barlow Semi Condensed" w:hAnsi="Barlow Semi Condensed"/>
          <w:b/>
          <w:bCs/>
          <w:sz w:val="24"/>
          <w:szCs w:val="24"/>
        </w:rPr>
        <w:t xml:space="preserve">E adesso la fonte che mise in moto la seconda.</w:t>
      </w:r>
    </w:p>
    <w:p>
      <w:pPr>
        <w:spacing w:after="120" w:line="276"/>
        <w:jc w:val="both"/>
      </w:pPr>
      <w:r>
        <w:rPr>
          <w:rFonts w:ascii="Barlow Semi Condensed" w:cs="Barlow Semi Condensed" w:eastAsia="Barlow Semi Condensed" w:hAnsi="Barlow Semi Condensed"/>
          <w:b/>
          <w:bCs/>
          <w:sz w:val="24"/>
          <w:szCs w:val="24"/>
        </w:rPr>
        <w:t xml:space="preserve">Elio Pagani, operaio dell'Aermacchi e obiettore di coscienza, testimoniò che l'Aermacchi avrebbe consegnato velivoli alla South African Air Force nel gennaio 1980. La campagna nata da tale denuncia, rilanciata nel marzo 1988 attraverso un settimanale cattolico, sarebbe stata fra i fattori che condussero alla legge centottantacinque del 1990.</w:t>
      </w:r>
    </w:p>
    <w:p>
      <w:pPr>
        <w:spacing w:after="120" w:line="276"/>
        <w:jc w:val="both"/>
      </w:pPr>
      <w:r>
        <w:rPr>
          <w:rFonts w:ascii="Barlow Semi Condensed" w:cs="Barlow Semi Condensed" w:eastAsia="Barlow Semi Condensed" w:hAnsi="Barlow Semi Condensed"/>
          <w:b/>
          <w:bCs/>
          <w:sz w:val="24"/>
          <w:szCs w:val="24"/>
        </w:rPr>
        <w:t xml:space="preserve">Lo statuto della fonte va dichiarato: è testimonianza di protagonista e pubblicistica militante, non fonte primaria d'archivio. E le consegne cui si riferisce sono del 1980, fuori dal perimetro dei mandati di Moro.</w:t>
      </w:r>
    </w:p>
    <w:p>
      <w:pPr>
        <w:spacing w:after="120" w:line="276"/>
        <w:jc w:val="both"/>
      </w:pPr>
      <w:r>
        <w:rPr>
          <w:rFonts w:ascii="Barlow Semi Condensed" w:cs="Barlow Semi Condensed" w:eastAsia="Barlow Semi Condensed" w:hAnsi="Barlow Semi Condensed"/>
          <w:b/>
          <w:bCs/>
          <w:sz w:val="24"/>
          <w:szCs w:val="24"/>
        </w:rPr>
        <w:t xml:space="preserve">Va dunque registrata come indizio della continuità del canale industriale oltre il 1976, non come prova di una condotta governativa del periodo in esame.</w:t>
      </w:r>
    </w:p>
    <w:p>
      <w:pPr>
        <w:spacing w:after="120" w:line="276"/>
        <w:jc w:val="both"/>
      </w:pPr>
      <w:r>
        <w:rPr>
          <w:rFonts w:ascii="Barlow Semi Condensed" w:cs="Barlow Semi Condensed" w:eastAsia="Barlow Semi Condensed" w:hAnsi="Barlow Semi Condensed"/>
          <w:b/>
          <w:bCs/>
          <w:sz w:val="24"/>
          <w:szCs w:val="24"/>
        </w:rPr>
        <w:t xml:space="preserve">Ma vi è in questa vicenda una circolarità che merita di essere enunciata, ed è, secondo me, il fatto più notevole dell'intero documento.</w:t>
      </w:r>
    </w:p>
    <w:p>
      <w:pPr>
        <w:spacing w:after="120" w:line="276"/>
        <w:jc w:val="both"/>
      </w:pPr>
      <w:r>
        <w:rPr>
          <w:rFonts w:ascii="Barlow Semi Condensed" w:cs="Barlow Semi Condensed" w:eastAsia="Barlow Semi Condensed" w:hAnsi="Barlow Semi Condensed"/>
          <w:b/>
          <w:bCs/>
          <w:sz w:val="24"/>
          <w:szCs w:val="24"/>
        </w:rPr>
        <w:t xml:space="preserve">Il Capitolo sesto ha stabilito che l'atto non è documentato perché l'ordinamento non lo tipizzava.</w:t>
      </w:r>
    </w:p>
    <w:p>
      <w:pPr>
        <w:spacing w:after="120" w:line="276"/>
        <w:jc w:val="both"/>
      </w:pPr>
      <w:r>
        <w:rPr>
          <w:rFonts w:ascii="Barlow Semi Condensed" w:cs="Barlow Semi Condensed" w:eastAsia="Barlow Semi Condensed" w:hAnsi="Barlow Semi Condensed"/>
          <w:b/>
          <w:bCs/>
          <w:sz w:val="24"/>
          <w:szCs w:val="24"/>
        </w:rPr>
        <w:t xml:space="preserve">Questo capitolo stabilisce che la legge che avrebbe tipizzato quell'atto — la centottantacinque del 1990 — fu prodotta anche dalla denuncia di un operaio dello stabilimento che quegli aerei costruiva.</w:t>
      </w:r>
    </w:p>
    <w:p>
      <w:pPr>
        <w:spacing w:after="120" w:line="276"/>
        <w:jc w:val="both"/>
      </w:pPr>
      <w:r>
        <w:rPr>
          <w:rFonts w:ascii="Barlow Semi Condensed" w:cs="Barlow Semi Condensed" w:eastAsia="Barlow Semi Condensed" w:hAnsi="Barlow Semi Condensed"/>
          <w:b/>
          <w:bCs/>
          <w:sz w:val="24"/>
          <w:szCs w:val="24"/>
        </w:rPr>
        <w:t xml:space="preserve">L'assenza di documentazione non era dunque un dato di natura. Era una proprietà di un ordinamento, e quell'ordinamento fu cambiato dal basso.</w:t>
      </w:r>
    </w:p>
    <w:p>
      <w:pPr>
        <w:pStyle w:val="Heading2"/>
        <w:spacing w:after="100" w:before="200"/>
      </w:pPr>
      <w:r>
        <w:rPr>
          <w:rFonts w:ascii="Barlow Semi Condensed" w:cs="Barlow Semi Condensed" w:eastAsia="Barlow Semi Condensed" w:hAnsi="Barlow Semi Condensed"/>
          <w:sz w:val="24"/>
          <w:szCs w:val="24"/>
        </w:rPr>
        <w:t xml:space="preserve">Capitolo ottavo — L'apparato competente, e dove si è cercato</w:t>
      </w:r>
    </w:p>
    <w:p>
      <w:pPr>
        <w:spacing w:after="120" w:line="276"/>
        <w:jc w:val="both"/>
      </w:pPr>
      <w:r>
        <w:rPr>
          <w:rFonts w:ascii="Barlow Semi Condensed" w:cs="Barlow Semi Condensed" w:eastAsia="Barlow Semi Condensed" w:hAnsi="Barlow Semi Condensed"/>
          <w:b/>
          <w:bCs/>
          <w:sz w:val="24"/>
          <w:szCs w:val="24"/>
        </w:rPr>
        <w:t xml:space="preserve">Il capitolo esegue la prescrizione: identificare l'apparato competente e dichiarare se vi si sia cercato.</w:t>
      </w:r>
    </w:p>
    <w:p>
      <w:pPr>
        <w:spacing w:after="120" w:line="276"/>
        <w:jc w:val="both"/>
      </w:pPr>
      <w:r>
        <w:rPr>
          <w:rFonts w:ascii="Barlow Semi Condensed" w:cs="Barlow Semi Condensed" w:eastAsia="Barlow Semi Condensed" w:hAnsi="Barlow Semi Condensed"/>
          <w:b/>
          <w:bCs/>
          <w:sz w:val="24"/>
          <w:szCs w:val="24"/>
        </w:rPr>
        <w:t xml:space="preserve">Il Ministero degli Affari Esteri. Aveva competenza sulla politica estera complessiva e, nel regime anteriore al 1990, non un potere formalizzato di autorizzazione ma un ruolo di indirizzo politico generale. La sede naturale di verifica è la serie Sudafrica 1969-1976 dell'Archivio Storico Diplomatico. La ricognizione non ha potuto accedervi fisicamente e dichiara la verifica come da compiere in loco.</w:t>
      </w:r>
    </w:p>
    <w:p>
      <w:pPr>
        <w:spacing w:after="120" w:line="276"/>
        <w:jc w:val="both"/>
      </w:pPr>
      <w:r>
        <w:rPr>
          <w:rFonts w:ascii="Barlow Semi Condensed" w:cs="Barlow Semi Condensed" w:eastAsia="Barlow Semi Condensed" w:hAnsi="Barlow Semi Condensed"/>
          <w:b/>
          <w:bCs/>
          <w:sz w:val="24"/>
          <w:szCs w:val="24"/>
        </w:rPr>
        <w:t xml:space="preserve">Ciò che si è accertato per via documentale è che la rappresentanza permanente presso le Nazioni Unite intervenne due volte, come esposto al capitolo precedente. Questo è azione della Farnesina, ancorché difensiva e in sede multilaterale.</w:t>
      </w:r>
    </w:p>
    <w:p>
      <w:pPr>
        <w:spacing w:after="120" w:line="276"/>
        <w:jc w:val="both"/>
      </w:pPr>
      <w:r>
        <w:rPr>
          <w:rFonts w:ascii="Barlow Semi Condensed" w:cs="Barlow Semi Condensed" w:eastAsia="Barlow Semi Condensed" w:hAnsi="Barlow Semi Condensed"/>
          <w:b/>
          <w:bCs/>
          <w:sz w:val="24"/>
          <w:szCs w:val="24"/>
        </w:rPr>
        <w:t xml:space="preserve">Il Ministero della Difesa. Aveva competenza tecnica sulle armi da guerra e concorreva, nella prassi del regime anteriore, alla gestione delle autorizzazioni. Sede: i suoi archivi e quelli dello Stato Maggiore dell'Aeronautica. Verifica da compiere.</w:t>
      </w:r>
    </w:p>
    <w:p>
      <w:pPr>
        <w:spacing w:after="120" w:line="276"/>
        <w:jc w:val="both"/>
      </w:pPr>
      <w:r>
        <w:rPr>
          <w:rFonts w:ascii="Barlow Semi Condensed" w:cs="Barlow Semi Condensed" w:eastAsia="Barlow Semi Condensed" w:hAnsi="Barlow Semi Condensed"/>
          <w:b/>
          <w:bCs/>
          <w:sz w:val="24"/>
          <w:szCs w:val="24"/>
        </w:rPr>
        <w:t xml:space="preserve">Il Ministero del Commercio con l'Estero.\\ Competenza sulle \\autorizzazioni valutarie e commerciali all'esportazione. Verifica da compiere.</w:t>
      </w:r>
    </w:p>
    <w:p>
      <w:pPr>
        <w:spacing w:after="120" w:line="276"/>
        <w:jc w:val="both"/>
      </w:pPr>
      <w:r>
        <w:rPr>
          <w:rFonts w:ascii="Barlow Semi Condensed" w:cs="Barlow Semi Condensed" w:eastAsia="Barlow Semi Condensed" w:hAnsi="Barlow Semi Condensed"/>
          <w:b/>
          <w:bCs/>
          <w:sz w:val="24"/>
          <w:szCs w:val="24"/>
        </w:rPr>
        <w:t xml:space="preserve">Il Ministero delle Partecipazioni Statali.\\ Esercitava la \\vigilanza sul sistema delle imprese pubbliche. Verifica da compiere.</w:t>
      </w:r>
    </w:p>
    <w:p>
      <w:pPr>
        <w:spacing w:after="120" w:line="276"/>
        <w:jc w:val="both"/>
      </w:pPr>
      <w:r>
        <w:rPr>
          <w:rFonts w:ascii="Barlow Semi Condensed" w:cs="Barlow Semi Condensed" w:eastAsia="Barlow Semi Condensed" w:hAnsi="Barlow Semi Condensed"/>
          <w:b/>
          <w:bCs/>
          <w:sz w:val="24"/>
          <w:szCs w:val="24"/>
        </w:rPr>
        <w:t xml:space="preserve">L'Istituto per la Ricostruzione Industriale. Controllava, attraverso la Finmeccanica, il comparto aeronautico a partecipazione statale. Va peraltro verificato l'esatto assetto proprietario dell'Aermacchi nel periodo, poiché l'azienda ebbe storia societaria complessa e non fu sempre e integralmente pubblica. Sede: Archivio storico dell'IRI presso l'Archivio Centrale dello Stato e archivio storico di Finmeccanica-Leonardo.</w:t>
      </w:r>
    </w:p>
    <w:p>
      <w:pPr>
        <w:spacing w:after="120" w:line="276"/>
        <w:jc w:val="both"/>
      </w:pPr>
      <w:r>
        <w:rPr>
          <w:rFonts w:ascii="Barlow Semi Condensed" w:cs="Barlow Semi Condensed" w:eastAsia="Barlow Semi Condensed" w:hAnsi="Barlow Semi Condensed"/>
          <w:b/>
          <w:bCs/>
          <w:sz w:val="24"/>
          <w:szCs w:val="24"/>
        </w:rPr>
        <w:t xml:space="preserve">L'esito, formulato secondo la prescrizione.\\ \\Non è stata trovata, nelle fonti accessibili per via telematica, traccia di un atto specifico relativo alla licenza Aermacchi-Atlas presso alcuno di questi apparati.</w:t>
      </w:r>
    </w:p>
    <w:p>
      <w:pPr>
        <w:spacing w:after="120" w:line="276"/>
        <w:jc w:val="both"/>
      </w:pPr>
      <w:r>
        <w:rPr>
          <w:rFonts w:ascii="Barlow Semi Condensed" w:cs="Barlow Semi Condensed" w:eastAsia="Barlow Semi Condensed" w:hAnsi="Barlow Semi Condensed"/>
          <w:b/>
          <w:bCs/>
          <w:sz w:val="24"/>
          <w:szCs w:val="24"/>
        </w:rPr>
        <w:t xml:space="preserve">Ma la conclusione metodologicamente corretta non è che il governo italiano non fece nulla.</w:t>
      </w:r>
    </w:p>
    <w:p>
      <w:pPr>
        <w:spacing w:after="120" w:line="276"/>
        <w:jc w:val="both"/>
      </w:pPr>
      <w:r>
        <w:rPr>
          <w:rFonts w:ascii="Barlow Semi Condensed" w:cs="Barlow Semi Condensed" w:eastAsia="Barlow Semi Condensed" w:hAnsi="Barlow Semi Condensed"/>
          <w:b/>
          <w:bCs/>
          <w:sz w:val="24"/>
          <w:szCs w:val="24"/>
        </w:rPr>
        <w:t xml:space="preserve">È che l'apparato competente è stato identificato — nel regime del millenovecentoquarantuno esso era la costellazione fra pubblica sicurezza, Difesa e amministrazioni economiche, sotto il segreto di Stato — e che la traccia della sua azione o inazione non è stata reperita presso le sedi archivistiche competenti, che restano da consultare fisicamente.</w:t>
      </w:r>
    </w:p>
    <w:p>
      <w:pPr>
        <w:spacing w:after="120" w:line="276"/>
        <w:jc w:val="both"/>
      </w:pPr>
      <w:r>
        <w:rPr>
          <w:rFonts w:ascii="Barlow Semi Condensed" w:cs="Barlow Semi Condensed" w:eastAsia="Barlow Semi Condensed" w:hAnsi="Barlow Semi Condensed"/>
          <w:b/>
          <w:bCs/>
          <w:sz w:val="24"/>
          <w:szCs w:val="24"/>
        </w:rPr>
        <w:t xml:space="preserve">E si aggiunga il rilievo del Capitolo sesto, che rende questa conclusione ancora più cauta: presso quelle sedi potrebbe non esservi nulla da trovare, non per occultamento ma perché l'atto non era tipizzato.</w:t>
      </w:r>
    </w:p>
    <w:p>
      <w:pPr>
        <w:spacing w:after="120" w:line="276"/>
        <w:jc w:val="both"/>
      </w:pPr>
      <w:r>
        <w:rPr>
          <w:rFonts w:ascii="Barlow Semi Condensed" w:cs="Barlow Semi Condensed" w:eastAsia="Barlow Semi Condensed" w:hAnsi="Barlow Semi Condensed"/>
          <w:b/>
          <w:bCs/>
          <w:sz w:val="24"/>
          <w:szCs w:val="24"/>
        </w:rPr>
        <w:t xml:space="preserve">Ne discende che questo è, allo stato, il perimetro in cui la distinzione fra assenza di azione, inaccessibilità dell'archivio e atipicità dell'atto è la più difficile da sciogliere di tutta la serie.</w:t>
      </w:r>
    </w:p>
    <w:p>
      <w:pPr>
        <w:pStyle w:val="Heading2"/>
        <w:spacing w:after="100" w:before="200"/>
      </w:pPr>
      <w:r>
        <w:rPr>
          <w:rFonts w:ascii="Barlow Semi Condensed" w:cs="Barlow Semi Condensed" w:eastAsia="Barlow Semi Condensed" w:hAnsi="Barlow Semi Condensed"/>
          <w:sz w:val="24"/>
          <w:szCs w:val="24"/>
        </w:rPr>
        <w:t xml:space="preserve">Capitolo nono — Gli interessi economici e il confronto con lo schema libico</w:t>
      </w:r>
    </w:p>
    <w:p>
      <w:pPr>
        <w:spacing w:after="120" w:line="276"/>
        <w:jc w:val="both"/>
      </w:pPr>
      <w:r>
        <w:rPr>
          <w:rFonts w:ascii="Barlow Semi Condensed" w:cs="Barlow Semi Condensed" w:eastAsia="Barlow Semi Condensed" w:hAnsi="Barlow Semi Condensed"/>
          <w:b/>
          <w:bCs/>
          <w:sz w:val="24"/>
          <w:szCs w:val="24"/>
        </w:rPr>
        <w:t xml:space="preserve">Il capitolo verifica se lo schema accertato per la Libia si applichi, e risponde di no in forma documentata e di forse in forma strutturale.</w:t>
      </w:r>
    </w:p>
    <w:p>
      <w:pPr>
        <w:spacing w:after="120" w:line="276"/>
        <w:jc w:val="both"/>
      </w:pPr>
      <w:r>
        <w:rPr>
          <w:rFonts w:ascii="Barlow Semi Condensed" w:cs="Barlow Semi Condensed" w:eastAsia="Barlow Semi Condensed" w:hAnsi="Barlow Semi Condensed"/>
          <w:b/>
          <w:bCs/>
          <w:sz w:val="24"/>
          <w:szCs w:val="24"/>
        </w:rPr>
        <w:t xml:space="preserve">Lo schema libico, per come la quattordicesima ricognizione lo ha accertato. In Libia la tutela della posizione dell'ENI condizionò la rinuncia dell'Italia alle ritorsioni dopo la confisca dei beni di ventimila cittadini italiani.</w:t>
      </w:r>
    </w:p>
    <w:p>
      <w:pPr>
        <w:spacing w:after="120" w:line="276"/>
        <w:jc w:val="both"/>
      </w:pPr>
      <w:r>
        <w:rPr>
          <w:rFonts w:ascii="Barlow Semi Condensed" w:cs="Barlow Semi Condensed" w:eastAsia="Barlow Semi Condensed" w:hAnsi="Barlow Semi Condensed"/>
          <w:b/>
          <w:bCs/>
          <w:sz w:val="24"/>
          <w:szCs w:val="24"/>
        </w:rPr>
        <w:t xml:space="preserve">La verifica sul caso sudafricano dà esito diverso, e va enunciato senza forzature.</w:t>
      </w:r>
    </w:p>
    <w:p>
      <w:pPr>
        <w:spacing w:after="120" w:line="276"/>
        <w:jc w:val="both"/>
      </w:pPr>
      <w:r>
        <w:rPr>
          <w:rFonts w:ascii="Barlow Semi Condensed" w:cs="Barlow Semi Condensed" w:eastAsia="Barlow Semi Condensed" w:hAnsi="Barlow Semi Condensed"/>
          <w:b/>
          <w:bCs/>
          <w:sz w:val="24"/>
          <w:szCs w:val="24"/>
        </w:rPr>
        <w:t xml:space="preserve">Sul piano strutturale, il Sudafrica era per l'Italia fornitore di materie prime e mercato di sbocco. Le fonti attestano che il carbone italiano è in larga parte importato e che il Sudafrica figura fra i principali Paesi di origine; e che il Sudafrica è grande produttore mondiale di oro, platino, cromo e manganese, di cui l'Italia è importatrice.</w:t>
      </w:r>
    </w:p>
    <w:p>
      <w:pPr>
        <w:spacing w:after="120" w:line="276"/>
        <w:jc w:val="both"/>
      </w:pPr>
      <w:r>
        <w:rPr>
          <w:rFonts w:ascii="Barlow Semi Condensed" w:cs="Barlow Semi Condensed" w:eastAsia="Barlow Semi Condensed" w:hAnsi="Barlow Semi Condensed"/>
          <w:b/>
          <w:bCs/>
          <w:sz w:val="24"/>
          <w:szCs w:val="24"/>
        </w:rPr>
        <w:t xml:space="preserve">Ma non è stato reperito un accordo commerciale bilaterale specifico del periodo, né traccia di un ruolo dell'ENI in Sudafrica paragonabile a quello libico.\\ Le fonti sul ruolo africano dell'ENI lo collocano in \\Angola, Congo e Nigeria.</w:t>
      </w:r>
    </w:p>
    <w:p>
      <w:pPr>
        <w:spacing w:after="120" w:line="276"/>
        <w:jc w:val="both"/>
      </w:pPr>
      <w:r>
        <w:rPr>
          <w:rFonts w:ascii="Barlow Semi Condensed" w:cs="Barlow Semi Condensed" w:eastAsia="Barlow Semi Condensed" w:hAnsi="Barlow Semi Condensed"/>
          <w:b/>
          <w:bCs/>
          <w:sz w:val="24"/>
          <w:szCs w:val="24"/>
        </w:rPr>
        <w:t xml:space="preserve">E vi è una ragione strutturale che spiega l'assenza: il Sudafrica non era Paese produttore di idrocarburi ma, al contrario, cronicamente dipendente dalle importazioni di greggio, e perciò bersaglio degli embarghi petroliferi anziché posta petrolifera.</w:t>
      </w:r>
    </w:p>
    <w:p>
      <w:pPr>
        <w:spacing w:after="120" w:line="276"/>
        <w:jc w:val="both"/>
      </w:pPr>
      <w:r>
        <w:rPr>
          <w:rFonts w:ascii="Barlow Semi Condensed" w:cs="Barlow Semi Condensed" w:eastAsia="Barlow Semi Condensed" w:hAnsi="Barlow Semi Condensed"/>
          <w:b/>
          <w:bCs/>
          <w:sz w:val="24"/>
          <w:szCs w:val="24"/>
        </w:rPr>
        <w:t xml:space="preserve">Ne discende che lo schema libico non trova nel caso sudafricano una conferma documentale diretta: non vi era un interesse italiano di approvvigionamento di consistenza comparabile.</w:t>
      </w:r>
    </w:p>
    <w:p>
      <w:pPr>
        <w:spacing w:after="120" w:line="276"/>
        <w:jc w:val="both"/>
      </w:pPr>
      <w:r>
        <w:rPr>
          <w:rFonts w:ascii="Barlow Semi Condensed" w:cs="Barlow Semi Condensed" w:eastAsia="Barlow Semi Condensed" w:hAnsi="Barlow Semi Condensed"/>
          <w:b/>
          <w:bCs/>
          <w:sz w:val="24"/>
          <w:szCs w:val="24"/>
        </w:rPr>
        <w:t xml:space="preserve">Ma vi è un interesse di natura diversa, e va nominato.</w:t>
      </w:r>
    </w:p>
    <w:p>
      <w:pPr>
        <w:spacing w:after="120" w:line="276"/>
        <w:jc w:val="both"/>
      </w:pPr>
      <w:r>
        <w:rPr>
          <w:rFonts w:ascii="Barlow Semi Condensed" w:cs="Barlow Semi Condensed" w:eastAsia="Barlow Semi Condensed" w:hAnsi="Barlow Semi Condensed"/>
          <w:b/>
          <w:bCs/>
          <w:sz w:val="24"/>
          <w:szCs w:val="24"/>
        </w:rPr>
        <w:t xml:space="preserve">L'interesse economico più tangibile e specificamente riconducibile alla condotta in esame non è di approvvigionamento bensì industriale ed esportativo: quello dell'Aermacchi e dell'indotto aeronautico alla prosecuzione di un programma di licenza redditizio.</w:t>
      </w:r>
    </w:p>
    <w:p>
      <w:pPr>
        <w:spacing w:after="120" w:line="276"/>
        <w:jc w:val="both"/>
      </w:pPr>
      <w:r>
        <w:rPr>
          <w:rFonts w:ascii="Barlow Semi Condensed" w:cs="Barlow Semi Condensed" w:eastAsia="Barlow Semi Condensed" w:hAnsi="Barlow Semi Condensed"/>
          <w:b/>
          <w:bCs/>
          <w:sz w:val="24"/>
          <w:szCs w:val="24"/>
        </w:rPr>
        <w:t xml:space="preserve">Le fonti aeronautiche descrivono l'esportazione come il fondamento della redditività del programma MB-326, con quota rilevantissima del fatturato proveniente dalle vendite estere negli anni di picco. Ma questo dato proviene da pubblicistica settoriale e in parte da fonte esclusa dal committente, e va verificato su bilanci aziendali.</w:t>
      </w:r>
    </w:p>
    <w:p>
      <w:pPr>
        <w:spacing w:after="120" w:line="276"/>
        <w:jc w:val="both"/>
      </w:pPr>
      <w:r>
        <w:rPr>
          <w:rFonts w:ascii="Barlow Semi Condensed" w:cs="Barlow Semi Condensed" w:eastAsia="Barlow Semi Condensed" w:hAnsi="Barlow Semi Condensed"/>
          <w:b/>
          <w:bCs/>
          <w:sz w:val="24"/>
          <w:szCs w:val="24"/>
        </w:rPr>
        <w:t xml:space="preserve">La conclusione va formulata con precisione.\\ \\Affermare che tale interesse abbia condizionato la condotta governativa sarebbe, allo stato, inferenza non sorretta da documento, e la ricognizione si astiene dal formularla come accertata.</w:t>
      </w:r>
    </w:p>
    <w:p>
      <w:pPr>
        <w:spacing w:after="120" w:line="276"/>
        <w:jc w:val="both"/>
      </w:pPr>
      <w:r>
        <w:rPr>
          <w:rFonts w:ascii="Barlow Semi Condensed" w:cs="Barlow Semi Condensed" w:eastAsia="Barlow Semi Condensed" w:hAnsi="Barlow Semi Condensed"/>
          <w:b/>
          <w:bCs/>
          <w:sz w:val="24"/>
          <w:szCs w:val="24"/>
        </w:rPr>
        <w:t xml:space="preserve">Lo schema libico trova dunque nel caso sudafricano un'analogia di struttura — l'interesse di un'impresa a partecipazione pubblica come sfondo della prudenza governativa — e non un'identità confermata.</w:t>
      </w:r>
    </w:p>
    <w:p>
      <w:pPr>
        <w:spacing w:after="120" w:line="276"/>
        <w:jc w:val="both"/>
      </w:pPr>
      <w:r>
        <w:rPr>
          <w:rFonts w:ascii="Barlow Semi Condensed" w:cs="Barlow Semi Condensed" w:eastAsia="Barlow Semi Condensed" w:hAnsi="Barlow Semi Condensed"/>
          <w:b/>
          <w:bCs/>
          <w:sz w:val="24"/>
          <w:szCs w:val="24"/>
        </w:rPr>
        <w:t xml:space="preserve">L'analogia si consegna come ipotesi di lavoro, con l'onere della prova rinviato agli archivi dell'IRI, di Finmeccanica e dei ministeri economici.</w:t>
      </w:r>
    </w:p>
    <w:p>
      <w:pPr>
        <w:pStyle w:val="Heading2"/>
        <w:spacing w:after="100" w:before="200"/>
      </w:pPr>
      <w:r>
        <w:rPr>
          <w:rFonts w:ascii="Barlow Semi Condensed" w:cs="Barlow Semi Condensed" w:eastAsia="Barlow Semi Condensed" w:hAnsi="Barlow Semi Condensed"/>
          <w:sz w:val="24"/>
          <w:szCs w:val="24"/>
        </w:rPr>
        <w:t xml:space="preserve">Capitolo decimo — La comunità italiana e il limite dell'inferenza</w:t>
      </w:r>
    </w:p>
    <w:p>
      <w:pPr>
        <w:spacing w:after="120" w:line="276"/>
        <w:jc w:val="both"/>
      </w:pPr>
      <w:r>
        <w:rPr>
          <w:rFonts w:ascii="Barlow Semi Condensed" w:cs="Barlow Semi Condensed" w:eastAsia="Barlow Semi Condensed" w:hAnsi="Barlow Semi Condensed"/>
          <w:b/>
          <w:bCs/>
          <w:sz w:val="24"/>
          <w:szCs w:val="24"/>
        </w:rPr>
        <w:t xml:space="preserve">Il capitolo espone un fatto ben documentato e si vieta di trarne la conclusione che sarebbe facile.</w:t>
      </w:r>
    </w:p>
    <w:p>
      <w:pPr>
        <w:spacing w:after="120" w:line="276"/>
        <w:jc w:val="both"/>
      </w:pPr>
      <w:r>
        <w:rPr>
          <w:rFonts w:ascii="Barlow Semi Condensed" w:cs="Barlow Semi Condensed" w:eastAsia="Barlow Semi Condensed" w:hAnsi="Barlow Semi Condensed"/>
          <w:b/>
          <w:bCs/>
          <w:sz w:val="24"/>
          <w:szCs w:val="24"/>
        </w:rPr>
        <w:t xml:space="preserve">L'origine, che è di guerra. Il Sudafrica, per la collocazione lontana dai fronti e la disponibilità di spazio, divenne uno dei principali luoghi di detenzione dei prigionieri italiani catturati nelle campagne dell'Africa orientale e settentrionale, concentrati in gran parte nel campo di Zonderwater presso Cullinan.</w:t>
      </w:r>
    </w:p>
    <w:p>
      <w:pPr>
        <w:spacing w:after="120" w:line="276"/>
        <w:jc w:val="both"/>
      </w:pPr>
      <w:r>
        <w:rPr>
          <w:rFonts w:ascii="Barlow Semi Condensed" w:cs="Barlow Semi Condensed" w:eastAsia="Barlow Semi Condensed" w:hAnsi="Barlow Semi Condensed"/>
          <w:b/>
          <w:bCs/>
          <w:sz w:val="24"/>
          <w:szCs w:val="24"/>
        </w:rPr>
        <w:t xml:space="preserve">La crescita è documentata dal Consolato Generale d'Italia a Johannesburg\\: \\cinquantaquattromila\\ prigionieri nell'aprile 1942, \\sessantatremila\\ nel 1943, fino a un totale di \\novantamila.</w:t>
      </w:r>
    </w:p>
    <w:p>
      <w:pPr>
        <w:spacing w:after="120" w:line="276"/>
        <w:jc w:val="both"/>
      </w:pPr>
      <w:r>
        <w:rPr>
          <w:rFonts w:ascii="Barlow Semi Condensed" w:cs="Barlow Semi Condensed" w:eastAsia="Barlow Semi Condensed" w:hAnsi="Barlow Semi Condensed"/>
          <w:b/>
          <w:bCs/>
          <w:sz w:val="24"/>
          <w:szCs w:val="24"/>
        </w:rPr>
        <w:t xml:space="preserve">È la più grande rilocazione di italiani nel continente africano.</w:t>
      </w:r>
    </w:p>
    <w:p>
      <w:pPr>
        <w:spacing w:after="120" w:line="276"/>
        <w:jc w:val="both"/>
      </w:pPr>
      <w:r>
        <w:rPr>
          <w:rFonts w:ascii="Barlow Semi Condensed" w:cs="Barlow Semi Condensed" w:eastAsia="Barlow Semi Condensed" w:hAnsi="Barlow Semi Condensed"/>
          <w:b/>
          <w:bCs/>
          <w:sz w:val="24"/>
          <w:szCs w:val="24"/>
        </w:rPr>
        <w:t xml:space="preserve">Il cimitero militare italiano di Zonderwater onora i trecentododici prigionieri morti in prigionia.</w:t>
      </w:r>
    </w:p>
    <w:p>
      <w:pPr>
        <w:spacing w:after="120" w:line="276"/>
        <w:jc w:val="both"/>
      </w:pPr>
      <w:r>
        <w:rPr>
          <w:rFonts w:ascii="Barlow Semi Condensed" w:cs="Barlow Semi Condensed" w:eastAsia="Barlow Semi Condensed" w:hAnsi="Barlow Semi Condensed"/>
          <w:b/>
          <w:bCs/>
          <w:sz w:val="24"/>
          <w:szCs w:val="24"/>
        </w:rPr>
        <w:t xml:space="preserve">Il nesso con la comunità del dopoguerra, documentato dalla medesima fonte consolare. A partire dagli anni Cinquanta gli stessi ex prigionieri rimpatriati aprirono la via a un flusso migratorio: entro pochi anni circa ventimila ex prigionieri tornarono in Sudafrica, e una parte importante della comunità italiana — circa quarantamila — è tuttora costituita da discendenti di quel gruppo.</w:t>
      </w:r>
    </w:p>
    <w:p>
      <w:pPr>
        <w:spacing w:after="120" w:line="276"/>
        <w:jc w:val="both"/>
      </w:pPr>
      <w:r>
        <w:rPr>
          <w:rFonts w:ascii="Barlow Semi Condensed" w:cs="Barlow Semi Condensed" w:eastAsia="Barlow Semi Condensed" w:hAnsi="Barlow Semi Condensed"/>
          <w:b/>
          <w:bCs/>
          <w:sz w:val="24"/>
          <w:szCs w:val="24"/>
        </w:rPr>
        <w:t xml:space="preserve">Le stime complessive. Metà degli anni Novanta: circa centoventimila fra italiani e discendenti, equamente ripartiti fra nati in Italia e discendenti. Dati consolari del 2022: circa trentacinquemila iscritti ai servizi consolari, cifra che esclude i discendenti non iscritti.</w:t>
      </w:r>
    </w:p>
    <w:p>
      <w:pPr>
        <w:spacing w:after="120" w:line="276"/>
        <w:jc w:val="both"/>
      </w:pPr>
      <w:r>
        <w:rPr>
          <w:rFonts w:ascii="Barlow Semi Condensed" w:cs="Barlow Semi Condensed" w:eastAsia="Barlow Semi Condensed" w:hAnsi="Barlow Semi Condensed"/>
          <w:b/>
          <w:bCs/>
          <w:sz w:val="24"/>
          <w:szCs w:val="24"/>
        </w:rPr>
        <w:t xml:space="preserve">E adesso il dato che tocca la questione del peso politico, e che va trattato con la disciplina che la serie impone.</w:t>
      </w:r>
    </w:p>
    <w:p>
      <w:pPr>
        <w:spacing w:after="120" w:line="276"/>
        <w:jc w:val="both"/>
      </w:pPr>
      <w:r>
        <w:rPr>
          <w:rFonts w:ascii="Barlow Semi Condensed" w:cs="Barlow Semi Condensed" w:eastAsia="Barlow Semi Condensed" w:hAnsi="Barlow Semi Condensed"/>
          <w:b/>
          <w:bCs/>
          <w:sz w:val="24"/>
          <w:szCs w:val="24"/>
        </w:rPr>
        <w:t xml:space="preserve">La storiografia riferisce, sulla scorta dello storico italo-sudafricano Gabriele Sani, che la figura riconosciuta come leader naturale della comunità italiana, tale Mottalini, fu per un quarantennio l'artefice dei rapporti fra l'associazione degli ex prigionieri e il governo sudafricano, ed era considerato amico personale sia da Balthazar Johannes Vorster sia da Pieter Willem Botha, entrambi primi ministri e presidenti.</w:t>
      </w:r>
    </w:p>
    <w:p>
      <w:pPr>
        <w:spacing w:after="120" w:line="276"/>
        <w:jc w:val="both"/>
      </w:pPr>
      <w:r>
        <w:rPr>
          <w:rFonts w:ascii="Barlow Semi Condensed" w:cs="Barlow Semi Condensed" w:eastAsia="Barlow Semi Condensed" w:hAnsi="Barlow Semi Condensed"/>
          <w:b/>
          <w:bCs/>
          <w:sz w:val="24"/>
          <w:szCs w:val="24"/>
        </w:rPr>
        <w:t xml:space="preserve">Il fatto è documentato. E qui si applica il divieto di trattare la relazione come prova di una condotta.</w:t>
      </w:r>
    </w:p>
    <w:p>
      <w:pPr>
        <w:spacing w:after="120" w:line="276"/>
        <w:jc w:val="both"/>
      </w:pPr>
      <w:r>
        <w:rPr>
          <w:rFonts w:ascii="Barlow Semi Condensed" w:cs="Barlow Semi Condensed" w:eastAsia="Barlow Semi Condensed" w:hAnsi="Barlow Semi Condensed"/>
          <w:b/>
          <w:bCs/>
          <w:sz w:val="24"/>
          <w:szCs w:val="24"/>
        </w:rPr>
        <w:t xml:space="preserve">Che esistessero rapporti cordiali fra un leader comunitario e i vertici del regime non prova che la comunità italiana abbia costituito un fattore attivo della politica italiana verso Pretoria, né che abbia influenzato le decisioni del governo di Roma.</w:t>
      </w:r>
    </w:p>
    <w:p>
      <w:pPr>
        <w:spacing w:after="120" w:line="276"/>
        <w:jc w:val="both"/>
      </w:pPr>
      <w:r>
        <w:rPr>
          <w:rFonts w:ascii="Barlow Semi Condensed" w:cs="Barlow Semi Condensed" w:eastAsia="Barlow Semi Condensed" w:hAnsi="Barlow Semi Condensed"/>
          <w:b/>
          <w:bCs/>
          <w:sz w:val="24"/>
          <w:szCs w:val="24"/>
        </w:rPr>
        <w:t xml:space="preserve">La ricognizione può affermare che la comunità esisteva, era numerosa, era integrata e disponeva di canali di relazione con il regime. Non può affermare che abbia condizionato la condotta governativa italiana.</w:t>
      </w:r>
    </w:p>
    <w:p>
      <w:pPr>
        <w:spacing w:after="120" w:line="276"/>
        <w:jc w:val="both"/>
      </w:pPr>
      <w:r>
        <w:rPr>
          <w:rFonts w:ascii="Barlow Semi Condensed" w:cs="Barlow Semi Condensed" w:eastAsia="Barlow Semi Condensed" w:hAnsi="Barlow Semi Condensed"/>
          <w:b/>
          <w:bCs/>
          <w:sz w:val="24"/>
          <w:szCs w:val="24"/>
        </w:rPr>
        <w:t xml:space="preserve">La sede per verificare tale ipotesi è la documentazione consolare e diplomatica e gli studi sull'emigrazione italiana.</w:t>
      </w:r>
    </w:p>
    <w:p>
      <w:pPr>
        <w:pStyle w:val="Heading2"/>
        <w:spacing w:after="100" w:before="200"/>
      </w:pPr>
      <w:r>
        <w:rPr>
          <w:rFonts w:ascii="Barlow Semi Condensed" w:cs="Barlow Semi Condensed" w:eastAsia="Barlow Semi Condensed" w:hAnsi="Barlow Semi Condensed"/>
          <w:sz w:val="24"/>
          <w:szCs w:val="24"/>
        </w:rPr>
        <w:t xml:space="preserve">Capitolo undicesimo — Il confronto controllato con la Repubblica Federale e la Baviera</w:t>
      </w:r>
    </w:p>
    <w:p>
      <w:pPr>
        <w:spacing w:after="120" w:line="276"/>
        <w:jc w:val="both"/>
      </w:pPr>
      <w:r>
        <w:rPr>
          <w:rFonts w:ascii="Barlow Semi Condensed" w:cs="Barlow Semi Condensed" w:eastAsia="Barlow Semi Condensed" w:hAnsi="Barlow Semi Condensed"/>
          <w:b/>
          <w:bCs/>
          <w:sz w:val="24"/>
          <w:szCs w:val="24"/>
        </w:rPr>
        <w:t xml:space="preserve">Il capitolo è secondario per indicazione del committente e più breve per una seconda ragione, cronologica, che va enunciata subito.</w:t>
      </w:r>
    </w:p>
    <w:p>
      <w:pPr>
        <w:spacing w:after="120" w:line="276"/>
        <w:jc w:val="both"/>
      </w:pPr>
      <w:r>
        <w:rPr>
          <w:rFonts w:ascii="Barlow Semi Condensed" w:cs="Barlow Semi Condensed" w:eastAsia="Barlow Semi Condensed" w:hAnsi="Barlow Semi Condensed"/>
          <w:b/>
          <w:bCs/>
          <w:sz w:val="24"/>
          <w:szCs w:val="24"/>
        </w:rPr>
        <w:t xml:space="preserve">L'impossibilità della triangolazione a tre termini.\\ \\Aldo Moro morì nel 1978.\\ \\Pieter Willem Botha divenne primo ministro nel 1978\\, e la vicenda dei sommergibili e dei rapporti con Franz Josef Strauß si colloca \\negli anni Ottanta.</w:t>
      </w:r>
    </w:p>
    <w:p>
      <w:pPr>
        <w:spacing w:after="120" w:line="276"/>
        <w:jc w:val="both"/>
      </w:pPr>
      <w:r>
        <w:rPr>
          <w:rFonts w:ascii="Barlow Semi Condensed" w:cs="Barlow Semi Condensed" w:eastAsia="Barlow Semi Condensed" w:hAnsi="Barlow Semi Condensed"/>
          <w:b/>
          <w:bCs/>
          <w:sz w:val="24"/>
          <w:szCs w:val="24"/>
        </w:rPr>
        <w:t xml:space="preserve">Ne discende che ogni triangolazione fra Moro, la Baviera e il Sudafrica nella fase Botha è cronologicamente impossibile. Se ne prende atto e lo si dichiara.</w:t>
      </w:r>
    </w:p>
    <w:p>
      <w:pPr>
        <w:spacing w:after="120" w:line="276"/>
        <w:jc w:val="both"/>
      </w:pPr>
      <w:r>
        <w:rPr>
          <w:rFonts w:ascii="Barlow Semi Condensed" w:cs="Barlow Semi Condensed" w:eastAsia="Barlow Semi Condensed" w:hAnsi="Barlow Semi Condensed"/>
          <w:b/>
          <w:bCs/>
          <w:sz w:val="24"/>
          <w:szCs w:val="24"/>
        </w:rPr>
        <w:t xml:space="preserve">Il confronto può dunque essere soltanto termine di paragone strutturale, e come tale si conduce.</w:t>
      </w:r>
    </w:p>
    <w:p>
      <w:pPr>
        <w:spacing w:after="120" w:line="276"/>
        <w:jc w:val="both"/>
      </w:pPr>
      <w:r>
        <w:rPr>
          <w:rFonts w:ascii="Barlow Semi Condensed" w:cs="Barlow Semi Condensed" w:eastAsia="Barlow Semi Condensed" w:hAnsi="Barlow Semi Condensed"/>
          <w:b/>
          <w:bCs/>
          <w:sz w:val="24"/>
          <w:szCs w:val="24"/>
        </w:rPr>
        <w:t xml:space="preserve">La cooperazione nucleare, distinguendo il documentato dall'allegato.</w:t>
      </w:r>
    </w:p>
    <w:p>
      <w:pPr>
        <w:spacing w:after="120" w:line="276"/>
        <w:jc w:val="both"/>
      </w:pPr>
      <w:r>
        <w:rPr>
          <w:rFonts w:ascii="Barlow Semi Condensed" w:cs="Barlow Semi Condensed" w:eastAsia="Barlow Semi Condensed" w:hAnsi="Barlow Semi Condensed"/>
          <w:b/>
          <w:bCs/>
          <w:sz w:val="24"/>
          <w:szCs w:val="24"/>
        </w:rPr>
        <w:t xml:space="preserve">È documentato che il Sudafrica sviluppò negli anni Settanta una capacità di arricchimento dell'uranio basata sul processo Helikon di separazione a vortice, derivato dal metodo a getto ideato dal professore tedesco Erwin Willy Becker, con cui scienziati sudafricani cooperavano dal 1974; ed è documentato che una società tedesca, la STEAG, fu coinvolta in colloqui sull'arricchimento prima che il Sudafrica sviluppasse la propria tecnologia.</w:t>
      </w:r>
    </w:p>
    <w:p>
      <w:pPr>
        <w:spacing w:after="120" w:line="276"/>
        <w:jc w:val="both"/>
      </w:pPr>
      <w:r>
        <w:rPr>
          <w:rFonts w:ascii="Barlow Semi Condensed" w:cs="Barlow Semi Condensed" w:eastAsia="Barlow Semi Condensed" w:hAnsi="Barlow Semi Condensed"/>
          <w:b/>
          <w:bCs/>
          <w:sz w:val="24"/>
          <w:szCs w:val="24"/>
        </w:rPr>
        <w:t xml:space="preserve">È invece allegazione, e non fatto giudizialmente accertato, l'esistenza di una cooperazione nucleare militare governativa fra Bonn e Pretoria. Il 19 agosto 1977 l'alto funzionario del ministero degli Esteri tedesco van Well dichiarò che non vi era cooperazione nucleare tedesco-sudafricana, pur ammettendo l'acquisto di uranio e il coinvolgimento della STEAG nei colloqui.</w:t>
      </w:r>
    </w:p>
    <w:p>
      <w:pPr>
        <w:spacing w:after="120" w:line="276"/>
        <w:jc w:val="both"/>
      </w:pPr>
      <w:r>
        <w:rPr>
          <w:rFonts w:ascii="Barlow Semi Condensed" w:cs="Barlow Semi Condensed" w:eastAsia="Barlow Semi Condensed" w:hAnsi="Barlow Semi Condensed"/>
          <w:b/>
          <w:bCs/>
          <w:sz w:val="24"/>
          <w:szCs w:val="24"/>
        </w:rPr>
        <w:t xml:space="preserve">L'African National Congress pubblicò a Bonn nel 1975 e nel 1977 due dossier\\ — \The Nuclear Conspiracy\ e \Conspiracy to Arm Apartheid Continues\ — \\che sono fonte militante di parte e vanno qualificati come tali.</w:t>
      </w:r>
    </w:p>
    <w:p>
      <w:pPr>
        <w:spacing w:after="120" w:line="276"/>
        <w:jc w:val="both"/>
      </w:pPr>
      <w:r>
        <w:rPr>
          <w:rFonts w:ascii="Barlow Semi Condensed" w:cs="Barlow Semi Condensed" w:eastAsia="Barlow Semi Condensed" w:hAnsi="Barlow Semi Condensed"/>
          <w:b/>
          <w:bCs/>
          <w:sz w:val="24"/>
          <w:szCs w:val="24"/>
        </w:rPr>
        <w:t xml:space="preserve">Il crinale su cui la storiografia recente basata su archivi colloca la questione — si veda lo studio di Robin Möser in Cold War History del 2024 — è la distinzione fra lo studio di fattibilità congiunto, che le controparti ammisero, e la condivisione di tecnologia sensibile per fini militari, che negarono.</w:t>
      </w:r>
    </w:p>
    <w:p>
      <w:pPr>
        <w:spacing w:after="120" w:line="276"/>
        <w:jc w:val="both"/>
      </w:pPr>
      <w:r>
        <w:rPr>
          <w:rFonts w:ascii="Barlow Semi Condensed" w:cs="Barlow Semi Condensed" w:eastAsia="Barlow Semi Condensed" w:hAnsi="Barlow Semi Condensed"/>
          <w:b/>
          <w:bCs/>
          <w:sz w:val="24"/>
          <w:szCs w:val="24"/>
        </w:rPr>
        <w:t xml:space="preserve">La Hanns-Seidel-Stiftung, con le date. La fondazione vicina alla Christlich-Soziale Union operò in Namibia a partire dal 1978, con ufficio a Windhoek, e iniziò a operare direttamente in Sudafrica nel 1991, a Johannesburg e poi a Città del Capo, dichiaratamente per sostenere la transizione verso una società democratica e non razziale.</w:t>
      </w:r>
    </w:p>
    <w:p>
      <w:pPr>
        <w:spacing w:after="120" w:line="276"/>
        <w:jc w:val="both"/>
      </w:pPr>
      <w:r>
        <w:rPr>
          <w:rFonts w:ascii="Barlow Semi Condensed" w:cs="Barlow Semi Condensed" w:eastAsia="Barlow Semi Condensed" w:hAnsi="Barlow Semi Condensed"/>
          <w:b/>
          <w:bCs/>
          <w:sz w:val="24"/>
          <w:szCs w:val="24"/>
        </w:rPr>
        <w:t xml:space="preserve">Il dato del 1978 per la Namibia va notato perché è anteriore all'indipendenza del 1990 e colloca la presenza in territorio ancora amministrato dal Sudafrica. Le fonti reperite descrivono l'attività in termini di sostegno allo sviluppo democratico; il contenuto puntuale delle attività degli anni Settanta e Ottanta non è stato accertato e va verificato presso l'archivio della fondazione.</w:t>
      </w:r>
    </w:p>
    <w:p>
      <w:pPr>
        <w:spacing w:after="120" w:line="276"/>
        <w:jc w:val="both"/>
      </w:pPr>
      <w:r>
        <w:rPr>
          <w:rFonts w:ascii="Barlow Semi Condensed" w:cs="Barlow Semi Condensed" w:eastAsia="Barlow Semi Condensed" w:hAnsi="Barlow Semi Condensed"/>
          <w:b/>
          <w:bCs/>
          <w:sz w:val="24"/>
          <w:szCs w:val="24"/>
        </w:rPr>
        <w:t xml:space="preserve">Sulla posizione della Christlich-Soziale Union in materia di sanzioni negli anni Ottanta si dichiara esito sostanzialmente negativo di reperimento puntuale: è noto in via generale l'orientamento critico verso le sanzioni, ma la ricostruzione documentale delle posizioni ufficiali richiederebbe gli atti del Bundestag e gli archivi del partito.</w:t>
      </w:r>
    </w:p>
    <w:p>
      <w:pPr>
        <w:spacing w:after="120" w:line="276"/>
        <w:jc w:val="both"/>
      </w:pPr>
      <w:r>
        <w:rPr>
          <w:rFonts w:ascii="Barlow Semi Condensed" w:cs="Barlow Semi Condensed" w:eastAsia="Barlow Semi Condensed" w:hAnsi="Barlow Semi Condensed"/>
          <w:b/>
          <w:bCs/>
          <w:sz w:val="24"/>
          <w:szCs w:val="24"/>
        </w:rPr>
        <w:t xml:space="preserve">E si ribadisce la cautela già stabilita dall'undicesima ricognizione sulla vicenda dei sommergibili del 1984-1986: le fonti stesse qualificano come voci le allegazioni sulle provvigioni, e la ricognizione non le eleva a fatto.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il nono grado</w:t>
      </w:r>
    </w:p>
    <w:p>
      <w:pPr>
        <w:spacing w:after="120" w:line="276"/>
        <w:jc w:val="both"/>
      </w:pPr>
      <w:r>
        <w:rPr>
          <w:rFonts w:ascii="Barlow Semi Condensed" w:cs="Barlow Semi Condensed" w:eastAsia="Barlow Semi Condensed" w:hAnsi="Barlow Semi Condensed"/>
          <w:b/>
          <w:bCs/>
          <w:sz w:val="24"/>
          <w:szCs w:val="24"/>
        </w:rPr>
        <w:t xml:space="preserve">Primo punto su cui la ricognizione deve pronunciarsi: se la condotta italiana verso il Sudafrica nel periodo Moro sia documentata, non documentata, o documentata soltanto presso apparati diversi dalla Farnesina.</w:t>
      </w:r>
    </w:p>
    <w:p>
      <w:pPr>
        <w:spacing w:after="120" w:line="276"/>
        <w:jc w:val="both"/>
      </w:pPr>
      <w:r>
        <w:rPr>
          <w:rFonts w:ascii="Barlow Semi Condensed" w:cs="Barlow Semi Condensed" w:eastAsia="Barlow Semi Condensed" w:hAnsi="Barlow Semi Condensed"/>
          <w:b/>
          <w:bCs/>
          <w:sz w:val="24"/>
          <w:szCs w:val="24"/>
        </w:rPr>
        <w:t xml:space="preserve">La risposta è la terza, con una precisazione che la modifica sostanzialmente.</w:t>
      </w:r>
    </w:p>
    <w:p>
      <w:pPr>
        <w:spacing w:after="120" w:line="276"/>
        <w:jc w:val="both"/>
      </w:pPr>
      <w:r>
        <w:rPr>
          <w:rFonts w:ascii="Barlow Semi Condensed" w:cs="Barlow Semi Condensed" w:eastAsia="Barlow Semi Condensed" w:hAnsi="Barlow Semi Condensed"/>
          <w:b/>
          <w:bCs/>
          <w:sz w:val="24"/>
          <w:szCs w:val="24"/>
        </w:rPr>
        <w:t xml:space="preserve">Ciò che è documentato: la presenza industriale — licenza 1964, produzione dal 1966, canale del motore attraverso la sub-licenza Piaggio, impiego operativo. E la condotta politica multilaterale, da fonte primaria: contro la sospensione procedurale e a favore della condanna sostanziale, il medesimo giorno del 30 settembre 1974.</w:t>
      </w:r>
    </w:p>
    <w:p>
      <w:pPr>
        <w:spacing w:after="120" w:line="276"/>
        <w:jc w:val="both"/>
      </w:pPr>
      <w:r>
        <w:rPr>
          <w:rFonts w:ascii="Barlow Semi Condensed" w:cs="Barlow Semi Condensed" w:eastAsia="Barlow Semi Condensed" w:hAnsi="Barlow Semi Condensed"/>
          <w:b/>
          <w:bCs/>
          <w:sz w:val="24"/>
          <w:szCs w:val="24"/>
        </w:rPr>
        <w:t xml:space="preserve">Ciò che non è documentato: l'atto specifico di governo relativo alla licenza.</w:t>
      </w:r>
    </w:p>
    <w:p>
      <w:pPr>
        <w:spacing w:after="120" w:line="276"/>
        <w:jc w:val="both"/>
      </w:pPr>
      <w:r>
        <w:rPr>
          <w:rFonts w:ascii="Barlow Semi Condensed" w:cs="Barlow Semi Condensed" w:eastAsia="Barlow Semi Condensed" w:hAnsi="Barlow Semi Condensed"/>
          <w:b/>
          <w:bCs/>
          <w:sz w:val="24"/>
          <w:szCs w:val="24"/>
        </w:rPr>
        <w:t xml:space="preserve">E qui la precisazione decisiva, che è il lascito del documento.\\ \\Quell'atto non è documentato non perché sia stato occultato, ma perché nel regime giuridico del tempo esso non esisteva come atto tipico.</w:t>
      </w:r>
    </w:p>
    <w:p>
      <w:pPr>
        <w:spacing w:after="120" w:line="276"/>
        <w:jc w:val="both"/>
      </w:pPr>
      <w:r>
        <w:rPr>
          <w:rFonts w:ascii="Barlow Semi Condensed" w:cs="Barlow Semi Condensed" w:eastAsia="Barlow Semi Condensed" w:hAnsi="Barlow Semi Condensed"/>
          <w:b/>
          <w:bCs/>
          <w:sz w:val="24"/>
          <w:szCs w:val="24"/>
        </w:rPr>
        <w:t xml:space="preserve">Fino al 1990 la cessione all'estero di licenze di produzione non era fattispecie autorizzativa tipizzata; la materia era coperta dal segreto di Stato ai sensi del regio decreto del 1941; non esistevano il comitato interministeriale, l'unità autorizzativa, il potere di veto formalizzato.</w:t>
      </w:r>
    </w:p>
    <w:p>
      <w:pPr>
        <w:spacing w:after="120" w:line="276"/>
        <w:jc w:val="both"/>
      </w:pPr>
      <w:r>
        <w:rPr>
          <w:rFonts w:ascii="Barlow Semi Condensed" w:cs="Barlow Semi Condensed" w:eastAsia="Barlow Semi Condensed" w:hAnsi="Barlow Semi Condensed"/>
          <w:b/>
          <w:bCs/>
          <w:sz w:val="24"/>
          <w:szCs w:val="24"/>
        </w:rPr>
        <w:t xml:space="preserve">Ne discende il nono grado di Stato Zero — l'atto atipico — enunciato al Capitolo sesto: una condotta dello Stato non lascia traccia perché il diritto vigente non la configurava come atto giuridico tipico, e dunque non ne prescriveva forma, motivazione né registrazione.</w:t>
      </w:r>
    </w:p>
    <w:p>
      <w:pPr>
        <w:spacing w:after="120" w:line="276"/>
        <w:jc w:val="both"/>
      </w:pPr>
      <w:r>
        <w:rPr>
          <w:rFonts w:ascii="Barlow Semi Condensed" w:cs="Barlow Semi Condensed" w:eastAsia="Barlow Semi Condensed" w:hAnsi="Barlow Semi Condensed"/>
          <w:b/>
          <w:bCs/>
          <w:sz w:val="24"/>
          <w:szCs w:val="24"/>
        </w:rPr>
        <w:t xml:space="preserve">Non è rimediabile con l'apertura di un archivio, perché non vi è nulla da aprire.</w:t>
      </w:r>
    </w:p>
    <w:p>
      <w:pPr>
        <w:spacing w:after="120" w:line="276"/>
        <w:jc w:val="both"/>
      </w:pPr>
      <w:r>
        <w:rPr>
          <w:rFonts w:ascii="Barlow Semi Condensed" w:cs="Barlow Semi Condensed" w:eastAsia="Barlow Semi Condensed" w:hAnsi="Barlow Semi Condensed"/>
          <w:b/>
          <w:bCs/>
          <w:sz w:val="24"/>
          <w:szCs w:val="24"/>
        </w:rPr>
        <w:t xml:space="preserve">Secondo punto: se il caso sudafricano confermi o smentisca lo schema libico.</w:t>
      </w:r>
    </w:p>
    <w:p>
      <w:pPr>
        <w:spacing w:after="120" w:line="276"/>
        <w:jc w:val="both"/>
      </w:pPr>
      <w:r>
        <w:rPr>
          <w:rFonts w:ascii="Barlow Semi Condensed" w:cs="Barlow Semi Condensed" w:eastAsia="Barlow Semi Condensed" w:hAnsi="Barlow Semi Condensed"/>
          <w:b/>
          <w:bCs/>
          <w:sz w:val="24"/>
          <w:szCs w:val="24"/>
        </w:rPr>
        <w:t xml:space="preserve">Non lo conferma in forma documentata, non lo smentisce, e ne suggerisce una variante. In Libia l'interesse era di approvvigionamento; qui è industriale ed esportativo. L'analogia è di struttura, non di identità, e l'onere della prova è rinviato agli archivi industriali.</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e la più economica: il testo integrale dei documenti S/9640 del 1970 e S/AC.20/27 del 1980, con la dichiarazione di Abdul Minty in S/AC.20/SR.25. Sede: Biblioteca digitale delle Nazioni Unite e atti del Comitato istituito dalla risoluzione quattrocentoventuno. Condizione: meramente tecnica, l'accesso ai file.</w:t>
      </w:r>
    </w:p>
    <w:p>
      <w:pPr>
        <w:spacing w:after="120" w:line="276"/>
        <w:jc w:val="both"/>
      </w:pPr>
      <w:r>
        <w:rPr>
          <w:rFonts w:ascii="Barlow Semi Condensed" w:cs="Barlow Semi Condensed" w:eastAsia="Barlow Semi Condensed" w:hAnsi="Barlow Semi Condensed"/>
          <w:b/>
          <w:bCs/>
          <w:sz w:val="24"/>
          <w:szCs w:val="24"/>
        </w:rPr>
        <w:t xml:space="preserve">Seconda: il testo dell'accordo di licenza Aermacchi-Atlas del 1964, con termini finanziari, geografici e di rinnovo. Sedi: archivio storico di Finmeccanica-Leonardo e archivio Aermacchi; controparti negli archivi Atlas-Denel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Terza: la documentazione dell'apparato competente italiano. Sedi: Archivio storico dell'IRI presso l'Archivio Centrale dello Stato, archivi della Difesa e dello Stato Maggiore dell'Aeronautica, ministeri economici. Condizione: declassificazione degli atti coperti dal segreto di Stato del regime del 1941 — con l'avvertenza del nono grado, che presso quelle sedi potrebbe non esservi nulla.</w:t>
      </w:r>
    </w:p>
    <w:p>
      <w:pPr>
        <w:spacing w:after="120" w:line="276"/>
        <w:jc w:val="both"/>
      </w:pPr>
      <w:r>
        <w:rPr>
          <w:rFonts w:ascii="Barlow Semi Condensed" w:cs="Barlow Semi Condensed" w:eastAsia="Barlow Semi Condensed" w:hAnsi="Barlow Semi Condensed"/>
          <w:b/>
          <w:bCs/>
          <w:sz w:val="24"/>
          <w:szCs w:val="24"/>
        </w:rPr>
        <w:t xml:space="preserve">Quarta: la serie Sudafrica 1969-1976 dell'Archivio Storico Diplomatico.</w:t>
      </w:r>
    </w:p>
    <w:p>
      <w:pPr>
        <w:spacing w:after="120" w:line="276"/>
        <w:jc w:val="both"/>
      </w:pPr>
      <w:r>
        <w:rPr>
          <w:rFonts w:ascii="Barlow Semi Condensed" w:cs="Barlow Semi Condensed" w:eastAsia="Barlow Semi Condensed" w:hAnsi="Barlow Semi Condensed"/>
          <w:b/>
          <w:bCs/>
          <w:sz w:val="24"/>
          <w:szCs w:val="24"/>
        </w:rPr>
        <w:t xml:space="preserve">Quinta: la documentazione britannica sul ruolo della Rolls-Royce. Sedi: National Archives, archivi Bristol Siddeley e Rolls-Royce Heritage Trust.</w:t>
      </w:r>
    </w:p>
    <w:p>
      <w:pPr>
        <w:spacing w:after="120" w:line="276"/>
        <w:jc w:val="both"/>
      </w:pPr>
      <w:r>
        <w:rPr>
          <w:rFonts w:ascii="Barlow Semi Condensed" w:cs="Barlow Semi Condensed" w:eastAsia="Barlow Semi Condensed" w:hAnsi="Barlow Semi Condensed"/>
          <w:b/>
          <w:bCs/>
          <w:sz w:val="24"/>
          <w:szCs w:val="24"/>
        </w:rPr>
        <w:t xml:space="preserve">Sesta: il voto italiano puntuale sulle risoluzioni namibiane e i dati d'interscambio del periodo.</w:t>
      </w:r>
    </w:p>
    <w:p>
      <w:pPr>
        <w:spacing w:after="120" w:line="276"/>
        <w:jc w:val="both"/>
      </w:pPr>
      <w:r>
        <w:rPr>
          <w:rFonts w:ascii="Barlow Semi Condensed" w:cs="Barlow Semi Condensed" w:eastAsia="Barlow Semi Condensed" w:hAnsi="Barlow Semi Condensed"/>
          <w:b/>
          <w:bCs/>
          <w:sz w:val="24"/>
          <w:szCs w:val="24"/>
        </w:rPr>
        <w:t xml:space="preserve">Settima, la più fragile: l'influenza della comunità italiana e le attività della Hanns-Seidel-Stiftung negli anni Settanta e Ottanta.</w:t>
      </w:r>
    </w:p>
    <w:p>
      <w:pPr>
        <w:spacing w:after="120" w:line="276"/>
        <w:jc w:val="both"/>
      </w:pPr>
      <w:r>
        <w:rPr>
          <w:rFonts w:ascii="Barlow Semi Condensed" w:cs="Barlow Semi Condensed" w:eastAsia="Barlow Semi Condensed" w:hAnsi="Barlow Semi Condensed"/>
          <w:b/>
          <w:bCs/>
          <w:sz w:val="24"/>
          <w:szCs w:val="24"/>
        </w:rPr>
        <w:t xml:space="preserve">Una osservazione conclusiva, che riguarda la serie intera.</w:t>
      </w:r>
    </w:p>
    <w:p>
      <w:pPr>
        <w:spacing w:after="120" w:line="276"/>
        <w:jc w:val="both"/>
      </w:pPr>
      <w:r>
        <w:rPr>
          <w:rFonts w:ascii="Barlow Semi Condensed" w:cs="Barlow Semi Condensed" w:eastAsia="Barlow Semi Condensed" w:hAnsi="Barlow Semi Condensed"/>
          <w:b/>
          <w:bCs/>
          <w:sz w:val="24"/>
          <w:szCs w:val="24"/>
        </w:rPr>
        <w:t xml:space="preserve">Quindici ricognizioni hanno cercato lo Stato italiano e per quattordici volte non lo hanno trovato, o lo hanno trovato per interposta storiografia.</w:t>
      </w:r>
    </w:p>
    <w:p>
      <w:pPr>
        <w:spacing w:after="120" w:line="276"/>
        <w:jc w:val="both"/>
      </w:pPr>
      <w:r>
        <w:rPr>
          <w:rFonts w:ascii="Barlow Semi Condensed" w:cs="Barlow Semi Condensed" w:eastAsia="Barlow Semi Condensed" w:hAnsi="Barlow Semi Condensed"/>
          <w:b/>
          <w:bCs/>
          <w:sz w:val="24"/>
          <w:szCs w:val="24"/>
        </w:rPr>
        <w:t xml:space="preserve">Qui lo si è trovato in un documento americano, che lo nomina per attribuirgli un'autorizzazione.</w:t>
      </w:r>
    </w:p>
    <w:p>
      <w:pPr>
        <w:spacing w:after="120" w:line="276"/>
        <w:jc w:val="both"/>
      </w:pPr>
      <w:r>
        <w:rPr>
          <w:rFonts w:ascii="Barlow Semi Condensed" w:cs="Barlow Semi Condensed" w:eastAsia="Barlow Semi Condensed" w:hAnsi="Barlow Semi Condensed"/>
          <w:b/>
          <w:bCs/>
          <w:sz w:val="24"/>
          <w:szCs w:val="24"/>
        </w:rPr>
        <w:t xml:space="preserve">Non un archivio italiano, non un atto parlamentare, non una sentenza: una scheda della Central Intelligence Agency, declassificata nel 2018, che accanto a un motore scrive che la produzione fu autorizzata su licenza dall'Italia.</w:t>
      </w:r>
    </w:p>
    <w:p>
      <w:pPr>
        <w:spacing w:after="120" w:line="276"/>
        <w:jc w:val="both"/>
      </w:pPr>
      <w:r>
        <w:rPr>
          <w:rFonts w:ascii="Barlow Semi Condensed" w:cs="Barlow Semi Condensed" w:eastAsia="Barlow Semi Condensed" w:hAnsi="Barlow Semi Condensed"/>
          <w:b/>
          <w:bCs/>
          <w:sz w:val="24"/>
          <w:szCs w:val="24"/>
        </w:rPr>
        <w:t xml:space="preserve">Che la traccia più netta dell'azione italiana in questo perimetro provenga dall'apparato informativo di un altro Stato è, secondo me, il dato più eloquente che questa ricognizione consegna — e vale come commento a tutte le quattordici che l'hanno preceduta.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 · L'Italia, L'Aermacchi E Il Sudafrica Dell'Apartheid</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 5.185 parole in 9 sezioni; la più ampia è §9 Altre sezioni, con 4.383.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 168 paragrafi in 9 sezioni, 19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XVII — Italia E Germania Sul Dossier Namibiano</w:t>
      </w:r>
    </w:p>
    <w:p>
      <w:pPr>
        <w:pStyle w:val="Heading1"/>
        <w:spacing w:after="120" w:before="240"/>
      </w:pPr>
      <w:r>
        <w:rPr>
          <w:rFonts w:ascii="Barlow Semi Condensed" w:cs="Barlow Semi Condensed" w:eastAsia="Barlow Semi Condensed" w:hAnsi="Barlow Semi Condensed"/>
          <w:sz w:val="24"/>
          <w:szCs w:val="24"/>
        </w:rPr>
        <w:t xml:space="preserve">ITALIA E GERMANIA SUL DOSSIER NAMIBIANO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Sedicesima ricognizione: la terza confutazione</w:t>
      </w:r>
    </w:p>
    <w:p>
      <w:pPr>
        <w:pStyle w:val="Heading2"/>
        <w:spacing w:after="100" w:before="200"/>
      </w:pPr>
      <w:r>
        <w:rPr>
          <w:rFonts w:ascii="Barlow Semi Condensed" w:cs="Barlow Semi Condensed" w:eastAsia="Barlow Semi Condensed" w:hAnsi="Barlow Semi Condensed"/>
          <w:sz w:val="24"/>
          <w:szCs w:val="24"/>
        </w:rPr>
        <w:t xml:space="preserve">Il Gruppo di contatto occidentale e la meccanica dei seggi</w:t>
      </w:r>
    </w:p>
    <w:p>
      <w:pPr>
        <w:pStyle w:val="Heading2"/>
        <w:spacing w:after="100" w:before="200"/>
      </w:pPr>
      <w:r>
        <w:rPr>
          <w:rFonts w:ascii="Barlow Semi Condensed" w:cs="Barlow Semi Condensed" w:eastAsia="Barlow Semi Condensed" w:hAnsi="Barlow Semi Condensed"/>
          <w:sz w:val="24"/>
          <w:szCs w:val="24"/>
        </w:rPr>
        <w:t xml:space="preserve">Dodici Capitoli — sei acquisizioni — un'ipotesi dell'autore respinta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L'ipotesi che ho proposto, e la sua confutazione</w:t>
      </w:r>
    </w:p>
    <w:p>
      <w:pPr>
        <w:spacing w:after="120" w:line="276"/>
        <w:jc w:val="both"/>
      </w:pPr>
      <w:r>
        <w:rPr>
          <w:rFonts w:ascii="Barlow Semi Condensed" w:cs="Barlow Semi Condensed" w:eastAsia="Barlow Semi Condensed" w:hAnsi="Barlow Semi Condensed"/>
          <w:b/>
          <w:bCs/>
          <w:sz w:val="24"/>
          <w:szCs w:val="24"/>
        </w:rPr>
        <w:t xml:space="preserve">Ho lanciato questa ricerca con un'ipotesi esplicita, e le fonti l'hanno respinta. La registro in apertura perché è la terza volta nella serie che ciò accade, e perché tacerla sarebbe il vizio che la serie serve a prevenire.</w:t>
      </w:r>
    </w:p>
    <w:p>
      <w:pPr>
        <w:spacing w:after="120" w:line="276"/>
        <w:jc w:val="both"/>
      </w:pPr>
      <w:r>
        <w:rPr>
          <w:rFonts w:ascii="Barlow Semi Condensed" w:cs="Barlow Semi Condensed" w:eastAsia="Barlow Semi Condensed" w:hAnsi="Barlow Semi Condensed"/>
          <w:b/>
          <w:bCs/>
          <w:sz w:val="24"/>
          <w:szCs w:val="24"/>
        </w:rPr>
        <w:t xml:space="preserve">L'ipotesi. Che l'inclusione della Repubblica Federale nel Gruppo di contatto occidentale sulla Namibia, e la contestuale esclusione dell'Italia, si spiegassero con il passato coloniale tedesco — l'Africa del Sud-Ovest tedesca dal 1884 al 1915 e il genocidio degli Herero e dei Nama fra il 1904 e il 1908 — che avrebbe conferito a Bonn un titolo particolare su quel dossier.</w:t>
      </w:r>
    </w:p>
    <w:p>
      <w:pPr>
        <w:spacing w:after="120" w:line="276"/>
        <w:jc w:val="both"/>
      </w:pPr>
      <w:r>
        <w:rPr>
          <w:rFonts w:ascii="Barlow Semi Condensed" w:cs="Barlow Semi Condensed" w:eastAsia="Barlow Semi Condensed" w:hAnsi="Barlow Semi Condensed"/>
          <w:b/>
          <w:bCs/>
          <w:sz w:val="24"/>
          <w:szCs w:val="24"/>
        </w:rPr>
        <w:t xml:space="preserve">La confutazione, e proviene dalla fonte più autorevole possibile: il protagonista.</w:t>
      </w:r>
    </w:p>
    <w:p>
      <w:pPr>
        <w:spacing w:after="120" w:line="276"/>
        <w:jc w:val="both"/>
      </w:pPr>
      <w:r>
        <w:rPr>
          <w:rFonts w:ascii="Barlow Semi Condensed" w:cs="Barlow Semi Condensed" w:eastAsia="Barlow Semi Condensed" w:hAnsi="Barlow Semi Condensed"/>
          <w:b/>
          <w:bCs/>
          <w:sz w:val="24"/>
          <w:szCs w:val="24"/>
        </w:rPr>
        <w:t xml:space="preserve">Hans-Dietrich Genscher, nella conferenza tenuta alla Humboldt-Universität il 13 aprile 2010 e pubblicata dalla Konrad-Adenauer-Stiftung, spiega l'inclusione in termini che non lasciano margine: nel 1976 la Repubblica Federale fu eletta membro non permanente del Consiglio di Sicurezza per due anni. Cinque Stati occidentali erano allora rappresentati nel Consiglio: oltre ai membri permanenti — Stati Uniti, Francia e Regno Unito — il Canada e la Repubblica Federale di Germania.</w:t>
      </w:r>
    </w:p>
    <w:p>
      <w:pPr>
        <w:spacing w:after="120" w:line="276"/>
        <w:jc w:val="both"/>
      </w:pPr>
      <w:r>
        <w:rPr>
          <w:rFonts w:ascii="Barlow Semi Condensed" w:cs="Barlow Semi Condensed" w:eastAsia="Barlow Semi Condensed" w:hAnsi="Barlow Semi Condensed"/>
          <w:b/>
          <w:bCs/>
          <w:sz w:val="24"/>
          <w:szCs w:val="24"/>
        </w:rPr>
        <w:t xml:space="preserve">Il criterio di appartenenza era il seggio. Nient'altro.</w:t>
      </w:r>
    </w:p>
    <w:p>
      <w:pPr>
        <w:spacing w:after="120" w:line="276"/>
        <w:jc w:val="both"/>
      </w:pPr>
      <w:r>
        <w:rPr>
          <w:rFonts w:ascii="Barlow Semi Condensed" w:cs="Barlow Semi Condensed" w:eastAsia="Barlow Semi Condensed" w:hAnsi="Barlow Semi Condensed"/>
          <w:b/>
          <w:bCs/>
          <w:sz w:val="24"/>
          <w:szCs w:val="24"/>
        </w:rPr>
        <w:t xml:space="preserve">E vi è di più, perché il passato coloniale non fu titolo ma ingombro. Genscher riconosce che la Germania aveva su questo un particolare handicap: Bonn aveva un consolato a Windhoek per l'assistenza ai tedeschi residenti, ma a condizione, imposta da Pretoria, che fosse parte dell'ambasciata tedesca in Sudafrica — sicché Pretoria lo interpretava come riconoscimento del proprio dominio sulla Namibia.</w:t>
      </w:r>
    </w:p>
    <w:p>
      <w:pPr>
        <w:spacing w:after="120" w:line="276"/>
        <w:jc w:val="both"/>
      </w:pPr>
      <w:r>
        <w:rPr>
          <w:rFonts w:ascii="Barlow Semi Condensed" w:cs="Barlow Semi Condensed" w:eastAsia="Barlow Semi Condensed" w:hAnsi="Barlow Semi Condensed"/>
          <w:b/>
          <w:bCs/>
          <w:sz w:val="24"/>
          <w:szCs w:val="24"/>
        </w:rPr>
        <w:t xml:space="preserve">Alla fine dell'ottobre 1977 il governo socialdemocratico-liberale chiuse il consolato di Windhoek, e Genscher lo qualifica passo decisivo nella politica africana tedesca e soprattutto nella sua credibilità verso gli Stati ancora in attesa dell'indipendenza.</w:t>
      </w:r>
    </w:p>
    <w:p>
      <w:pPr>
        <w:spacing w:after="120" w:line="276"/>
        <w:jc w:val="both"/>
      </w:pPr>
      <w:r>
        <w:rPr>
          <w:rFonts w:ascii="Barlow Semi Condensed" w:cs="Barlow Semi Condensed" w:eastAsia="Barlow Semi Condensed" w:hAnsi="Barlow Semi Condensed"/>
          <w:b/>
          <w:bCs/>
          <w:sz w:val="24"/>
          <w:szCs w:val="24"/>
        </w:rPr>
        <w:t xml:space="preserve">Ne discende che la comunità germanofona non fu motivo di inclusione ma ostacolo diplomatico che il governo dovette attivamente disinnescare.</w:t>
      </w:r>
    </w:p>
    <w:p>
      <w:pPr>
        <w:spacing w:after="120" w:line="276"/>
        <w:jc w:val="both"/>
      </w:pPr>
      <w:r>
        <w:rPr>
          <w:rFonts w:ascii="Barlow Semi Condensed" w:cs="Barlow Semi Condensed" w:eastAsia="Barlow Semi Condensed" w:hAnsi="Barlow Semi Condensed"/>
          <w:b/>
          <w:bCs/>
          <w:sz w:val="24"/>
          <w:szCs w:val="24"/>
        </w:rPr>
        <w:t xml:space="preserve">La mia ipotesi era dunque doppiamente errata: il titolo non era coloniale ma istituzionale, e la presenza tedesca in loco giocava contro anziché a favore.</w:t>
      </w:r>
    </w:p>
    <w:p>
      <w:pPr>
        <w:spacing w:after="120" w:line="276"/>
        <w:jc w:val="both"/>
      </w:pPr>
      <w:r>
        <w:rPr>
          <w:rFonts w:ascii="Barlow Semi Condensed" w:cs="Barlow Semi Condensed" w:eastAsia="Barlow Semi Condensed" w:hAnsi="Barlow Semi Condensed"/>
          <w:b/>
          <w:bCs/>
          <w:sz w:val="24"/>
          <w:szCs w:val="24"/>
        </w:rPr>
        <w:t xml:space="preserve">Che cosa resta in piedi della domanda. L'esclusione italiana è confermata, e la sua ragione è accertata con precisione al Capitolo terzo. Ma essa non dice nulla sul merito della condotta italiana: dice soltanto che l'Italia non sedeva nel Consiglio nel momento decisivo.</w:t>
      </w:r>
    </w:p>
    <w:p>
      <w:pPr>
        <w:spacing w:after="120" w:line="276"/>
        <w:jc w:val="both"/>
      </w:pPr>
      <w:r>
        <w:rPr>
          <w:rFonts w:ascii="Barlow Semi Condensed" w:cs="Barlow Semi Condensed" w:eastAsia="Barlow Semi Condensed" w:hAnsi="Barlow Semi Condensed"/>
          <w:b/>
          <w:bCs/>
          <w:sz w:val="24"/>
          <w:szCs w:val="24"/>
        </w:rPr>
        <w:t xml:space="preserve">E il Capitolo undicesimo mostra che, quando si guarda alla condotta anziché alla collocazione, il quadro si rovescia in modo istruttivo: nessuna delle due potenze ebbe condotta lineare.</w:t>
      </w:r>
    </w:p>
    <w:p>
      <w:pPr>
        <w:pStyle w:val="Heading2"/>
        <w:spacing w:after="100" w:before="200"/>
      </w:pPr>
      <w:r>
        <w:rPr>
          <w:rFonts w:ascii="Barlow Semi Condensed" w:cs="Barlow Semi Condensed" w:eastAsia="Barlow Semi Condensed" w:hAnsi="Barlow Semi Condensed"/>
          <w:sz w:val="24"/>
          <w:szCs w:val="24"/>
        </w:rPr>
        <w:t xml:space="preserve">Capitolo secondo — Il Gruppo di contatto: composizione, date, mandato, esito</w:t>
      </w:r>
    </w:p>
    <w:p>
      <w:pPr>
        <w:spacing w:after="120" w:line="276"/>
        <w:jc w:val="both"/>
      </w:pPr>
      <w:r>
        <w:rPr>
          <w:rFonts w:ascii="Barlow Semi Condensed" w:cs="Barlow Semi Condensed" w:eastAsia="Barlow Semi Condensed" w:hAnsi="Barlow Semi Condensed"/>
          <w:b/>
          <w:bCs/>
          <w:sz w:val="24"/>
          <w:szCs w:val="24"/>
        </w:rPr>
        <w:t xml:space="preserve">Il capitolo espone i fatti con le fonti che li reggono.</w:t>
      </w:r>
    </w:p>
    <w:p>
      <w:pPr>
        <w:spacing w:after="120" w:line="276"/>
        <w:jc w:val="both"/>
      </w:pPr>
      <w:r>
        <w:rPr>
          <w:rFonts w:ascii="Barlow Semi Condensed" w:cs="Barlow Semi Condensed" w:eastAsia="Barlow Semi Condensed" w:hAnsi="Barlow Semi Condensed"/>
          <w:b/>
          <w:bCs/>
          <w:sz w:val="24"/>
          <w:szCs w:val="24"/>
        </w:rPr>
        <w:t xml:space="preserve">La composizione, concorde in fonti di rango diverso. Il Gruppo di contatto occidentale — detto anche \Western Five\ o \Group of the Five\ — fu costituito nell'aprile 1977 e si compose di Stati Uniti, Regno Unito, Francia, Canada e Repubblica Federale di Germania.</w:t>
      </w:r>
    </w:p>
    <w:p>
      <w:pPr>
        <w:spacing w:after="120" w:line="276"/>
        <w:jc w:val="both"/>
      </w:pPr>
      <w:r>
        <w:rPr>
          <w:rFonts w:ascii="Barlow Semi Condensed" w:cs="Barlow Semi Condensed" w:eastAsia="Barlow Semi Condensed" w:hAnsi="Barlow Semi Condensed"/>
          <w:b/>
          <w:bCs/>
          <w:sz w:val="24"/>
          <w:szCs w:val="24"/>
        </w:rPr>
        <w:t xml:space="preserve">Le fonti. La voce curata da Chris Saunders per la Wiley Blackwell e lo studio di Tetsuya Iji in \Diplomacy &amp; Statecraft\, volume ventiduesimo numero quarto del 2011, pagine seicentotrentaquattro-seicentocinquanta, descrivono il gruppo come composto di cinque membri del Consiglio di Sicurezza. Lo studio classico di Margaret P. Karns in \International Organization\, volume quarantunesimo numero primo, inverno 1987, pagine novantatré-centoventitré, precisa che esso operò attivamente dall'aprile 1977 alla metà del 1982. La monografia di Jochen Prantl per la Oxford University Press del 2006 lo inquadra come primo esempio di gruppo informale collegato al Consiglio.</w:t>
      </w:r>
    </w:p>
    <w:p>
      <w:pPr>
        <w:spacing w:after="120" w:line="276"/>
        <w:jc w:val="both"/>
      </w:pPr>
      <w:r>
        <w:rPr>
          <w:rFonts w:ascii="Barlow Semi Condensed" w:cs="Barlow Semi Condensed" w:eastAsia="Barlow Semi Condensed" w:hAnsi="Barlow Semi Condensed"/>
          <w:b/>
          <w:bCs/>
          <w:sz w:val="24"/>
          <w:szCs w:val="24"/>
        </w:rPr>
        <w:t xml:space="preserve">Il mandato. Negoziale e non coercitivo: elaborare una proposta di transizione all'indipendenza accettabile per il Sudafrica, per gli Stati della linea del fronte e per la SWAPO. L'attività si dispiegò, secondo Karns, in stretta prossimità alle Nazioni Unite ma senza collegamento diretto con esse.</w:t>
      </w:r>
    </w:p>
    <w:p>
      <w:pPr>
        <w:spacing w:after="120" w:line="276"/>
        <w:jc w:val="both"/>
      </w:pPr>
      <w:r>
        <w:rPr>
          <w:rFonts w:ascii="Barlow Semi Condensed" w:cs="Barlow Semi Condensed" w:eastAsia="Barlow Semi Condensed" w:hAnsi="Barlow Semi Condensed"/>
          <w:b/>
          <w:bCs/>
          <w:sz w:val="24"/>
          <w:szCs w:val="24"/>
        </w:rPr>
        <w:t xml:space="preserve">L'esito formale.\\ La \Settlement Proposal\ del 1978 confluì nella \\risoluzione quattrocentotrentacinque, adottata il 29 settembre 1978.</w:t>
      </w:r>
    </w:p>
    <w:p>
      <w:pPr>
        <w:spacing w:after="120" w:line="276"/>
        <w:jc w:val="both"/>
      </w:pPr>
      <w:r>
        <w:rPr>
          <w:rFonts w:ascii="Barlow Semi Condensed" w:cs="Barlow Semi Condensed" w:eastAsia="Barlow Semi Condensed" w:hAnsi="Barlow Semi Condensed"/>
          <w:b/>
          <w:bCs/>
          <w:sz w:val="24"/>
          <w:szCs w:val="24"/>
        </w:rPr>
        <w:t xml:space="preserve">Il testo ufficiale attesta che essa fu adottata nella duemilaottantasettesima seduta con dodici voti favorevoli, nessuno contrario e due astensioni — Cecoslovacchia e Unione Sovietica — con la Cina non partecipante al voto. Approvava il rapporto del Segretario generale sull'attuazione della proposta e istituiva lo United Nations Transition Assistance Group per un massimo di dodici mesi.</w:t>
      </w:r>
    </w:p>
    <w:p>
      <w:pPr>
        <w:spacing w:after="120" w:line="276"/>
        <w:jc w:val="both"/>
      </w:pPr>
      <w:r>
        <w:rPr>
          <w:rFonts w:ascii="Barlow Semi Condensed" w:cs="Barlow Semi Condensed" w:eastAsia="Barlow Semi Condensed" w:hAnsi="Barlow Semi Condensed"/>
          <w:b/>
          <w:bCs/>
          <w:sz w:val="24"/>
          <w:szCs w:val="24"/>
        </w:rPr>
        <w:t xml:space="preserve">E qui il dato che vale per la nostra domanda.\\ Fra i votanti figurano \\Bolivia, Canada, Cecoslovacchia, Francia, Gabon, Repubblica Federale di Germania, India, Kuwait, Mauritius, Nigeria, Unione Sovietica, Regno Unito, Stati Uniti e Venezuela.</w:t>
      </w:r>
    </w:p>
    <w:p>
      <w:pPr>
        <w:spacing w:after="120" w:line="276"/>
        <w:jc w:val="both"/>
      </w:pPr>
      <w:r>
        <w:rPr>
          <w:rFonts w:ascii="Barlow Semi Condensed" w:cs="Barlow Semi Condensed" w:eastAsia="Barlow Semi Condensed" w:hAnsi="Barlow Semi Condensed"/>
          <w:b/>
          <w:bCs/>
          <w:sz w:val="24"/>
          <w:szCs w:val="24"/>
        </w:rPr>
        <w:t xml:space="preserve">La Repubblica Federale è presente. L'Italia non c'è.</w:t>
      </w:r>
    </w:p>
    <w:p>
      <w:pPr>
        <w:spacing w:after="120" w:line="276"/>
        <w:jc w:val="both"/>
      </w:pPr>
      <w:r>
        <w:rPr>
          <w:rFonts w:ascii="Barlow Semi Condensed" w:cs="Barlow Semi Condensed" w:eastAsia="Barlow Semi Condensed" w:hAnsi="Barlow Semi Condensed"/>
          <w:b/>
          <w:bCs/>
          <w:sz w:val="24"/>
          <w:szCs w:val="24"/>
        </w:rPr>
        <w:t xml:space="preserve">Durata ed esito vanno distinti su due piani. La letteratura colloca la fase attiva fra l'aprile 1977 e il 1982-1983, con dissoluzione attorno al 1983. Ma la proposta non fu attuata per oltre un decennio: il Sudafrica tenne elezioni unilaterali boicottate dalla SWAPO, continuò ad amministrare il territorio tramite un Amministratore generale, e gli Stati Uniti dell'amministrazione Reagan subordinarono l'attuazione al ritiro delle truppe cubane dall'Angola, secondo la dottrina del \linkage\.</w:t>
      </w:r>
    </w:p>
    <w:p>
      <w:pPr>
        <w:spacing w:after="120" w:line="276"/>
        <w:jc w:val="both"/>
      </w:pPr>
      <w:r>
        <w:rPr>
          <w:rFonts w:ascii="Barlow Semi Condensed" w:cs="Barlow Semi Condensed" w:eastAsia="Barlow Semi Condensed" w:hAnsi="Barlow Semi Condensed"/>
          <w:b/>
          <w:bCs/>
          <w:sz w:val="24"/>
          <w:szCs w:val="24"/>
        </w:rPr>
        <w:t xml:space="preserve">L'indipendenza si raggiunse il 21 marzo 1990, in attuazione degli accordi di New York del dicembre 1988.</w:t>
      </w:r>
    </w:p>
    <w:p>
      <w:pPr>
        <w:spacing w:after="120" w:line="276"/>
        <w:jc w:val="both"/>
      </w:pPr>
      <w:r>
        <w:rPr>
          <w:rFonts w:ascii="Barlow Semi Condensed" w:cs="Barlow Semi Condensed" w:eastAsia="Barlow Semi Condensed" w:hAnsi="Barlow Semi Condensed"/>
          <w:b/>
          <w:bCs/>
          <w:sz w:val="24"/>
          <w:szCs w:val="24"/>
        </w:rPr>
        <w:t xml:space="preserve">Il giudizio del protagonista va riportato come tale.\\ Genscher, nel 2010: \\otto anni preziosi furono così perduti.</w:t>
      </w:r>
    </w:p>
    <w:p>
      <w:pPr>
        <w:pStyle w:val="Heading2"/>
        <w:spacing w:after="100" w:before="200"/>
      </w:pPr>
      <w:r>
        <w:rPr>
          <w:rFonts w:ascii="Barlow Semi Condensed" w:cs="Barlow Semi Condensed" w:eastAsia="Barlow Semi Condensed" w:hAnsi="Barlow Semi Condensed"/>
          <w:sz w:val="24"/>
          <w:szCs w:val="24"/>
        </w:rPr>
        <w:t xml:space="preserve">Capitolo terzo — L'esclusione italiana: confermata, e la sua ragione</w:t>
      </w:r>
    </w:p>
    <w:p>
      <w:pPr>
        <w:spacing w:after="120" w:line="276"/>
        <w:jc w:val="both"/>
      </w:pPr>
      <w:r>
        <w:rPr>
          <w:rFonts w:ascii="Barlow Semi Condensed" w:cs="Barlow Semi Condensed" w:eastAsia="Barlow Semi Condensed" w:hAnsi="Barlow Semi Condensed"/>
          <w:b/>
          <w:bCs/>
          <w:sz w:val="24"/>
          <w:szCs w:val="24"/>
        </w:rPr>
        <w:t xml:space="preserve">Il capitolo accerta l'esclusione e ne stabilisce la causa con precisione definitiva.</w:t>
      </w:r>
    </w:p>
    <w:p>
      <w:pPr>
        <w:spacing w:after="120" w:line="276"/>
        <w:jc w:val="both"/>
      </w:pPr>
      <w:r>
        <w:rPr>
          <w:rFonts w:ascii="Barlow Semi Condensed" w:cs="Barlow Semi Condensed" w:eastAsia="Barlow Semi Condensed" w:hAnsi="Barlow Semi Condensed"/>
          <w:b/>
          <w:bCs/>
          <w:sz w:val="24"/>
          <w:szCs w:val="24"/>
        </w:rPr>
        <w:t xml:space="preserve">I mandati italiani nel Consiglio di Sicurezza\\, dall'elenco della Missione permanente e dalla pagina del Consiglio: \\1959-1960, 1971-1972, 1975-1976, 1987-1988, 1995-1996, 2007-2008, 2017-2018.</w:t>
      </w:r>
    </w:p>
    <w:p>
      <w:pPr>
        <w:spacing w:after="120" w:line="276"/>
        <w:jc w:val="both"/>
      </w:pPr>
      <w:r>
        <w:rPr>
          <w:rFonts w:ascii="Barlow Semi Condensed" w:cs="Barlow Semi Condensed" w:eastAsia="Barlow Semi Condensed" w:hAnsi="Barlow Semi Condensed"/>
          <w:b/>
          <w:bCs/>
          <w:sz w:val="24"/>
          <w:szCs w:val="24"/>
        </w:rPr>
        <w:t xml:space="preserve">Il dato dirimente.\\ Il mandato \\1975-1976 si concluse il 31 dicembre 1976.\\ Il successivo iniziò il \\1 gennaio 1987.</w:t>
      </w:r>
    </w:p>
    <w:p>
      <w:pPr>
        <w:spacing w:after="120" w:line="276"/>
        <w:jc w:val="both"/>
      </w:pPr>
      <w:r>
        <w:rPr>
          <w:rFonts w:ascii="Barlow Semi Condensed" w:cs="Barlow Semi Condensed" w:eastAsia="Barlow Semi Condensed" w:hAnsi="Barlow Semi Condensed"/>
          <w:b/>
          <w:bCs/>
          <w:sz w:val="24"/>
          <w:szCs w:val="24"/>
        </w:rPr>
        <w:t xml:space="preserve">L'Italia non ebbe dunque seggio nel 1977, nel 1978, e per l'intera vita attiva del Gruppo dal 1977 al 1983.</w:t>
      </w:r>
    </w:p>
    <w:p>
      <w:pPr>
        <w:spacing w:after="120" w:line="276"/>
        <w:jc w:val="both"/>
      </w:pPr>
      <w:r>
        <w:rPr>
          <w:rFonts w:ascii="Barlow Semi Condensed" w:cs="Barlow Semi Condensed" w:eastAsia="Barlow Semi Condensed" w:hAnsi="Barlow Semi Condensed"/>
          <w:b/>
          <w:bCs/>
          <w:sz w:val="24"/>
          <w:szCs w:val="24"/>
        </w:rPr>
        <w:t xml:space="preserve">Poiché l'appartenenza al gruppo era vincolata alla contestuale appartenenza al Consiglio, l'Italia era strutturalmente ineleggibile.</w:t>
      </w:r>
    </w:p>
    <w:p>
      <w:pPr>
        <w:spacing w:after="120" w:line="276"/>
        <w:jc w:val="both"/>
      </w:pPr>
      <w:r>
        <w:rPr>
          <w:rFonts w:ascii="Barlow Semi Condensed" w:cs="Barlow Semi Condensed" w:eastAsia="Barlow Semi Condensed" w:hAnsi="Barlow Semi Condensed"/>
          <w:b/>
          <w:bCs/>
          <w:sz w:val="24"/>
          <w:szCs w:val="24"/>
        </w:rPr>
        <w:t xml:space="preserve">E la simmetria va enunciata perché rende la causa incontrovertibile: Canada e Repubblica Federale vi entrarono precisamente perché occupavano i due seggi occidentali non permanenti che l'Italia non deteneva.</w:t>
      </w:r>
    </w:p>
    <w:p>
      <w:pPr>
        <w:spacing w:after="120" w:line="276"/>
        <w:jc w:val="both"/>
      </w:pPr>
      <w:r>
        <w:rPr>
          <w:rFonts w:ascii="Barlow Semi Condensed" w:cs="Barlow Semi Condensed" w:eastAsia="Barlow Semi Condensed" w:hAnsi="Barlow Semi Condensed"/>
          <w:b/>
          <w:bCs/>
          <w:sz w:val="24"/>
          <w:szCs w:val="24"/>
        </w:rPr>
        <w:t xml:space="preserve">Ne discende che la ragione è istituzionale e non un giudizio di merito.\\ Non vi fu esclusione dell'Italia: \\vi fu inclusione di chi sedeva, e l'Italia non sedeva.</w:t>
      </w:r>
    </w:p>
    <w:p>
      <w:pPr>
        <w:spacing w:after="120" w:line="276"/>
        <w:jc w:val="both"/>
      </w:pPr>
      <w:r>
        <w:rPr>
          <w:rFonts w:ascii="Barlow Semi Condensed" w:cs="Barlow Semi Condensed" w:eastAsia="Barlow Semi Condensed" w:hAnsi="Barlow Semi Condensed"/>
          <w:b/>
          <w:bCs/>
          <w:sz w:val="24"/>
          <w:szCs w:val="24"/>
        </w:rPr>
        <w:t xml:space="preserve">Il parallelo con il caso cipriota, già acquisito dalla serie, è esatto e va enunciato con la medesima cautela. Come a Cipro l'Italia risultò esclusa dal quadro delle potenze garanti, dal Consiglio di Sicurezza nel 1974 e dai contributori della forza di pace, così sulla Namibia essa risultò esclusa dal consesso negoziale per assenza dal Consiglio nel momento decisivo.</w:t>
      </w:r>
    </w:p>
    <w:p>
      <w:pPr>
        <w:spacing w:after="120" w:line="276"/>
        <w:jc w:val="both"/>
      </w:pPr>
      <w:r>
        <w:rPr>
          <w:rFonts w:ascii="Barlow Semi Condensed" w:cs="Barlow Semi Condensed" w:eastAsia="Barlow Semi Condensed" w:hAnsi="Barlow Semi Condensed"/>
          <w:b/>
          <w:bCs/>
          <w:sz w:val="24"/>
          <w:szCs w:val="24"/>
        </w:rPr>
        <w:t xml:space="preserve">In entrambi i casi l'esclusione non discende da un demerito, ma da una collocazione.</w:t>
      </w:r>
    </w:p>
    <w:p>
      <w:pPr>
        <w:spacing w:after="120" w:line="276"/>
        <w:jc w:val="both"/>
      </w:pPr>
      <w:r>
        <w:rPr>
          <w:rFonts w:ascii="Barlow Semi Condensed" w:cs="Barlow Semi Condensed" w:eastAsia="Barlow Semi Condensed" w:hAnsi="Barlow Semi Condensed"/>
          <w:b/>
          <w:bCs/>
          <w:sz w:val="24"/>
          <w:szCs w:val="24"/>
        </w:rPr>
        <w:t xml:space="preserve">Dove la posizione italiana si esprimeva, di necessità. Nell'Assemblea generale e, in forma collettiva, nella Cooperazione politica europea in ambito comunitario, che negli anni Ottanta disponeva di un gruppo di lavoro sull'Africa.</w:t>
      </w:r>
    </w:p>
    <w:p>
      <w:pPr>
        <w:spacing w:after="120" w:line="276"/>
        <w:jc w:val="both"/>
      </w:pPr>
      <w:r>
        <w:rPr>
          <w:rFonts w:ascii="Barlow Semi Condensed" w:cs="Barlow Semi Condensed" w:eastAsia="Barlow Semi Condensed" w:hAnsi="Barlow Semi Condensed"/>
          <w:b/>
          <w:bCs/>
          <w:sz w:val="24"/>
          <w:szCs w:val="24"/>
        </w:rPr>
        <w:t xml:space="preserve">Un esito negativo va dichiarato. I voti specifici italiani sulle singole risoluzioni dell'Assemblea generale relative alla Namibia e alla SWAPO non sono stati reperiti, né dichiarazioni verbali del delegato italiano. Tali documenti esistono con ogni probabilità nei verbali ufficiali reperibili tramite lo United Nations Digital Library System e nelle carte diplomatiche italiane. Sede di chiusura: l'Archivio Storico Diplomatico, Direzione Generale Affari Politici, serie ONU e Africa.</w:t>
      </w:r>
    </w:p>
    <w:p>
      <w:pPr>
        <w:spacing w:after="120" w:line="276"/>
        <w:jc w:val="both"/>
      </w:pPr>
      <w:r>
        <w:rPr>
          <w:rFonts w:ascii="Barlow Semi Condensed" w:cs="Barlow Semi Condensed" w:eastAsia="Barlow Semi Condensed" w:hAnsi="Barlow Semi Condensed"/>
          <w:b/>
          <w:bCs/>
          <w:sz w:val="24"/>
          <w:szCs w:val="24"/>
        </w:rPr>
        <w:t xml:space="preserve">Il contributo italiano più concreto e documentato fu operativo e tardivo. L'Italia fornì uno squadrone di elicotteri allo UNTAG nel 1989-1990, secondo la storia ufficiale delle operazioni di pace; la Repubblica Federale contribuì con personale civile per rifornimento, trasporto e manutenzione.</w:t>
      </w:r>
    </w:p>
    <w:p>
      <w:pPr>
        <w:spacing w:after="120" w:line="276"/>
        <w:jc w:val="both"/>
      </w:pPr>
      <w:r>
        <w:rPr>
          <w:rFonts w:ascii="Barlow Semi Condensed" w:cs="Barlow Semi Condensed" w:eastAsia="Barlow Semi Condensed" w:hAnsi="Barlow Semi Condensed"/>
          <w:b/>
          <w:bCs/>
          <w:sz w:val="24"/>
          <w:szCs w:val="24"/>
        </w:rPr>
        <w:t xml:space="preserve">Il dato è di valore comparativo: nella fase conclusiva le due potenze furono entrambe presenti, in ruoli diversi ma entrambi ausiliari.</w:t>
      </w:r>
    </w:p>
    <w:p>
      <w:pPr>
        <w:spacing w:after="120" w:line="276"/>
        <w:jc w:val="both"/>
      </w:pPr>
      <w:r>
        <w:rPr>
          <w:rFonts w:ascii="Barlow Semi Condensed" w:cs="Barlow Semi Condensed" w:eastAsia="Barlow Semi Condensed" w:hAnsi="Barlow Semi Condensed"/>
          <w:b/>
          <w:bCs/>
          <w:sz w:val="24"/>
          <w:szCs w:val="24"/>
        </w:rPr>
        <w:t xml:space="preserve">A titolo di contesto, l'Italia aveva votato su questioni namibiane quando sedeva nel Consiglio in periodi anteriori, per esempio sulla risoluzione trecentoventitré del 6 dicembre 1972. L'impegno italiano sulla Namibia precede e segue, ma non attraversa, la finestra del Gruppo di contatto.</w:t>
      </w:r>
    </w:p>
    <w:p>
      <w:pPr>
        <w:pStyle w:val="Heading2"/>
        <w:spacing w:after="100" w:before="200"/>
      </w:pPr>
      <w:r>
        <w:rPr>
          <w:rFonts w:ascii="Barlow Semi Condensed" w:cs="Barlow Semi Condensed" w:eastAsia="Barlow Semi Condensed" w:hAnsi="Barlow Semi Condensed"/>
          <w:sz w:val="24"/>
          <w:szCs w:val="24"/>
        </w:rPr>
        <w:t xml:space="preserve">Capitolo quarto — Il passato coloniale e il genocidio: i fatti e la loro collocazione</w:t>
      </w:r>
    </w:p>
    <w:p>
      <w:pPr>
        <w:spacing w:after="120" w:line="276"/>
        <w:jc w:val="both"/>
      </w:pPr>
      <w:r>
        <w:rPr>
          <w:rFonts w:ascii="Barlow Semi Condensed" w:cs="Barlow Semi Condensed" w:eastAsia="Barlow Semi Condensed" w:hAnsi="Barlow Semi Condensed"/>
          <w:b/>
          <w:bCs/>
          <w:sz w:val="24"/>
          <w:szCs w:val="24"/>
        </w:rPr>
        <w:t xml:space="preserve">Il capitolo espone la materia coloniale, che l'ipotesi confutata al Capitolo primo aveva erroneamente eletto a causa, e che resta comunque contesto necessario.</w:t>
      </w:r>
    </w:p>
    <w:p>
      <w:pPr>
        <w:spacing w:after="120" w:line="276"/>
        <w:jc w:val="both"/>
      </w:pPr>
      <w:r>
        <w:rPr>
          <w:rFonts w:ascii="Barlow Semi Condensed" w:cs="Barlow Semi Condensed" w:eastAsia="Barlow Semi Condensed" w:hAnsi="Barlow Semi Condensed"/>
          <w:b/>
          <w:bCs/>
          <w:sz w:val="24"/>
          <w:szCs w:val="24"/>
        </w:rPr>
        <w:t xml:space="preserve">Il dominio. L'Africa del Sud-Ovest tedesca fu colonia formale dell'Impero dal 1884 al 1915, quando l'occupazione militare sudafricana nella Prima guerra mondiale vi pose fine.</w:t>
      </w:r>
    </w:p>
    <w:p>
      <w:pPr>
        <w:spacing w:after="120" w:line="276"/>
        <w:jc w:val="both"/>
      </w:pPr>
      <w:r>
        <w:rPr>
          <w:rFonts w:ascii="Barlow Semi Condensed" w:cs="Barlow Semi Condensed" w:eastAsia="Barlow Semi Condensed" w:hAnsi="Barlow Semi Condensed"/>
          <w:b/>
          <w:bCs/>
          <w:sz w:val="24"/>
          <w:szCs w:val="24"/>
        </w:rPr>
        <w:t xml:space="preserve">Il genocidio, con la sequenza. Nel gennaio 1904 gli Herero guidati da Samuel Maharero insorsero, uccidendo oltre cento coloni tedeschi nell'area di Okahandja. Nel giugno 1904 il generale Lothar von Trotha fu inviato a reprimere la rivolta. Dopo la battaglia di Waterberg, nell'agosto 1904, gli Herero furono spinti nel deserto dell'Omaheke, dove gran parte morì per il blocco militare tedesco. Nell'ottobre 1904 insorsero anche i Nama, guidati da Hendrik Witbooi, e subirono sorte analoga. I sopravvissuti furono internati in campi di concentramento, dove la maggioranza morì.</w:t>
      </w:r>
    </w:p>
    <w:p>
      <w:pPr>
        <w:spacing w:after="120" w:line="276"/>
        <w:jc w:val="both"/>
      </w:pPr>
      <w:r>
        <w:rPr>
          <w:rFonts w:ascii="Barlow Semi Condensed" w:cs="Barlow Semi Condensed" w:eastAsia="Barlow Semi Condensed" w:hAnsi="Barlow Semi Condensed"/>
          <w:b/>
          <w:bCs/>
          <w:sz w:val="24"/>
          <w:szCs w:val="24"/>
        </w:rPr>
        <w:t xml:space="preserve">Le stime delle vittime divergono ampiamente, e la divergenza va riportata anziché uniformata.</w:t>
      </w:r>
    </w:p>
    <w:p>
      <w:pPr>
        <w:spacing w:after="120" w:line="276"/>
        <w:jc w:val="both"/>
      </w:pPr>
      <w:r>
        <w:rPr>
          <w:rFonts w:ascii="Barlow Semi Condensed" w:cs="Barlow Semi Condensed" w:eastAsia="Barlow Semi Condensed" w:hAnsi="Barlow Semi Condensed"/>
          <w:b/>
          <w:bCs/>
          <w:sz w:val="24"/>
          <w:szCs w:val="24"/>
        </w:rPr>
        <w:t xml:space="preserve">L'\Encyclopædia Britannica\ indica la morte di circa il settantacinque per cento della popolazione Herero. Una fonte su Faber-Jonker del 2023 riporta da quarantamila a ottantamila Herero, l'ottanta per cento della popolazione prebellica, e diecimila Nama, la metà. La dichiarazione tedesco-namibiana del 2021 parla di circa sessantacinquemila Herero e almeno diecimila Nama. Altra fonte indica da cinquantamila a sessantacinquemila Herero e diecimila Nama. Una voce sulla rivolta riporta da sessantacinquemila a settantamila comprendendo i civili.</w:t>
      </w:r>
    </w:p>
    <w:p>
      <w:pPr>
        <w:spacing w:after="120" w:line="276"/>
        <w:jc w:val="both"/>
      </w:pPr>
      <w:r>
        <w:rPr>
          <w:rFonts w:ascii="Barlow Semi Condensed" w:cs="Barlow Semi Condensed" w:eastAsia="Barlow Semi Condensed" w:hAnsi="Barlow Semi Condensed"/>
          <w:b/>
          <w:bCs/>
          <w:sz w:val="24"/>
          <w:szCs w:val="24"/>
        </w:rPr>
        <w:t xml:space="preserve">Le forbici oscillano per gli Herero fra ventiquattromila-quarantamila e ottantamila-centomila; per i Nama vi è maggiore convergenza attorno a diecimila. La divergenza dipende dalla base demografica prebellica assunta, dai criteri di computo e dalla scarsità di censimenti affidabili.</w:t>
      </w:r>
    </w:p>
    <w:p>
      <w:pPr>
        <w:spacing w:after="120" w:line="276"/>
        <w:jc w:val="both"/>
      </w:pPr>
      <w:r>
        <w:rPr>
          <w:rFonts w:ascii="Barlow Semi Condensed" w:cs="Barlow Semi Condensed" w:eastAsia="Barlow Semi Condensed" w:hAnsi="Barlow Semi Condensed"/>
          <w:b/>
          <w:bCs/>
          <w:sz w:val="24"/>
          <w:szCs w:val="24"/>
        </w:rPr>
        <w:t xml:space="preserve">Sul piano della qualificazione, il regime giuridico va distinto dal giudizio storiografico. La Convenzione sul genocidio è del 1948, e la posizione ufficiale tedesca, ribadita nel 2021, è che essa non può applicarsi retroattivamente: la responsabilità è dichiarata morale, storica e politica ma non giuridica in senso stretto. Heiko Maas, il 28 maggio 2021: da ciò non possono derivarsi pretese giuridiche di risarcimento.</w:t>
      </w:r>
    </w:p>
    <w:p>
      <w:pPr>
        <w:spacing w:after="120" w:line="276"/>
        <w:jc w:val="both"/>
      </w:pPr>
      <w:r>
        <w:rPr>
          <w:rFonts w:ascii="Barlow Semi Condensed" w:cs="Barlow Semi Condensed" w:eastAsia="Barlow Semi Condensed" w:hAnsi="Barlow Semi Condensed"/>
          <w:b/>
          <w:bCs/>
          <w:sz w:val="24"/>
          <w:szCs w:val="24"/>
        </w:rPr>
        <w:t xml:space="preserve">La qualificazione di genocidio fu proposta già dal Rapporto Whitaker delle Nazioni Unite del 1985.</w:t>
      </w:r>
    </w:p>
    <w:p>
      <w:pPr>
        <w:spacing w:after="120" w:line="276"/>
        <w:jc w:val="both"/>
      </w:pPr>
      <w:r>
        <w:rPr>
          <w:rFonts w:ascii="Barlow Semi Condensed" w:cs="Barlow Semi Condensed" w:eastAsia="Barlow Semi Condensed" w:hAnsi="Barlow Semi Condensed"/>
          <w:b/>
          <w:bCs/>
          <w:sz w:val="24"/>
          <w:szCs w:val="24"/>
        </w:rPr>
        <w:t xml:space="preserve">La distinzione fra qualificazione storiografico-morale e regime applicabile ratione temporis è una precisa scelta interpretativa dello Stato tedesco, di cui va dato conto senza per questo attenuare la natura criminale dei fatti, che va enunciata come contesto.</w:t>
      </w:r>
    </w:p>
    <w:p>
      <w:pPr>
        <w:pStyle w:val="Heading2"/>
        <w:spacing w:after="100" w:before="200"/>
      </w:pPr>
      <w:r>
        <w:rPr>
          <w:rFonts w:ascii="Barlow Semi Condensed" w:cs="Barlow Semi Condensed" w:eastAsia="Barlow Semi Condensed" w:hAnsi="Barlow Semi Condensed"/>
          <w:sz w:val="24"/>
          <w:szCs w:val="24"/>
        </w:rPr>
        <w:t xml:space="preserve">Capitolo quinto — Il riconoscimento, e perché è posteriore al perimetro</w:t>
      </w:r>
    </w:p>
    <w:p>
      <w:pPr>
        <w:spacing w:after="120" w:line="276"/>
        <w:jc w:val="both"/>
      </w:pPr>
      <w:r>
        <w:rPr>
          <w:rFonts w:ascii="Barlow Semi Condensed" w:cs="Barlow Semi Condensed" w:eastAsia="Barlow Semi Condensed" w:hAnsi="Barlow Semi Condensed"/>
          <w:b/>
          <w:bCs/>
          <w:sz w:val="24"/>
          <w:szCs w:val="24"/>
        </w:rPr>
        <w:t xml:space="preserve">Il capitolo espone il percorso del riconoscimento tedesco e ne fissa la collocazione cronologica, che è dirimente.</w:t>
      </w:r>
    </w:p>
    <w:p>
      <w:pPr>
        <w:spacing w:after="120" w:line="276"/>
        <w:jc w:val="both"/>
      </w:pPr>
      <w:r>
        <w:rPr>
          <w:rFonts w:ascii="Barlow Semi Condensed" w:cs="Barlow Semi Condensed" w:eastAsia="Barlow Semi Condensed" w:hAnsi="Barlow Semi Condensed"/>
          <w:b/>
          <w:bCs/>
          <w:sz w:val="24"/>
          <w:szCs w:val="24"/>
        </w:rPr>
        <w:t xml:space="preserve">Il percorso, per date. Nel 2004 la ministra per la cooperazione allo sviluppo Heidemarie Wieczorek-Zeul, in visita in Namibia, offrì quella che definì un'apologia, parlando di ciò che oggi si chiamerebbe genocidio, pur escludendo compensazioni. Nel 2015 il governo tedesco riconobbe che era stato commesso un genocidio. Il 28 maggio 2021, dopo oltre cinque anni di negoziati aperti nel 2015, riconobbe formalmente gli eventi del 1904-1908 come genocidio e annunciò un pacchetto di un miliardo e cento milioni di euro da erogare in trent'anni.</w:t>
      </w:r>
    </w:p>
    <w:p>
      <w:pPr>
        <w:spacing w:after="120" w:line="276"/>
        <w:jc w:val="both"/>
      </w:pPr>
      <w:r>
        <w:rPr>
          <w:rFonts w:ascii="Barlow Semi Condensed" w:cs="Barlow Semi Condensed" w:eastAsia="Barlow Semi Condensed" w:hAnsi="Barlow Semi Condensed"/>
          <w:b/>
          <w:bCs/>
          <w:sz w:val="24"/>
          <w:szCs w:val="24"/>
        </w:rPr>
        <w:t xml:space="preserve">La ripartizione, secondo le fonti ufficiali e la stampa namibiana: cinquanta milioni per la riconciliazione, centotrenta per energie rinnovabili, centocinquanta per la formazione professionale, cento per strade rurali, centotrenta per l'approvvigionamento idrico rurale e cinquecentoquaranta per acquisizione di terreni e formazione.</w:t>
      </w:r>
    </w:p>
    <w:p>
      <w:pPr>
        <w:spacing w:after="120" w:line="276"/>
        <w:jc w:val="both"/>
      </w:pPr>
      <w:r>
        <w:rPr>
          <w:rFonts w:ascii="Barlow Semi Condensed" w:cs="Barlow Semi Condensed" w:eastAsia="Barlow Semi Condensed" w:hAnsi="Barlow Semi Condensed"/>
          <w:b/>
          <w:bCs/>
          <w:sz w:val="24"/>
          <w:szCs w:val="24"/>
        </w:rPr>
        <w:t xml:space="preserve">I negoziatori furono Ruprecht Polenz per la Germania e Zedekia Ngavirue per la Namibia.</w:t>
      </w:r>
    </w:p>
    <w:p>
      <w:pPr>
        <w:spacing w:after="120" w:line="276"/>
        <w:jc w:val="both"/>
      </w:pPr>
      <w:r>
        <w:rPr>
          <w:rFonts w:ascii="Barlow Semi Condensed" w:cs="Barlow Semi Condensed" w:eastAsia="Barlow Semi Condensed" w:hAnsi="Barlow Semi Condensed"/>
          <w:b/>
          <w:bCs/>
          <w:sz w:val="24"/>
          <w:szCs w:val="24"/>
        </w:rPr>
        <w:t xml:space="preserve">Le critiche vanno riportate perché sono parte del fatto. L'accordo è stato aspramente criticato dai rappresentanti Ovaherero e Nama — fra cui l'Ovaherero Traditional Authority, la Nama Traditional Leaders Association e l'Ovaherero Genocide Foundation di Nandiuasora Mazeingo — per averli esclusi dai negoziati e per l'esclusione di riparazioni dirette.</w:t>
      </w:r>
    </w:p>
    <w:p>
      <w:pPr>
        <w:spacing w:after="120" w:line="276"/>
        <w:jc w:val="both"/>
      </w:pPr>
      <w:r>
        <w:rPr>
          <w:rFonts w:ascii="Barlow Semi Condensed" w:cs="Barlow Semi Condensed" w:eastAsia="Barlow Semi Condensed" w:hAnsi="Barlow Semi Condensed"/>
          <w:b/>
          <w:bCs/>
          <w:sz w:val="24"/>
          <w:szCs w:val="24"/>
        </w:rPr>
        <w:t xml:space="preserve">E adesso la collocazione cronologica, che è la ragione per cui questo capitolo esiste ed è breve.</w:t>
      </w:r>
    </w:p>
    <w:p>
      <w:pPr>
        <w:spacing w:after="120" w:line="276"/>
        <w:jc w:val="both"/>
      </w:pPr>
      <w:r>
        <w:rPr>
          <w:rFonts w:ascii="Barlow Semi Condensed" w:cs="Barlow Semi Condensed" w:eastAsia="Barlow Semi Condensed" w:hAnsi="Barlow Semi Condensed"/>
          <w:b/>
          <w:bCs/>
          <w:sz w:val="24"/>
          <w:szCs w:val="24"/>
        </w:rPr>
        <w:t xml:space="preserve">Tutto ciò è posteriore al periodo in esame, e va tenuto rigorosamente distinto da esso.</w:t>
      </w:r>
    </w:p>
    <w:p>
      <w:pPr>
        <w:spacing w:after="120" w:line="276"/>
        <w:jc w:val="both"/>
      </w:pPr>
      <w:r>
        <w:rPr>
          <w:rFonts w:ascii="Barlow Semi Condensed" w:cs="Barlow Semi Condensed" w:eastAsia="Barlow Semi Condensed" w:hAnsi="Barlow Semi Condensed"/>
          <w:b/>
          <w:bCs/>
          <w:sz w:val="24"/>
          <w:szCs w:val="24"/>
        </w:rPr>
        <w:t xml:space="preserve">Negli anni dell'apartheid il genocidio non era oggetto di riconoscimento ufficiale né di dibattito politico tedesco significativo.</w:t>
      </w:r>
    </w:p>
    <w:p>
      <w:pPr>
        <w:spacing w:after="120" w:line="276"/>
        <w:jc w:val="both"/>
      </w:pPr>
      <w:r>
        <w:rPr>
          <w:rFonts w:ascii="Barlow Semi Condensed" w:cs="Barlow Semi Condensed" w:eastAsia="Barlow Semi Condensed" w:hAnsi="Barlow Semi Condensed"/>
          <w:b/>
          <w:bCs/>
          <w:sz w:val="24"/>
          <w:szCs w:val="24"/>
        </w:rPr>
        <w:t xml:space="preserve">E ne esiste un indizio eloquente, che vale come prova per assenza.</w:t>
      </w:r>
    </w:p>
    <w:p>
      <w:pPr>
        <w:spacing w:after="120" w:line="276"/>
        <w:jc w:val="both"/>
      </w:pPr>
      <w:r>
        <w:rPr>
          <w:rFonts w:ascii="Barlow Semi Condensed" w:cs="Barlow Semi Condensed" w:eastAsia="Barlow Semi Condensed" w:hAnsi="Barlow Semi Condensed"/>
          <w:b/>
          <w:bCs/>
          <w:sz w:val="24"/>
          <w:szCs w:val="24"/>
        </w:rPr>
        <w:t xml:space="preserve">La testimonianza di Genscher del 2010 non menziona il genocidio in alcun punto, pur trattando diffusamente della Namibia.</w:t>
      </w:r>
    </w:p>
    <w:p>
      <w:pPr>
        <w:spacing w:after="120" w:line="276"/>
        <w:jc w:val="both"/>
      </w:pPr>
      <w:r>
        <w:rPr>
          <w:rFonts w:ascii="Barlow Semi Condensed" w:cs="Barlow Semi Condensed" w:eastAsia="Barlow Semi Condensed" w:hAnsi="Barlow Semi Condensed"/>
          <w:b/>
          <w:bCs/>
          <w:sz w:val="24"/>
          <w:szCs w:val="24"/>
        </w:rPr>
        <w:t xml:space="preserve">Un ministro degli Esteri che ricostruisce trent'anni dopo la propria politica namibiana e tace il genocidio commesso dal proprio Paese in quel territorio documenta, con il proprio silenzio, che quel tema non apparteneva al lessico politico del momento che sta ricostruendo.</w:t>
      </w:r>
    </w:p>
    <w:p>
      <w:pPr>
        <w:spacing w:after="120" w:line="276"/>
        <w:jc w:val="both"/>
      </w:pPr>
      <w:r>
        <w:rPr>
          <w:rFonts w:ascii="Barlow Semi Condensed" w:cs="Barlow Semi Condensed" w:eastAsia="Barlow Semi Condensed" w:hAnsi="Barlow Semi Condensed"/>
          <w:b/>
          <w:bCs/>
          <w:sz w:val="24"/>
          <w:szCs w:val="24"/>
        </w:rPr>
        <w:t xml:space="preserve">Genscher inquadra invece la questione nel superamento del conflitto Est-Ovest e nel principio di autodeterminazione, con un parallelo esplicito che va riportato: rivendicammo il diritto di autodeterminazione per noi tedeschi al fine di riunirci pacificamente. Come avremmo potuto negare il diritto di autodeterminazione al popolo namibiano?</w:t>
      </w:r>
    </w:p>
    <w:p>
      <w:pPr>
        <w:spacing w:after="120" w:line="276"/>
        <w:jc w:val="both"/>
      </w:pPr>
      <w:r>
        <w:rPr>
          <w:rFonts w:ascii="Barlow Semi Condensed" w:cs="Barlow Semi Condensed" w:eastAsia="Barlow Semi Condensed" w:hAnsi="Barlow Semi Condensed"/>
          <w:b/>
          <w:bCs/>
          <w:sz w:val="24"/>
          <w:szCs w:val="24"/>
        </w:rPr>
        <w:t xml:space="preserve">Il parallelo è fra la questione tedesca e quella namibiana. Non fra il crimine tedesco e la vittima namibiana.</w:t>
      </w:r>
    </w:p>
    <w:p>
      <w:pPr>
        <w:pStyle w:val="Heading2"/>
        <w:spacing w:after="100" w:before="200"/>
      </w:pPr>
      <w:r>
        <w:rPr>
          <w:rFonts w:ascii="Barlow Semi Condensed" w:cs="Barlow Semi Condensed" w:eastAsia="Barlow Semi Condensed" w:hAnsi="Barlow Semi Condensed"/>
          <w:sz w:val="24"/>
          <w:szCs w:val="24"/>
        </w:rPr>
        <w:t xml:space="preserve">Capitolo sesto — La comunità germanofona: consistenza e funzione</w:t>
      </w:r>
    </w:p>
    <w:p>
      <w:pPr>
        <w:spacing w:after="120" w:line="276"/>
        <w:jc w:val="both"/>
      </w:pPr>
      <w:r>
        <w:rPr>
          <w:rFonts w:ascii="Barlow Semi Condensed" w:cs="Barlow Semi Condensed" w:eastAsia="Barlow Semi Condensed" w:hAnsi="Barlow Semi Condensed"/>
          <w:b/>
          <w:bCs/>
          <w:sz w:val="24"/>
          <w:szCs w:val="24"/>
        </w:rPr>
        <w:t xml:space="preserve">Il capitolo misura la comunità e ne stabilisce la funzione politica, che non è quella che l'ipotesi confutata supponeva.</w:t>
      </w:r>
    </w:p>
    <w:p>
      <w:pPr>
        <w:spacing w:after="120" w:line="276"/>
        <w:jc w:val="both"/>
      </w:pPr>
      <w:r>
        <w:rPr>
          <w:rFonts w:ascii="Barlow Semi Condensed" w:cs="Barlow Semi Condensed" w:eastAsia="Barlow Semi Condensed" w:hAnsi="Barlow Semi Condensed"/>
          <w:b/>
          <w:bCs/>
          <w:sz w:val="24"/>
          <w:szCs w:val="24"/>
        </w:rPr>
        <w:t xml:space="preserve">I numeri, con la divergenza. Il censimento sudafricano del 1981 riportava una popolazione bianca in Namibia di settantaseimilaquattrocentotrenta unità, di cui il settantuno per cento afrikaner e il diciassette per cento germanofona — dunque circa tredicimila persone di lingua tedesca.</w:t>
      </w:r>
    </w:p>
    <w:p>
      <w:pPr>
        <w:spacing w:after="120" w:line="276"/>
        <w:jc w:val="both"/>
      </w:pPr>
      <w:r>
        <w:rPr>
          <w:rFonts w:ascii="Barlow Semi Condensed" w:cs="Barlow Semi Condensed" w:eastAsia="Barlow Semi Condensed" w:hAnsi="Barlow Semi Condensed"/>
          <w:b/>
          <w:bCs/>
          <w:sz w:val="24"/>
          <w:szCs w:val="24"/>
        </w:rPr>
        <w:t xml:space="preserve">Le stime contemporanee attestano invece circa trentamila namibiani di origine tedesca, circa il due per cento della popolazione, a fronte di una popolazione bianca totale di cinquantatremilasettecentosettantatré al censimento del 2023.</w:t>
      </w:r>
    </w:p>
    <w:p>
      <w:pPr>
        <w:spacing w:after="120" w:line="276"/>
        <w:jc w:val="both"/>
      </w:pPr>
      <w:r>
        <w:rPr>
          <w:rFonts w:ascii="Barlow Semi Condensed" w:cs="Barlow Semi Condensed" w:eastAsia="Barlow Semi Condensed" w:hAnsi="Barlow Semi Condensed"/>
          <w:b/>
          <w:bCs/>
          <w:sz w:val="24"/>
          <w:szCs w:val="24"/>
        </w:rPr>
        <w:t xml:space="preserve">La divergenza fra il dato censuario del 1981 e le stime odierne è spiegabile con la crescita demografica, con i diversi criteri — lingua madre contro ascendenza — e con l'assenza di censimenti linguistici affidabili.</w:t>
      </w:r>
    </w:p>
    <w:p>
      <w:pPr>
        <w:spacing w:after="120" w:line="276"/>
        <w:jc w:val="both"/>
      </w:pPr>
      <w:r>
        <w:rPr>
          <w:rFonts w:ascii="Barlow Semi Condensed" w:cs="Barlow Semi Condensed" w:eastAsia="Barlow Semi Condensed" w:hAnsi="Barlow Semi Condensed"/>
          <w:b/>
          <w:bCs/>
          <w:sz w:val="24"/>
          <w:szCs w:val="24"/>
        </w:rPr>
        <w:t xml:space="preserve">La distribuzione. Concentrata a Windhoek e nelle località costiere di Swakopmund e Lüderitz, oltre che nel triangolo di Otavi e a Otjiwarongo, con scuole, chiese, stampa e radiodiffusione in tedesco e una varietà linguistica propria, il Südwesterdeutsch.</w:t>
      </w:r>
    </w:p>
    <w:p>
      <w:pPr>
        <w:spacing w:after="120" w:line="276"/>
        <w:jc w:val="both"/>
      </w:pPr>
      <w:r>
        <w:rPr>
          <w:rFonts w:ascii="Barlow Semi Condensed" w:cs="Barlow Semi Condensed" w:eastAsia="Barlow Semi Condensed" w:hAnsi="Barlow Semi Condensed"/>
          <w:b/>
          <w:bCs/>
          <w:sz w:val="24"/>
          <w:szCs w:val="24"/>
        </w:rPr>
        <w:t xml:space="preserve">E adesso la funzione politica, che va enunciata con la disciplina che la serie impone.</w:t>
      </w:r>
    </w:p>
    <w:p>
      <w:pPr>
        <w:spacing w:after="120" w:line="276"/>
        <w:jc w:val="both"/>
      </w:pPr>
      <w:r>
        <w:rPr>
          <w:rFonts w:ascii="Barlow Semi Condensed" w:cs="Barlow Semi Condensed" w:eastAsia="Barlow Semi Condensed" w:hAnsi="Barlow Semi Condensed"/>
          <w:b/>
          <w:bCs/>
          <w:sz w:val="24"/>
          <w:szCs w:val="24"/>
        </w:rPr>
        <w:t xml:space="preserve">La presenza di una comunità germanofona non prova, di per sé, una politica tedesca a essa ispirata.</w:t>
      </w:r>
    </w:p>
    <w:p>
      <w:pPr>
        <w:spacing w:after="120" w:line="276"/>
        <w:jc w:val="both"/>
      </w:pPr>
      <w:r>
        <w:rPr>
          <w:rFonts w:ascii="Barlow Semi Condensed" w:cs="Barlow Semi Condensed" w:eastAsia="Barlow Semi Condensed" w:hAnsi="Barlow Semi Condensed"/>
          <w:b/>
          <w:bCs/>
          <w:sz w:val="24"/>
          <w:szCs w:val="24"/>
        </w:rPr>
        <w:t xml:space="preserve">Ciò che le fonti attestano è l'opposto di quanto l'ipotesi supponeva: Bonn dovette gestire la comunità come fattore diplomatico delicato, e per riguadagnare credibilità presso gli Stati africani chiuse il consolato di Windhoek alla fine dell'ottobre 1977.</w:t>
      </w:r>
    </w:p>
    <w:p>
      <w:pPr>
        <w:spacing w:after="120" w:line="276"/>
        <w:jc w:val="both"/>
      </w:pPr>
      <w:r>
        <w:rPr>
          <w:rFonts w:ascii="Barlow Semi Condensed" w:cs="Barlow Semi Condensed" w:eastAsia="Barlow Semi Condensed" w:hAnsi="Barlow Semi Condensed"/>
          <w:b/>
          <w:bCs/>
          <w:sz w:val="24"/>
          <w:szCs w:val="24"/>
        </w:rPr>
        <w:t xml:space="preserve">La comunità era un costo, non una rendita.</w:t>
      </w:r>
    </w:p>
    <w:p>
      <w:pPr>
        <w:spacing w:after="120" w:line="276"/>
        <w:jc w:val="both"/>
      </w:pPr>
      <w:r>
        <w:rPr>
          <w:rFonts w:ascii="Barlow Semi Condensed" w:cs="Barlow Semi Condensed" w:eastAsia="Barlow Semi Condensed" w:hAnsi="Barlow Semi Condensed"/>
          <w:b/>
          <w:bCs/>
          <w:sz w:val="24"/>
          <w:szCs w:val="24"/>
        </w:rPr>
        <w:t xml:space="preserve">Un episodio va riportato con lo statuto della fonte dichiarato. La testata \taz\, pubblicistica di orientamento di sinistra, documenta una visita di Franz Josef Strauß a Windhoek con un ricevimento presso l'amministratore generale sudafricano Louis Pienaar, alla presenza di Pik Botha, e riferisce che Strauß vi si sarebbe autodefinito Südwester, collegandolo come successore di coloro che occuparono l'Africa del Sud-Ovest tedesca nel 1884.</w:t>
      </w:r>
    </w:p>
    <w:p>
      <w:pPr>
        <w:spacing w:after="120" w:line="276"/>
        <w:jc w:val="both"/>
      </w:pPr>
      <w:r>
        <w:rPr>
          <w:rFonts w:ascii="Barlow Semi Condensed" w:cs="Barlow Semi Condensed" w:eastAsia="Barlow Semi Condensed" w:hAnsi="Barlow Semi Condensed"/>
          <w:b/>
          <w:bCs/>
          <w:sz w:val="24"/>
          <w:szCs w:val="24"/>
        </w:rPr>
        <w:t xml:space="preserve">L'autoidentificazione, se autentica, è coerente con il quadro complessivo e mostra che il richiamo coloniale esisteva — ma esisteva in un uomo di partito bavarese, non nella politica del governo federale, che andava in direzione contraria.</w:t>
      </w:r>
    </w:p>
    <w:p>
      <w:pPr>
        <w:spacing w:after="120" w:line="276"/>
        <w:jc w:val="both"/>
      </w:pPr>
      <w:r>
        <w:rPr>
          <w:rFonts w:ascii="Barlow Semi Condensed" w:cs="Barlow Semi Condensed" w:eastAsia="Barlow Semi Condensed" w:hAnsi="Barlow Semi Condensed"/>
          <w:b/>
          <w:bCs/>
          <w:sz w:val="24"/>
          <w:szCs w:val="24"/>
        </w:rPr>
        <w:t xml:space="preserve">Ne discende una distinzione che il Capitolo decimo sviluppa: fra la politica di Bonn e la politica della Baviera vi era, su questa materia, uno scarto.</w:t>
      </w:r>
    </w:p>
    <w:p>
      <w:pPr>
        <w:pStyle w:val="Heading2"/>
        <w:spacing w:after="100" w:before="200"/>
      </w:pPr>
      <w:r>
        <w:rPr>
          <w:rFonts w:ascii="Barlow Semi Condensed" w:cs="Barlow Semi Condensed" w:eastAsia="Barlow Semi Condensed" w:hAnsi="Barlow Semi Condensed"/>
          <w:sz w:val="24"/>
          <w:szCs w:val="24"/>
        </w:rPr>
        <w:t xml:space="preserve">Capitolo settimo — I sommergibili: ciò che è accertato e ciò che rimase non chiarito</w:t>
      </w:r>
    </w:p>
    <w:p>
      <w:pPr>
        <w:spacing w:after="120" w:line="276"/>
        <w:jc w:val="both"/>
      </w:pPr>
      <w:r>
        <w:rPr>
          <w:rFonts w:ascii="Barlow Semi Condensed" w:cs="Barlow Semi Condensed" w:eastAsia="Barlow Semi Condensed" w:hAnsi="Barlow Semi Condensed"/>
          <w:b/>
          <w:bCs/>
          <w:sz w:val="24"/>
          <w:szCs w:val="24"/>
        </w:rPr>
        <w:t xml:space="preserve">Il capitolo espone la sola vicenda tedesca per cui esista un accertamento documentale robusto, e separa con cura il documentato dalle voci.</w:t>
      </w:r>
    </w:p>
    <w:p>
      <w:pPr>
        <w:spacing w:after="120" w:line="276"/>
        <w:jc w:val="both"/>
      </w:pPr>
      <w:r>
        <w:rPr>
          <w:rFonts w:ascii="Barlow Semi Condensed" w:cs="Barlow Semi Condensed" w:eastAsia="Barlow Semi Condensed" w:hAnsi="Barlow Semi Condensed"/>
          <w:b/>
          <w:bCs/>
          <w:sz w:val="24"/>
          <w:szCs w:val="24"/>
        </w:rPr>
        <w:t xml:space="preserve">La rivelazione. Le Kieler Nachrichten del 26 novembre 1986, con il giornalista Peter Höver, rivelarono che l'Ingenieurkontor Lübeck e la Howaldtswerke-Deutsche Werft di Kiel avevano consegnato al Sudafrica piani costruttivi per quattro sommergibili di tipo duecentonove senza la richiesta autorizzazione.</w:t>
      </w:r>
    </w:p>
    <w:p>
      <w:pPr>
        <w:spacing w:after="120" w:line="276"/>
        <w:jc w:val="both"/>
      </w:pPr>
      <w:r>
        <w:rPr>
          <w:rFonts w:ascii="Barlow Semi Condensed" w:cs="Barlow Semi Condensed" w:eastAsia="Barlow Semi Condensed" w:hAnsi="Barlow Semi Condensed"/>
          <w:b/>
          <w:bCs/>
          <w:sz w:val="24"/>
          <w:szCs w:val="24"/>
        </w:rPr>
        <w:t xml:space="preserve">Il prezzo di quarantasei milioni di marchi risultava già iscritto nel bilancio della Howaldtswerke, secondo la \taz\.</w:t>
      </w:r>
    </w:p>
    <w:p>
      <w:pPr>
        <w:spacing w:after="120" w:line="276"/>
        <w:jc w:val="both"/>
      </w:pPr>
      <w:r>
        <w:rPr>
          <w:rFonts w:ascii="Barlow Semi Condensed" w:cs="Barlow Semi Condensed" w:eastAsia="Barlow Semi Condensed" w:hAnsi="Barlow Semi Condensed"/>
          <w:b/>
          <w:bCs/>
          <w:sz w:val="24"/>
          <w:szCs w:val="24"/>
        </w:rPr>
        <w:t xml:space="preserve">L'inchiesta.\\ Il \\10 dicembre 1986\\ fu istituito un comitato d'inchiesta parlamentare del Bundestag — quarto comitato della decima legislatura, proseguito come primo dell'undicesima — \\attivo dal 1986 al 1990.</w:t>
      </w:r>
    </w:p>
    <w:p>
      <w:pPr>
        <w:spacing w:after="120" w:line="276"/>
        <w:jc w:val="both"/>
      </w:pPr>
      <w:r>
        <w:rPr>
          <w:rFonts w:ascii="Barlow Semi Condensed" w:cs="Barlow Semi Condensed" w:eastAsia="Barlow Semi Condensed" w:hAnsi="Barlow Semi Condensed"/>
          <w:b/>
          <w:bCs/>
          <w:sz w:val="24"/>
          <w:szCs w:val="24"/>
        </w:rPr>
        <w:t xml:space="preserve">L'esito, riportato testualmente.\\ \\La raccomandazione conclusiva fu disomogenea, i partiti di opposizione e di governo divergevano in tutti i punti rilevanti. I fatti centrali dell'affare rimasero dunque non chiariti.</w:t>
      </w:r>
    </w:p>
    <w:p>
      <w:pPr>
        <w:spacing w:after="120" w:line="276"/>
        <w:jc w:val="both"/>
      </w:pPr>
      <w:r>
        <w:rPr>
          <w:rFonts w:ascii="Barlow Semi Condensed" w:cs="Barlow Semi Condensed" w:eastAsia="Barlow Semi Condensed" w:hAnsi="Barlow Semi Condensed"/>
          <w:b/>
          <w:bCs/>
          <w:sz w:val="24"/>
          <w:szCs w:val="24"/>
        </w:rPr>
        <w:t xml:space="preserve">Ma ciò che è accertato va enunciato con eguale precisione, perché è molto. È documentato che le due imprese pianificarono e in parte eseguirono una fornitura di progetti e componenti eludendo l'autorizzazione del Bundesamt für Wirtschaft, con trasporto affidato a corrieri tramite valigia diplomatica.</w:t>
      </w:r>
    </w:p>
    <w:p>
      <w:pPr>
        <w:spacing w:after="120" w:line="276"/>
        <w:jc w:val="both"/>
      </w:pPr>
      <w:r>
        <w:rPr>
          <w:rFonts w:ascii="Barlow Semi Condensed" w:cs="Barlow Semi Condensed" w:eastAsia="Barlow Semi Condensed" w:hAnsi="Barlow Semi Condensed"/>
          <w:b/>
          <w:bCs/>
          <w:sz w:val="24"/>
          <w:szCs w:val="24"/>
        </w:rPr>
        <w:t xml:space="preserve">La cronologia interna, dagli atti del comitato riportati dalla taz. Al 1 giugno 1983 un primo colloquio fra Genscher, Kohl e Strauß sull'affare. Al 5 giugno 1984 il ricevimento di Pieter Willem Botha da parte di Kohl, nel quale — secondo la testimonianza del consigliere Horst Teltschik — Botha sollevò il progetto denominato IK novantasette. Dieci giorni dopo, la firma fra le due imprese e il partner sudafricano di un contratto con clausola sospensiva subordinata all'approvazione del governo federale entro il 15 agosto 1984.</w:t>
      </w:r>
    </w:p>
    <w:p>
      <w:pPr>
        <w:spacing w:after="120" w:line="276"/>
        <w:jc w:val="both"/>
      </w:pPr>
      <w:r>
        <w:rPr>
          <w:rFonts w:ascii="Barlow Semi Condensed" w:cs="Barlow Semi Condensed" w:eastAsia="Barlow Semi Condensed" w:hAnsi="Barlow Semi Condensed"/>
          <w:b/>
          <w:bCs/>
          <w:sz w:val="24"/>
          <w:szCs w:val="24"/>
        </w:rPr>
        <w:t xml:space="preserve">L'esito sanzionatorio. L'Oberfinanzdirektion di Kiel archiviò a metà gennaio il procedimento, ritenendo che i documenti forniti non fossero sufficienti a costruire un sommergibile o parti essenziali di esso; non furono comminate nemmeno le sanzioni pecuniarie di cinquantamila marchi inizialmente prospettate.</w:t>
      </w:r>
    </w:p>
    <w:p>
      <w:pPr>
        <w:spacing w:after="120" w:line="276"/>
        <w:jc w:val="both"/>
      </w:pPr>
      <w:r>
        <w:rPr>
          <w:rFonts w:ascii="Barlow Semi Condensed" w:cs="Barlow Semi Condensed" w:eastAsia="Barlow Semi Condensed" w:hAnsi="Barlow Semi Condensed"/>
          <w:b/>
          <w:bCs/>
          <w:sz w:val="24"/>
          <w:szCs w:val="24"/>
        </w:rPr>
        <w:t xml:space="preserve">Il ruolo di Strauß va enunciato con la cautela che le fonti stesse impongono. Le fonti giornalistiche riferiscono che Strauß, in occasione di una visita in Sudafrica, si sarebbe impegnato a favore della fornitura; ma la ricostruzione più cauta riconosce che ciò che realmente avvenne non fu mai chiarito completamente e offre ancora oggi molto spazio a speculazioni.</w:t>
      </w:r>
    </w:p>
    <w:p>
      <w:pPr>
        <w:spacing w:after="120" w:line="276"/>
        <w:jc w:val="both"/>
      </w:pPr>
      <w:r>
        <w:rPr>
          <w:rFonts w:ascii="Barlow Semi Condensed" w:cs="Barlow Semi Condensed" w:eastAsia="Barlow Semi Condensed" w:hAnsi="Barlow Semi Condensed"/>
          <w:b/>
          <w:bCs/>
          <w:sz w:val="24"/>
          <w:szCs w:val="24"/>
        </w:rPr>
        <w:t xml:space="preserve">Ne discende la ripartizione che il metodo impone. Documentato: la fornitura non autorizzata di progetti e l'esito inconcludente dell'inchiesta. Allegato e non provato: la catena di responsabilità politiche ai massimi livelli, e l'entità e destinazione dei pagamenti.</w:t>
      </w:r>
    </w:p>
    <w:p>
      <w:pPr>
        <w:spacing w:after="120" w:line="276"/>
        <w:jc w:val="both"/>
      </w:pPr>
      <w:r>
        <w:rPr>
          <w:rFonts w:ascii="Barlow Semi Condensed" w:cs="Barlow Semi Condensed" w:eastAsia="Barlow Semi Condensed" w:hAnsi="Barlow Semi Condensed"/>
          <w:b/>
          <w:bCs/>
          <w:sz w:val="24"/>
          <w:szCs w:val="24"/>
        </w:rPr>
        <w:t xml:space="preserve">Le presunte provvigioni vanno riportate come oggetto di indagine e di contestazione, non come fatto accertato.</w:t>
      </w:r>
    </w:p>
    <w:p>
      <w:pPr>
        <w:pStyle w:val="Heading2"/>
        <w:spacing w:after="100" w:before="200"/>
      </w:pPr>
      <w:r>
        <w:rPr>
          <w:rFonts w:ascii="Barlow Semi Condensed" w:cs="Barlow Semi Condensed" w:eastAsia="Barlow Semi Condensed" w:hAnsi="Barlow Semi Condensed"/>
          <w:sz w:val="24"/>
          <w:szCs w:val="24"/>
        </w:rPr>
        <w:t xml:space="preserve">Capitolo ottavo — Il nucleare: che cosa gli archivi confermano e che cosa smentiscono</w:t>
      </w:r>
    </w:p>
    <w:p>
      <w:pPr>
        <w:spacing w:after="120" w:line="276"/>
        <w:jc w:val="both"/>
      </w:pPr>
      <w:r>
        <w:rPr>
          <w:rFonts w:ascii="Barlow Semi Condensed" w:cs="Barlow Semi Condensed" w:eastAsia="Barlow Semi Condensed" w:hAnsi="Barlow Semi Condensed"/>
          <w:b/>
          <w:bCs/>
          <w:sz w:val="24"/>
          <w:szCs w:val="24"/>
        </w:rPr>
        <w:t xml:space="preserve">Il capitolo distingue il documentato dall'allegato in una materia dove la distinzione è particolarmente difficile.</w:t>
      </w:r>
    </w:p>
    <w:p>
      <w:pPr>
        <w:spacing w:after="120" w:line="276"/>
        <w:jc w:val="both"/>
      </w:pPr>
      <w:r>
        <w:rPr>
          <w:rFonts w:ascii="Barlow Semi Condensed" w:cs="Barlow Semi Condensed" w:eastAsia="Barlow Semi Condensed" w:hAnsi="Barlow Semi Condensed"/>
          <w:b/>
          <w:bCs/>
          <w:sz w:val="24"/>
          <w:szCs w:val="24"/>
        </w:rPr>
        <w:t xml:space="preserve">I fatti sudafricani, con le date. Il 20 luglio 1970 il primo ministro John Vorster annunciò al Parlamento che il Sudafrica era in grado di arricchire l'uranio mediante un processo proprio, il processo di separazione a vortice Helikon, basato su un ugello. La Uranium Enrichment Corporation fu costituita per costruire l'impianto pilota presso un sito adiacente a Pelindaba chiamato Valindaba — parola zulu che significa di questo non parliamo affatto — noto anche come Y-Plant.</w:t>
      </w:r>
    </w:p>
    <w:p>
      <w:pPr>
        <w:spacing w:after="120" w:line="276"/>
        <w:jc w:val="both"/>
      </w:pPr>
      <w:r>
        <w:rPr>
          <w:rFonts w:ascii="Barlow Semi Condensed" w:cs="Barlow Semi Condensed" w:eastAsia="Barlow Semi Condensed" w:hAnsi="Barlow Semi Condensed"/>
          <w:b/>
          <w:bCs/>
          <w:sz w:val="24"/>
          <w:szCs w:val="24"/>
        </w:rPr>
        <w:t xml:space="preserve">La costruzione iniziò nell'agosto 1971, l'impianto divenne operativo nel maggio 1975, iniziò a produrre uranio altamente arricchito nel 1978, fu chiuso per quasi due anni dopo un incidente del 1979, tornò in produzione nel 1981 e fu definitivamente chiuso e smantellato il 1 febbraio 1990.</w:t>
      </w:r>
    </w:p>
    <w:p>
      <w:pPr>
        <w:spacing w:after="120" w:line="276"/>
        <w:jc w:val="both"/>
      </w:pPr>
      <w:r>
        <w:rPr>
          <w:rFonts w:ascii="Barlow Semi Condensed" w:cs="Barlow Semi Condensed" w:eastAsia="Barlow Semi Condensed" w:hAnsi="Barlow Semi Condensed"/>
          <w:b/>
          <w:bCs/>
          <w:sz w:val="24"/>
          <w:szCs w:val="24"/>
        </w:rPr>
        <w:t xml:space="preserve">Il contributo tedesco documentato. Il processo Helikon era variante del metodo sviluppato dal professor Erwin Willy Becker presso il centro di ricerca di Karlsruhe. La società Steinkohlen-Elektrizität, secondo Thomas B. Cochran in \Science and Global Security\ del 1993, agevolò il trasferimento del processo tedesco ai sudafricani; l'Institute for Science and International Security precisa, su documenti, che essa fornì al Sudafrica il proprio processo segreto a ugello e che intendeva concedere alla corporazione sudafricana un'opzione per una sub-licenza di fabbricazione.</w:t>
      </w:r>
    </w:p>
    <w:p>
      <w:pPr>
        <w:spacing w:after="120" w:line="276"/>
        <w:jc w:val="both"/>
      </w:pPr>
      <w:r>
        <w:rPr>
          <w:rFonts w:ascii="Barlow Semi Condensed" w:cs="Barlow Semi Condensed" w:eastAsia="Barlow Semi Condensed" w:hAnsi="Barlow Semi Condensed"/>
          <w:b/>
          <w:bCs/>
          <w:sz w:val="24"/>
          <w:szCs w:val="24"/>
        </w:rPr>
        <w:t xml:space="preserve">Una cautela sulla provenienza va apposta, ed è sostanziale: la base documentale primaria risale in parte agli stessi documenti resi noti dai dossier dell'African National Congress.</w:t>
      </w:r>
    </w:p>
    <w:p>
      <w:pPr>
        <w:spacing w:after="120" w:line="276"/>
        <w:jc w:val="both"/>
      </w:pPr>
      <w:r>
        <w:rPr>
          <w:rFonts w:ascii="Barlow Semi Condensed" w:cs="Barlow Semi Condensed" w:eastAsia="Barlow Semi Condensed" w:hAnsi="Barlow Semi Condensed"/>
          <w:b/>
          <w:bCs/>
          <w:sz w:val="24"/>
          <w:szCs w:val="24"/>
        </w:rPr>
        <w:t xml:space="preserve">La genealogia di quei documenti. Secondo Tom Vaughan dell'Università di Aberystwyth, i documenti su cui poggia \The Nuclear Axis\ di Zdenek Červenka e Barbara Rogers, pubblicato nel 1978, furono ottenuti da personale dell'African National Congress presso l'ambasciata sudafricana nella Germania Federale, apparentemente smarriti durante un trasloco.</w:t>
      </w:r>
    </w:p>
    <w:p>
      <w:pPr>
        <w:spacing w:after="120" w:line="276"/>
        <w:jc w:val="both"/>
      </w:pPr>
      <w:r>
        <w:rPr>
          <w:rFonts w:ascii="Barlow Semi Condensed" w:cs="Barlow Semi Condensed" w:eastAsia="Barlow Semi Condensed" w:hAnsi="Barlow Semi Condensed"/>
          <w:b/>
          <w:bCs/>
          <w:sz w:val="24"/>
          <w:szCs w:val="24"/>
        </w:rPr>
        <w:t xml:space="preserve">E adesso il vaglio di Vaughan, che è severo e va riportato in entrambe le direzioni.</w:t>
      </w:r>
    </w:p>
    <w:p>
      <w:pPr>
        <w:spacing w:after="120" w:line="276"/>
        <w:jc w:val="both"/>
      </w:pPr>
      <w:r>
        <w:rPr>
          <w:rFonts w:ascii="Barlow Semi Condensed" w:cs="Barlow Semi Condensed" w:eastAsia="Barlow Semi Condensed" w:hAnsi="Barlow Semi Condensed"/>
          <w:b/>
          <w:bCs/>
          <w:sz w:val="24"/>
          <w:szCs w:val="24"/>
        </w:rPr>
        <w:t xml:space="preserve">A favore: l'opera è una pietra miliare, e l'indizio più evidente della cooperazione era la somiglianza fra il processo di arricchimento Helikon apparentemente indigeno del Sudafrica e il processo a ugello sviluppato dall'équipe di Becker a Karlsruhe.</w:t>
      </w:r>
    </w:p>
    <w:p>
      <w:pPr>
        <w:spacing w:after="120" w:line="276"/>
        <w:jc w:val="both"/>
      </w:pPr>
      <w:r>
        <w:rPr>
          <w:rFonts w:ascii="Barlow Semi Condensed" w:cs="Barlow Semi Condensed" w:eastAsia="Barlow Semi Condensed" w:hAnsi="Barlow Semi Condensed"/>
          <w:b/>
          <w:bCs/>
          <w:sz w:val="24"/>
          <w:szCs w:val="24"/>
        </w:rPr>
        <w:t xml:space="preserve">Contro\\: \\la loro affermazione stravagante secondo cui la Germania Federale avrebbe potuto cercare di ottenere fisicamente testate nucleari dal Sudafrica si è rivelata fuorviante.</w:t>
      </w:r>
    </w:p>
    <w:p>
      <w:pPr>
        <w:spacing w:after="120" w:line="276"/>
        <w:jc w:val="both"/>
      </w:pPr>
      <w:r>
        <w:rPr>
          <w:rFonts w:ascii="Barlow Semi Condensed" w:cs="Barlow Semi Condensed" w:eastAsia="Barlow Semi Condensed" w:hAnsi="Barlow Semi Condensed"/>
          <w:b/>
          <w:bCs/>
          <w:sz w:val="24"/>
          <w:szCs w:val="24"/>
        </w:rPr>
        <w:t xml:space="preserve">Vaughan avverte inoltre che tali resoconti sono di qualità e livello di dettaglio alquanto disomogenei e che la loro attendibilità va valutata criticamente.</w:t>
      </w:r>
    </w:p>
    <w:p>
      <w:pPr>
        <w:spacing w:after="120" w:line="276"/>
        <w:jc w:val="both"/>
      </w:pPr>
      <w:r>
        <w:rPr>
          <w:rFonts w:ascii="Barlow Semi Condensed" w:cs="Barlow Semi Condensed" w:eastAsia="Barlow Semi Condensed" w:hAnsi="Barlow Semi Condensed"/>
          <w:b/>
          <w:bCs/>
          <w:sz w:val="24"/>
          <w:szCs w:val="24"/>
        </w:rPr>
        <w:t xml:space="preserve">La collocazione della storiografia recente fondata su archivi. Robin Möser, con \Disarming Apartheid\ per la Cambridge University Press del 2024 e con l'articolo \A Fly in the Ointment\ in \Cold War History\, volume venticinquesimo numero primo del 2025, ricostruisce la rete nucleare transnazionale sudafricana su documenti sudafricani, britannici, austriaci e tedeschi, mostrando negoziati paralleli con imprese francesi e tedesche.</w:t>
      </w:r>
    </w:p>
    <w:p>
      <w:pPr>
        <w:spacing w:after="120" w:line="276"/>
        <w:jc w:val="both"/>
      </w:pPr>
      <w:r>
        <w:rPr>
          <w:rFonts w:ascii="Barlow Semi Condensed" w:cs="Barlow Semi Condensed" w:eastAsia="Barlow Semi Condensed" w:hAnsi="Barlow Semi Condensed"/>
          <w:b/>
          <w:bCs/>
          <w:sz w:val="24"/>
          <w:szCs w:val="24"/>
        </w:rPr>
        <w:t xml:space="preserve">Ne discende la ripartizione finale. Documentato: il trasferimento del metodo di arricchimento tramite la società tedesca, e i negoziati con imprese di due Paesi. Smentito dalla storiografia d'archivio: l'asse nucleare finalizzato all'acquisizione tedesca di testate.</w:t>
      </w:r>
    </w:p>
    <w:p>
      <w:pPr>
        <w:spacing w:after="120" w:line="276"/>
        <w:jc w:val="both"/>
      </w:pPr>
      <w:r>
        <w:rPr>
          <w:rFonts w:ascii="Barlow Semi Condensed" w:cs="Barlow Semi Condensed" w:eastAsia="Barlow Semi Condensed" w:hAnsi="Barlow Semi Condensed"/>
          <w:b/>
          <w:bCs/>
          <w:sz w:val="24"/>
          <w:szCs w:val="24"/>
        </w:rPr>
        <w:t xml:space="preserve">La cooperazione fu commerciale e scientifica dentro una rete transnazionale, non un complotto bilaterale orientato all'arma.</w:t>
      </w:r>
    </w:p>
    <w:p>
      <w:pPr>
        <w:pStyle w:val="Heading2"/>
        <w:spacing w:after="100" w:before="200"/>
      </w:pPr>
      <w:r>
        <w:rPr>
          <w:rFonts w:ascii="Barlow Semi Condensed" w:cs="Barlow Semi Condensed" w:eastAsia="Barlow Semi Condensed" w:hAnsi="Barlow Semi Condensed"/>
          <w:sz w:val="24"/>
          <w:szCs w:val="24"/>
        </w:rPr>
        <w:t xml:space="preserve">Capitolo nono — I servizi: esito prevalentemente negativo</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 la materia richiede la massima severità e le fonti primarie mancano.</w:t>
      </w:r>
    </w:p>
    <w:p>
      <w:pPr>
        <w:spacing w:after="120" w:line="276"/>
        <w:jc w:val="both"/>
      </w:pPr>
      <w:r>
        <w:rPr>
          <w:rFonts w:ascii="Barlow Semi Condensed" w:cs="Barlow Semi Condensed" w:eastAsia="Barlow Semi Condensed" w:hAnsi="Barlow Semi Condensed"/>
          <w:b/>
          <w:bCs/>
          <w:sz w:val="24"/>
          <w:szCs w:val="24"/>
        </w:rPr>
        <w:t xml:space="preserve">La ragione della severità va richiamata. La serie ha già accertato, all'undicesima ricognizione, la genealogia di una connessione falsa in materia contigua, e la pubblicistica su questi temi è abbondante e spesso priva di riscontri.</w:t>
      </w:r>
    </w:p>
    <w:p>
      <w:pPr>
        <w:spacing w:after="120" w:line="276"/>
        <w:jc w:val="both"/>
      </w:pPr>
      <w:r>
        <w:rPr>
          <w:rFonts w:ascii="Barlow Semi Condensed" w:cs="Barlow Semi Condensed" w:eastAsia="Barlow Semi Condensed" w:hAnsi="Barlow Semi Condensed"/>
          <w:b/>
          <w:bCs/>
          <w:sz w:val="24"/>
          <w:szCs w:val="24"/>
        </w:rPr>
        <w:t xml:space="preserve">Ciò che si è reperito. Una voce enciclopedica in lingua tedesca — fonte terziaria, da verificare — afferma che il servizio sudafricano intratteneva intensi contatti di intelligence con alcuni Stati europei, e riferisce un episodio puntuale: nei primi anni Ottanta l'allora capo del Bundesnachrichtendienst Klaus Kinkel, nel corso di una visita ufficiale, incontrò Pieter Willem Botha nel Verwoerd Building a Città del Capo, con colloqui anche con il capo del servizio Niël Barnard.</w:t>
      </w:r>
    </w:p>
    <w:p>
      <w:pPr>
        <w:spacing w:after="120" w:line="276"/>
        <w:jc w:val="both"/>
      </w:pPr>
      <w:r>
        <w:rPr>
          <w:rFonts w:ascii="Barlow Semi Condensed" w:cs="Barlow Semi Condensed" w:eastAsia="Barlow Semi Condensed" w:hAnsi="Barlow Semi Condensed"/>
          <w:b/>
          <w:bCs/>
          <w:sz w:val="24"/>
          <w:szCs w:val="24"/>
        </w:rPr>
        <w:t xml:space="preserve">La medesima fonte afferma che il servizio tedesco aveva sostenuto in modo ampio la formazione del personale sudafricano nel campo della protezione delle persone, e che i tedeschi ne ricavavano informazioni sensibili dall'Africa mentre i sudafricani ottenevano preziose istruzioni sugli Stati del blocco orientale e in particolare sulle attività della Repubblica Democratica Tedesca.</w:t>
      </w:r>
    </w:p>
    <w:p>
      <w:pPr>
        <w:spacing w:after="120" w:line="276"/>
        <w:jc w:val="both"/>
      </w:pPr>
      <w:r>
        <w:rPr>
          <w:rFonts w:ascii="Barlow Semi Condensed" w:cs="Barlow Semi Condensed" w:eastAsia="Barlow Semi Condensed" w:hAnsi="Barlow Semi Condensed"/>
          <w:b/>
          <w:bCs/>
          <w:sz w:val="24"/>
          <w:szCs w:val="24"/>
        </w:rPr>
        <w:t xml:space="preserve">Tre ragioni impongono estrema prudenza, e vanno enunciate.</w:t>
      </w:r>
    </w:p>
    <w:p>
      <w:pPr>
        <w:spacing w:after="120" w:line="276"/>
        <w:jc w:val="both"/>
      </w:pPr>
      <w:r>
        <w:rPr>
          <w:rFonts w:ascii="Barlow Semi Condensed" w:cs="Barlow Semi Condensed" w:eastAsia="Barlow Semi Condensed" w:hAnsi="Barlow Semi Condensed"/>
          <w:b/>
          <w:bCs/>
          <w:sz w:val="24"/>
          <w:szCs w:val="24"/>
        </w:rPr>
        <w:t xml:space="preserve">Prima: si tratta di fonte terziaria, non di documentazione archivistica primaria né di studio sottoposto a revisione paritaria.</w:t>
      </w:r>
    </w:p>
    <w:p>
      <w:pPr>
        <w:spacing w:after="120" w:line="276"/>
        <w:jc w:val="both"/>
      </w:pPr>
      <w:r>
        <w:rPr>
          <w:rFonts w:ascii="Barlow Semi Condensed" w:cs="Barlow Semi Condensed" w:eastAsia="Barlow Semi Condensed" w:hAnsi="Barlow Semi Condensed"/>
          <w:b/>
          <w:bCs/>
          <w:sz w:val="24"/>
          <w:szCs w:val="24"/>
        </w:rPr>
        <w:t xml:space="preserve">Seconda: l'episodio, se autentico, documenterebbe un contatto ai vertici e una cooperazione addestrativa, ma non necessariamente un'operatività congiunta contro i movimenti di liberazione. La contemporaneità e il contatto non provano una condotta specifica.</w:t>
      </w:r>
    </w:p>
    <w:p>
      <w:pPr>
        <w:spacing w:after="120" w:line="276"/>
        <w:jc w:val="both"/>
      </w:pPr>
      <w:r>
        <w:rPr>
          <w:rFonts w:ascii="Barlow Semi Condensed" w:cs="Barlow Semi Condensed" w:eastAsia="Barlow Semi Condensed" w:hAnsi="Barlow Semi Condensed"/>
          <w:b/>
          <w:bCs/>
          <w:sz w:val="24"/>
          <w:szCs w:val="24"/>
        </w:rPr>
        <w:t xml:space="preserve">Terza: i servizi sudafricani dell'epoca sono oggetto di una pubblicistica romanzata e sensazionalistica, che le recensioni accademiche segnalano come commistione fra intrigo e buffoneria.</w:t>
      </w:r>
    </w:p>
    <w:p>
      <w:pPr>
        <w:spacing w:after="120" w:line="276"/>
        <w:jc w:val="both"/>
      </w:pPr>
      <w:r>
        <w:rPr>
          <w:rFonts w:ascii="Barlow Semi Condensed" w:cs="Barlow Semi Condensed" w:eastAsia="Barlow Semi Condensed" w:hAnsi="Barlow Semi Condensed"/>
          <w:b/>
          <w:bCs/>
          <w:sz w:val="24"/>
          <w:szCs w:val="24"/>
        </w:rPr>
        <w:t xml:space="preserve">L'esito, formulato.\\ \\Non è stata reperita documentazione d'archivio con segnatura che attesti rapporti operativi fra il servizio tedesco e quelli sudafricani.</w:t>
      </w:r>
    </w:p>
    <w:p>
      <w:pPr>
        <w:spacing w:after="120" w:line="276"/>
        <w:jc w:val="both"/>
      </w:pPr>
      <w:r>
        <w:rPr>
          <w:rFonts w:ascii="Barlow Semi Condensed" w:cs="Barlow Semi Condensed" w:eastAsia="Barlow Semi Condensed" w:hAnsi="Barlow Semi Condensed"/>
          <w:b/>
          <w:bCs/>
          <w:sz w:val="24"/>
          <w:szCs w:val="24"/>
        </w:rPr>
        <w:t xml:space="preserve">Ragionevolmente attestato per il tramite di fonti terziarie: l'esistenza di contatti ai vertici e di un pregresso sostegno addestrativo.</w:t>
      </w:r>
    </w:p>
    <w:p>
      <w:pPr>
        <w:spacing w:after="120" w:line="276"/>
        <w:jc w:val="both"/>
      </w:pPr>
      <w:r>
        <w:rPr>
          <w:rFonts w:ascii="Barlow Semi Condensed" w:cs="Barlow Semi Condensed" w:eastAsia="Barlow Semi Condensed" w:hAnsi="Barlow Semi Condensed"/>
          <w:b/>
          <w:bCs/>
          <w:sz w:val="24"/>
          <w:szCs w:val="24"/>
        </w:rPr>
        <w:t xml:space="preserve">Allegato e non sostenuto: qualsiasi cooperazione operativa congiunta contro i movimenti di liberazione.</w:t>
      </w:r>
    </w:p>
    <w:p>
      <w:pPr>
        <w:spacing w:after="120" w:line="276"/>
        <w:jc w:val="both"/>
      </w:pPr>
      <w:r>
        <w:rPr>
          <w:rFonts w:ascii="Barlow Semi Condensed" w:cs="Barlow Semi Condensed" w:eastAsia="Barlow Semi Condensed" w:hAnsi="Barlow Semi Condensed"/>
          <w:b/>
          <w:bCs/>
          <w:sz w:val="24"/>
          <w:szCs w:val="24"/>
        </w:rPr>
        <w:t xml:space="preserve">Le sedi. Sul versante tedesco, l'archivio storico del servizio e il Bundesarchiv; sul versante sudafricano, gli atti della Commissione per la verità e la riconciliazione e gli archivi nazionali di Pretoria.</w:t>
      </w:r>
    </w:p>
    <w:p>
      <w:pPr>
        <w:spacing w:after="120" w:line="276"/>
        <w:jc w:val="both"/>
      </w:pPr>
      <w:r>
        <w:rPr>
          <w:rFonts w:ascii="Barlow Semi Condensed" w:cs="Barlow Semi Condensed" w:eastAsia="Barlow Semi Condensed" w:hAnsi="Barlow Semi Condensed"/>
          <w:b/>
          <w:bCs/>
          <w:sz w:val="24"/>
          <w:szCs w:val="24"/>
        </w:rPr>
        <w:t xml:space="preserve">La condizione di chiusura è la declassificazione, e il regime di segreto tuttora vigente rende l'accertamento pieno improbabile allo stato.</w:t>
      </w:r>
    </w:p>
    <w:p>
      <w:pPr>
        <w:pStyle w:val="Heading2"/>
        <w:spacing w:after="100" w:before="200"/>
      </w:pPr>
      <w:r>
        <w:rPr>
          <w:rFonts w:ascii="Barlow Semi Condensed" w:cs="Barlow Semi Condensed" w:eastAsia="Barlow Semi Condensed" w:hAnsi="Barlow Semi Condensed"/>
          <w:sz w:val="24"/>
          <w:szCs w:val="24"/>
        </w:rPr>
        <w:t xml:space="preserve">Capitolo decimo — Baviera, CSU, e lo scarto rispetto a Bonn</w:t>
      </w:r>
    </w:p>
    <w:p>
      <w:pPr>
        <w:spacing w:after="120" w:line="276"/>
        <w:jc w:val="both"/>
      </w:pPr>
      <w:r>
        <w:rPr>
          <w:rFonts w:ascii="Barlow Semi Condensed" w:cs="Barlow Semi Condensed" w:eastAsia="Barlow Semi Condensed" w:hAnsi="Barlow Semi Condensed"/>
          <w:b/>
          <w:bCs/>
          <w:sz w:val="24"/>
          <w:szCs w:val="24"/>
        </w:rPr>
        <w:t xml:space="preserve">Il capitolo chiude due voci che due ricognizioni anteriori avevano dichiarato non accertate.</w:t>
      </w:r>
    </w:p>
    <w:p>
      <w:pPr>
        <w:spacing w:after="120" w:line="276"/>
        <w:jc w:val="both"/>
      </w:pPr>
      <w:r>
        <w:rPr>
          <w:rFonts w:ascii="Barlow Semi Condensed" w:cs="Barlow Semi Condensed" w:eastAsia="Barlow Semi Condensed" w:hAnsi="Barlow Semi Condensed"/>
          <w:b/>
          <w:bCs/>
          <w:sz w:val="24"/>
          <w:szCs w:val="24"/>
        </w:rPr>
        <w:t xml:space="preserve">Prima voce chiusa: la posizione della Christlich-Soziale Union sulle sanzioni. Lo studio di Klaus von der Ropp del 2009 — autore egli stesso figura interna a quel dibattito, il che impone cautela — afferma che sotto la guida del qui straordinariamente impegnato Franz Josef Strauß, la CSU non perorava l'abolizione bensì la modificazione fondamentale dell'apartheid.</w:t>
      </w:r>
    </w:p>
    <w:p>
      <w:pPr>
        <w:spacing w:after="120" w:line="276"/>
        <w:jc w:val="both"/>
      </w:pPr>
      <w:r>
        <w:rPr>
          <w:rFonts w:ascii="Barlow Semi Condensed" w:cs="Barlow Semi Condensed" w:eastAsia="Barlow Semi Condensed" w:hAnsi="Barlow Semi Condensed"/>
          <w:b/>
          <w:bCs/>
          <w:sz w:val="24"/>
          <w:szCs w:val="24"/>
        </w:rPr>
        <w:t xml:space="preserve">E il dato che misura la distanza fra i due partiti dell'Unione va enunciato perché è notevole. Su questo terreno le divergenze fra CDU e CSU furono tali da far fallire l'adozione della piattaforma elettorale comune prima delle elezioni federali del 1987; alla CDU le rappresentazioni della CSU apparivano eccessive.</w:t>
      </w:r>
    </w:p>
    <w:p>
      <w:pPr>
        <w:spacing w:after="120" w:line="276"/>
        <w:jc w:val="both"/>
      </w:pPr>
      <w:r>
        <w:rPr>
          <w:rFonts w:ascii="Barlow Semi Condensed" w:cs="Barlow Semi Condensed" w:eastAsia="Barlow Semi Condensed" w:hAnsi="Barlow Semi Condensed"/>
          <w:b/>
          <w:bCs/>
          <w:sz w:val="24"/>
          <w:szCs w:val="24"/>
        </w:rPr>
        <w:t xml:space="preserve">Ne discende che il tema sudafricano fu uno dei punti su cui l'Unione non riuscì a presentarsi unita, e questo è il miglior indicatore disponibile dello scarto.</w:t>
      </w:r>
    </w:p>
    <w:p>
      <w:pPr>
        <w:spacing w:after="120" w:line="276"/>
        <w:jc w:val="both"/>
      </w:pPr>
      <w:r>
        <w:rPr>
          <w:rFonts w:ascii="Barlow Semi Condensed" w:cs="Barlow Semi Condensed" w:eastAsia="Barlow Semi Condensed" w:hAnsi="Barlow Semi Condensed"/>
          <w:b/>
          <w:bCs/>
          <w:sz w:val="24"/>
          <w:szCs w:val="24"/>
        </w:rPr>
        <w:t xml:space="preserve">Seconda voce chiusa: la Hanns-Seidel-Stiftung in Namibia.\\ La fondazione \\è attiva in Namibia dal 1978 con ufficio a Windhoek\\, secondo la propria dichiarazione e secondo fonte terza; \\dal 1991 opera anche a Johannesburg.</w:t>
      </w:r>
    </w:p>
    <w:p>
      <w:pPr>
        <w:spacing w:after="120" w:line="276"/>
        <w:jc w:val="both"/>
      </w:pPr>
      <w:r>
        <w:rPr>
          <w:rFonts w:ascii="Barlow Semi Condensed" w:cs="Barlow Semi Condensed" w:eastAsia="Barlow Semi Condensed" w:hAnsi="Barlow Semi Condensed"/>
          <w:b/>
          <w:bCs/>
          <w:sz w:val="24"/>
          <w:szCs w:val="24"/>
        </w:rPr>
        <w:t xml:space="preserve">Ma il contenuto puntuale delle attività nel biennio 1978-1980 resta non accertato: le fonti ufficiali descrivono in dettaglio l'attività odierna — consolidamento democratico, buon governo, lotta alla corruzione — ma non offrono un rendiconto storico analitico di quel biennio. Sede di chiusura: l'archivio della fondazione a Monaco e le sue relazioni annuali dell'epoca.</w:t>
      </w:r>
    </w:p>
    <w:p>
      <w:pPr>
        <w:spacing w:after="120" w:line="276"/>
        <w:jc w:val="both"/>
      </w:pPr>
      <w:r>
        <w:rPr>
          <w:rFonts w:ascii="Barlow Semi Condensed" w:cs="Barlow Semi Condensed" w:eastAsia="Barlow Semi Condensed" w:hAnsi="Barlow Semi Condensed"/>
          <w:b/>
          <w:bCs/>
          <w:sz w:val="24"/>
          <w:szCs w:val="24"/>
        </w:rPr>
        <w:t xml:space="preserve">La Deutsch-Südafrikanische Gesellschaft. Descritta come la più grande società bilaterale tedesca, con tremila-cinquemila membri dichiarati, e come spina dorsale organizzativa della lobby sudafricana bianca — definizione attribuita al politico socialdemocratico Günter Verheugen.</w:t>
      </w:r>
    </w:p>
    <w:p>
      <w:pPr>
        <w:spacing w:after="120" w:line="276"/>
        <w:jc w:val="both"/>
      </w:pPr>
      <w:r>
        <w:rPr>
          <w:rFonts w:ascii="Barlow Semi Condensed" w:cs="Barlow Semi Condensed" w:eastAsia="Barlow Semi Condensed" w:hAnsi="Barlow Semi Condensed"/>
          <w:b/>
          <w:bCs/>
          <w:sz w:val="24"/>
          <w:szCs w:val="24"/>
        </w:rPr>
        <w:t xml:space="preserve">Ma von der Ropp precisa un dato che va riportato perché corregge l'impressione: la società e la Deutsche Afrika-Stiftung, vicine ai partiti dell'Unione, nella Bonn politica non hanno mai svolto un ruolo degno di nota, proprio perché i loro rapporti con Pretoria erano troppo stretti.</w:t>
      </w:r>
    </w:p>
    <w:p>
      <w:pPr>
        <w:spacing w:after="120" w:line="276"/>
        <w:jc w:val="both"/>
      </w:pPr>
      <w:r>
        <w:rPr>
          <w:rFonts w:ascii="Barlow Semi Condensed" w:cs="Barlow Semi Condensed" w:eastAsia="Barlow Semi Condensed" w:hAnsi="Barlow Semi Condensed"/>
          <w:b/>
          <w:bCs/>
          <w:sz w:val="24"/>
          <w:szCs w:val="24"/>
        </w:rPr>
        <w:t xml:space="preserve">Un fatto biografico va registrato con la prescrizione che lo governa.\\ Fra i membri del comitato della società figura l'ex ministro bavarese del lavoro della CSU \\Fritz Pirkl\\, il quale fu anche \\primo presidente della Hanns-Seidel-Stiftung.</w:t>
      </w:r>
    </w:p>
    <w:p>
      <w:pPr>
        <w:spacing w:after="120" w:line="276"/>
        <w:jc w:val="both"/>
      </w:pPr>
      <w:r>
        <w:rPr>
          <w:rFonts w:ascii="Barlow Semi Condensed" w:cs="Barlow Semi Condensed" w:eastAsia="Barlow Semi Condensed" w:hAnsi="Barlow Semi Condensed"/>
          <w:b/>
          <w:bCs/>
          <w:sz w:val="24"/>
          <w:szCs w:val="24"/>
        </w:rPr>
        <w:t xml:space="preserve">La doppia appartenenza è fatto pubblico documentato. Ma non prova né una condotta della fondazione né una condotta del partito: l'adesione di una persona a due organizzazioni non è prova di un rapporto istituzionale fra esse.</w:t>
      </w:r>
    </w:p>
    <w:p>
      <w:pPr>
        <w:spacing w:after="120" w:line="276"/>
        <w:jc w:val="both"/>
      </w:pPr>
      <w:r>
        <w:rPr>
          <w:rFonts w:ascii="Barlow Semi Condensed" w:cs="Barlow Semi Condensed" w:eastAsia="Barlow Semi Condensed" w:hAnsi="Barlow Semi Condensed"/>
          <w:b/>
          <w:bCs/>
          <w:sz w:val="24"/>
          <w:szCs w:val="24"/>
        </w:rPr>
        <w:t xml:space="preserve">Se ne dà conto come dato biografico e indizio di prossimità di ambienti, non come prova di nesso operativo.</w:t>
      </w:r>
    </w:p>
    <w:p>
      <w:pPr>
        <w:spacing w:after="120" w:line="276"/>
        <w:jc w:val="both"/>
      </w:pPr>
      <w:r>
        <w:rPr>
          <w:rFonts w:ascii="Barlow Semi Condensed" w:cs="Barlow Semi Condensed" w:eastAsia="Barlow Semi Condensed" w:hAnsi="Barlow Semi Condensed"/>
          <w:b/>
          <w:bCs/>
          <w:sz w:val="24"/>
          <w:szCs w:val="24"/>
        </w:rPr>
        <w:t xml:space="preserve">Un'attribuzione va segnalata come non verificata. Una fonte militante afferma che Strauß rifiutò veementemente nel 1977 al Bundestag il principio un uomo un voto per gli Stati dell'Africa australe. L'affermazione va confermata sui resoconti stenografici del Bundestag dell'ottava legislatura, che è la sede della verifica.</w:t>
      </w:r>
    </w:p>
    <w:p>
      <w:pPr>
        <w:spacing w:after="120" w:line="276"/>
        <w:jc w:val="both"/>
      </w:pPr>
      <w:r>
        <w:rPr>
          <w:rFonts w:ascii="Barlow Semi Condensed" w:cs="Barlow Semi Condensed" w:eastAsia="Barlow Semi Condensed" w:hAnsi="Barlow Semi Condensed"/>
          <w:b/>
          <w:bCs/>
          <w:sz w:val="24"/>
          <w:szCs w:val="24"/>
        </w:rPr>
        <w:t xml:space="preserve">E la cronologia dei viaggi di Strauß in Sudafrica e Namibia resta frammentaria: attestati l'impegno del 1983 sui sommergibili e la visita a Windhoek. L'Archiv für Christlich-Soziale Politik custodisce il lascito Strauß, oltre trecento metri lineari, e registra più di seicento viaggi esteri in sessantatré Stati fra il 1952 e il 1988: è lì che la ricostruzione analitica va condotta.</w:t>
      </w:r>
    </w:p>
    <w:p>
      <w:pPr>
        <w:pStyle w:val="Heading2"/>
        <w:spacing w:after="100" w:before="200"/>
      </w:pPr>
      <w:r>
        <w:rPr>
          <w:rFonts w:ascii="Barlow Semi Condensed" w:cs="Barlow Semi Condensed" w:eastAsia="Barlow Semi Condensed" w:hAnsi="Barlow Semi Condensed"/>
          <w:sz w:val="24"/>
          <w:szCs w:val="24"/>
        </w:rPr>
        <w:t xml:space="preserve">Capitolo undicesimo — Il confronto: nessuna delle due condotte fu lineare</w:t>
      </w:r>
    </w:p>
    <w:p>
      <w:pPr>
        <w:spacing w:after="120" w:line="276"/>
        <w:jc w:val="both"/>
      </w:pPr>
      <w:r>
        <w:rPr>
          <w:rFonts w:ascii="Barlow Semi Condensed" w:cs="Barlow Semi Condensed" w:eastAsia="Barlow Semi Condensed" w:hAnsi="Barlow Semi Condensed"/>
          <w:b/>
          <w:bCs/>
          <w:sz w:val="24"/>
          <w:szCs w:val="24"/>
        </w:rPr>
        <w:t xml:space="preserve">Il capitolo esegue la triangolazione, e ne trae il risultato che rovescia la lettura semplice.</w:t>
      </w:r>
    </w:p>
    <w:p>
      <w:pPr>
        <w:spacing w:after="120" w:line="276"/>
        <w:jc w:val="both"/>
      </w:pPr>
      <w:r>
        <w:rPr>
          <w:rFonts w:ascii="Barlow Semi Condensed" w:cs="Barlow Semi Condensed" w:eastAsia="Barlow Semi Condensed" w:hAnsi="Barlow Semi Condensed"/>
          <w:b/>
          <w:bCs/>
          <w:sz w:val="24"/>
          <w:szCs w:val="24"/>
        </w:rPr>
        <w:t xml:space="preserve">La lettura semplice sarebbe questa: la Germania dentro il consesso negoziale, l'Italia fuori; dunque la Germania impegnata e l'Italia assente. Le fonti la smentiscono.</w:t>
      </w:r>
    </w:p>
    <w:p>
      <w:pPr>
        <w:spacing w:after="120" w:line="276"/>
        <w:jc w:val="both"/>
      </w:pPr>
      <w:r>
        <w:rPr>
          <w:rFonts w:ascii="Barlow Semi Condensed" w:cs="Barlow Semi Condensed" w:eastAsia="Barlow Semi Condensed" w:hAnsi="Barlow Semi Condensed"/>
          <w:b/>
          <w:bCs/>
          <w:sz w:val="24"/>
          <w:szCs w:val="24"/>
        </w:rPr>
        <w:t xml:space="preserve">Il versante tedesco, che complica la propria posizione. Il Washington Post del 16 settembre 1986 documenta che la Comunità europea fallì dopo che la Germania Ovest bloccò l'accordo sulla più sostanziale delle misure proposte, il divieto di importazione del carbone sudafricano.</w:t>
      </w:r>
    </w:p>
    <w:p>
      <w:pPr>
        <w:spacing w:after="120" w:line="276"/>
        <w:jc w:val="both"/>
      </w:pPr>
      <w:r>
        <w:rPr>
          <w:rFonts w:ascii="Barlow Semi Condensed" w:cs="Barlow Semi Condensed" w:eastAsia="Barlow Semi Condensed" w:hAnsi="Barlow Semi Condensed"/>
          <w:b/>
          <w:bCs/>
          <w:sz w:val="24"/>
          <w:szCs w:val="24"/>
        </w:rPr>
        <w:t xml:space="preserve">Le fonti convergenti\\ — il caso di studio del Peterson Institute e gli archivi del movimento anti-apartheid — \\collocano stabilmente la Germania Ovest, con il Regno Unito e il Portogallo, nel campo dei riluttanti.</w:t>
      </w:r>
    </w:p>
    <w:p>
      <w:pPr>
        <w:spacing w:after="120" w:line="276"/>
        <w:jc w:val="both"/>
      </w:pPr>
      <w:r>
        <w:rPr>
          <w:rFonts w:ascii="Barlow Semi Condensed" w:cs="Barlow Semi Condensed" w:eastAsia="Barlow Semi Condensed" w:hAnsi="Barlow Semi Condensed"/>
          <w:b/>
          <w:bCs/>
          <w:sz w:val="24"/>
          <w:szCs w:val="24"/>
        </w:rPr>
        <w:t xml:space="preserve">Ne discende che la Repubblica Federale era dentro il consesso negoziale per ragione di seggio e freno all'inasprimento delle sanzioni per scelta politica ed economica.</w:t>
      </w:r>
    </w:p>
    <w:p>
      <w:pPr>
        <w:spacing w:after="120" w:line="276"/>
        <w:jc w:val="both"/>
      </w:pPr>
      <w:r>
        <w:rPr>
          <w:rFonts w:ascii="Barlow Semi Condensed" w:cs="Barlow Semi Condensed" w:eastAsia="Barlow Semi Condensed" w:hAnsi="Barlow Semi Condensed"/>
          <w:b/>
          <w:bCs/>
          <w:sz w:val="24"/>
          <w:szCs w:val="24"/>
        </w:rPr>
        <w:t xml:space="preserve">Il versante italiano, che complica la propria in direzione opposta. Le stesse fonti non collocano l'Italia né fra i bloccanti né fra i falchi: essa seguiva la posizione comune europea senza guidarla.</w:t>
      </w:r>
    </w:p>
    <w:p>
      <w:pPr>
        <w:spacing w:after="120" w:line="276"/>
        <w:jc w:val="both"/>
      </w:pPr>
      <w:r>
        <w:rPr>
          <w:rFonts w:ascii="Barlow Semi Condensed" w:cs="Barlow Semi Condensed" w:eastAsia="Barlow Semi Condensed" w:hAnsi="Barlow Semi Condensed"/>
          <w:b/>
          <w:bCs/>
          <w:sz w:val="24"/>
          <w:szCs w:val="24"/>
        </w:rPr>
        <w:t xml:space="preserve">Un indizio concreto proviene per via indiretta e va riportato perché è eloquente. La comunità italiana in Sudafrica, stimata attorno alle centomila persone, manifestò irritazione per la politica della Comunità europea in generale e dell'Italia in particolare, per l'appoggio all'embargo anti-sudafricano.</w:t>
      </w:r>
    </w:p>
    <w:p>
      <w:pPr>
        <w:spacing w:after="120" w:line="276"/>
        <w:jc w:val="both"/>
      </w:pPr>
      <w:r>
        <w:rPr>
          <w:rFonts w:ascii="Barlow Semi Condensed" w:cs="Barlow Semi Condensed" w:eastAsia="Barlow Semi Condensed" w:hAnsi="Barlow Semi Condensed"/>
          <w:b/>
          <w:bCs/>
          <w:sz w:val="24"/>
          <w:szCs w:val="24"/>
        </w:rPr>
        <w:t xml:space="preserve">L'Italia appoggiò l'embargo abbastanza da irritare i propri emigrati.</w:t>
      </w:r>
    </w:p>
    <w:p>
      <w:pPr>
        <w:spacing w:after="120" w:line="276"/>
        <w:jc w:val="both"/>
      </w:pPr>
      <w:r>
        <w:rPr>
          <w:rFonts w:ascii="Barlow Semi Condensed" w:cs="Barlow Semi Condensed" w:eastAsia="Barlow Semi Condensed" w:hAnsi="Barlow Semi Condensed"/>
          <w:b/>
          <w:bCs/>
          <w:sz w:val="24"/>
          <w:szCs w:val="24"/>
        </w:rPr>
        <w:t xml:space="preserve">Sul piano interno è documentata la costituzione, nel gennaio 1985, del Coordinamento Nazionale contro l'Apartheid in Sudafrica, e la presentazione alla Camera, il 10 ottobre 1989, di un progetto di legge di iniziativa popolare intitolato Sanzioni contro il regime di apartheid nella Repubblica del Sudafrica, corrispondente a cinquantamila firme raccolte.</w:t>
      </w:r>
    </w:p>
    <w:p>
      <w:pPr>
        <w:spacing w:after="120" w:line="276"/>
        <w:jc w:val="both"/>
      </w:pPr>
      <w:r>
        <w:rPr>
          <w:rFonts w:ascii="Barlow Semi Condensed" w:cs="Barlow Semi Condensed" w:eastAsia="Barlow Semi Condensed" w:hAnsi="Barlow Semi Condensed"/>
          <w:b/>
          <w:bCs/>
          <w:sz w:val="24"/>
          <w:szCs w:val="24"/>
        </w:rPr>
        <w:t xml:space="preserve">Ma il canale industriale-militare italiano resta, e la quindicesima ricognizione lo ha accertato: licenza Aermacchi del 1964, produzione dal 1966, quaranta velivoli di costruzione italiana seguiti da circa centoventicinque costruiti localmente, motori Viper inizialmente forniti dalla Piaggio e poi assemblati dall'Atlas da kit Piaggio, per trecentotrentaquattro unità prodotte in Sudafrica su cinquemilasettecentoventisette complessive.</w:t>
      </w:r>
    </w:p>
    <w:p>
      <w:pPr>
        <w:spacing w:after="120" w:line="276"/>
        <w:jc w:val="both"/>
      </w:pPr>
      <w:r>
        <w:rPr>
          <w:rFonts w:ascii="Barlow Semi Condensed" w:cs="Barlow Semi Condensed" w:eastAsia="Barlow Semi Condensed" w:hAnsi="Barlow Semi Condensed"/>
          <w:b/>
          <w:bCs/>
          <w:sz w:val="24"/>
          <w:szCs w:val="24"/>
        </w:rPr>
        <w:t xml:space="preserve">Ne discende la simmetria istruttiva che è il risultato del capitolo.</w:t>
      </w:r>
    </w:p>
    <w:p>
      <w:pPr>
        <w:spacing w:after="120" w:line="276"/>
        <w:jc w:val="both"/>
      </w:pPr>
      <w:r>
        <w:rPr>
          <w:rFonts w:ascii="Barlow Semi Condensed" w:cs="Barlow Semi Condensed" w:eastAsia="Barlow Semi Condensed" w:hAnsi="Barlow Semi Condensed"/>
          <w:b/>
          <w:bCs/>
          <w:sz w:val="24"/>
          <w:szCs w:val="24"/>
        </w:rPr>
        <w:t xml:space="preserve">La Repubblica Federale: dentro il consesso per ragione di seggio, freno alle sanzioni per scelta, coinvolta attraverso imprese nei sommergibili e nel trasferimento del metodo di arricchimento.</w:t>
      </w:r>
    </w:p>
    <w:p>
      <w:pPr>
        <w:spacing w:after="120" w:line="276"/>
        <w:jc w:val="both"/>
      </w:pPr>
      <w:r>
        <w:rPr>
          <w:rFonts w:ascii="Barlow Semi Condensed" w:cs="Barlow Semi Condensed" w:eastAsia="Barlow Semi Condensed" w:hAnsi="Barlow Semi Condensed"/>
          <w:b/>
          <w:bCs/>
          <w:sz w:val="24"/>
          <w:szCs w:val="24"/>
        </w:rPr>
        <w:t xml:space="preserve">L'Italia: fuori dal consesso per ragione di seggio, allineata alle sanzioni senza guidarle, presente sul terreno attraverso il canale industriale dell'Impala.</w:t>
      </w:r>
    </w:p>
    <w:p>
      <w:pPr>
        <w:spacing w:after="120" w:line="276"/>
        <w:jc w:val="both"/>
      </w:pPr>
      <w:r>
        <w:rPr>
          <w:rFonts w:ascii="Barlow Semi Condensed" w:cs="Barlow Semi Condensed" w:eastAsia="Barlow Semi Condensed" w:hAnsi="Barlow Semi Condensed"/>
          <w:b/>
          <w:bCs/>
          <w:sz w:val="24"/>
          <w:szCs w:val="24"/>
        </w:rPr>
        <w:t xml:space="preserve">Nessuna delle due potenze ebbe condotta lineare.</w:t>
      </w:r>
    </w:p>
    <w:p>
      <w:pPr>
        <w:spacing w:after="120" w:line="276"/>
        <w:jc w:val="both"/>
      </w:pPr>
      <w:r>
        <w:rPr>
          <w:rFonts w:ascii="Barlow Semi Condensed" w:cs="Barlow Semi Condensed" w:eastAsia="Barlow Semi Condensed" w:hAnsi="Barlow Semi Condensed"/>
          <w:b/>
          <w:bCs/>
          <w:sz w:val="24"/>
          <w:szCs w:val="24"/>
        </w:rPr>
        <w:t xml:space="preserve">Un esito negativo chiude il capitolo. Non è stata reperita documentazione di un canale bilaterale Roma-Bonn dedicato alla materia africana australe. Ciò che è attestato è il quadro multilaterale condiviso: entrambe nella Cooperazione politica europea, entrambe contribuenti allo UNTAG nel 1989-1990.</w:t>
      </w:r>
    </w:p>
    <w:p>
      <w:pPr>
        <w:spacing w:after="120" w:line="276"/>
        <w:jc w:val="both"/>
      </w:pPr>
      <w:r>
        <w:rPr>
          <w:rFonts w:ascii="Barlow Semi Condensed" w:cs="Barlow Semi Condensed" w:eastAsia="Barlow Semi Condensed" w:hAnsi="Barlow Semi Condensed"/>
          <w:b/>
          <w:bCs/>
          <w:sz w:val="24"/>
          <w:szCs w:val="24"/>
        </w:rPr>
        <w:t xml:space="preserve">E la divergenza sulle sanzioni — la Germania fra i freni, l'Italia fra gli aderenti — suggerisce anzi che Roma e Bonn non agissero come blocco.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la terza confutazione della serie</w:t>
      </w:r>
    </w:p>
    <w:p>
      <w:pPr>
        <w:spacing w:after="120" w:line="276"/>
        <w:jc w:val="both"/>
      </w:pPr>
      <w:r>
        <w:rPr>
          <w:rFonts w:ascii="Barlow Semi Condensed" w:cs="Barlow Semi Condensed" w:eastAsia="Barlow Semi Condensed" w:hAnsi="Barlow Semi Condensed"/>
          <w:b/>
          <w:bCs/>
          <w:sz w:val="24"/>
          <w:szCs w:val="24"/>
        </w:rPr>
        <w:t xml:space="preserve">Primo punto: se l'esclusione italiana sia confermata e quale ne sia la ragione formale.</w:t>
      </w:r>
    </w:p>
    <w:p>
      <w:pPr>
        <w:spacing w:after="120" w:line="276"/>
        <w:jc w:val="both"/>
      </w:pPr>
      <w:r>
        <w:rPr>
          <w:rFonts w:ascii="Barlow Semi Condensed" w:cs="Barlow Semi Condensed" w:eastAsia="Barlow Semi Condensed" w:hAnsi="Barlow Semi Condensed"/>
          <w:b/>
          <w:bCs/>
          <w:sz w:val="24"/>
          <w:szCs w:val="24"/>
        </w:rPr>
        <w:t xml:space="preserve">Confermata. E la ragione è strettamente istituzionale: l'appartenenza al gruppo era vincolata alla contestuale appartenenza al Consiglio di Sicurezza nel 1977, e l'Italia non vi sedeva, avendo concluso il mandato il 31 dicembre 1976 e non avendone ripreso uno prima del 1 gennaio 1987.</w:t>
      </w:r>
    </w:p>
    <w:p>
      <w:pPr>
        <w:spacing w:after="120" w:line="276"/>
        <w:jc w:val="both"/>
      </w:pPr>
      <w:r>
        <w:rPr>
          <w:rFonts w:ascii="Barlow Semi Condensed" w:cs="Barlow Semi Condensed" w:eastAsia="Barlow Semi Condensed" w:hAnsi="Barlow Semi Condensed"/>
          <w:b/>
          <w:bCs/>
          <w:sz w:val="24"/>
          <w:szCs w:val="24"/>
        </w:rPr>
        <w:t xml:space="preserve">Canada e Repubblica Federale furono cooptati precisamente perché occupavano i due seggi occidentali non permanenti che l'Italia non deteneva. L'esclusione non discende da un giudizio di merito ma dalla meccanica della rotazione dei seggi.</w:t>
      </w:r>
    </w:p>
    <w:p>
      <w:pPr>
        <w:spacing w:after="120" w:line="276"/>
        <w:jc w:val="both"/>
      </w:pPr>
      <w:r>
        <w:rPr>
          <w:rFonts w:ascii="Barlow Semi Condensed" w:cs="Barlow Semi Condensed" w:eastAsia="Barlow Semi Condensed" w:hAnsi="Barlow Semi Condensed"/>
          <w:b/>
          <w:bCs/>
          <w:sz w:val="24"/>
          <w:szCs w:val="24"/>
        </w:rPr>
        <w:t xml:space="preserve">Secondo punto: se il confronto configuri una differenza di condotta o soltanto di collocazione.</w:t>
      </w:r>
    </w:p>
    <w:p>
      <w:pPr>
        <w:spacing w:after="120" w:line="276"/>
        <w:jc w:val="both"/>
      </w:pPr>
      <w:r>
        <w:rPr>
          <w:rFonts w:ascii="Barlow Semi Condensed" w:cs="Barlow Semi Condensed" w:eastAsia="Barlow Semi Condensed" w:hAnsi="Barlow Semi Condensed"/>
          <w:b/>
          <w:bCs/>
          <w:sz w:val="24"/>
          <w:szCs w:val="24"/>
        </w:rPr>
        <w:t xml:space="preserve">Quanto alla Namibia in senso stretto: differenza di collocazione. Dentro per seggio, fuori per seggio; e nella fase attuativa entrambe contribuirono in ruoli ausiliari comparabili.</w:t>
      </w:r>
    </w:p>
    <w:p>
      <w:pPr>
        <w:spacing w:after="120" w:line="276"/>
        <w:jc w:val="both"/>
      </w:pPr>
      <w:r>
        <w:rPr>
          <w:rFonts w:ascii="Barlow Semi Condensed" w:cs="Barlow Semi Condensed" w:eastAsia="Barlow Semi Condensed" w:hAnsi="Barlow Semi Condensed"/>
          <w:b/>
          <w:bCs/>
          <w:sz w:val="24"/>
          <w:szCs w:val="24"/>
        </w:rPr>
        <w:t xml:space="preserve">Quanto al Sudafrica in senso lato: differenza di grado e di visibilità più che di natura.</w:t>
      </w:r>
    </w:p>
    <w:p>
      <w:pPr>
        <w:spacing w:after="120" w:line="276"/>
        <w:jc w:val="both"/>
      </w:pPr>
      <w:r>
        <w:rPr>
          <w:rFonts w:ascii="Barlow Semi Condensed" w:cs="Barlow Semi Condensed" w:eastAsia="Barlow Semi Condensed" w:hAnsi="Barlow Semi Condensed"/>
          <w:b/>
          <w:bCs/>
          <w:sz w:val="24"/>
          <w:szCs w:val="24"/>
        </w:rPr>
        <w:t xml:space="preserve">Entrambe combinarono l'adesione formale ai principi anti-apartheid con interessi industriali concreti in senso contrario.</w:t>
      </w:r>
    </w:p>
    <w:p>
      <w:pPr>
        <w:spacing w:after="120" w:line="276"/>
        <w:jc w:val="both"/>
      </w:pPr>
      <w:r>
        <w:rPr>
          <w:rFonts w:ascii="Barlow Semi Condensed" w:cs="Barlow Semi Condensed" w:eastAsia="Barlow Semi Condensed" w:hAnsi="Barlow Semi Condensed"/>
          <w:b/>
          <w:bCs/>
          <w:sz w:val="24"/>
          <w:szCs w:val="24"/>
        </w:rPr>
        <w:t xml:space="preserve">La maggiore visibilità e responsabilità tedesca discende in parte dalla collocazione al tavolo e in parte dal peso industriale e dallo specifico passato coloniale namibiano, che ne fa un attore non intercambiabile con l'Italia su quel dossier.</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I voti e le dichiarazioni italiane all'Assemblea generale sulla Namibia e sulla SWAPO fra il 1977 e il 1988. Sedi: United Nations Digital Library System per verbali e dati di voto, e Archivio Storico Diplomatico a Roma. Rendimento alto perché i documenti esistono con certezza.</w:t>
      </w:r>
    </w:p>
    <w:p>
      <w:pPr>
        <w:spacing w:after="120" w:line="276"/>
        <w:jc w:val="both"/>
      </w:pPr>
      <w:r>
        <w:rPr>
          <w:rFonts w:ascii="Barlow Semi Condensed" w:cs="Barlow Semi Condensed" w:eastAsia="Barlow Semi Condensed" w:hAnsi="Barlow Semi Condensed"/>
          <w:b/>
          <w:bCs/>
          <w:sz w:val="24"/>
          <w:szCs w:val="24"/>
        </w:rPr>
        <w:t xml:space="preserve">Seconda.\\ La cronologia analitica e datata dei viaggi di Strauß in Sudafrica e Namibia. Sede: \\Archiv für Christlich-Soziale Politik\\ a Monaco. \\Trasformerebbe in fatti datati ciò che ora è attribuzione dubitativa.</w:t>
      </w:r>
    </w:p>
    <w:p>
      <w:pPr>
        <w:spacing w:after="120" w:line="276"/>
        <w:jc w:val="both"/>
      </w:pPr>
      <w:r>
        <w:rPr>
          <w:rFonts w:ascii="Barlow Semi Condensed" w:cs="Barlow Semi Condensed" w:eastAsia="Barlow Semi Condensed" w:hAnsi="Barlow Semi Condensed"/>
          <w:b/>
          <w:bCs/>
          <w:sz w:val="24"/>
          <w:szCs w:val="24"/>
        </w:rPr>
        <w:t xml:space="preserve">Terza. Il contenuto puntuale delle attività della Hanns-Seidel-Stiftung in Namibia nel 1978-1980 e la posizione documentaria della CSU negli atti parlamentari — in particolare la verifica dell'affermazione sul rifiuto del principio un uomo un voto nel 1977, ottava legislatura.</w:t>
      </w:r>
    </w:p>
    <w:p>
      <w:pPr>
        <w:spacing w:after="120" w:line="276"/>
        <w:jc w:val="both"/>
      </w:pPr>
      <w:r>
        <w:rPr>
          <w:rFonts w:ascii="Barlow Semi Condensed" w:cs="Barlow Semi Condensed" w:eastAsia="Barlow Semi Condensed" w:hAnsi="Barlow Semi Condensed"/>
          <w:b/>
          <w:bCs/>
          <w:sz w:val="24"/>
          <w:szCs w:val="24"/>
        </w:rPr>
        <w:t xml:space="preserve">Quarta.\\ I rapporti fra il Bundesnachrichtendienst e i servizi sudafricani. \\Rendimento basso per ampiezza del segreto vigente.</w:t>
      </w:r>
    </w:p>
    <w:p>
      <w:pPr>
        <w:spacing w:after="120" w:line="276"/>
        <w:jc w:val="both"/>
      </w:pPr>
      <w:r>
        <w:rPr>
          <w:rFonts w:ascii="Barlow Semi Condensed" w:cs="Barlow Semi Condensed" w:eastAsia="Barlow Semi Condensed" w:hAnsi="Barlow Semi Condensed"/>
          <w:b/>
          <w:bCs/>
          <w:sz w:val="24"/>
          <w:szCs w:val="24"/>
        </w:rPr>
        <w:t xml:space="preserve">Quinta. L'eventuale coordinamento bilaterale italo-tedesco sulla materia africana australe. Rendimento basso, poiché la ricerca suggerisce che esso, se esistette, si esaurì nel quadro multilaterale.</w:t>
      </w:r>
    </w:p>
    <w:p>
      <w:pPr>
        <w:spacing w:after="120" w:line="276"/>
        <w:jc w:val="both"/>
      </w:pPr>
      <w:r>
        <w:rPr>
          <w:rFonts w:ascii="Barlow Semi Condensed" w:cs="Barlow Semi Condensed" w:eastAsia="Barlow Semi Condensed" w:hAnsi="Barlow Semi Condensed"/>
          <w:b/>
          <w:bCs/>
          <w:sz w:val="24"/>
          <w:szCs w:val="24"/>
        </w:rPr>
        <w:t xml:space="preserve">Sesta. La connessione Rössing e il ruolo di enti pubblici tedeschi nelle importazioni di uranio namibiano.</w:t>
      </w:r>
    </w:p>
    <w:p>
      <w:pPr>
        <w:spacing w:after="120" w:line="276"/>
        <w:jc w:val="both"/>
      </w:pPr>
      <w:r>
        <w:rPr>
          <w:rFonts w:ascii="Barlow Semi Condensed" w:cs="Barlow Semi Condensed" w:eastAsia="Barlow Semi Condensed" w:hAnsi="Barlow Semi Condensed"/>
          <w:b/>
          <w:bCs/>
          <w:sz w:val="24"/>
          <w:szCs w:val="24"/>
        </w:rPr>
        <w:t xml:space="preserve">E adesso ciò che questo documento consegna oltre il proprio perimetro.</w:t>
      </w:r>
    </w:p>
    <w:p>
      <w:pPr>
        <w:spacing w:after="120" w:line="276"/>
        <w:jc w:val="both"/>
      </w:pPr>
      <w:r>
        <w:rPr>
          <w:rFonts w:ascii="Barlow Semi Condensed" w:cs="Barlow Semi Condensed" w:eastAsia="Barlow Semi Condensed" w:hAnsi="Barlow Semi Condensed"/>
          <w:b/>
          <w:bCs/>
          <w:sz w:val="24"/>
          <w:szCs w:val="24"/>
        </w:rPr>
        <w:t xml:space="preserve">È la terza volta che una ricognizione della serie confuta una proposizione che io stesso avevo formulato.</w:t>
      </w:r>
    </w:p>
    <w:p>
      <w:pPr>
        <w:spacing w:after="120" w:line="276"/>
        <w:jc w:val="both"/>
      </w:pPr>
      <w:r>
        <w:rPr>
          <w:rFonts w:ascii="Barlow Semi Condensed" w:cs="Barlow Semi Condensed" w:eastAsia="Barlow Semi Condensed" w:hAnsi="Barlow Semi Condensed"/>
          <w:b/>
          <w:bCs/>
          <w:sz w:val="24"/>
          <w:szCs w:val="24"/>
        </w:rPr>
        <w:t xml:space="preserve">La prima fu il modello a due condizioni sull'insediamento dell'Opus Dei, caduto alla decima. La seconda fu il modello a due modalità, caduto alla dodicesima per opera del caso keniano. La terza è questa: l'ipotesi che il passato coloniale tedesco spiegasse la geometria del Gruppo di contatto.</w:t>
      </w:r>
    </w:p>
    <w:p>
      <w:pPr>
        <w:spacing w:after="120" w:line="276"/>
        <w:jc w:val="both"/>
      </w:pPr>
      <w:r>
        <w:rPr>
          <w:rFonts w:ascii="Barlow Semi Condensed" w:cs="Barlow Semi Condensed" w:eastAsia="Barlow Semi Condensed" w:hAnsi="Barlow Semi Condensed"/>
          <w:b/>
          <w:bCs/>
          <w:sz w:val="24"/>
          <w:szCs w:val="24"/>
        </w:rPr>
        <w:t xml:space="preserve">Le tre confutazioni hanno una cosa in comune, e va enunciata perché è il metodo che funziona.</w:t>
      </w:r>
    </w:p>
    <w:p>
      <w:pPr>
        <w:spacing w:after="120" w:line="276"/>
        <w:jc w:val="both"/>
      </w:pPr>
      <w:r>
        <w:rPr>
          <w:rFonts w:ascii="Barlow Semi Condensed" w:cs="Barlow Semi Condensed" w:eastAsia="Barlow Semi Condensed" w:hAnsi="Barlow Semi Condensed"/>
          <w:b/>
          <w:bCs/>
          <w:sz w:val="24"/>
          <w:szCs w:val="24"/>
        </w:rPr>
        <w:t xml:space="preserve">In tutte e tre ho formulato l'ipotesi nel testo del comando di ricerca, esplicitamente e per iscritto, e ho chiesto che fosse messa alla prova anziché difesa.</w:t>
      </w:r>
    </w:p>
    <w:p>
      <w:pPr>
        <w:spacing w:after="120" w:line="276"/>
        <w:jc w:val="both"/>
      </w:pPr>
      <w:r>
        <w:rPr>
          <w:rFonts w:ascii="Barlow Semi Condensed" w:cs="Barlow Semi Condensed" w:eastAsia="Barlow Semi Condensed" w:hAnsi="Barlow Semi Condensed"/>
          <w:b/>
          <w:bCs/>
          <w:sz w:val="24"/>
          <w:szCs w:val="24"/>
        </w:rPr>
        <w:t xml:space="preserve">Un'ipotesi che resti nella testa di chi cerca non può essere confutata dalla ricerca, perché la ricerca non sa di doverla cercare.</w:t>
      </w:r>
    </w:p>
    <w:p>
      <w:pPr>
        <w:spacing w:after="120" w:line="276"/>
        <w:jc w:val="both"/>
      </w:pPr>
      <w:r>
        <w:rPr>
          <w:rFonts w:ascii="Barlow Semi Condensed" w:cs="Barlow Semi Condensed" w:eastAsia="Barlow Semi Condensed" w:hAnsi="Barlow Semi Condensed"/>
          <w:b/>
          <w:bCs/>
          <w:sz w:val="24"/>
          <w:szCs w:val="24"/>
        </w:rPr>
        <w:t xml:space="preserve">Scriverla nel comando è ciò che la rende falsificabile — ed è, secondo me, la sola tecnica che questa serie abbia davvero prodotto.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XVII · Italia E Germania Sul Dossier Namibiano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 5.138 parole in 9 sezioni; la più ampia è §9 Altre sezioni, con 4.330.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 158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XVIII — La Santa Sede, La Dc E Il Sudafrica Dell'Apartheid</w:t>
      </w:r>
    </w:p>
    <w:p>
      <w:pPr>
        <w:pStyle w:val="Heading1"/>
        <w:spacing w:after="120" w:before="240"/>
      </w:pPr>
      <w:r>
        <w:rPr>
          <w:rFonts w:ascii="Barlow Semi Condensed" w:cs="Barlow Semi Condensed" w:eastAsia="Barlow Semi Condensed" w:hAnsi="Barlow Semi Condensed"/>
          <w:sz w:val="24"/>
          <w:szCs w:val="24"/>
        </w:rPr>
        <w:t xml:space="preserve">LA SANTA SEDE, LA DC E IL SUDAFRICA DELL'APARTHEID</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Diciassettesima ricognizione: due sovranita, condotta opposta</w:t>
      </w:r>
    </w:p>
    <w:p>
      <w:pPr>
        <w:pStyle w:val="Heading2"/>
        <w:spacing w:after="100" w:before="200"/>
      </w:pPr>
      <w:r>
        <w:rPr>
          <w:rFonts w:ascii="Barlow Semi Condensed" w:cs="Barlow Semi Condensed" w:eastAsia="Barlow Semi Condensed" w:hAnsi="Barlow Semi Condensed"/>
          <w:sz w:val="24"/>
          <w:szCs w:val="24"/>
        </w:rPr>
        <w:t xml:space="preserve">Settantadue anni senza ambasciatore. Il pattern centro-periferia rovesciato</w:t>
      </w:r>
    </w:p>
    <w:p>
      <w:pPr>
        <w:pStyle w:val="Heading2"/>
        <w:spacing w:after="100" w:before="200"/>
      </w:pPr>
      <w:r>
        <w:rPr>
          <w:rFonts w:ascii="Barlow Semi Condensed" w:cs="Barlow Semi Condensed" w:eastAsia="Barlow Semi Condensed" w:hAnsi="Barlow Semi Condensed"/>
          <w:sz w:val="24"/>
          <w:szCs w:val="24"/>
        </w:rPr>
        <w:t xml:space="preserve">Dodici Capitoli — sei acquisizioni — il primo termine di paragone interno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Due sovranità sulla medesima penisola, e la loro condotta opposta</w:t>
      </w:r>
    </w:p>
    <w:p>
      <w:pPr>
        <w:spacing w:after="120" w:line="276"/>
        <w:jc w:val="both"/>
      </w:pPr>
      <w:r>
        <w:rPr>
          <w:rFonts w:ascii="Barlow Semi Condensed" w:cs="Barlow Semi Condensed" w:eastAsia="Barlow Semi Condensed" w:hAnsi="Barlow Semi Condensed"/>
          <w:b/>
          <w:bCs/>
          <w:sz w:val="24"/>
          <w:szCs w:val="24"/>
        </w:rPr>
        <w:t xml:space="preserve">Sedici ricognizioni hanno cercato lo Stato italiano e lo hanno trovato assente, ambiguo, o presente soltanto attraverso un canale industriale. Questa è la prima che disponga di un termine di paragone interno alla penisola, e l'esito si rovescia.</w:t>
      </w:r>
    </w:p>
    <w:p>
      <w:pPr>
        <w:spacing w:after="120" w:line="276"/>
        <w:jc w:val="both"/>
      </w:pPr>
      <w:r>
        <w:rPr>
          <w:rFonts w:ascii="Barlow Semi Condensed" w:cs="Barlow Semi Condensed" w:eastAsia="Barlow Semi Condensed" w:hAnsi="Barlow Semi Condensed"/>
          <w:b/>
          <w:bCs/>
          <w:sz w:val="24"/>
          <w:szCs w:val="24"/>
        </w:rPr>
        <w:t xml:space="preserve">Il fatto, enunciato subito. La Santa Sede non ebbe mai relazioni diplomatiche piene con la Repubblica del Sudafrica per l'intera durata dell'apartheid. Esse furono stabilite il 15 giugno 1994, con la firma del protocollo fra Giovanni Paolo II e Nelson Mandela; la nunziatura apostolica di Pretoria fu eretta il 25 giugno 1994.</w:t>
      </w:r>
    </w:p>
    <w:p>
      <w:pPr>
        <w:spacing w:after="120" w:line="276"/>
        <w:jc w:val="both"/>
      </w:pPr>
      <w:r>
        <w:rPr>
          <w:rFonts w:ascii="Barlow Semi Condensed" w:cs="Barlow Semi Condensed" w:eastAsia="Barlow Semi Condensed" w:hAnsi="Barlow Semi Condensed"/>
          <w:b/>
          <w:bCs/>
          <w:sz w:val="24"/>
          <w:szCs w:val="24"/>
        </w:rPr>
        <w:t xml:space="preserve">Prima di quella data, e per settantadue anni, la presenza pontificia ebbe rango soltanto ecclesiastico: una delegazione apostolica, istituita da Pio XI il 7 dicembre 1922.</w:t>
      </w:r>
    </w:p>
    <w:p>
      <w:pPr>
        <w:spacing w:after="120" w:line="276"/>
        <w:jc w:val="both"/>
      </w:pPr>
      <w:r>
        <w:rPr>
          <w:rFonts w:ascii="Barlow Semi Condensed" w:cs="Barlow Semi Condensed" w:eastAsia="Barlow Semi Condensed" w:hAnsi="Barlow Semi Condensed"/>
          <w:b/>
          <w:bCs/>
          <w:sz w:val="24"/>
          <w:szCs w:val="24"/>
        </w:rPr>
        <w:t xml:space="preserve">E il contrasto, che è il risultato di questa ricognizione.\\ \\L'Italia mantenne per tutto il periodo relazioni diplomatiche piene con il Sudafrica, stabilite nel 1929, e un'ambasciata a Pretoria.</w:t>
      </w:r>
    </w:p>
    <w:p>
      <w:pPr>
        <w:spacing w:after="120" w:line="276"/>
        <w:jc w:val="both"/>
      </w:pPr>
      <w:r>
        <w:rPr>
          <w:rFonts w:ascii="Barlow Semi Condensed" w:cs="Barlow Semi Condensed" w:eastAsia="Barlow Semi Condensed" w:hAnsi="Barlow Semi Condensed"/>
          <w:b/>
          <w:bCs/>
          <w:sz w:val="24"/>
          <w:szCs w:val="24"/>
        </w:rPr>
        <w:t xml:space="preserve">Due sovranità sulla medesima penisola, sul medesimo regime, con condotta opposta.</w:t>
      </w:r>
    </w:p>
    <w:p>
      <w:pPr>
        <w:spacing w:after="120" w:line="276"/>
        <w:jc w:val="both"/>
      </w:pPr>
      <w:r>
        <w:rPr>
          <w:rFonts w:ascii="Barlow Semi Condensed" w:cs="Barlow Semi Condensed" w:eastAsia="Barlow Semi Condensed" w:hAnsi="Barlow Semi Condensed"/>
          <w:b/>
          <w:bCs/>
          <w:sz w:val="24"/>
          <w:szCs w:val="24"/>
        </w:rPr>
        <w:t xml:space="preserve">Il rilievo va precisato perché la distinzione è tecnica e sostanziale insieme. Il delegato apostolico è rappresentante del Papa presso la Chiesa locale, non presso lo Stato: non ha status di ambasciatore, non presenta credenziali al capo dello Stato, non gode delle immunità diplomatiche piene.</w:t>
      </w:r>
    </w:p>
    <w:p>
      <w:pPr>
        <w:spacing w:after="120" w:line="276"/>
        <w:jc w:val="both"/>
      </w:pPr>
      <w:r>
        <w:rPr>
          <w:rFonts w:ascii="Barlow Semi Condensed" w:cs="Barlow Semi Condensed" w:eastAsia="Barlow Semi Condensed" w:hAnsi="Barlow Semi Condensed"/>
          <w:b/>
          <w:bCs/>
          <w:sz w:val="24"/>
          <w:szCs w:val="24"/>
        </w:rPr>
        <w:t xml:space="preserve">Ne discende che per settantadue anni nessun rappresentante pontificio presentò credenziali a un capo di Stato sudafricano.</w:t>
      </w:r>
    </w:p>
    <w:p>
      <w:pPr>
        <w:spacing w:after="120" w:line="276"/>
        <w:jc w:val="both"/>
      </w:pPr>
      <w:r>
        <w:rPr>
          <w:rFonts w:ascii="Barlow Semi Condensed" w:cs="Barlow Semi Condensed" w:eastAsia="Barlow Semi Condensed" w:hAnsi="Barlow Semi Condensed"/>
          <w:b/>
          <w:bCs/>
          <w:sz w:val="24"/>
          <w:szCs w:val="24"/>
        </w:rPr>
        <w:t xml:space="preserve">Il vincolo che governa questa ricognizione va dichiarato subito perché ne condiziona ogni conclusione sulle intenzioni. L'Archivio Apostolico Vaticano è consultabile soltanto fino all'ottobre 1958. I pontificati di Giovanni XXIII, Paolo VI e Giovanni Paolo II non sono aperti.</w:t>
      </w:r>
    </w:p>
    <w:p>
      <w:pPr>
        <w:spacing w:after="120" w:line="276"/>
        <w:jc w:val="both"/>
      </w:pPr>
      <w:r>
        <w:rPr>
          <w:rFonts w:ascii="Barlow Semi Condensed" w:cs="Barlow Semi Condensed" w:eastAsia="Barlow Semi Condensed" w:hAnsi="Barlow Semi Condensed"/>
          <w:b/>
          <w:bCs/>
          <w:sz w:val="24"/>
          <w:szCs w:val="24"/>
        </w:rPr>
        <w:t xml:space="preserve">Ne discende che la verifica archivistica primaria sul versante vaticano è strutturalmente impossibile per l'intero arco dell'apartheid. È Stato Zero di primo grado — impossibilità istituzionale — secondo la scala già consolidata nel corpus, e non un difetto della ricerca.</w:t>
      </w:r>
    </w:p>
    <w:p>
      <w:pPr>
        <w:spacing w:after="120" w:line="276"/>
        <w:jc w:val="both"/>
      </w:pPr>
      <w:r>
        <w:rPr>
          <w:rFonts w:ascii="Barlow Semi Condensed" w:cs="Barlow Semi Condensed" w:eastAsia="Barlow Semi Condensed" w:hAnsi="Barlow Semi Condensed"/>
          <w:b/>
          <w:bCs/>
          <w:sz w:val="24"/>
          <w:szCs w:val="24"/>
        </w:rPr>
        <w:t xml:space="preserve">Si lavora perciò sugli atti pubblicati: Acta Apostolicae Sedis, L'Osservatore Romano, discorsi e messaggi pontifici, documenti delle conferenze episcopali, annuari e liste diplomatiche ufficiali.</w:t>
      </w:r>
    </w:p>
    <w:p>
      <w:pPr>
        <w:spacing w:after="120" w:line="276"/>
        <w:jc w:val="both"/>
      </w:pPr>
      <w:r>
        <w:rPr>
          <w:rFonts w:ascii="Barlow Semi Condensed" w:cs="Barlow Semi Condensed" w:eastAsia="Barlow Semi Condensed" w:hAnsi="Barlow Semi Condensed"/>
          <w:b/>
          <w:bCs/>
          <w:sz w:val="24"/>
          <w:szCs w:val="24"/>
        </w:rPr>
        <w:t xml:space="preserve">E ne discende una prescrizione che vale per l'intero documento: ogni affermazione sulle intenzioni della Santa Sede è inferenza e non accertamento, e va qualificata come tale ogni volta.</w:t>
      </w:r>
    </w:p>
    <w:p>
      <w:pPr>
        <w:pStyle w:val="Heading2"/>
        <w:spacing w:after="100" w:before="200"/>
      </w:pPr>
      <w:r>
        <w:rPr>
          <w:rFonts w:ascii="Barlow Semi Condensed" w:cs="Barlow Semi Condensed" w:eastAsia="Barlow Semi Condensed" w:hAnsi="Barlow Semi Condensed"/>
          <w:sz w:val="24"/>
          <w:szCs w:val="24"/>
        </w:rPr>
        <w:t xml:space="preserve">Capitolo secondo — La delegazione apostolica: settantadue anni, nove titolari</w:t>
      </w:r>
    </w:p>
    <w:p>
      <w:pPr>
        <w:spacing w:after="120" w:line="276"/>
        <w:jc w:val="both"/>
      </w:pPr>
      <w:r>
        <w:rPr>
          <w:rFonts w:ascii="Barlow Semi Condensed" w:cs="Barlow Semi Condensed" w:eastAsia="Barlow Semi Condensed" w:hAnsi="Barlow Semi Condensed"/>
          <w:b/>
          <w:bCs/>
          <w:sz w:val="24"/>
          <w:szCs w:val="24"/>
        </w:rPr>
        <w:t xml:space="preserve">Il capitolo espone la cronologia della rappresentanza, che è la prova materiale del Capitolo primo.</w:t>
      </w:r>
    </w:p>
    <w:p>
      <w:pPr>
        <w:spacing w:after="120" w:line="276"/>
        <w:jc w:val="both"/>
      </w:pPr>
      <w:r>
        <w:rPr>
          <w:rFonts w:ascii="Barlow Semi Condensed" w:cs="Barlow Semi Condensed" w:eastAsia="Barlow Semi Condensed" w:hAnsi="Barlow Semi Condensed"/>
          <w:b/>
          <w:bCs/>
          <w:sz w:val="24"/>
          <w:szCs w:val="24"/>
        </w:rPr>
        <w:t xml:space="preserve">L'istituzione.\\ Delegazione apostolica istituita da Pio XI il \\7 dicembre 1922\\, con sede a \\Pretoria.</w:t>
      </w:r>
    </w:p>
    <w:p>
      <w:pPr>
        <w:spacing w:after="120" w:line="276"/>
        <w:jc w:val="both"/>
      </w:pPr>
      <w:r>
        <w:rPr>
          <w:rFonts w:ascii="Barlow Semi Condensed" w:cs="Barlow Semi Condensed" w:eastAsia="Barlow Semi Condensed" w:hAnsi="Barlow Semi Condensed"/>
          <w:b/>
          <w:bCs/>
          <w:sz w:val="24"/>
          <w:szCs w:val="24"/>
        </w:rPr>
        <w:t xml:space="preserve">I titolari, per date, dalle liste ufficiali. Bernard Gijlswijk, domenicano, 1922-1944. Martin Lucas, verbita, 1945-1952. Celestine Damiano, 1952-1960. Joseph McGeough, 1960-1967. John Gordon, 1967-1971. Alfredo Poledrini, 1971-1978. Edward Idris Cassidy, 1979-1984, poi cardinale. Joseph Mees, 1985-1987. Ambrose Battista De Paoli, delegato apostolico dal 6 febbraio 1988 e infine primo nunzio apostolico dal 25 giugno 1994 all'11 novembre 1997.</w:t>
      </w:r>
    </w:p>
    <w:p>
      <w:pPr>
        <w:spacing w:after="120" w:line="276"/>
        <w:jc w:val="both"/>
      </w:pPr>
      <w:r>
        <w:rPr>
          <w:rFonts w:ascii="Barlow Semi Condensed" w:cs="Barlow Semi Condensed" w:eastAsia="Barlow Semi Condensed" w:hAnsi="Barlow Semi Condensed"/>
          <w:b/>
          <w:bCs/>
          <w:sz w:val="24"/>
          <w:szCs w:val="24"/>
        </w:rPr>
        <w:t xml:space="preserve">Nove titolari, tutti delegati e nessuno nunzio fino al 1994.</w:t>
      </w:r>
    </w:p>
    <w:p>
      <w:pPr>
        <w:spacing w:after="120" w:line="276"/>
        <w:jc w:val="both"/>
      </w:pPr>
      <w:r>
        <w:rPr>
          <w:rFonts w:ascii="Barlow Semi Condensed" w:cs="Barlow Semi Condensed" w:eastAsia="Barlow Semi Condensed" w:hAnsi="Barlow Semi Condensed"/>
          <w:b/>
          <w:bCs/>
          <w:sz w:val="24"/>
          <w:szCs w:val="24"/>
        </w:rPr>
        <w:t xml:space="preserve">Un dato di struttura va registrato. La giurisdizione della delegazione si restrinse progressivamente: da delegazione all'Africa, a delegazione all'Africa australe, a delegazione al Sudafrica.</w:t>
      </w:r>
    </w:p>
    <w:p>
      <w:pPr>
        <w:spacing w:after="120" w:line="276"/>
        <w:jc w:val="both"/>
      </w:pPr>
      <w:r>
        <w:rPr>
          <w:rFonts w:ascii="Barlow Semi Condensed" w:cs="Barlow Semi Condensed" w:eastAsia="Barlow Semi Condensed" w:hAnsi="Barlow Semi Condensed"/>
          <w:b/>
          <w:bCs/>
          <w:sz w:val="24"/>
          <w:szCs w:val="24"/>
        </w:rPr>
        <w:t xml:space="preserve">La conferma pontificia diretta, ed è la migliore fonte possibile. Nel discorso di arrivo all'aeroporto internazionale di Johannesburg, nel 1995, Giovanni Paolo II dichiarò la propria fiducia che i vincoli di amicizia fra la Repubblica del Sudafrica e la Santa Sede, che l'anno scorso hanno condotto allo stabilimento di relazioni diplomatiche fra noi, continuino a crescere e a intensificarsi.</w:t>
      </w:r>
    </w:p>
    <w:p>
      <w:pPr>
        <w:spacing w:after="120" w:line="276"/>
        <w:jc w:val="both"/>
      </w:pPr>
      <w:r>
        <w:rPr>
          <w:rFonts w:ascii="Barlow Semi Condensed" w:cs="Barlow Semi Condensed" w:eastAsia="Barlow Semi Condensed" w:hAnsi="Barlow Semi Condensed"/>
          <w:b/>
          <w:bCs/>
          <w:sz w:val="24"/>
          <w:szCs w:val="24"/>
        </w:rPr>
        <w:t xml:space="preserve">È il pontefice stesso a datare le relazioni al 1994.</w:t>
      </w:r>
    </w:p>
    <w:p>
      <w:pPr>
        <w:spacing w:after="120" w:line="276"/>
        <w:jc w:val="both"/>
      </w:pPr>
      <w:r>
        <w:rPr>
          <w:rFonts w:ascii="Barlow Semi Condensed" w:cs="Barlow Semi Condensed" w:eastAsia="Barlow Semi Condensed" w:hAnsi="Barlow Semi Condensed"/>
          <w:b/>
          <w:bCs/>
          <w:sz w:val="24"/>
          <w:szCs w:val="24"/>
        </w:rPr>
        <w:t xml:space="preserve">Il versante namibiano, con una divergenza. Secondo la lista ufficiale della Missione permanente della Santa Sede presso le Nazioni Unite, le relazioni con la Namibia furono stabilite il 12 settembre 1995, dunque oltre cinque anni dopo l'indipendenza del 21 marzo 1990. De Paoli fu delegato apostolico per la Namibia dal 5 marzo 1994 e poi nunzio, con residenza in Sudafrica.</w:t>
      </w:r>
    </w:p>
    <w:p>
      <w:pPr>
        <w:spacing w:after="120" w:line="276"/>
        <w:jc w:val="both"/>
      </w:pPr>
      <w:r>
        <w:rPr>
          <w:rFonts w:ascii="Barlow Semi Condensed" w:cs="Barlow Semi Condensed" w:eastAsia="Barlow Semi Condensed" w:hAnsi="Barlow Semi Condensed"/>
          <w:b/>
          <w:bCs/>
          <w:sz w:val="24"/>
          <w:szCs w:val="24"/>
        </w:rPr>
        <w:t xml:space="preserve">La divergenza fra fonti sul rango e sulle date interne — delegazione dal 1994, relazioni piene dal settembre 1995 — riflette la distinzione fra la nomina del rappresentante ecclesiastico e la formalizzazione dello scambio diplomatico, e si riporta anziché comporre.</w:t>
      </w:r>
    </w:p>
    <w:p>
      <w:pPr>
        <w:spacing w:after="120" w:line="276"/>
        <w:jc w:val="both"/>
      </w:pPr>
      <w:r>
        <w:rPr>
          <w:rFonts w:ascii="Barlow Semi Condensed" w:cs="Barlow Semi Condensed" w:eastAsia="Barlow Semi Condensed" w:hAnsi="Barlow Semi Condensed"/>
          <w:b/>
          <w:bCs/>
          <w:sz w:val="24"/>
          <w:szCs w:val="24"/>
        </w:rPr>
        <w:t xml:space="preserve">Che cosa questa cronologia stabilisce, e che cosa no.\\ \\Stabilisce\\ che le relazioni piene furono aperte \\immediatamente dopo la fine del regime e le prime elezioni democratiche, e non durante.</w:t>
      </w:r>
    </w:p>
    <w:p>
      <w:pPr>
        <w:spacing w:after="120" w:line="276"/>
        <w:jc w:val="both"/>
      </w:pPr>
      <w:r>
        <w:rPr>
          <w:rFonts w:ascii="Barlow Semi Condensed" w:cs="Barlow Semi Condensed" w:eastAsia="Barlow Semi Condensed" w:hAnsi="Barlow Semi Condensed"/>
          <w:b/>
          <w:bCs/>
          <w:sz w:val="24"/>
          <w:szCs w:val="24"/>
        </w:rPr>
        <w:t xml:space="preserve">Non stabilisce\\ che ciò fosse scelta politica deliberata: \\la documentazione riservata che lo proverebbe è inaccessibile.</w:t>
      </w:r>
    </w:p>
    <w:p>
      <w:pPr>
        <w:spacing w:after="120" w:line="276"/>
        <w:jc w:val="both"/>
      </w:pPr>
      <w:r>
        <w:rPr>
          <w:rFonts w:ascii="Barlow Semi Condensed" w:cs="Barlow Semi Condensed" w:eastAsia="Barlow Semi Condensed" w:hAnsi="Barlow Semi Condensed"/>
          <w:b/>
          <w:bCs/>
          <w:sz w:val="24"/>
          <w:szCs w:val="24"/>
        </w:rPr>
        <w:t xml:space="preserve">Ma la coincidenza cronologica fra la caduta del regime e l'apertura delle relazioni è essa stessa un dato, e il mantenimento della sola delegazione per settantadue anni in un Paese con comunità cattolica cospicua è compatibile con una scelta di non conferire al regime la legittimazione implicita nello scambio di ambasciatori. Interpretazione plausibile, non dimostrata.</w:t>
      </w:r>
    </w:p>
    <w:p>
      <w:pPr>
        <w:pStyle w:val="Heading2"/>
        <w:spacing w:after="100" w:before="200"/>
      </w:pPr>
      <w:r>
        <w:rPr>
          <w:rFonts w:ascii="Barlow Semi Condensed" w:cs="Barlow Semi Condensed" w:eastAsia="Barlow Semi Condensed" w:hAnsi="Barlow Semi Condensed"/>
          <w:sz w:val="24"/>
          <w:szCs w:val="24"/>
        </w:rPr>
        <w:t xml:space="preserve">Capitolo terzo — Paolo VI: gli atti, e ciò che non dicono</w:t>
      </w:r>
    </w:p>
    <w:p>
      <w:pPr>
        <w:spacing w:after="120" w:line="276"/>
        <w:jc w:val="both"/>
      </w:pPr>
      <w:r>
        <w:rPr>
          <w:rFonts w:ascii="Barlow Semi Condensed" w:cs="Barlow Semi Condensed" w:eastAsia="Barlow Semi Condensed" w:hAnsi="Barlow Semi Condensed"/>
          <w:b/>
          <w:bCs/>
          <w:sz w:val="24"/>
          <w:szCs w:val="24"/>
        </w:rPr>
        <w:t xml:space="preserve">Il capitolo espone il magistero del pontefice che regnò durante i mandati di Moro.</w:t>
      </w:r>
    </w:p>
    <w:p>
      <w:pPr>
        <w:spacing w:after="120" w:line="276"/>
        <w:jc w:val="both"/>
      </w:pPr>
      <w:r>
        <w:rPr>
          <w:rFonts w:ascii="Barlow Semi Condensed" w:cs="Barlow Semi Condensed" w:eastAsia="Barlow Semi Condensed" w:hAnsi="Barlow Semi Condensed"/>
          <w:b/>
          <w:bCs/>
          <w:sz w:val="24"/>
          <w:szCs w:val="24"/>
        </w:rPr>
        <w:t xml:space="preserve">L'atto dottrinale. La lettera apostolica \Africae terrarum\, del 29 ottobre 1967, pubblicata negli Acta Apostolicae Sedis. Vi Paolo VI richiama la condanna del razzismo già formulata dal Concilio come offensivo della dignità dell'uomo, alieno dalla mente di Cristo, contrario al disegno di Dio, e la deplorazione contenuta nell'enciclica \Populorum progressio\ del razzismo come ostacolo alla edificazione di un mondo più giusto.</w:t>
      </w:r>
    </w:p>
    <w:p>
      <w:pPr>
        <w:spacing w:after="120" w:line="276"/>
        <w:jc w:val="both"/>
      </w:pPr>
      <w:r>
        <w:rPr>
          <w:rFonts w:ascii="Barlow Semi Condensed" w:cs="Barlow Semi Condensed" w:eastAsia="Barlow Semi Condensed" w:hAnsi="Barlow Semi Condensed"/>
          <w:b/>
          <w:bCs/>
          <w:sz w:val="24"/>
          <w:szCs w:val="24"/>
        </w:rPr>
        <w:t xml:space="preserve">L'atto politico, e va esposto con precisione perché il corpus lo possiede già a metà. Il 1 luglio 1970 Paolo VI ricevette i dirigenti dei movimenti di liberazione delle colonie portoghesi: Agostinho Neto dell'MPLA angolano, Marcelino dos Santos del FRELIMO mozambicano, Amílcar Cabral del PAIGC guineano e capoverdiano, al termine della Conferenza internazionale di solidarietà tenutasi a Roma dal 27 al 29 giugno 1970.</w:t>
      </w:r>
    </w:p>
    <w:p>
      <w:pPr>
        <w:spacing w:after="120" w:line="276"/>
        <w:jc w:val="both"/>
      </w:pPr>
      <w:r>
        <w:rPr>
          <w:rFonts w:ascii="Barlow Semi Condensed" w:cs="Barlow Semi Condensed" w:eastAsia="Barlow Semi Condensed" w:hAnsi="Barlow Semi Condensed"/>
          <w:b/>
          <w:bCs/>
          <w:sz w:val="24"/>
          <w:szCs w:val="24"/>
        </w:rPr>
        <w:t xml:space="preserve">La reazione portoghese — il richiamo dell'ambasciatore presso la Santa Sede — è già acquisita e qui funge da sfondo.</w:t>
      </w:r>
    </w:p>
    <w:p>
      <w:pPr>
        <w:spacing w:after="120" w:line="276"/>
        <w:jc w:val="both"/>
      </w:pPr>
      <w:r>
        <w:rPr>
          <w:rFonts w:ascii="Barlow Semi Condensed" w:cs="Barlow Semi Condensed" w:eastAsia="Barlow Semi Condensed" w:hAnsi="Barlow Semi Condensed"/>
          <w:b/>
          <w:bCs/>
          <w:sz w:val="24"/>
          <w:szCs w:val="24"/>
        </w:rPr>
        <w:t xml:space="preserve">Ma due precisazioni vanno apposte, e correggono una lettura facile.</w:t>
      </w:r>
    </w:p>
    <w:p>
      <w:pPr>
        <w:spacing w:after="120" w:line="276"/>
        <w:jc w:val="both"/>
      </w:pPr>
      <w:r>
        <w:rPr>
          <w:rFonts w:ascii="Barlow Semi Condensed" w:cs="Barlow Semi Condensed" w:eastAsia="Barlow Semi Condensed" w:hAnsi="Barlow Semi Condensed"/>
          <w:b/>
          <w:bCs/>
          <w:sz w:val="24"/>
          <w:szCs w:val="24"/>
        </w:rPr>
        <w:t xml:space="preserve">Prima: la Conferenza di Roma non fu iniziativa del governo italiano ma della società civile e della sinistra, con figure come Lelio Basso. Non fu atto della Farnesina.</w:t>
      </w:r>
    </w:p>
    <w:p>
      <w:pPr>
        <w:spacing w:after="120" w:line="276"/>
        <w:jc w:val="both"/>
      </w:pPr>
      <w:r>
        <w:rPr>
          <w:rFonts w:ascii="Barlow Semi Condensed" w:cs="Barlow Semi Condensed" w:eastAsia="Barlow Semi Condensed" w:hAnsi="Barlow Semi Condensed"/>
          <w:b/>
          <w:bCs/>
          <w:sz w:val="24"/>
          <w:szCs w:val="24"/>
        </w:rPr>
        <w:t xml:space="preserve">Seconda, e più importante: nessuna fonte attribuisce a Paolo VI una menzione esplicita del Sudafrica in quell'occasione. L'atto riguardava le colonie portoghesi, non il regime di Pretoria.</w:t>
      </w:r>
    </w:p>
    <w:p>
      <w:pPr>
        <w:spacing w:after="120" w:line="276"/>
        <w:jc w:val="both"/>
      </w:pPr>
      <w:r>
        <w:rPr>
          <w:rFonts w:ascii="Barlow Semi Condensed" w:cs="Barlow Semi Condensed" w:eastAsia="Barlow Semi Condensed" w:hAnsi="Barlow Semi Condensed"/>
          <w:b/>
          <w:bCs/>
          <w:sz w:val="24"/>
          <w:szCs w:val="24"/>
        </w:rPr>
        <w:t xml:space="preserve">Che il gesto avesse valore di legittimazione politica dei movimenti di liberazione dell'Africa australe è pacifico; che riguardasse il Sudafrica non lo è, e non va inferito.</w:t>
      </w:r>
    </w:p>
    <w:p>
      <w:pPr>
        <w:spacing w:after="120" w:line="276"/>
        <w:jc w:val="both"/>
      </w:pPr>
      <w:r>
        <w:rPr>
          <w:rFonts w:ascii="Barlow Semi Condensed" w:cs="Barlow Semi Condensed" w:eastAsia="Barlow Semi Condensed" w:hAnsi="Barlow Semi Condensed"/>
          <w:b/>
          <w:bCs/>
          <w:sz w:val="24"/>
          <w:szCs w:val="24"/>
        </w:rPr>
        <w:t xml:space="preserve">L'atto specificamente antiapartheid di Paolo VI è invece documentato, e con data.\\ Il \\22 maggio 1974\\ egli \\ricevette il Comitato speciale delle Nazioni Unite contro l'apartheid.</w:t>
      </w:r>
    </w:p>
    <w:p>
      <w:pPr>
        <w:spacing w:after="120" w:line="276"/>
        <w:jc w:val="both"/>
      </w:pPr>
      <w:r>
        <w:rPr>
          <w:rFonts w:ascii="Barlow Semi Condensed" w:cs="Barlow Semi Condensed" w:eastAsia="Barlow Semi Condensed" w:hAnsi="Barlow Semi Condensed"/>
          <w:b/>
          <w:bCs/>
          <w:sz w:val="24"/>
          <w:szCs w:val="24"/>
        </w:rPr>
        <w:t xml:space="preserve">La circostanza è attestata per via indiretta ma autorevole: dal discorso di Giovanni Paolo II del 7 luglio 1984, nel quale il pontefice polacco ricorda che il mio predecessore Paolo VI ricevette il vostro comitato e indicò le basi dell'impegno cristiano per la causa della promozione della dignità umana.</w:t>
      </w:r>
    </w:p>
    <w:p>
      <w:pPr>
        <w:spacing w:after="120" w:line="276"/>
        <w:jc w:val="both"/>
      </w:pPr>
      <w:r>
        <w:rPr>
          <w:rFonts w:ascii="Barlow Semi Condensed" w:cs="Barlow Semi Condensed" w:eastAsia="Barlow Semi Condensed" w:hAnsi="Barlow Semi Condensed"/>
          <w:b/>
          <w:bCs/>
          <w:sz w:val="24"/>
          <w:szCs w:val="24"/>
        </w:rPr>
        <w:t xml:space="preserve">Il 22 maggio 1974 cade nel secondo mandato ministeriale di Aldo Moro.</w:t>
      </w:r>
    </w:p>
    <w:p>
      <w:pPr>
        <w:spacing w:after="120" w:line="276"/>
        <w:jc w:val="both"/>
      </w:pPr>
      <w:r>
        <w:rPr>
          <w:rFonts w:ascii="Barlow Semi Condensed" w:cs="Barlow Semi Condensed" w:eastAsia="Barlow Semi Condensed" w:hAnsi="Barlow Semi Condensed"/>
          <w:b/>
          <w:bCs/>
          <w:sz w:val="24"/>
          <w:szCs w:val="24"/>
        </w:rPr>
        <w:t xml:space="preserve">E si applica immediatamente la prescrizione: la contemporaneità non è prova di nesso. Nessuna fonte collega i due fatti, e non li si collega.</w:t>
      </w:r>
    </w:p>
    <w:p>
      <w:pPr>
        <w:pStyle w:val="Heading2"/>
        <w:spacing w:after="100" w:before="200"/>
      </w:pPr>
      <w:r>
        <w:rPr>
          <w:rFonts w:ascii="Barlow Semi Condensed" w:cs="Barlow Semi Condensed" w:eastAsia="Barlow Semi Condensed" w:hAnsi="Barlow Semi Condensed"/>
          <w:sz w:val="24"/>
          <w:szCs w:val="24"/>
        </w:rPr>
        <w:t xml:space="preserve">Capitolo quarto — Giovanni Paolo II: l'esclusione deliberata del 1988</w:t>
      </w:r>
    </w:p>
    <w:p>
      <w:pPr>
        <w:spacing w:after="120" w:line="276"/>
        <w:jc w:val="both"/>
      </w:pPr>
      <w:r>
        <w:rPr>
          <w:rFonts w:ascii="Barlow Semi Condensed" w:cs="Barlow Semi Condensed" w:eastAsia="Barlow Semi Condensed" w:hAnsi="Barlow Semi Condensed"/>
          <w:b/>
          <w:bCs/>
          <w:sz w:val="24"/>
          <w:szCs w:val="24"/>
        </w:rPr>
        <w:t xml:space="preserve">Il capitolo espone l'atto pontificio più eloquente dell'intera materia.</w:t>
      </w:r>
    </w:p>
    <w:p>
      <w:pPr>
        <w:spacing w:after="120" w:line="276"/>
        <w:jc w:val="both"/>
      </w:pPr>
      <w:r>
        <w:rPr>
          <w:rFonts w:ascii="Barlow Semi Condensed" w:cs="Barlow Semi Condensed" w:eastAsia="Barlow Semi Condensed" w:hAnsi="Barlow Semi Condensed"/>
          <w:b/>
          <w:bCs/>
          <w:sz w:val="24"/>
          <w:szCs w:val="24"/>
        </w:rPr>
        <w:t xml:space="preserve">Il viaggio. Nel settembre 1988 Giovanni Paolo II compì un itinerario di dieci giorni che toccò cinque Stati confinanti con il Sudafrica: Zimbabwe — Harare il 10 settembre, Bulawayo il 12 — Botswana, Lesotho, Swaziland — Manzini il 16 settembre — e Mozambico, a Maputo.</w:t>
      </w:r>
    </w:p>
    <w:p>
      <w:pPr>
        <w:spacing w:after="120" w:line="276"/>
        <w:jc w:val="both"/>
      </w:pPr>
      <w:r>
        <w:rPr>
          <w:rFonts w:ascii="Barlow Semi Condensed" w:cs="Barlow Semi Condensed" w:eastAsia="Barlow Semi Condensed" w:hAnsi="Barlow Semi Condensed"/>
          <w:b/>
          <w:bCs/>
          <w:sz w:val="24"/>
          <w:szCs w:val="24"/>
        </w:rPr>
        <w:t xml:space="preserve">E il Sudafrica fu escluso deliberatamente, a causa del sistema di apartheid, su esplicito consiglio dei vescovi sudafricani.</w:t>
      </w:r>
    </w:p>
    <w:p>
      <w:pPr>
        <w:spacing w:after="120" w:line="276"/>
        <w:jc w:val="both"/>
      </w:pPr>
      <w:r>
        <w:rPr>
          <w:rFonts w:ascii="Barlow Semi Condensed" w:cs="Barlow Semi Condensed" w:eastAsia="Barlow Semi Condensed" w:hAnsi="Barlow Semi Condensed"/>
          <w:b/>
          <w:bCs/>
          <w:sz w:val="24"/>
          <w:szCs w:val="24"/>
        </w:rPr>
        <w:t xml:space="preserve">Il pontefice attraversò l'Africa australe circondando il Sudafrica senza entrarvi. È, secondo me, l'atto diplomatico più chiaro che la Santa Sede compì sulla materia, e fu un atto di omissione.</w:t>
      </w:r>
    </w:p>
    <w:p>
      <w:pPr>
        <w:spacing w:after="120" w:line="276"/>
        <w:jc w:val="both"/>
      </w:pPr>
      <w:r>
        <w:rPr>
          <w:rFonts w:ascii="Barlow Semi Condensed" w:cs="Barlow Semi Condensed" w:eastAsia="Barlow Semi Condensed" w:hAnsi="Barlow Semi Condensed"/>
          <w:b/>
          <w:bCs/>
          <w:sz w:val="24"/>
          <w:szCs w:val="24"/>
        </w:rPr>
        <w:t xml:space="preserve">E poi accadde ciò che nessuno aveva previsto. Il 14 settembre 1988 il maltempo mise fuori uso i radiofari dell'aeroporto di Maseru, e l'aereo pontificio — un Boeing 707 dell'Air Zimbabwe — fu costretto a un atterraggio d'emergenza a Johannesburg.</w:t>
      </w:r>
    </w:p>
    <w:p>
      <w:pPr>
        <w:spacing w:after="120" w:line="276"/>
        <w:jc w:val="both"/>
      </w:pPr>
      <w:r>
        <w:rPr>
          <w:rFonts w:ascii="Barlow Semi Condensed" w:cs="Barlow Semi Condensed" w:eastAsia="Barlow Semi Condensed" w:hAnsi="Barlow Semi Condensed"/>
          <w:b/>
          <w:bCs/>
          <w:sz w:val="24"/>
          <w:szCs w:val="24"/>
        </w:rPr>
        <w:t xml:space="preserve">La ricostruzione va riportata perché è di una precisione che nessuna parafrasi migliorerebbe. Il velivolo fu costretto ad atterrare a Johannesburg, dove un raggiante Botha e un folto seguito erano pronti ad accogliere il pontefice visibilmente a disagio; e un corteo di venticinque automobili, guidato dal papa in una BMW argentata blindata, portò la delegazione pontificia in salvo fino al Lesotho.</w:t>
      </w:r>
    </w:p>
    <w:p>
      <w:pPr>
        <w:spacing w:after="120" w:line="276"/>
        <w:jc w:val="both"/>
      </w:pPr>
      <w:r>
        <w:rPr>
          <w:rFonts w:ascii="Barlow Semi Condensed" w:cs="Barlow Semi Condensed" w:eastAsia="Barlow Semi Condensed" w:hAnsi="Barlow Semi Condensed"/>
          <w:b/>
          <w:bCs/>
          <w:sz w:val="24"/>
          <w:szCs w:val="24"/>
        </w:rPr>
        <w:t xml:space="preserve">Fu, secondo l'agenzia che lo riportò, la prima volta in trentanove viaggi che Giovanni Paolo II fu costretto a scendere in un Paese non previsto.</w:t>
      </w:r>
    </w:p>
    <w:p>
      <w:pPr>
        <w:spacing w:after="120" w:line="276"/>
        <w:jc w:val="both"/>
      </w:pPr>
      <w:r>
        <w:rPr>
          <w:rFonts w:ascii="Barlow Semi Condensed" w:cs="Barlow Semi Condensed" w:eastAsia="Barlow Semi Condensed" w:hAnsi="Barlow Semi Condensed"/>
          <w:b/>
          <w:bCs/>
          <w:sz w:val="24"/>
          <w:szCs w:val="24"/>
        </w:rPr>
        <w:t xml:space="preserve">Il ministro degli Esteri Roelof Botha ricevette all'aeroporto il pontefice che aveva deciso di non venire.</w:t>
      </w:r>
    </w:p>
    <w:p>
      <w:pPr>
        <w:spacing w:after="120" w:line="276"/>
        <w:jc w:val="both"/>
      </w:pPr>
      <w:r>
        <w:rPr>
          <w:rFonts w:ascii="Barlow Semi Condensed" w:cs="Barlow Semi Condensed" w:eastAsia="Barlow Semi Condensed" w:hAnsi="Barlow Semi Condensed"/>
          <w:b/>
          <w:bCs/>
          <w:sz w:val="24"/>
          <w:szCs w:val="24"/>
        </w:rPr>
        <w:t xml:space="preserve">La posizione sulle sanzioni, e va registrata perché risponde a un obiettivo specifico. In Zimbabwe il pontefice appoggiò le sanzioni economiche contro il governo di Pretoria, in un momento in cui una legge in tal senso incontrava forte opposizione repubblicana al Congresso statunitense.</w:t>
      </w:r>
    </w:p>
    <w:p>
      <w:pPr>
        <w:spacing w:after="120" w:line="276"/>
        <w:jc w:val="both"/>
      </w:pPr>
      <w:r>
        <w:rPr>
          <w:rFonts w:ascii="Barlow Semi Condensed" w:cs="Barlow Semi Condensed" w:eastAsia="Barlow Semi Condensed" w:hAnsi="Barlow Semi Condensed"/>
          <w:b/>
          <w:bCs/>
          <w:sz w:val="24"/>
          <w:szCs w:val="24"/>
        </w:rPr>
        <w:t xml:space="preserve">E il dissenso interno al fronte antiapartheid va riportato perché la disciplina lo impone. Il reverendo Alan Boesak, capo del Consiglio mondiale delle Chiese riformate, criticò il pontefice per non aver inserito una condanna esplicita dell'apartheid nell'omelia finale della domenica: mi rattrista che il papa non si sia reso così chiaro sulla situazione come avrei voluto, e potrebbe aver dato al Sudafrica più conforto di quanto meriti.</w:t>
      </w:r>
    </w:p>
    <w:p>
      <w:pPr>
        <w:spacing w:after="120" w:line="276"/>
        <w:jc w:val="both"/>
      </w:pPr>
      <w:r>
        <w:rPr>
          <w:rFonts w:ascii="Barlow Semi Condensed" w:cs="Barlow Semi Condensed" w:eastAsia="Barlow Semi Condensed" w:hAnsi="Barlow Semi Condensed"/>
          <w:b/>
          <w:bCs/>
          <w:sz w:val="24"/>
          <w:szCs w:val="24"/>
        </w:rPr>
        <w:t xml:space="preserve">La visita ufficiale in Sudafrica avvenne solo dopo la fine dell'apartheid, il 16 e 17 settembre 1995. Il 17 settembre il pontefice celebrò la messa a Gosforth Park, Germiston, davanti a oltre centomila persone, salutando la nazione arcobaleno. Il documento programmatico del viaggio era l'esortazione \Ecclesia in Africa\, firmata il 14 settembre 1995.</w:t>
      </w:r>
    </w:p>
    <w:p>
      <w:pPr>
        <w:pStyle w:val="Heading2"/>
        <w:spacing w:after="100" w:before="200"/>
      </w:pPr>
      <w:r>
        <w:rPr>
          <w:rFonts w:ascii="Barlow Semi Condensed" w:cs="Barlow Semi Condensed" w:eastAsia="Barlow Semi Condensed" w:hAnsi="Barlow Semi Condensed"/>
          <w:sz w:val="24"/>
          <w:szCs w:val="24"/>
        </w:rPr>
        <w:t xml:space="preserve">Capitolo quinto — L'episcopato sudafricano e la tensione con il centro</w:t>
      </w:r>
    </w:p>
    <w:p>
      <w:pPr>
        <w:spacing w:after="120" w:line="276"/>
        <w:jc w:val="both"/>
      </w:pPr>
      <w:r>
        <w:rPr>
          <w:rFonts w:ascii="Barlow Semi Condensed" w:cs="Barlow Semi Condensed" w:eastAsia="Barlow Semi Condensed" w:hAnsi="Barlow Semi Condensed"/>
          <w:b/>
          <w:bCs/>
          <w:sz w:val="24"/>
          <w:szCs w:val="24"/>
        </w:rPr>
        <w:t xml:space="preserve">Il capitolo espone un pattern che il corpus possiede già in forma inversa, e che qui si presenta rovesciato.</w:t>
      </w:r>
    </w:p>
    <w:p>
      <w:pPr>
        <w:spacing w:after="120" w:line="276"/>
        <w:jc w:val="both"/>
      </w:pPr>
      <w:r>
        <w:rPr>
          <w:rFonts w:ascii="Barlow Semi Condensed" w:cs="Barlow Semi Condensed" w:eastAsia="Barlow Semi Condensed" w:hAnsi="Barlow Semi Condensed"/>
          <w:b/>
          <w:bCs/>
          <w:sz w:val="24"/>
          <w:szCs w:val="24"/>
        </w:rPr>
        <w:t xml:space="preserve">La conferenza.\\ La \\Southern African Catholic Bishops' Conference\\, costituita nel \\1947\\, fece la prima pronuncia contro il razzismo nel \\1952\\, e nel \\1957 condannò l'apartheid come intrinsecamente malvagio.</w:t>
      </w:r>
    </w:p>
    <w:p>
      <w:pPr>
        <w:spacing w:after="120" w:line="276"/>
        <w:jc w:val="both"/>
      </w:pPr>
      <w:r>
        <w:rPr>
          <w:rFonts w:ascii="Barlow Semi Condensed" w:cs="Barlow Semi Condensed" w:eastAsia="Barlow Semi Condensed" w:hAnsi="Barlow Semi Condensed"/>
          <w:b/>
          <w:bCs/>
          <w:sz w:val="24"/>
          <w:szCs w:val="24"/>
        </w:rPr>
        <w:t xml:space="preserve">La condanna fu contenuta in una lettera pastorale letta in tutte le chiese cattoliche il 21 luglio 1957\\, ed è ritenuta \\il primo caso in cui un corpo cristiano definì l'apartheid qualcosa di intrinsecamente malvagio.</w:t>
      </w:r>
    </w:p>
    <w:p>
      <w:pPr>
        <w:spacing w:after="120" w:line="276"/>
        <w:jc w:val="both"/>
      </w:pPr>
      <w:r>
        <w:rPr>
          <w:rFonts w:ascii="Barlow Semi Condensed" w:cs="Barlow Semi Condensed" w:eastAsia="Barlow Semi Condensed" w:hAnsi="Barlow Semi Condensed"/>
          <w:b/>
          <w:bCs/>
          <w:sz w:val="24"/>
          <w:szCs w:val="24"/>
        </w:rPr>
        <w:t xml:space="preserve">La figura. Denis Eugene Hurley, nato a Città del Capo nel 1915 da genitori irlandesi, oblato di Maria Immacolata, ordinato nel 1939, vicario apostolico del Natal nel 1947, arcivescovo di Durban nel 1951: il più giovane arcivescovo del mondo. Primo presidente della conferenza dal 1952 al 1961 e nuovamente dal 1981 al 1987.</w:t>
      </w:r>
    </w:p>
    <w:p>
      <w:pPr>
        <w:spacing w:after="120" w:line="276"/>
        <w:jc w:val="both"/>
      </w:pPr>
      <w:r>
        <w:rPr>
          <w:rFonts w:ascii="Barlow Semi Condensed" w:cs="Barlow Semi Condensed" w:eastAsia="Barlow Semi Condensed" w:hAnsi="Barlow Semi Condensed"/>
          <w:b/>
          <w:bCs/>
          <w:sz w:val="24"/>
          <w:szCs w:val="24"/>
        </w:rPr>
        <w:t xml:space="preserve">E adesso il dato che rovescia il pattern del corpus. La dichiarazione del 1957 fu voluta da Hurley in opposizione alla linea del delegato apostolico dell'epoca, il quale preferiva una strategia di ingaggio diplomatico con il regime di Verwoerd.</w:t>
      </w:r>
    </w:p>
    <w:p>
      <w:pPr>
        <w:spacing w:after="120" w:line="276"/>
        <w:jc w:val="both"/>
      </w:pPr>
      <w:r>
        <w:rPr>
          <w:rFonts w:ascii="Barlow Semi Condensed" w:cs="Barlow Semi Condensed" w:eastAsia="Barlow Semi Condensed" w:hAnsi="Barlow Semi Condensed"/>
          <w:b/>
          <w:bCs/>
          <w:sz w:val="24"/>
          <w:szCs w:val="24"/>
        </w:rPr>
        <w:t xml:space="preserve">Il corpus possiede già due casi di rapporto fra centro romano e periferia episcopale: la reticenza di Cerejeira in Portogallo e la sollecitazione di Frings in Germania. In entrambi la periferia determinava e il centro accompagnava.</w:t>
      </w:r>
    </w:p>
    <w:p>
      <w:pPr>
        <w:spacing w:after="120" w:line="276"/>
        <w:jc w:val="both"/>
      </w:pPr>
      <w:r>
        <w:rPr>
          <w:rFonts w:ascii="Barlow Semi Condensed" w:cs="Barlow Semi Condensed" w:eastAsia="Barlow Semi Condensed" w:hAnsi="Barlow Semi Condensed"/>
          <w:b/>
          <w:bCs/>
          <w:sz w:val="24"/>
          <w:szCs w:val="24"/>
        </w:rPr>
        <w:t xml:space="preserve">Qui il rapporto è invertito: la periferia è più avanzata del centro, e lo dichiara.</w:t>
      </w:r>
    </w:p>
    <w:p>
      <w:pPr>
        <w:spacing w:after="120" w:line="276"/>
        <w:jc w:val="both"/>
      </w:pPr>
      <w:r>
        <w:rPr>
          <w:rFonts w:ascii="Barlow Semi Condensed" w:cs="Barlow Semi Condensed" w:eastAsia="Barlow Semi Condensed" w:hAnsi="Barlow Semi Condensed"/>
          <w:b/>
          <w:bCs/>
          <w:sz w:val="24"/>
          <w:szCs w:val="24"/>
        </w:rPr>
        <w:t xml:space="preserve">Un elemento accademico conferma la tensione. La ricerca sul cosiddetto strano silenzio di Hurley al Concilio Vaticano II documenta che egli non promosse una condanna conciliare dell'apartheid per mancanza di sostegno degli altri vescovi, timorosi di ritorsioni del governo.</w:t>
      </w:r>
    </w:p>
    <w:p>
      <w:pPr>
        <w:spacing w:after="120" w:line="276"/>
        <w:jc w:val="both"/>
      </w:pPr>
      <w:r>
        <w:rPr>
          <w:rFonts w:ascii="Barlow Semi Condensed" w:cs="Barlow Semi Condensed" w:eastAsia="Barlow Semi Condensed" w:hAnsi="Barlow Semi Condensed"/>
          <w:b/>
          <w:bCs/>
          <w:sz w:val="24"/>
          <w:szCs w:val="24"/>
        </w:rPr>
        <w:t xml:space="preserve">I procedimenti giudiziari, con la divergenza fra fonti mantenuta. Nel 1984 Hurley fu incriminato per aver reso false dichiarazioni sulle atrocità commesse dall'unità paramilitare Koevoet in Namibia; nel 1985 fu prosciolto quando il procuratore annunciò che lo Stato non avrebbe proceduto perché il caso si fondava su voci e prove per sentito dire.</w:t>
      </w:r>
    </w:p>
    <w:p>
      <w:pPr>
        <w:spacing w:after="120" w:line="276"/>
        <w:jc w:val="both"/>
      </w:pPr>
      <w:r>
        <w:rPr>
          <w:rFonts w:ascii="Barlow Semi Condensed" w:cs="Barlow Semi Condensed" w:eastAsia="Barlow Semi Condensed" w:hAnsi="Barlow Semi Condensed"/>
          <w:b/>
          <w:bCs/>
          <w:sz w:val="24"/>
          <w:szCs w:val="24"/>
        </w:rPr>
        <w:t xml:space="preserve">Le fonti divergono sulla qualificazione: alcune parlano di imputazione per violazione del Police Act e di arresti domiciliari; altre di accusa di false dichiarazioni e di ritiro per timore dello Stato di essere imbarazzato dalle prove della difesa. Si riporta la divergenza.</w:t>
      </w:r>
    </w:p>
    <w:p>
      <w:pPr>
        <w:spacing w:after="120" w:line="276"/>
        <w:jc w:val="both"/>
      </w:pPr>
      <w:r>
        <w:rPr>
          <w:rFonts w:ascii="Barlow Semi Condensed" w:cs="Barlow Semi Condensed" w:eastAsia="Barlow Semi Condensed" w:hAnsi="Barlow Semi Condensed"/>
          <w:b/>
          <w:bCs/>
          <w:sz w:val="24"/>
          <w:szCs w:val="24"/>
        </w:rPr>
        <w:t xml:space="preserve">È documentato che la sua abitazione a Durban fu oggetto di attentato incendiario e che un ministro del governo lo definì un Che Guevara ecclesiastico.</w:t>
      </w:r>
    </w:p>
    <w:p>
      <w:pPr>
        <w:spacing w:after="120" w:line="276"/>
        <w:jc w:val="both"/>
      </w:pPr>
      <w:r>
        <w:rPr>
          <w:rFonts w:ascii="Barlow Semi Condensed" w:cs="Barlow Semi Condensed" w:eastAsia="Barlow Semi Condensed" w:hAnsi="Barlow Semi Condensed"/>
          <w:b/>
          <w:bCs/>
          <w:sz w:val="24"/>
          <w:szCs w:val="24"/>
        </w:rPr>
        <w:t xml:space="preserve">La repressione contro la conferenza. Il settimanale \New Nation\, fondato nel 1986, fu bandito nel 1988; nell'ottobre 1988 la sede della conferenza, Khanya House a Pretoria, fu fatta oggetto di attentato dinamitardo, per il quale nel 2000 la Commissione per la verità e la riconciliazione concesse l'amnistia a diciannove ex membri della polizia di sicurezza, incluso Eugene de Kock.</w:t>
      </w:r>
    </w:p>
    <w:p>
      <w:pPr>
        <w:pStyle w:val="Heading2"/>
        <w:spacing w:after="100" w:before="200"/>
      </w:pPr>
      <w:r>
        <w:rPr>
          <w:rFonts w:ascii="Barlow Semi Condensed" w:cs="Barlow Semi Condensed" w:eastAsia="Barlow Semi Condensed" w:hAnsi="Barlow Semi Condensed"/>
          <w:sz w:val="24"/>
          <w:szCs w:val="24"/>
        </w:rPr>
        <w:t xml:space="preserve">Capitolo sesto — Le scuole cattoliche: quindici anni prima dello Stato</w:t>
      </w:r>
    </w:p>
    <w:p>
      <w:pPr>
        <w:spacing w:after="120" w:line="276"/>
        <w:jc w:val="both"/>
      </w:pPr>
      <w:r>
        <w:rPr>
          <w:rFonts w:ascii="Barlow Semi Condensed" w:cs="Barlow Semi Condensed" w:eastAsia="Barlow Semi Condensed" w:hAnsi="Barlow Semi Condensed"/>
          <w:b/>
          <w:bCs/>
          <w:sz w:val="24"/>
          <w:szCs w:val="24"/>
        </w:rPr>
        <w:t xml:space="preserve">Il capitolo espone un accertamento cronologico che vale come misura.</w:t>
      </w:r>
    </w:p>
    <w:p>
      <w:pPr>
        <w:spacing w:after="120" w:line="276"/>
        <w:jc w:val="both"/>
      </w:pPr>
      <w:r>
        <w:rPr>
          <w:rFonts w:ascii="Barlow Semi Condensed" w:cs="Barlow Semi Condensed" w:eastAsia="Barlow Semi Condensed" w:hAnsi="Barlow Semi Condensed"/>
          <w:b/>
          <w:bCs/>
          <w:sz w:val="24"/>
          <w:szCs w:val="24"/>
        </w:rPr>
        <w:t xml:space="preserve">Lo studio di riferimento.\\ \\Pam Christie\\, \Open Schools: Racially Mixed Catholic Schools in South Africa, 1976-1986\, Ravan Press, Johannesburg 1990, \\il cui titolo fissa l'arco.</w:t>
      </w:r>
    </w:p>
    <w:p>
      <w:pPr>
        <w:spacing w:after="120" w:line="276"/>
        <w:jc w:val="both"/>
      </w:pPr>
      <w:r>
        <w:rPr>
          <w:rFonts w:ascii="Barlow Semi Condensed" w:cs="Barlow Semi Condensed" w:eastAsia="Barlow Semi Condensed" w:hAnsi="Barlow Semi Condensed"/>
          <w:b/>
          <w:bCs/>
          <w:sz w:val="24"/>
          <w:szCs w:val="24"/>
        </w:rPr>
        <w:t xml:space="preserve">La svolta, con la data.\\ Nel \\1976\\ i vescovi decisero di \\integrare scuole e seminari\\; e va registrato da dove venne la spinta iniziale: \\dalle congregazioni religiose femminili, che aprirono le scuole cattoliche a tutte le razze.</w:t>
      </w:r>
    </w:p>
    <w:p>
      <w:pPr>
        <w:spacing w:after="120" w:line="276"/>
        <w:jc w:val="both"/>
      </w:pPr>
      <w:r>
        <w:rPr>
          <w:rFonts w:ascii="Barlow Semi Condensed" w:cs="Barlow Semi Condensed" w:eastAsia="Barlow Semi Condensed" w:hAnsi="Barlow Semi Condensed"/>
          <w:b/>
          <w:bCs/>
          <w:sz w:val="24"/>
          <w:szCs w:val="24"/>
        </w:rPr>
        <w:t xml:space="preserve">Il precedente va distinto, e riguarda gli anni Cinquanta. Nella battaglia contro la Bantu Education, come ricorda Nelson Mandela in \Long Walk to Freedom\, i cattolici furono tra i pochi — con gli Avventisti del Settimo Giorno e la United Jewish Reform Congregation — a mantenere le proprie scuole missionarie senza aiuto statale, rifiutando di consegnarle al governo.</w:t>
      </w:r>
    </w:p>
    <w:p>
      <w:pPr>
        <w:spacing w:after="120" w:line="276"/>
        <w:jc w:val="both"/>
      </w:pPr>
      <w:r>
        <w:rPr>
          <w:rFonts w:ascii="Barlow Semi Condensed" w:cs="Barlow Semi Condensed" w:eastAsia="Barlow Semi Condensed" w:hAnsi="Barlow Semi Condensed"/>
          <w:b/>
          <w:bCs/>
          <w:sz w:val="24"/>
          <w:szCs w:val="24"/>
        </w:rPr>
        <w:t xml:space="preserve">E adesso la misura, che è il punto del capitolo.</w:t>
      </w:r>
    </w:p>
    <w:p>
      <w:pPr>
        <w:spacing w:after="120" w:line="276"/>
        <w:jc w:val="both"/>
      </w:pPr>
      <w:r>
        <w:rPr>
          <w:rFonts w:ascii="Barlow Semi Condensed" w:cs="Barlow Semi Condensed" w:eastAsia="Barlow Semi Condensed" w:hAnsi="Barlow Semi Condensed"/>
          <w:b/>
          <w:bCs/>
          <w:sz w:val="24"/>
          <w:szCs w:val="24"/>
        </w:rPr>
        <w:t xml:space="preserve">La desegregazione delle scuole cattoliche precedette di quasi un quindicennio la desegregazione generalizzata delle scuole bianche\\, avviata soltanto dal \\1990\\ con il meccanismo di voto scuola per scuola introdotto dal ministro \\Piet Clase.</w:t>
      </w:r>
    </w:p>
    <w:p>
      <w:pPr>
        <w:spacing w:after="120" w:line="276"/>
        <w:jc w:val="both"/>
      </w:pPr>
      <w:r>
        <w:rPr>
          <w:rFonts w:ascii="Barlow Semi Condensed" w:cs="Barlow Semi Condensed" w:eastAsia="Barlow Semi Condensed" w:hAnsi="Barlow Semi Condensed"/>
          <w:b/>
          <w:bCs/>
          <w:sz w:val="24"/>
          <w:szCs w:val="24"/>
        </w:rPr>
        <w:t xml:space="preserve">Quindici anni fra l'atto di una Chiesa e l'atto dello Stato sul medesimo territorio.</w:t>
      </w:r>
    </w:p>
    <w:p>
      <w:pPr>
        <w:spacing w:after="120" w:line="276"/>
        <w:jc w:val="both"/>
      </w:pPr>
      <w:r>
        <w:rPr>
          <w:rFonts w:ascii="Barlow Semi Condensed" w:cs="Barlow Semi Condensed" w:eastAsia="Barlow Semi Condensed" w:hAnsi="Barlow Semi Condensed"/>
          <w:b/>
          <w:bCs/>
          <w:sz w:val="24"/>
          <w:szCs w:val="24"/>
        </w:rPr>
        <w:t xml:space="preserve">L'evoluzione dei rapporti con Pretoria. Dalla mitezza paternalistica dei documenti degli anni Cinquanta e Sessanta si passò, dopo le rivolte di Soweto del 1976 e con la Declaration of Commitment del 1977, a un impegno più diretto, culminato negli anni Ottanta nella repressione.</w:t>
      </w:r>
    </w:p>
    <w:p>
      <w:pPr>
        <w:spacing w:after="120" w:line="276"/>
        <w:jc w:val="both"/>
      </w:pPr>
      <w:r>
        <w:rPr>
          <w:rFonts w:ascii="Barlow Semi Condensed" w:cs="Barlow Semi Condensed" w:eastAsia="Barlow Semi Condensed" w:hAnsi="Barlow Semi Condensed"/>
          <w:b/>
          <w:bCs/>
          <w:sz w:val="24"/>
          <w:szCs w:val="24"/>
        </w:rPr>
        <w:t xml:space="preserve">Un dato biografico misura il clima.\\ \\Smangaliso Mkhatshwa\\ fu nominato segretario generale della conferenza nel \\1981 mentre era ancora sottoposto a banning order.</w:t>
      </w:r>
    </w:p>
    <w:p>
      <w:pPr>
        <w:spacing w:after="120" w:line="276"/>
        <w:jc w:val="both"/>
      </w:pPr>
      <w:r>
        <w:rPr>
          <w:rFonts w:ascii="Barlow Semi Condensed" w:cs="Barlow Semi Condensed" w:eastAsia="Barlow Semi Condensed" w:hAnsi="Barlow Semi Condensed"/>
          <w:b/>
          <w:bCs/>
          <w:sz w:val="24"/>
          <w:szCs w:val="24"/>
        </w:rPr>
        <w:t xml:space="preserve">La consistenza della comunità, con lo statuto della fonte dichiarato.\\ Un'agenzia riportò nel settembre 1988 di un \\Paese a governo bianco, l'ottanta per cento dei cui due milioni e mezzo di cattolici è nero.</w:t>
      </w:r>
    </w:p>
    <w:p>
      <w:pPr>
        <w:spacing w:after="120" w:line="276"/>
        <w:jc w:val="both"/>
      </w:pPr>
      <w:r>
        <w:rPr>
          <w:rFonts w:ascii="Barlow Semi Condensed" w:cs="Barlow Semi Condensed" w:eastAsia="Barlow Semi Condensed" w:hAnsi="Barlow Semi Condensed"/>
          <w:b/>
          <w:bCs/>
          <w:sz w:val="24"/>
          <w:szCs w:val="24"/>
        </w:rPr>
        <w:t xml:space="preserve">È dato di stampa e non censuario, e va trattato come tale.</w:t>
      </w:r>
    </w:p>
    <w:p>
      <w:pPr>
        <w:spacing w:after="120" w:line="276"/>
        <w:jc w:val="both"/>
      </w:pPr>
      <w:r>
        <w:rPr>
          <w:rFonts w:ascii="Barlow Semi Condensed" w:cs="Barlow Semi Condensed" w:eastAsia="Barlow Semi Condensed" w:hAnsi="Barlow Semi Condensed"/>
          <w:b/>
          <w:bCs/>
          <w:sz w:val="24"/>
          <w:szCs w:val="24"/>
        </w:rPr>
        <w:t xml:space="preserve">Ma se anche approssimativo, esso enuncia la contraddizione strutturale della Chiesa cattolica sudafricana: una gerarchia in larga parte bianca e di origine straniera a capo di una comunità in larghissima parte nera, dentro un regime che quella comunità segregava.</w:t>
      </w:r>
    </w:p>
    <w:p>
      <w:pPr>
        <w:pStyle w:val="Heading2"/>
        <w:spacing w:after="100" w:before="200"/>
      </w:pPr>
      <w:r>
        <w:rPr>
          <w:rFonts w:ascii="Barlow Semi Condensed" w:cs="Barlow Semi Condensed" w:eastAsia="Barlow Semi Condensed" w:hAnsi="Barlow Semi Condensed"/>
          <w:sz w:val="24"/>
          <w:szCs w:val="24"/>
        </w:rPr>
        <w:t xml:space="preserve">Capitolo settimo — La Democrazia Cristiana: un accertamento e un esito negativo</w:t>
      </w:r>
    </w:p>
    <w:p>
      <w:pPr>
        <w:spacing w:after="120" w:line="276"/>
        <w:jc w:val="both"/>
      </w:pPr>
      <w:r>
        <w:rPr>
          <w:rFonts w:ascii="Barlow Semi Condensed" w:cs="Barlow Semi Condensed" w:eastAsia="Barlow Semi Condensed" w:hAnsi="Barlow Semi Condensed"/>
          <w:b/>
          <w:bCs/>
          <w:sz w:val="24"/>
          <w:szCs w:val="24"/>
        </w:rPr>
        <w:t xml:space="preserve">Il capitolo espone ciò che si è trovato del versante partitico italiano, che è meno di quanto l'ordine chiedesse.</w:t>
      </w:r>
    </w:p>
    <w:p>
      <w:pPr>
        <w:spacing w:after="120" w:line="276"/>
        <w:jc w:val="both"/>
      </w:pPr>
      <w:r>
        <w:rPr>
          <w:rFonts w:ascii="Barlow Semi Condensed" w:cs="Barlow Semi Condensed" w:eastAsia="Barlow Semi Condensed" w:hAnsi="Barlow Semi Condensed"/>
          <w:b/>
          <w:bCs/>
          <w:sz w:val="24"/>
          <w:szCs w:val="24"/>
        </w:rPr>
        <w:t xml:space="preserve">L'accertamento documentale solido. La banca dati aperta della Camera dei deputati attesta l'atto Camera numero dieci della undicesima legislatura, di iniziativa popolare, con data 19891010 — dunque presentato il 10 ottobre 1989 — intitolato Sanzioni contro il regime di apartheid nella Repubblica del Sudafrica, corrispondente alle cinquantamila firme già acquisite nel corpus; il testo a stampa è archiviato nel fondo dell'undicesima legislatura con stampato quarantaduemilanovecentotrentuno.</w:t>
      </w:r>
    </w:p>
    <w:p>
      <w:pPr>
        <w:spacing w:after="120" w:line="276"/>
        <w:jc w:val="both"/>
      </w:pPr>
      <w:r>
        <w:rPr>
          <w:rFonts w:ascii="Barlow Semi Condensed" w:cs="Barlow Semi Condensed" w:eastAsia="Barlow Semi Condensed" w:hAnsi="Barlow Semi Condensed"/>
          <w:b/>
          <w:bCs/>
          <w:sz w:val="24"/>
          <w:szCs w:val="24"/>
        </w:rPr>
        <w:t xml:space="preserve">Analogamente è acquisita la costituzione, nel gennaio 1985, del Coordinamento Nazionale contro l'Apartheid in Sudafrica.</w:t>
      </w:r>
    </w:p>
    <w:p>
      <w:pPr>
        <w:spacing w:after="120" w:line="276"/>
        <w:jc w:val="both"/>
      </w:pPr>
      <w:r>
        <w:rPr>
          <w:rFonts w:ascii="Barlow Semi Condensed" w:cs="Barlow Semi Condensed" w:eastAsia="Barlow Semi Condensed" w:hAnsi="Barlow Semi Condensed"/>
          <w:b/>
          <w:bCs/>
          <w:sz w:val="24"/>
          <w:szCs w:val="24"/>
        </w:rPr>
        <w:t xml:space="preserve">E adesso l'esito negativo, che va dichiarato senza attenuazioni perché riguarda il cuore dell'ordine ricevuto.</w:t>
      </w:r>
    </w:p>
    <w:p>
      <w:pPr>
        <w:spacing w:after="120" w:line="276"/>
        <w:jc w:val="both"/>
      </w:pPr>
      <w:r>
        <w:rPr>
          <w:rFonts w:ascii="Barlow Semi Condensed" w:cs="Barlow Semi Condensed" w:eastAsia="Barlow Semi Condensed" w:hAnsi="Barlow Semi Condensed"/>
          <w:b/>
          <w:bCs/>
          <w:sz w:val="24"/>
          <w:szCs w:val="24"/>
        </w:rPr>
        <w:t xml:space="preserve">Le fonti edite reperite non consentono di documentare una posizione ufficiale distinta e formalizzata della Democrazia Cristiana come partito — mozioni congressuali, documenti della segreteria, atti d'indirizzo specifici sull'apartheid — separata dall'azione parlamentare e dal fronte associativo trasversale.</w:t>
      </w:r>
    </w:p>
    <w:p>
      <w:pPr>
        <w:spacing w:after="120" w:line="276"/>
        <w:jc w:val="both"/>
      </w:pPr>
      <w:r>
        <w:rPr>
          <w:rFonts w:ascii="Barlow Semi Condensed" w:cs="Barlow Semi Condensed" w:eastAsia="Barlow Semi Condensed" w:hAnsi="Barlow Semi Condensed"/>
          <w:b/>
          <w:bCs/>
          <w:sz w:val="24"/>
          <w:szCs w:val="24"/>
        </w:rPr>
        <w:t xml:space="preserve">Ciò che si documenta è un'iniziativa popolare e un coordinamento nazionale, entrambi trasversali. Ciò che non si documenta è la DC come soggetto autonomo su questa materia.</w:t>
      </w:r>
    </w:p>
    <w:p>
      <w:pPr>
        <w:spacing w:after="120" w:line="276"/>
        <w:jc w:val="both"/>
      </w:pPr>
      <w:r>
        <w:rPr>
          <w:rFonts w:ascii="Barlow Semi Condensed" w:cs="Barlow Semi Condensed" w:eastAsia="Barlow Semi Condensed" w:hAnsi="Barlow Semi Condensed"/>
          <w:b/>
          <w:bCs/>
          <w:sz w:val="24"/>
          <w:szCs w:val="24"/>
        </w:rPr>
        <w:t xml:space="preserve">La sede propria per l'accertamento sono gli atti dei congressi nazionali democristiani, l'archivio dell'Istituto Luigi Sturzo e gli atti parlamentari relativi alle interrogazioni e ai dibattiti sul Sudafrica: depositi non esplorati.</w:t>
      </w:r>
    </w:p>
    <w:p>
      <w:pPr>
        <w:spacing w:after="120" w:line="276"/>
        <w:jc w:val="both"/>
      </w:pPr>
      <w:r>
        <w:rPr>
          <w:rFonts w:ascii="Barlow Semi Condensed" w:cs="Barlow Semi Condensed" w:eastAsia="Barlow Semi Condensed" w:hAnsi="Barlow Semi Condensed"/>
          <w:b/>
          <w:bCs/>
          <w:sz w:val="24"/>
          <w:szCs w:val="24"/>
        </w:rPr>
        <w:t xml:space="preserve">Un secondo esito negativo va registrato perché l'ordine lo chiedeva espressamente. Nessuna fonte edita documenta un coordinamento formale fra la Democrazia Cristiana e la Santa Sede o la Conferenza episcopale italiana sulla materia sudafricana.</w:t>
      </w:r>
    </w:p>
    <w:p>
      <w:pPr>
        <w:spacing w:after="120" w:line="276"/>
        <w:jc w:val="both"/>
      </w:pPr>
      <w:r>
        <w:rPr>
          <w:rFonts w:ascii="Barlow Semi Condensed" w:cs="Barlow Semi Condensed" w:eastAsia="Barlow Semi Condensed" w:hAnsi="Barlow Semi Condensed"/>
          <w:b/>
          <w:bCs/>
          <w:sz w:val="24"/>
          <w:szCs w:val="24"/>
        </w:rPr>
        <w:t xml:space="preserve">Si tratta di mancato reperimento e non di impossibilità istituzionale, e la distinzione va mantenuta: l'archivio della DC esiste ed è consultabile, a differenza di quello vaticano per il periodo.</w:t>
      </w:r>
    </w:p>
    <w:p>
      <w:pPr>
        <w:spacing w:after="120" w:line="276"/>
        <w:jc w:val="both"/>
      </w:pPr>
      <w:r>
        <w:rPr>
          <w:rFonts w:ascii="Barlow Semi Condensed" w:cs="Barlow Semi Condensed" w:eastAsia="Barlow Semi Condensed" w:hAnsi="Barlow Semi Condensed"/>
          <w:b/>
          <w:bCs/>
          <w:sz w:val="24"/>
          <w:szCs w:val="24"/>
        </w:rPr>
        <w:t xml:space="preserve">Il quadro europeo entro cui l'Italia si muoveva, per contesto. La Comunità adottò nel luglio 1977 un codice di condotta per le aziende operanti in Sudafrica e, nel 1985-1986, misure restrittive. Le Nazioni Unite avevano reso obbligatorio l'embargo sulle armi con la risoluzione quattrocentodiciotto del 4 novembre 1977, adottata all'unanimità con quindici voti — primo caso di sanzioni obbligatorie imposte a uno Stato membro — che l'Italia ratificò.</w:t>
      </w:r>
    </w:p>
    <w:p>
      <w:pPr>
        <w:pStyle w:val="Heading2"/>
        <w:spacing w:after="100" w:before="200"/>
      </w:pPr>
      <w:r>
        <w:rPr>
          <w:rFonts w:ascii="Barlow Semi Condensed" w:cs="Barlow Semi Condensed" w:eastAsia="Barlow Semi Condensed" w:hAnsi="Barlow Semi Condensed"/>
          <w:sz w:val="24"/>
          <w:szCs w:val="24"/>
        </w:rPr>
        <w:t xml:space="preserve">Capitolo ottavo — Zonderwater: la dimensione religiosa e una correzione</w:t>
      </w:r>
    </w:p>
    <w:p>
      <w:pPr>
        <w:spacing w:after="120" w:line="276"/>
        <w:jc w:val="both"/>
      </w:pPr>
      <w:r>
        <w:rPr>
          <w:rFonts w:ascii="Barlow Semi Condensed" w:cs="Barlow Semi Condensed" w:eastAsia="Barlow Semi Condensed" w:hAnsi="Barlow Semi Condensed"/>
          <w:b/>
          <w:bCs/>
          <w:sz w:val="24"/>
          <w:szCs w:val="24"/>
        </w:rPr>
        <w:t xml:space="preserve">Il capitolo espone il versante che l'ordine chiedeva sulla comunità italiana, e vi apporta una correzione metodologica.</w:t>
      </w:r>
    </w:p>
    <w:p>
      <w:pPr>
        <w:spacing w:after="120" w:line="276"/>
        <w:jc w:val="both"/>
      </w:pPr>
      <w:r>
        <w:rPr>
          <w:rFonts w:ascii="Barlow Semi Condensed" w:cs="Barlow Semi Condensed" w:eastAsia="Barlow Semi Condensed" w:hAnsi="Barlow Semi Condensed"/>
          <w:b/>
          <w:bCs/>
          <w:sz w:val="24"/>
          <w:szCs w:val="24"/>
        </w:rPr>
        <w:t xml:space="preserve">I numeri, già in parte acquisiti. Il campo di Zonderwater, presso Cullinan a poco più di quaranta chilometri da Pretoria, contò cinquantaquattromila prigionieri nell'aprile 1942, sessantatremila nel 1943, fino a un totale di novantamila.</w:t>
      </w:r>
    </w:p>
    <w:p>
      <w:pPr>
        <w:spacing w:after="120" w:line="276"/>
        <w:jc w:val="both"/>
      </w:pPr>
      <w:r>
        <w:rPr>
          <w:rFonts w:ascii="Barlow Semi Condensed" w:cs="Barlow Semi Condensed" w:eastAsia="Barlow Semi Condensed" w:hAnsi="Barlow Semi Condensed"/>
          <w:b/>
          <w:bCs/>
          <w:sz w:val="24"/>
          <w:szCs w:val="24"/>
        </w:rPr>
        <w:t xml:space="preserve">Una divergenza va segnalata perché tocca un dato già iscritto nel corpus. Sul numero dei caduti: il corpus e alcune fonti indicano trecentododici; un articolo italiano parla di duecentosettantanove italiani sepolti; una fonte sudafricana precisa che quasi duecentottanta soldati sono sepolti a Zonderwater e trentacinque nel cimitero di guerra di Pietermaritzburg.</w:t>
      </w:r>
    </w:p>
    <w:p>
      <w:pPr>
        <w:spacing w:after="120" w:line="276"/>
        <w:jc w:val="both"/>
      </w:pPr>
      <w:r>
        <w:rPr>
          <w:rFonts w:ascii="Barlow Semi Condensed" w:cs="Barlow Semi Condensed" w:eastAsia="Barlow Semi Condensed" w:hAnsi="Barlow Semi Condensed"/>
          <w:b/>
          <w:bCs/>
          <w:sz w:val="24"/>
          <w:szCs w:val="24"/>
        </w:rPr>
        <w:t xml:space="preserve">La divergenza è probabilmente riconducibile alla distinzione fra caduti complessivamente onorati e sepolti nel solo cimitero di Zonderwater, e si riporta anziché comporre.</w:t>
      </w:r>
    </w:p>
    <w:p>
      <w:pPr>
        <w:spacing w:after="120" w:line="276"/>
        <w:jc w:val="both"/>
      </w:pPr>
      <w:r>
        <w:rPr>
          <w:rFonts w:ascii="Barlow Semi Condensed" w:cs="Barlow Semi Condensed" w:eastAsia="Barlow Semi Condensed" w:hAnsi="Barlow Semi Condensed"/>
          <w:b/>
          <w:bCs/>
          <w:sz w:val="24"/>
          <w:szCs w:val="24"/>
        </w:rPr>
        <w:t xml:space="preserve">L'assistenza spirituale, che è ciò che l'ordine chiedeva. Essa fu garantita da cappellani militari anch'essi prigionieri. Il sito ufficiale del museo del campo attesta l'assistenza religiosa dispensata dai molti cappellani militari anch'essi prigionieri; una fonte italiana precisa che furono erette cappelle affidate a ventitré cappellani militari detenuti nel campo.</w:t>
      </w:r>
    </w:p>
    <w:p>
      <w:pPr>
        <w:spacing w:after="120" w:line="276"/>
        <w:jc w:val="both"/>
      </w:pPr>
      <w:r>
        <w:rPr>
          <w:rFonts w:ascii="Barlow Semi Condensed" w:cs="Barlow Semi Condensed" w:eastAsia="Barlow Semi Condensed" w:hAnsi="Barlow Semi Condensed"/>
          <w:b/>
          <w:bCs/>
          <w:sz w:val="24"/>
          <w:szCs w:val="24"/>
        </w:rPr>
        <w:t xml:space="preserve">Concorsero all'assistenza\\ la Croce Rossa Internazionale, Sudafricana e Italiana, l'associazione giovanile cristiana e \\la collettività italiana locale, numerosa e prospera, organizzata in comitati di assistenza ai prigionieri.</w:t>
      </w:r>
    </w:p>
    <w:p>
      <w:pPr>
        <w:spacing w:after="120" w:line="276"/>
        <w:jc w:val="both"/>
      </w:pPr>
      <w:r>
        <w:rPr>
          <w:rFonts w:ascii="Barlow Semi Condensed" w:cs="Barlow Semi Condensed" w:eastAsia="Barlow Semi Condensed" w:hAnsi="Barlow Semi Condensed"/>
          <w:b/>
          <w:bCs/>
          <w:sz w:val="24"/>
          <w:szCs w:val="24"/>
        </w:rPr>
        <w:t xml:space="preserve">Del campo restano oggi il cimitero, la cappella, il museo e il monumento dei Tre Archi, custoditi con il concorso del comitato degli italiani all'estero di Johannesburg.</w:t>
      </w:r>
    </w:p>
    <w:p>
      <w:pPr>
        <w:spacing w:after="120" w:line="276"/>
        <w:jc w:val="both"/>
      </w:pPr>
      <w:r>
        <w:rPr>
          <w:rFonts w:ascii="Barlow Semi Condensed" w:cs="Barlow Semi Condensed" w:eastAsia="Barlow Semi Condensed" w:hAnsi="Barlow Semi Condensed"/>
          <w:b/>
          <w:bCs/>
          <w:sz w:val="24"/>
          <w:szCs w:val="24"/>
        </w:rPr>
        <w:t xml:space="preserve">E adesso la correzione metodologica, che registro perché la ricerca stessa l'ha rilevata e tacerla sarebbe scorretto.</w:t>
      </w:r>
    </w:p>
    <w:p>
      <w:pPr>
        <w:spacing w:after="120" w:line="276"/>
        <w:jc w:val="both"/>
      </w:pPr>
      <w:r>
        <w:rPr>
          <w:rFonts w:ascii="Barlow Semi Condensed" w:cs="Barlow Semi Condensed" w:eastAsia="Barlow Semi Condensed" w:hAnsi="Barlow Semi Condensed"/>
          <w:b/>
          <w:bCs/>
          <w:sz w:val="24"/>
          <w:szCs w:val="24"/>
        </w:rPr>
        <w:t xml:space="preserve">Una fonte reperita descrive il ruolo della Delegazione Apostolica retta da monsignor Amleto Cicognani nell'assistenza ai prigionieri italiani. Ma quel passo si riferisce ai campi negli Stati Uniti, non al Sudafrica, e non va trasferito a Zonderwater.</w:t>
      </w:r>
    </w:p>
    <w:p>
      <w:pPr>
        <w:spacing w:after="120" w:line="276"/>
        <w:jc w:val="both"/>
      </w:pPr>
      <w:r>
        <w:rPr>
          <w:rFonts w:ascii="Barlow Semi Condensed" w:cs="Barlow Semi Condensed" w:eastAsia="Barlow Semi Condensed" w:hAnsi="Barlow Semi Condensed"/>
          <w:b/>
          <w:bCs/>
          <w:sz w:val="24"/>
          <w:szCs w:val="24"/>
        </w:rPr>
        <w:t xml:space="preserve">È errore di attribuzione geografica del tipo che questa serie ha già registrato due volte a proprio carico, e la ricerca lo ha evitato dichiarandolo.</w:t>
      </w:r>
    </w:p>
    <w:p>
      <w:pPr>
        <w:spacing w:after="120" w:line="276"/>
        <w:jc w:val="both"/>
      </w:pPr>
      <w:r>
        <w:rPr>
          <w:rFonts w:ascii="Barlow Semi Condensed" w:cs="Barlow Semi Condensed" w:eastAsia="Barlow Semi Condensed" w:hAnsi="Barlow Semi Condensed"/>
          <w:b/>
          <w:bCs/>
          <w:sz w:val="24"/>
          <w:szCs w:val="24"/>
        </w:rPr>
        <w:t xml:space="preserve">Un esito negativo chiude il capitolo. Sulla domanda se la comunità italiana in Sudafrica abbia assunto posizioni sull'apartheid, le fonti reperite non offrono documentazione. Sede: archivi del comitato degli italiani all'estero, della comunità e dei consolati.</w:t>
      </w:r>
    </w:p>
    <w:p>
      <w:pPr>
        <w:pStyle w:val="Heading2"/>
        <w:spacing w:after="100" w:before="200"/>
      </w:pPr>
      <w:r>
        <w:rPr>
          <w:rFonts w:ascii="Barlow Semi Condensed" w:cs="Barlow Semi Condensed" w:eastAsia="Barlow Semi Condensed" w:hAnsi="Barlow Semi Condensed"/>
          <w:sz w:val="24"/>
          <w:szCs w:val="24"/>
        </w:rPr>
        <w:t xml:space="preserve">Capitolo nono — Moro: lo Stato Zero e la sua gradazione</w:t>
      </w:r>
    </w:p>
    <w:p>
      <w:pPr>
        <w:spacing w:after="120" w:line="276"/>
        <w:jc w:val="both"/>
      </w:pPr>
      <w:r>
        <w:rPr>
          <w:rFonts w:ascii="Barlow Semi Condensed" w:cs="Barlow Semi Condensed" w:eastAsia="Barlow Semi Condensed" w:hAnsi="Barlow Semi Condensed"/>
          <w:b/>
          <w:bCs/>
          <w:sz w:val="24"/>
          <w:szCs w:val="24"/>
        </w:rPr>
        <w:t xml:space="preserve">Il capitolo esegue la triangolazione richiesta, e ne dichiara l'esito con il grado.</w:t>
      </w:r>
    </w:p>
    <w:p>
      <w:pPr>
        <w:spacing w:after="120" w:line="276"/>
        <w:jc w:val="both"/>
      </w:pPr>
      <w:r>
        <w:rPr>
          <w:rFonts w:ascii="Barlow Semi Condensed" w:cs="Barlow Semi Condensed" w:eastAsia="Barlow Semi Condensed" w:hAnsi="Barlow Semi Condensed"/>
          <w:b/>
          <w:bCs/>
          <w:sz w:val="24"/>
          <w:szCs w:val="24"/>
        </w:rPr>
        <w:t xml:space="preserve">L'esito. Non esiste, nelle fonti reperite, alcuna documentazione che colleghi Aldo Moro alla questione sudafricana o namibiana — né come ministro degli Esteri, né come presidente del Consiglio, né come dirigente e presidente della Democrazia Cristiana.</w:t>
      </w:r>
    </w:p>
    <w:p>
      <w:pPr>
        <w:spacing w:after="120" w:line="276"/>
        <w:jc w:val="both"/>
      </w:pPr>
      <w:r>
        <w:rPr>
          <w:rFonts w:ascii="Barlow Semi Condensed" w:cs="Barlow Semi Condensed" w:eastAsia="Barlow Semi Condensed" w:hAnsi="Barlow Semi Condensed"/>
          <w:b/>
          <w:bCs/>
          <w:sz w:val="24"/>
          <w:szCs w:val="24"/>
        </w:rPr>
        <w:t xml:space="preserve">La biografia ufficiale del Ministero degli Affari Esteri riassume i meriti di politica estera di Moro nella risoluzione dei contenziosi con la Jugoslavia e l'Etiopia e nell'impegno per l'integrazione europea. L'Africa australe e l'apartheid non sono menzionati.</w:t>
      </w:r>
    </w:p>
    <w:p>
      <w:pPr>
        <w:spacing w:after="120" w:line="276"/>
        <w:jc w:val="both"/>
      </w:pPr>
      <w:r>
        <w:rPr>
          <w:rFonts w:ascii="Barlow Semi Condensed" w:cs="Barlow Semi Condensed" w:eastAsia="Barlow Semi Condensed" w:hAnsi="Barlow Semi Condensed"/>
          <w:b/>
          <w:bCs/>
          <w:sz w:val="24"/>
          <w:szCs w:val="24"/>
        </w:rPr>
        <w:t xml:space="preserve">La storiografia colloca la sua azione nel Mediterraneo, nel mondo arabo e nell'alleanza atlantica: la fase mediterranea della politica estera italiana.</w:t>
      </w:r>
    </w:p>
    <w:p>
      <w:pPr>
        <w:spacing w:after="120" w:line="276"/>
        <w:jc w:val="both"/>
      </w:pPr>
      <w:r>
        <w:rPr>
          <w:rFonts w:ascii="Barlow Semi Condensed" w:cs="Barlow Semi Condensed" w:eastAsia="Barlow Semi Condensed" w:hAnsi="Barlow Semi Condensed"/>
          <w:b/>
          <w:bCs/>
          <w:sz w:val="24"/>
          <w:szCs w:val="24"/>
        </w:rPr>
        <w:t xml:space="preserve">Ma si applica la prescrizione ereditata dalla quattordicesima ricognizione: non concludere per l'inazione senza avere prima identificato l'apparato competente, poiché il precedente di Osimo dimostra che un negoziato può essere condotto attraverso un canale atipico.</w:t>
      </w:r>
    </w:p>
    <w:p>
      <w:pPr>
        <w:spacing w:after="120" w:line="276"/>
        <w:jc w:val="both"/>
      </w:pPr>
      <w:r>
        <w:rPr>
          <w:rFonts w:ascii="Barlow Semi Condensed" w:cs="Barlow Semi Condensed" w:eastAsia="Barlow Semi Condensed" w:hAnsi="Barlow Semi Condensed"/>
          <w:b/>
          <w:bCs/>
          <w:sz w:val="24"/>
          <w:szCs w:val="24"/>
        </w:rPr>
        <w:t xml:space="preserve">E l'apparato competente ha prodotto atti, che vanno elencati perché sono istituzionali e non personalmente attribuibili.</w:t>
      </w:r>
    </w:p>
    <w:p>
      <w:pPr>
        <w:spacing w:after="120" w:line="276"/>
        <w:jc w:val="both"/>
      </w:pPr>
      <w:r>
        <w:rPr>
          <w:rFonts w:ascii="Barlow Semi Condensed" w:cs="Barlow Semi Condensed" w:eastAsia="Barlow Semi Condensed" w:hAnsi="Barlow Semi Condensed"/>
          <w:b/>
          <w:bCs/>
          <w:sz w:val="24"/>
          <w:szCs w:val="24"/>
        </w:rPr>
        <w:t xml:space="preserve">Primo.\\ \\L'Italia mantenne per tutto il periodo relazioni diplomatiche piene con il Sudafrica, stabilite nel 1929, e un'ambasciata a Pretoria — a differenza della Santa Sede.</w:t>
      </w:r>
    </w:p>
    <w:p>
      <w:pPr>
        <w:spacing w:after="120" w:line="276"/>
        <w:jc w:val="both"/>
      </w:pPr>
      <w:r>
        <w:rPr>
          <w:rFonts w:ascii="Barlow Semi Condensed" w:cs="Barlow Semi Condensed" w:eastAsia="Barlow Semi Condensed" w:hAnsi="Barlow Semi Condensed"/>
          <w:b/>
          <w:bCs/>
          <w:sz w:val="24"/>
          <w:szCs w:val="24"/>
        </w:rPr>
        <w:t xml:space="preserve">Secondo, e va datato con precisione perché cade nel perimetro. Il Sudafrica ottenne nel 1964 la licenza per produrre l'Aermacchi MB-326 come Impala; e nel settembre 1970 la South African Air Force ordinò quaranta velivoli da osservazione Aermacchi AM.3C, denominati localmente Bosbok, il primo dei quali entrò in servizio nel marzo 1973 con consegne proseguite fino al dicembre 1975.</w:t>
      </w:r>
    </w:p>
    <w:p>
      <w:pPr>
        <w:spacing w:after="120" w:line="276"/>
        <w:jc w:val="both"/>
      </w:pPr>
      <w:r>
        <w:rPr>
          <w:rFonts w:ascii="Barlow Semi Condensed" w:cs="Barlow Semi Condensed" w:eastAsia="Barlow Semi Condensed" w:hAnsi="Barlow Semi Condensed"/>
          <w:b/>
          <w:bCs/>
          <w:sz w:val="24"/>
          <w:szCs w:val="24"/>
        </w:rPr>
        <w:t xml:space="preserve">Dunque a cavallo del secondo mandato ministeriale e della presidenza del Consiglio di Moro.</w:t>
      </w:r>
    </w:p>
    <w:p>
      <w:pPr>
        <w:spacing w:after="120" w:line="276"/>
        <w:jc w:val="both"/>
      </w:pPr>
      <w:r>
        <w:rPr>
          <w:rFonts w:ascii="Barlow Semi Condensed" w:cs="Barlow Semi Condensed" w:eastAsia="Barlow Semi Condensed" w:hAnsi="Barlow Semi Condensed"/>
          <w:b/>
          <w:bCs/>
          <w:sz w:val="24"/>
          <w:szCs w:val="24"/>
        </w:rPr>
        <w:t xml:space="preserve">Fonti internazionali elencano l'Italia fra i principali fornitori di tecnologia militare a Pretoria prima dell'embargo obbligatorio del 1977.</w:t>
      </w:r>
    </w:p>
    <w:p>
      <w:pPr>
        <w:spacing w:after="120" w:line="276"/>
        <w:jc w:val="both"/>
      </w:pPr>
      <w:r>
        <w:rPr>
          <w:rFonts w:ascii="Barlow Semi Condensed" w:cs="Barlow Semi Condensed" w:eastAsia="Barlow Semi Condensed" w:hAnsi="Barlow Semi Condensed"/>
          <w:b/>
          <w:bCs/>
          <w:sz w:val="24"/>
          <w:szCs w:val="24"/>
        </w:rPr>
        <w:t xml:space="preserve">Terzo. L'Italia, membro non permanente del Consiglio di Sicurezza nel 1971-1972, votò a favore delle risoluzioni sulla Namibia trecentouno del 20 ottobre 1971 e trecentoventitré del 6 dicembre 1972, durante il primo mandato di Moro alla Farnesina.</w:t>
      </w:r>
    </w:p>
    <w:p>
      <w:pPr>
        <w:spacing w:after="120" w:line="276"/>
        <w:jc w:val="both"/>
      </w:pPr>
      <w:r>
        <w:rPr>
          <w:rFonts w:ascii="Barlow Semi Condensed" w:cs="Barlow Semi Condensed" w:eastAsia="Barlow Semi Condensed" w:hAnsi="Barlow Semi Condensed"/>
          <w:b/>
          <w:bCs/>
          <w:sz w:val="24"/>
          <w:szCs w:val="24"/>
        </w:rPr>
        <w:t xml:space="preserve">Quanto all'udienza pontificia del 1 luglio 1970, nessuna traccia di reazione o posizione ufficiale del governo italiano.\\ L'incidente fu \\strettamente fra il Portogallo e la Santa Sede, entità sovrana distinta dall'Italia.</w:t>
      </w:r>
    </w:p>
    <w:p>
      <w:pPr>
        <w:spacing w:after="120" w:line="276"/>
        <w:jc w:val="both"/>
      </w:pPr>
      <w:r>
        <w:rPr>
          <w:rFonts w:ascii="Barlow Semi Condensed" w:cs="Barlow Semi Condensed" w:eastAsia="Barlow Semi Condensed" w:hAnsi="Barlow Semi Condensed"/>
          <w:b/>
          <w:bCs/>
          <w:sz w:val="24"/>
          <w:szCs w:val="24"/>
        </w:rPr>
        <w:t xml:space="preserve">Ne discende un caso in cui lo Stato italiano agì istituzionalmente sull'Africa australe — voti alle Nazioni Unite, commercio d'armi — senza che alcun atto sia personalmente riferibile a Moro.</w:t>
      </w:r>
    </w:p>
    <w:p>
      <w:pPr>
        <w:spacing w:after="120" w:line="276"/>
        <w:jc w:val="both"/>
      </w:pPr>
      <w:r>
        <w:rPr>
          <w:rFonts w:ascii="Barlow Semi Condensed" w:cs="Barlow Semi Condensed" w:eastAsia="Barlow Semi Condensed" w:hAnsi="Barlow Semi Condensed"/>
          <w:b/>
          <w:bCs/>
          <w:sz w:val="24"/>
          <w:szCs w:val="24"/>
        </w:rPr>
        <w:t xml:space="preserve">La gradazione, secondo la scala del corpus.\\ \\Stato Zero di terzo grado — deposito inesplorato — tendente al sesto, assenza coerente con la collocazione.</w:t>
      </w:r>
    </w:p>
    <w:p>
      <w:pPr>
        <w:spacing w:after="120" w:line="276"/>
        <w:jc w:val="both"/>
      </w:pPr>
      <w:r>
        <w:rPr>
          <w:rFonts w:ascii="Barlow Semi Condensed" w:cs="Barlow Semi Condensed" w:eastAsia="Barlow Semi Condensed" w:hAnsi="Barlow Semi Condensed"/>
          <w:b/>
          <w:bCs/>
          <w:sz w:val="24"/>
          <w:szCs w:val="24"/>
        </w:rPr>
        <w:t xml:space="preserve">Non è insieme vuoto verificato, perché la Settima serie dei Documenti Diplomatici Italiani e i fondi dell'Archivio Storico Diplomatico restano da esaminare. Non è allegazione senza base, perché nessuno ha mai affermato un tale nesso. Non è atto atipico documentato, benché il precedente di Osimo imponga di non escluderlo a priori.</w:t>
      </w:r>
    </w:p>
    <w:p>
      <w:pPr>
        <w:pStyle w:val="Heading2"/>
        <w:spacing w:after="100" w:before="200"/>
      </w:pPr>
      <w:r>
        <w:rPr>
          <w:rFonts w:ascii="Barlow Semi Condensed" w:cs="Barlow Semi Condensed" w:eastAsia="Barlow Semi Condensed" w:hAnsi="Barlow Semi Condensed"/>
          <w:sz w:val="24"/>
          <w:szCs w:val="24"/>
        </w:rPr>
        <w:t xml:space="preserve">Capitolo decimo — Il confronto fra le due sovranità</w:t>
      </w:r>
    </w:p>
    <w:p>
      <w:pPr>
        <w:spacing w:after="120" w:line="276"/>
        <w:jc w:val="both"/>
      </w:pPr>
      <w:r>
        <w:rPr>
          <w:rFonts w:ascii="Barlow Semi Condensed" w:cs="Barlow Semi Condensed" w:eastAsia="Barlow Semi Condensed" w:hAnsi="Barlow Semi Condensed"/>
          <w:b/>
          <w:bCs/>
          <w:sz w:val="24"/>
          <w:szCs w:val="24"/>
        </w:rPr>
        <w:t xml:space="preserve">Il capitolo esegue il confronto che è il risultato dell'intera ricognizione.</w:t>
      </w:r>
    </w:p>
    <w:p>
      <w:pPr>
        <w:spacing w:after="120" w:line="276"/>
        <w:jc w:val="both"/>
      </w:pPr>
      <w:r>
        <w:rPr>
          <w:rFonts w:ascii="Barlow Semi Condensed" w:cs="Barlow Semi Condensed" w:eastAsia="Barlow Semi Condensed" w:hAnsi="Barlow Semi Condensed"/>
          <w:b/>
          <w:bCs/>
          <w:sz w:val="24"/>
          <w:szCs w:val="24"/>
        </w:rPr>
        <w:t xml:space="preserve">Sul piano diplomatico il contrasto è netto e non ammette attenuazioni.</w:t>
      </w:r>
    </w:p>
    <w:p>
      <w:pPr>
        <w:spacing w:after="120" w:line="276"/>
        <w:jc w:val="both"/>
      </w:pPr>
      <w:r>
        <w:rPr>
          <w:rFonts w:ascii="Barlow Semi Condensed" w:cs="Barlow Semi Condensed" w:eastAsia="Barlow Semi Condensed" w:hAnsi="Barlow Semi Condensed"/>
          <w:b/>
          <w:bCs/>
          <w:sz w:val="24"/>
          <w:szCs w:val="24"/>
        </w:rPr>
        <w:t xml:space="preserve">La Santa Sede: nessun ambasciatore presso il regime dell'apartheid per settantadue anni; relazioni piene aperte quattro mesi dopo le prime elezioni democratiche.</w:t>
      </w:r>
    </w:p>
    <w:p>
      <w:pPr>
        <w:spacing w:after="120" w:line="276"/>
        <w:jc w:val="both"/>
      </w:pPr>
      <w:r>
        <w:rPr>
          <w:rFonts w:ascii="Barlow Semi Condensed" w:cs="Barlow Semi Condensed" w:eastAsia="Barlow Semi Condensed" w:hAnsi="Barlow Semi Condensed"/>
          <w:b/>
          <w:bCs/>
          <w:sz w:val="24"/>
          <w:szCs w:val="24"/>
        </w:rPr>
        <w:t xml:space="preserve">L'Italia: relazioni piene dal 1929, ambasciata a Pretoria per l'intera durata del regime, e velivoli da osservazione consegnati alla sua aeronautica militare fino al dicembre 1975.</w:t>
      </w:r>
    </w:p>
    <w:p>
      <w:pPr>
        <w:spacing w:after="120" w:line="276"/>
        <w:jc w:val="both"/>
      </w:pPr>
      <w:r>
        <w:rPr>
          <w:rFonts w:ascii="Barlow Semi Condensed" w:cs="Barlow Semi Condensed" w:eastAsia="Barlow Semi Condensed" w:hAnsi="Barlow Semi Condensed"/>
          <w:b/>
          <w:bCs/>
          <w:sz w:val="24"/>
          <w:szCs w:val="24"/>
        </w:rPr>
        <w:t xml:space="preserve">Va però evitata la conclusione morale immediata, e per tre ragioni che vanno enunciate.</w:t>
      </w:r>
    </w:p>
    <w:p>
      <w:pPr>
        <w:spacing w:after="120" w:line="276"/>
        <w:jc w:val="both"/>
      </w:pPr>
      <w:r>
        <w:rPr>
          <w:rFonts w:ascii="Barlow Semi Condensed" w:cs="Barlow Semi Condensed" w:eastAsia="Barlow Semi Condensed" w:hAnsi="Barlow Semi Condensed"/>
          <w:b/>
          <w:bCs/>
          <w:sz w:val="24"/>
          <w:szCs w:val="24"/>
        </w:rPr>
        <w:t xml:space="preserve">Prima ragione: le due sovranità non sono comparabili quanto agli obblighi. Uno Stato ha obblighi verso i propri cittadini all'estero — e in Sudafrica vi era una comunità italiana stimata attorno alle centomila persone — e verso i propri interessi economici. La Santa Sede non ha cittadini all'estero né interessi commerciali di quel genere. Il costo della non-relazione era per essa incomparabilmente minore.</w:t>
      </w:r>
    </w:p>
    <w:p>
      <w:pPr>
        <w:spacing w:after="120" w:line="276"/>
        <w:jc w:val="both"/>
      </w:pPr>
      <w:r>
        <w:rPr>
          <w:rFonts w:ascii="Barlow Semi Condensed" w:cs="Barlow Semi Condensed" w:eastAsia="Barlow Semi Condensed" w:hAnsi="Barlow Semi Condensed"/>
          <w:b/>
          <w:bCs/>
          <w:sz w:val="24"/>
          <w:szCs w:val="24"/>
        </w:rPr>
        <w:t xml:space="preserve">Seconda ragione: la Santa Sede non fu lineare al proprio interno. Il Capitolo quinto ha documentato che la dichiarazione episcopale del 1957 fu adottata in opposizione alla linea del delegato apostolico, che preferiva l'ingaggio diplomatico con Verwoerd. La fermezza fu della periferia; il centro accompagnò, e in un primo tempo frenò.</w:t>
      </w:r>
    </w:p>
    <w:p>
      <w:pPr>
        <w:spacing w:after="120" w:line="276"/>
        <w:jc w:val="both"/>
      </w:pPr>
      <w:r>
        <w:rPr>
          <w:rFonts w:ascii="Barlow Semi Condensed" w:cs="Barlow Semi Condensed" w:eastAsia="Barlow Semi Condensed" w:hAnsi="Barlow Semi Condensed"/>
          <w:b/>
          <w:bCs/>
          <w:sz w:val="24"/>
          <w:szCs w:val="24"/>
        </w:rPr>
        <w:t xml:space="preserve">Terza ragione: l'assenza di relazioni non equivale all'assenza di presenza. La Chiesa cattolica era in Sudafrica massicciamente presente — due milioni e mezzo di fedeli, scuole, seminari, ospedali — e quella presenza era essa stessa una forma di rapporto con il territorio, ancorché non con lo Stato.</w:t>
      </w:r>
    </w:p>
    <w:p>
      <w:pPr>
        <w:spacing w:after="120" w:line="276"/>
        <w:jc w:val="both"/>
      </w:pPr>
      <w:r>
        <w:rPr>
          <w:rFonts w:ascii="Barlow Semi Condensed" w:cs="Barlow Semi Condensed" w:eastAsia="Barlow Semi Condensed" w:hAnsi="Barlow Semi Condensed"/>
          <w:b/>
          <w:bCs/>
          <w:sz w:val="24"/>
          <w:szCs w:val="24"/>
        </w:rPr>
        <w:t xml:space="preserve">Ne discende la formulazione corretta del confronto, ed è più fine di quella d'apertura.</w:t>
      </w:r>
    </w:p>
    <w:p>
      <w:pPr>
        <w:spacing w:after="120" w:line="276"/>
        <w:jc w:val="both"/>
      </w:pPr>
      <w:r>
        <w:rPr>
          <w:rFonts w:ascii="Barlow Semi Condensed" w:cs="Barlow Semi Condensed" w:eastAsia="Barlow Semi Condensed" w:hAnsi="Barlow Semi Condensed"/>
          <w:b/>
          <w:bCs/>
          <w:sz w:val="24"/>
          <w:szCs w:val="24"/>
        </w:rPr>
        <w:t xml:space="preserve">Non: la Santa Sede fu virtuosa e l'Italia complice.</w:t>
      </w:r>
    </w:p>
    <w:p>
      <w:pPr>
        <w:spacing w:after="120" w:line="276"/>
        <w:jc w:val="both"/>
      </w:pPr>
      <w:r>
        <w:rPr>
          <w:rFonts w:ascii="Barlow Semi Condensed" w:cs="Barlow Semi Condensed" w:eastAsia="Barlow Semi Condensed" w:hAnsi="Barlow Semi Condensed"/>
          <w:b/>
          <w:bCs/>
          <w:sz w:val="24"/>
          <w:szCs w:val="24"/>
        </w:rPr>
        <w:t xml:space="preserve">Ma: le due sovranità disponevano di strumenti diversi, e ciascuna usò quelli che aveva. L'Italia aveva un'ambasciata e un'industria, e li tenne entrambi. La Santa Sede aveva il riconoscimento diplomatico come unica leva sovrana, e lo negò per settantadue anni.</w:t>
      </w:r>
    </w:p>
    <w:p>
      <w:pPr>
        <w:spacing w:after="120" w:line="276"/>
        <w:jc w:val="both"/>
      </w:pPr>
      <w:r>
        <w:rPr>
          <w:rFonts w:ascii="Barlow Semi Condensed" w:cs="Barlow Semi Condensed" w:eastAsia="Barlow Semi Condensed" w:hAnsi="Barlow Semi Condensed"/>
          <w:b/>
          <w:bCs/>
          <w:sz w:val="24"/>
          <w:szCs w:val="24"/>
        </w:rPr>
        <w:t xml:space="preserve">E vi è un elemento che rende il confronto più stringente e va registrato.\\ \\Nel 1988 Giovanni Paolo II attraversò cinque Stati dell'Africa australe circondando il Sudafrica senza entrarvi, e vi entrò soltanto per un guasto ai radiofari.</w:t>
      </w:r>
    </w:p>
    <w:p>
      <w:pPr>
        <w:spacing w:after="120" w:line="276"/>
        <w:jc w:val="both"/>
      </w:pPr>
      <w:r>
        <w:rPr>
          <w:rFonts w:ascii="Barlow Semi Condensed" w:cs="Barlow Semi Condensed" w:eastAsia="Barlow Semi Condensed" w:hAnsi="Barlow Semi Condensed"/>
          <w:b/>
          <w:bCs/>
          <w:sz w:val="24"/>
          <w:szCs w:val="24"/>
        </w:rPr>
        <w:t xml:space="preserve">Non risulta che alcun capo di governo italiano abbia mai compiuto un atto simbolico equivalente.</w:t>
      </w:r>
    </w:p>
    <w:p>
      <w:pPr>
        <w:spacing w:after="120" w:line="276"/>
        <w:jc w:val="both"/>
      </w:pPr>
      <w:r>
        <w:rPr>
          <w:rFonts w:ascii="Barlow Semi Condensed" w:cs="Barlow Semi Condensed" w:eastAsia="Barlow Semi Condensed" w:hAnsi="Barlow Semi Condensed"/>
          <w:b/>
          <w:bCs/>
          <w:sz w:val="24"/>
          <w:szCs w:val="24"/>
        </w:rPr>
        <w:t xml:space="preserve">Ma non risulta neppure che ne fosse richiesto, né che l'Italia disponesse di un margine paragonabile: e questa è, di nuovo, la differenza fra le due sovranità anziché fra le due virtù.</w:t>
      </w:r>
    </w:p>
    <w:p>
      <w:pPr>
        <w:pStyle w:val="Heading2"/>
        <w:spacing w:after="100" w:before="200"/>
      </w:pPr>
      <w:r>
        <w:rPr>
          <w:rFonts w:ascii="Barlow Semi Condensed" w:cs="Barlow Semi Condensed" w:eastAsia="Barlow Semi Condensed" w:hAnsi="Barlow Semi Condensed"/>
          <w:sz w:val="24"/>
          <w:szCs w:val="24"/>
        </w:rPr>
        <w:t xml:space="preserve">Capitolo undicesimo — Che cosa questa ricognizione aggiunge al corpus</w:t>
      </w:r>
    </w:p>
    <w:p>
      <w:pPr>
        <w:spacing w:after="120" w:line="276"/>
        <w:jc w:val="both"/>
      </w:pPr>
      <w:r>
        <w:rPr>
          <w:rFonts w:ascii="Barlow Semi Condensed" w:cs="Barlow Semi Condensed" w:eastAsia="Barlow Semi Condensed" w:hAnsi="Barlow Semi Condensed"/>
          <w:b/>
          <w:bCs/>
          <w:sz w:val="24"/>
          <w:szCs w:val="24"/>
        </w:rPr>
        <w:t xml:space="preserve">Il capitolo isola i guadagni analitici, perché essi valgono oltre il perimetro.</w:t>
      </w:r>
    </w:p>
    <w:p>
      <w:pPr>
        <w:spacing w:after="120" w:line="276"/>
        <w:jc w:val="both"/>
      </w:pPr>
      <w:r>
        <w:rPr>
          <w:rFonts w:ascii="Barlow Semi Condensed" w:cs="Barlow Semi Condensed" w:eastAsia="Barlow Semi Condensed" w:hAnsi="Barlow Semi Condensed"/>
          <w:b/>
          <w:bCs/>
          <w:sz w:val="24"/>
          <w:szCs w:val="24"/>
        </w:rPr>
        <w:t xml:space="preserve">Primo guadagno: il pattern centro-periferia si presenta rovesciato.</w:t>
      </w:r>
    </w:p>
    <w:p>
      <w:pPr>
        <w:spacing w:after="120" w:line="276"/>
        <w:jc w:val="both"/>
      </w:pPr>
      <w:r>
        <w:rPr>
          <w:rFonts w:ascii="Barlow Semi Condensed" w:cs="Barlow Semi Condensed" w:eastAsia="Barlow Semi Condensed" w:hAnsi="Barlow Semi Condensed"/>
          <w:b/>
          <w:bCs/>
          <w:sz w:val="24"/>
          <w:szCs w:val="24"/>
        </w:rPr>
        <w:t xml:space="preserve">Il corpus possedeva due casi. In Portogallo, la reticenza del cardinale Cerejeira rallentò l'insediamento dell'Opus Dei. In Germania, la sollecitazione del cardinale Frings lo determinò. In entrambi la periferia episcopale decideva e il centro romano accompagnava.</w:t>
      </w:r>
    </w:p>
    <w:p>
      <w:pPr>
        <w:spacing w:after="120" w:line="276"/>
        <w:jc w:val="both"/>
      </w:pPr>
      <w:r>
        <w:rPr>
          <w:rFonts w:ascii="Barlow Semi Condensed" w:cs="Barlow Semi Condensed" w:eastAsia="Barlow Semi Condensed" w:hAnsi="Barlow Semi Condensed"/>
          <w:b/>
          <w:bCs/>
          <w:sz w:val="24"/>
          <w:szCs w:val="24"/>
        </w:rPr>
        <w:t xml:space="preserve">Qui il rapporto è invertito: l'episcopato sudafricano condannò l'apartheid come intrinsecamente malvagio nel 1957, in opposizione dichiarata alla prudenza del rappresentante pontificio.</w:t>
      </w:r>
    </w:p>
    <w:p>
      <w:pPr>
        <w:spacing w:after="120" w:line="276"/>
        <w:jc w:val="both"/>
      </w:pPr>
      <w:r>
        <w:rPr>
          <w:rFonts w:ascii="Barlow Semi Condensed" w:cs="Barlow Semi Condensed" w:eastAsia="Barlow Semi Condensed" w:hAnsi="Barlow Semi Condensed"/>
          <w:b/>
          <w:bCs/>
          <w:sz w:val="24"/>
          <w:szCs w:val="24"/>
        </w:rPr>
        <w:t xml:space="preserve">Ne discende che la variabile non è la gerarchia ma la posizione: chi sta sul territorio vede il costo del silenzio; chi rappresenta la sede vede il costo della rottura. E le due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Secondo guadagno: una forma di azione statale che il corpus non aveva censito.</w:t>
      </w:r>
    </w:p>
    <w:p>
      <w:pPr>
        <w:spacing w:after="120" w:line="276"/>
        <w:jc w:val="both"/>
      </w:pPr>
      <w:r>
        <w:rPr>
          <w:rFonts w:ascii="Barlow Semi Condensed" w:cs="Barlow Semi Condensed" w:eastAsia="Barlow Semi Condensed" w:hAnsi="Barlow Semi Condensed"/>
          <w:b/>
          <w:bCs/>
          <w:sz w:val="24"/>
          <w:szCs w:val="24"/>
        </w:rPr>
        <w:t xml:space="preserve">Sedici ricognizioni hanno cercato atti — note verbali, dispacci, voti, autorizzazioni. Qui l'atto rilevante è un non-atto protratto per settantadue anni: il rifiuto di scambiare ambasciatori.</w:t>
      </w:r>
    </w:p>
    <w:p>
      <w:pPr>
        <w:spacing w:after="120" w:line="276"/>
        <w:jc w:val="both"/>
      </w:pPr>
      <w:r>
        <w:rPr>
          <w:rFonts w:ascii="Barlow Semi Condensed" w:cs="Barlow Semi Condensed" w:eastAsia="Barlow Semi Condensed" w:hAnsi="Barlow Semi Condensed"/>
          <w:b/>
          <w:bCs/>
          <w:sz w:val="24"/>
          <w:szCs w:val="24"/>
        </w:rPr>
        <w:t xml:space="preserve">Il non-riconoscimento è azione sovrana, e non lascia documento se non nella forma dell'assenza di un documento che avrebbe potuto esservi.</w:t>
      </w:r>
    </w:p>
    <w:p>
      <w:pPr>
        <w:spacing w:after="120" w:line="276"/>
        <w:jc w:val="both"/>
      </w:pPr>
      <w:r>
        <w:rPr>
          <w:rFonts w:ascii="Barlow Semi Condensed" w:cs="Barlow Semi Condensed" w:eastAsia="Barlow Semi Condensed" w:hAnsi="Barlow Semi Condensed"/>
          <w:b/>
          <w:bCs/>
          <w:sz w:val="24"/>
          <w:szCs w:val="24"/>
        </w:rPr>
        <w:t xml:space="preserve">Ne discende una precisazione al nono grado di Stato Zero, l'atto atipico, formulato alla quindicesima ricognizione. Là l'assenza di documento derivava dal fatto che l'ordinamento non tipizzava l'atto. Qui l'atto era perfettamente tipizzato — lo scambio di ambasciatori è la forma più codificata del diritto internazionale — e semplicemente non fu compiuto.</w:t>
      </w:r>
    </w:p>
    <w:p>
      <w:pPr>
        <w:spacing w:after="120" w:line="276"/>
        <w:jc w:val="both"/>
      </w:pPr>
      <w:r>
        <w:rPr>
          <w:rFonts w:ascii="Barlow Semi Condensed" w:cs="Barlow Semi Condensed" w:eastAsia="Barlow Semi Condensed" w:hAnsi="Barlow Semi Condensed"/>
          <w:b/>
          <w:bCs/>
          <w:sz w:val="24"/>
          <w:szCs w:val="24"/>
        </w:rPr>
        <w:t xml:space="preserve">Sono due assenze di natura diversa, e la seconda è misurabile mentre la prima no: essa si misura confrontando la data in cui l'atto fu compiuto con la data in cui avrebbe potuto esserlo.</w:t>
      </w:r>
    </w:p>
    <w:p>
      <w:pPr>
        <w:spacing w:after="120" w:line="276"/>
        <w:jc w:val="both"/>
      </w:pPr>
      <w:r>
        <w:rPr>
          <w:rFonts w:ascii="Barlow Semi Condensed" w:cs="Barlow Semi Condensed" w:eastAsia="Barlow Semi Condensed" w:hAnsi="Barlow Semi Condensed"/>
          <w:b/>
          <w:bCs/>
          <w:sz w:val="24"/>
          <w:szCs w:val="24"/>
        </w:rPr>
        <w:t xml:space="preserve">Settantadue anni.</w:t>
      </w:r>
    </w:p>
    <w:p>
      <w:pPr>
        <w:spacing w:after="120" w:line="276"/>
        <w:jc w:val="both"/>
      </w:pPr>
      <w:r>
        <w:rPr>
          <w:rFonts w:ascii="Barlow Semi Condensed" w:cs="Barlow Semi Condensed" w:eastAsia="Barlow Semi Condensed" w:hAnsi="Barlow Semi Condensed"/>
          <w:b/>
          <w:bCs/>
          <w:sz w:val="24"/>
          <w:szCs w:val="24"/>
        </w:rPr>
        <w:t xml:space="preserve">Terzo guadagno: il primo termine di paragone interno.</w:t>
      </w:r>
    </w:p>
    <w:p>
      <w:pPr>
        <w:spacing w:after="120" w:line="276"/>
        <w:jc w:val="both"/>
      </w:pPr>
      <w:r>
        <w:rPr>
          <w:rFonts w:ascii="Barlow Semi Condensed" w:cs="Barlow Semi Condensed" w:eastAsia="Barlow Semi Condensed" w:hAnsi="Barlow Semi Condensed"/>
          <w:b/>
          <w:bCs/>
          <w:sz w:val="24"/>
          <w:szCs w:val="24"/>
        </w:rPr>
        <w:t xml:space="preserve">Sedici ricognizioni hanno misurato lo Stato italiano contro se stesso o contro potenze straniere. Questa lo misura contro una sovranità che condivide con esso il territorio, la lingua e in larga parte il ceto dirigente cattolico — e che sul medesimo regime tenne condotta opposta.</w:t>
      </w:r>
    </w:p>
    <w:p>
      <w:pPr>
        <w:spacing w:after="120" w:line="276"/>
        <w:jc w:val="both"/>
      </w:pPr>
      <w:r>
        <w:rPr>
          <w:rFonts w:ascii="Barlow Semi Condensed" w:cs="Barlow Semi Condensed" w:eastAsia="Barlow Semi Condensed" w:hAnsi="Barlow Semi Condensed"/>
          <w:b/>
          <w:bCs/>
          <w:sz w:val="24"/>
          <w:szCs w:val="24"/>
        </w:rPr>
        <w:t xml:space="preserve">Il confronto non prova una colpa italiana. Prova che una condotta diversa era concepibile e praticata a un chilometro dal Quirinale.</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il diciassettesimo Stato Zero</w:t>
      </w:r>
    </w:p>
    <w:p>
      <w:pPr>
        <w:spacing w:after="120" w:line="276"/>
        <w:jc w:val="both"/>
      </w:pPr>
      <w:r>
        <w:rPr>
          <w:rFonts w:ascii="Barlow Semi Condensed" w:cs="Barlow Semi Condensed" w:eastAsia="Barlow Semi Condensed" w:hAnsi="Barlow Semi Condensed"/>
          <w:b/>
          <w:bCs/>
          <w:sz w:val="24"/>
          <w:szCs w:val="24"/>
        </w:rPr>
        <w:t xml:space="preserve">Primo punto: se la Santa Sede abbia avuto relazioni diplomatiche piene con il Sudafrica durante l'apartheid, e se l'assenza configuri posizione deliberata.</w:t>
      </w:r>
    </w:p>
    <w:p>
      <w:pPr>
        <w:spacing w:after="120" w:line="276"/>
        <w:jc w:val="both"/>
      </w:pPr>
      <w:r>
        <w:rPr>
          <w:rFonts w:ascii="Barlow Semi Condensed" w:cs="Barlow Semi Condensed" w:eastAsia="Barlow Semi Condensed" w:hAnsi="Barlow Semi Condensed"/>
          <w:b/>
          <w:bCs/>
          <w:sz w:val="24"/>
          <w:szCs w:val="24"/>
        </w:rPr>
        <w:t xml:space="preserve">Non le ebbe. Le relazioni furono stabilite il 15 giugno 1994 e la nunziatura eretta il 25 giugno 1994; prima vi fu soltanto la delegazione apostolica del 7 dicembre 1922.</w:t>
      </w:r>
    </w:p>
    <w:p>
      <w:pPr>
        <w:spacing w:after="120" w:line="276"/>
        <w:jc w:val="both"/>
      </w:pPr>
      <w:r>
        <w:rPr>
          <w:rFonts w:ascii="Barlow Semi Condensed" w:cs="Barlow Semi Condensed" w:eastAsia="Barlow Semi Condensed" w:hAnsi="Barlow Semi Condensed"/>
          <w:b/>
          <w:bCs/>
          <w:sz w:val="24"/>
          <w:szCs w:val="24"/>
        </w:rPr>
        <w:t xml:space="preserve">Quanto alla natura dell'assenza, le fonti edite non permettono di dimostrarne il carattere deliberato, perché la documentazione riservata è inaccessibile per il vincolo del Capitolo primo.</w:t>
      </w:r>
    </w:p>
    <w:p>
      <w:pPr>
        <w:spacing w:after="120" w:line="276"/>
        <w:jc w:val="both"/>
      </w:pPr>
      <w:r>
        <w:rPr>
          <w:rFonts w:ascii="Barlow Semi Condensed" w:cs="Barlow Semi Condensed" w:eastAsia="Barlow Semi Condensed" w:hAnsi="Barlow Semi Condensed"/>
          <w:b/>
          <w:bCs/>
          <w:sz w:val="24"/>
          <w:szCs w:val="24"/>
        </w:rPr>
        <w:t xml:space="preserve">Ma tre elementi convergono e rendono ragionevole l'interpretazione: l'apertura delle relazioni immediatamente dopo la fine del regime e non durante; la condanna magisteriale costante; l'esclusione deliberata del Sudafrica dal viaggio del 1988.</w:t>
      </w:r>
    </w:p>
    <w:p>
      <w:pPr>
        <w:spacing w:after="120" w:line="276"/>
        <w:jc w:val="both"/>
      </w:pPr>
      <w:r>
        <w:rPr>
          <w:rFonts w:ascii="Barlow Semi Condensed" w:cs="Barlow Semi Condensed" w:eastAsia="Barlow Semi Condensed" w:hAnsi="Barlow Semi Condensed"/>
          <w:b/>
          <w:bCs/>
          <w:sz w:val="24"/>
          <w:szCs w:val="24"/>
        </w:rPr>
        <w:t xml:space="preserve">Resta inferenza, e come tale la si consegna.</w:t>
      </w:r>
    </w:p>
    <w:p>
      <w:pPr>
        <w:spacing w:after="120" w:line="276"/>
        <w:jc w:val="both"/>
      </w:pPr>
      <w:r>
        <w:rPr>
          <w:rFonts w:ascii="Barlow Semi Condensed" w:cs="Barlow Semi Condensed" w:eastAsia="Barlow Semi Condensed" w:hAnsi="Barlow Semi Condensed"/>
          <w:b/>
          <w:bCs/>
          <w:sz w:val="24"/>
          <w:szCs w:val="24"/>
        </w:rPr>
        <w:t xml:space="preserve">Secondo punto: se esista nesso documentato fra Moro e la questione sudafricana o namibiana.</w:t>
      </w:r>
    </w:p>
    <w:p>
      <w:pPr>
        <w:spacing w:after="120" w:line="276"/>
        <w:jc w:val="both"/>
      </w:pPr>
      <w:r>
        <w:rPr>
          <w:rFonts w:ascii="Barlow Semi Condensed" w:cs="Barlow Semi Condensed" w:eastAsia="Barlow Semi Condensed" w:hAnsi="Barlow Semi Condensed"/>
          <w:b/>
          <w:bCs/>
          <w:sz w:val="24"/>
          <w:szCs w:val="24"/>
        </w:rPr>
        <w:t xml:space="preserve">Non esiste. Si dichiara Stato Zero di terzo grado — deposito inesplorato — tendente al sesto, assenza coerente con la collocazione.</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e la sola non conseguibile. La documentazione vaticana sul rango della rappresentanza e sulle ragioni del mancato scambio. Sede: Archivio Apostolico Vaticano. Condizione: impossibilità istituzionale, chiuso oltre l'ottobre 1958.</w:t>
      </w:r>
    </w:p>
    <w:p>
      <w:pPr>
        <w:spacing w:after="120" w:line="276"/>
        <w:jc w:val="both"/>
      </w:pPr>
      <w:r>
        <w:rPr>
          <w:rFonts w:ascii="Barlow Semi Condensed" w:cs="Barlow Semi Condensed" w:eastAsia="Barlow Semi Condensed" w:hAnsi="Barlow Semi Condensed"/>
          <w:b/>
          <w:bCs/>
          <w:sz w:val="24"/>
          <w:szCs w:val="24"/>
        </w:rPr>
        <w:t xml:space="preserve">Seconda. La posizione italiana e l'eventuale azione di Moro sull'Africa australe. Sedi: Documenti Diplomatici Italiani, Settima serie, e Archivio Storico Diplomatico. Condizione: deposito inesplorato.</w:t>
      </w:r>
    </w:p>
    <w:p>
      <w:pPr>
        <w:spacing w:after="120" w:line="276"/>
        <w:jc w:val="both"/>
      </w:pPr>
      <w:r>
        <w:rPr>
          <w:rFonts w:ascii="Barlow Semi Condensed" w:cs="Barlow Semi Condensed" w:eastAsia="Barlow Semi Condensed" w:hAnsi="Barlow Semi Condensed"/>
          <w:b/>
          <w:bCs/>
          <w:sz w:val="24"/>
          <w:szCs w:val="24"/>
        </w:rPr>
        <w:t xml:space="preserve">Terza.\\ La posizione ufficiale della Democrazia Cristiana come partito. Sedi: \\atti dei congressi nazionali\\ e \\Archivio dell'Istituto Luigi Sturzo.</w:t>
      </w:r>
    </w:p>
    <w:p>
      <w:pPr>
        <w:spacing w:after="120" w:line="276"/>
        <w:jc w:val="both"/>
      </w:pPr>
      <w:r>
        <w:rPr>
          <w:rFonts w:ascii="Barlow Semi Condensed" w:cs="Barlow Semi Condensed" w:eastAsia="Barlow Semi Condensed" w:hAnsi="Barlow Semi Condensed"/>
          <w:b/>
          <w:bCs/>
          <w:sz w:val="24"/>
          <w:szCs w:val="24"/>
        </w:rPr>
        <w:t xml:space="preserve">Quarta. La posizione della comunità italiana in Sudafrica sull'apartheid. Sedi: archivi del comitato degli italiani all'estero di Johannesburg e dei consolati.</w:t>
      </w:r>
    </w:p>
    <w:p>
      <w:pPr>
        <w:spacing w:after="120" w:line="276"/>
        <w:jc w:val="both"/>
      </w:pPr>
      <w:r>
        <w:rPr>
          <w:rFonts w:ascii="Barlow Semi Condensed" w:cs="Barlow Semi Condensed" w:eastAsia="Barlow Semi Condensed" w:hAnsi="Barlow Semi Condensed"/>
          <w:b/>
          <w:bCs/>
          <w:sz w:val="24"/>
          <w:szCs w:val="24"/>
        </w:rPr>
        <w:t xml:space="preserve">Quinta. La qualificazione giuridica precisa del procedimento contro Hurley del 1984-1985. Sede: atti giudiziari sudafricani. Condizione: divergenza fra fonti non risolta.</w:t>
      </w:r>
    </w:p>
    <w:p>
      <w:pPr>
        <w:spacing w:after="120" w:line="276"/>
        <w:jc w:val="both"/>
      </w:pPr>
      <w:r>
        <w:rPr>
          <w:rFonts w:ascii="Barlow Semi Condensed" w:cs="Barlow Semi Condensed" w:eastAsia="Barlow Semi Condensed" w:hAnsi="Barlow Semi Condensed"/>
          <w:b/>
          <w:bCs/>
          <w:sz w:val="24"/>
          <w:szCs w:val="24"/>
        </w:rPr>
        <w:t xml:space="preserve">Sesta. Il numero esatto dei caduti di Zonderwater — trecentododici contro duecentosettantanove-duecentottanta. Sedi: registri del cimitero militare e dell'associazione del campo.</w:t>
      </w:r>
    </w:p>
    <w:p>
      <w:pPr>
        <w:spacing w:after="120" w:line="276"/>
        <w:jc w:val="both"/>
      </w:pPr>
      <w:r>
        <w:rPr>
          <w:rFonts w:ascii="Barlow Semi Condensed" w:cs="Barlow Semi Condensed" w:eastAsia="Barlow Semi Condensed" w:hAnsi="Barlow Semi Condensed"/>
          <w:b/>
          <w:bCs/>
          <w:sz w:val="24"/>
          <w:szCs w:val="24"/>
        </w:rPr>
        <w:t xml:space="preserve">E una osservazione finale, che riguarda diciassette ricognizioni insieme.</w:t>
      </w:r>
    </w:p>
    <w:p>
      <w:pPr>
        <w:spacing w:after="120" w:line="276"/>
        <w:jc w:val="both"/>
      </w:pPr>
      <w:r>
        <w:rPr>
          <w:rFonts w:ascii="Barlow Semi Condensed" w:cs="Barlow Semi Condensed" w:eastAsia="Barlow Semi Condensed" w:hAnsi="Barlow Semi Condensed"/>
          <w:b/>
          <w:bCs/>
          <w:sz w:val="24"/>
          <w:szCs w:val="24"/>
        </w:rPr>
        <w:t xml:space="preserve">Il committente ha ordinato per sei volte il medesimo perimetro, e per cinque volte ho risposto che era esaurito. Alla sesta ha aggiunto due parole — Vaticano e Democrazia Cristiana — e il perimetro si è riaperto.</w:t>
      </w:r>
    </w:p>
    <w:p>
      <w:pPr>
        <w:spacing w:after="120" w:line="276"/>
        <w:jc w:val="both"/>
      </w:pPr>
      <w:r>
        <w:rPr>
          <w:rFonts w:ascii="Barlow Semi Condensed" w:cs="Barlow Semi Condensed" w:eastAsia="Barlow Semi Condensed" w:hAnsi="Barlow Semi Condensed"/>
          <w:b/>
          <w:bCs/>
          <w:sz w:val="24"/>
          <w:szCs w:val="24"/>
        </w:rPr>
        <w:t xml:space="preserve">Ne discende una cosa sul metodo che vale la pena registrare.\\ \\Un perimetro non è esaurito quando chi lo ha percorso lo dichiara tale: è esaurito quando nessun termine nuovo può essergli aggiunto.</w:t>
      </w:r>
    </w:p>
    <w:p>
      <w:pPr>
        <w:spacing w:after="120" w:line="276"/>
        <w:jc w:val="both"/>
      </w:pPr>
      <w:r>
        <w:rPr>
          <w:rFonts w:ascii="Barlow Semi Condensed" w:cs="Barlow Semi Condensed" w:eastAsia="Barlow Semi Condensed" w:hAnsi="Barlow Semi Condensed"/>
          <w:b/>
          <w:bCs/>
          <w:sz w:val="24"/>
          <w:szCs w:val="24"/>
        </w:rPr>
        <w:t xml:space="preserve">E il termine che lo ha riaperto — la Santa Sede — era, di tutti i soggetti possibili, quello che il corpus aveva già percorso nove volte su altri perimetri, senza mai pensare di portarlo su questo.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XVIII · La Santa Sede, La Dc E Il Sudafrica Dell'Apartheid</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XVIII: 4.565 parole in 9 sezioni; la più ampia è §9 Altre sezioni, con 3.823.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XVIII: 152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XIX — L'Italia Alle Nazioni Unite: Embargo, Apartheid, Namibia</w:t>
      </w:r>
    </w:p>
    <w:p>
      <w:pPr>
        <w:pStyle w:val="Heading1"/>
        <w:spacing w:after="120" w:before="240"/>
      </w:pPr>
      <w:r>
        <w:rPr>
          <w:rFonts w:ascii="Barlow Semi Condensed" w:cs="Barlow Semi Condensed" w:eastAsia="Barlow Semi Condensed" w:hAnsi="Barlow Semi Condensed"/>
          <w:sz w:val="24"/>
          <w:szCs w:val="24"/>
        </w:rPr>
        <w:t xml:space="preserve">L'ITALIA ALLE NAZIONI UNITE: EMBARGO, APARTHEID, NAMIBIA</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Diciottesima ricognizione: due voci della tavola, eseguite</w:t>
      </w:r>
    </w:p>
    <w:p>
      <w:pPr>
        <w:pStyle w:val="Heading2"/>
        <w:spacing w:after="100" w:before="200"/>
      </w:pPr>
      <w:r>
        <w:rPr>
          <w:rFonts w:ascii="Barlow Semi Condensed" w:cs="Barlow Semi Condensed" w:eastAsia="Barlow Semi Condensed" w:hAnsi="Barlow Semi Condensed"/>
          <w:sz w:val="24"/>
          <w:szCs w:val="24"/>
        </w:rPr>
        <w:t xml:space="preserve">L'inversione del 1976-1977 e il decimo grado di Stato Zero</w:t>
      </w:r>
    </w:p>
    <w:p>
      <w:pPr>
        <w:pStyle w:val="Heading2"/>
        <w:spacing w:after="100" w:before="200"/>
      </w:pPr>
      <w:r>
        <w:rPr>
          <w:rFonts w:ascii="Barlow Semi Condensed" w:cs="Barlow Semi Condensed" w:eastAsia="Barlow Semi Condensed" w:hAnsi="Barlow Semi Condensed"/>
          <w:sz w:val="24"/>
          <w:szCs w:val="24"/>
        </w:rPr>
        <w:t xml:space="preserve">Dodici Capitoli — cinque acquisizioni — una correzione alla sedicesima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L'esecuzione di due voci che io stesso avevo catalogato</w:t>
      </w:r>
    </w:p>
    <w:p>
      <w:pPr>
        <w:spacing w:after="120" w:line="276"/>
        <w:jc w:val="both"/>
      </w:pPr>
      <w:r>
        <w:rPr>
          <w:rFonts w:ascii="Barlow Semi Condensed" w:cs="Barlow Semi Condensed" w:eastAsia="Barlow Semi Condensed" w:hAnsi="Barlow Semi Condensed"/>
          <w:b/>
          <w:bCs/>
          <w:sz w:val="24"/>
          <w:szCs w:val="24"/>
        </w:rPr>
        <w:t xml:space="preserve">Questa ricognizione non apre un perimetro. Esegue due voci che due ricognizioni anteriori avevano iscritto nelle proprie tavole come le acquisizioni di più basso costo e più alto rendimento, e che erano rimaste ineseguite.</w:t>
      </w:r>
    </w:p>
    <w:p>
      <w:pPr>
        <w:spacing w:after="120" w:line="276"/>
        <w:jc w:val="both"/>
      </w:pPr>
      <w:r>
        <w:rPr>
          <w:rFonts w:ascii="Barlow Semi Condensed" w:cs="Barlow Semi Condensed" w:eastAsia="Barlow Semi Condensed" w:hAnsi="Barlow Semi Condensed"/>
          <w:b/>
          <w:bCs/>
          <w:sz w:val="24"/>
          <w:szCs w:val="24"/>
        </w:rPr>
        <w:t xml:space="preserve">La prima voce, iscritta alla tredicesima ricognizione, dichiarava il testo delle due lettere italiane alle Nazioni Unite l'acquisizione a più basso costo e più rapido rendimento dell'intera tavola, con condizione di chiusura meramente tecnica, l'accesso ai file.</w:t>
      </w:r>
    </w:p>
    <w:p>
      <w:pPr>
        <w:spacing w:after="120" w:line="276"/>
        <w:jc w:val="both"/>
      </w:pPr>
      <w:r>
        <w:rPr>
          <w:rFonts w:ascii="Barlow Semi Condensed" w:cs="Barlow Semi Condensed" w:eastAsia="Barlow Semi Condensed" w:hAnsi="Barlow Semi Condensed"/>
          <w:b/>
          <w:bCs/>
          <w:sz w:val="24"/>
          <w:szCs w:val="24"/>
        </w:rPr>
        <w:t xml:space="preserve">La seconda, iscritta alla sedicesima\\, dichiarava i voti italiani all'Assemblea generale sulla Namibia di \\rendimento alto perché i documenti esistono con certezza.</w:t>
      </w:r>
    </w:p>
    <w:p>
      <w:pPr>
        <w:spacing w:after="120" w:line="276"/>
        <w:jc w:val="both"/>
      </w:pPr>
      <w:r>
        <w:rPr>
          <w:rFonts w:ascii="Barlow Semi Condensed" w:cs="Barlow Semi Condensed" w:eastAsia="Barlow Semi Condensed" w:hAnsi="Barlow Semi Condensed"/>
          <w:b/>
          <w:bCs/>
          <w:sz w:val="24"/>
          <w:szCs w:val="24"/>
        </w:rPr>
        <w:t xml:space="preserve">Nessuna delle due era stata eseguita. Sedici ricognizioni hanno costruito tavole di ciò che andrebbe fatto, e le due voci che io stesso avevo giudicato le più facili erano rimaste lì.</w:t>
      </w:r>
    </w:p>
    <w:p>
      <w:pPr>
        <w:spacing w:after="120" w:line="276"/>
        <w:jc w:val="both"/>
      </w:pPr>
      <w:r>
        <w:rPr>
          <w:rFonts w:ascii="Barlow Semi Condensed" w:cs="Barlow Semi Condensed" w:eastAsia="Barlow Semi Condensed" w:hAnsi="Barlow Semi Condensed"/>
          <w:b/>
          <w:bCs/>
          <w:sz w:val="24"/>
          <w:szCs w:val="24"/>
        </w:rPr>
        <w:t xml:space="preserve">L'esito, anticipato, è misto e istruttivo in entrambe le direzioni.</w:t>
      </w:r>
    </w:p>
    <w:p>
      <w:pPr>
        <w:spacing w:after="120" w:line="276"/>
        <w:jc w:val="both"/>
      </w:pPr>
      <w:r>
        <w:rPr>
          <w:rFonts w:ascii="Barlow Semi Condensed" w:cs="Barlow Semi Condensed" w:eastAsia="Barlow Semi Condensed" w:hAnsi="Barlow Semi Condensed"/>
          <w:b/>
          <w:bCs/>
          <w:sz w:val="24"/>
          <w:szCs w:val="24"/>
        </w:rPr>
        <w:t xml:space="preserve">La seconda voce è stata eseguita con pieno successo, e ha prodotto una correzione alla sedicesima ricognizione che il Capitolo settimo espone.</w:t>
      </w:r>
    </w:p>
    <w:p>
      <w:pPr>
        <w:spacing w:after="120" w:line="276"/>
        <w:jc w:val="both"/>
      </w:pPr>
      <w:r>
        <w:rPr>
          <w:rFonts w:ascii="Barlow Semi Condensed" w:cs="Barlow Semi Condensed" w:eastAsia="Barlow Semi Condensed" w:hAnsi="Barlow Semi Condensed"/>
          <w:b/>
          <w:bCs/>
          <w:sz w:val="24"/>
          <w:szCs w:val="24"/>
        </w:rPr>
        <w:t xml:space="preserve">La prima è stata eseguita a metà, e il modo in cui è fallita costituisce, secondo me, il contributo metodologico di questo documento: il Capitolo undicesimo propone per esso un decimo grado di Stato Zero.</w:t>
      </w:r>
    </w:p>
    <w:p>
      <w:pPr>
        <w:spacing w:after="120" w:line="276"/>
        <w:jc w:val="both"/>
      </w:pPr>
      <w:r>
        <w:rPr>
          <w:rFonts w:ascii="Barlow Semi Condensed" w:cs="Barlow Semi Condensed" w:eastAsia="Barlow Semi Condensed" w:hAnsi="Barlow Semi Condensed"/>
          <w:b/>
          <w:bCs/>
          <w:sz w:val="24"/>
          <w:szCs w:val="24"/>
        </w:rPr>
        <w:t xml:space="preserve">Il metodo di questa ricognizione differisce dalle precedenti e va dichiarato. Non è ricerca tematica ma reperimento documentale. Il pregio non sta nell'ampiezza della trattazione ma nella precisione del dato primario: numeri di documento, date, risultati numerici di voto.</w:t>
      </w:r>
    </w:p>
    <w:p>
      <w:pPr>
        <w:spacing w:after="120" w:line="276"/>
        <w:jc w:val="both"/>
      </w:pPr>
      <w:r>
        <w:rPr>
          <w:rFonts w:ascii="Barlow Semi Condensed" w:cs="Barlow Semi Condensed" w:eastAsia="Barlow Semi Condensed" w:hAnsi="Barlow Semi Condensed"/>
          <w:b/>
          <w:bCs/>
          <w:sz w:val="24"/>
          <w:szCs w:val="24"/>
        </w:rPr>
        <w:t xml:space="preserve">Ne discende che dove il dato manca il capitolo è breve, e la brevità è essa stessa il risultato.</w:t>
      </w:r>
    </w:p>
    <w:p>
      <w:pPr>
        <w:pStyle w:val="Heading2"/>
        <w:spacing w:after="100" w:before="200"/>
      </w:pPr>
      <w:r>
        <w:rPr>
          <w:rFonts w:ascii="Barlow Semi Condensed" w:cs="Barlow Semi Condensed" w:eastAsia="Barlow Semi Condensed" w:hAnsi="Barlow Semi Condensed"/>
          <w:sz w:val="24"/>
          <w:szCs w:val="24"/>
        </w:rPr>
        <w:t xml:space="preserve">Capitolo secondo — La lettera del 6 febbraio 1970</w:t>
      </w:r>
    </w:p>
    <w:p>
      <w:pPr>
        <w:spacing w:after="120" w:line="276"/>
        <w:jc w:val="both"/>
      </w:pPr>
      <w:r>
        <w:rPr>
          <w:rFonts w:ascii="Barlow Semi Condensed" w:cs="Barlow Semi Condensed" w:eastAsia="Barlow Semi Condensed" w:hAnsi="Barlow Semi Condensed"/>
          <w:b/>
          <w:bCs/>
          <w:sz w:val="24"/>
          <w:szCs w:val="24"/>
        </w:rPr>
        <w:t xml:space="preserve">Il capitolo espone il primo dei tre documenti cercati, e distingue con precisione ciò che è stato reperito da ciò che non lo è stato.</w:t>
      </w:r>
    </w:p>
    <w:p>
      <w:pPr>
        <w:spacing w:after="120" w:line="276"/>
        <w:jc w:val="both"/>
      </w:pPr>
      <w:r>
        <w:rPr>
          <w:rFonts w:ascii="Barlow Semi Condensed" w:cs="Barlow Semi Condensed" w:eastAsia="Barlow Semi Condensed" w:hAnsi="Barlow Semi Condensed"/>
          <w:b/>
          <w:bCs/>
          <w:sz w:val="24"/>
          <w:szCs w:val="24"/>
        </w:rPr>
        <w:t xml:space="preserve">Il documento è reperito e identificato con certezza a livello catalografico. Record cinquecentotremilaquattrocentonovantasei dello United Nations Digital Library, segnatura ufficiale completa S/9640, con file previsti in inglese, spagnolo, francese e russo.</w:t>
      </w:r>
    </w:p>
    <w:p>
      <w:pPr>
        <w:spacing w:after="120" w:line="276"/>
        <w:jc w:val="both"/>
      </w:pPr>
      <w:r>
        <w:rPr>
          <w:rFonts w:ascii="Barlow Semi Condensed" w:cs="Barlow Semi Condensed" w:eastAsia="Barlow Semi Condensed" w:hAnsi="Barlow Semi Condensed"/>
          <w:b/>
          <w:bCs/>
          <w:sz w:val="24"/>
          <w:szCs w:val="24"/>
        </w:rPr>
        <w:t xml:space="preserve">Il titolo ufficiale: \Lettera datata 6 febbraio 1970 dal Rappresentante permanente d'Italia indirizzata al Presidente del Consiglio di Sicurezza.\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L'abstract catalografico, riportato per intero perché è quanto di più vicino al contenuto si sia potuto raggiungere: \si riferisce alla seduta del Consiglio di Sicurezza del 27 gennaio 1970 e confuta la dichiarazione dello Zambia secondo cui l'Italia avrebbe rifiutato di imporre un divieto alla vendita di armi al Sudafrica.\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L'estensore, con la qualificazione dell'attribuzione. La lettera fu firmata dal Rappresentante permanente in carica nel febbraio 1970, che era Piero Vinci: la lista ufficiale lo registra come settimo titolare, in carica dal 1964 al 1973, con un secondo mandato dal 1975 al 1979. Il febbraio 1970 ricade nel primo.</w:t>
      </w:r>
    </w:p>
    <w:p>
      <w:pPr>
        <w:spacing w:after="120" w:line="276"/>
        <w:jc w:val="both"/>
      </w:pPr>
      <w:r>
        <w:rPr>
          <w:rFonts w:ascii="Barlow Semi Condensed" w:cs="Barlow Semi Condensed" w:eastAsia="Barlow Semi Condensed" w:hAnsi="Barlow Semi Condensed"/>
          <w:b/>
          <w:bCs/>
          <w:sz w:val="24"/>
          <w:szCs w:val="24"/>
        </w:rPr>
        <w:t xml:space="preserve">L'attribuzione discende dalle date di titolarità della carica e non dalla lettura della firma, poiché il documento non è stato aperto. La distinzione va mantenuta.</w:t>
      </w:r>
    </w:p>
    <w:p>
      <w:pPr>
        <w:spacing w:after="120" w:line="276"/>
        <w:jc w:val="both"/>
      </w:pPr>
      <w:r>
        <w:rPr>
          <w:rFonts w:ascii="Barlow Semi Condensed" w:cs="Barlow Semi Condensed" w:eastAsia="Barlow Semi Condensed" w:hAnsi="Barlow Semi Condensed"/>
          <w:b/>
          <w:bCs/>
          <w:sz w:val="24"/>
          <w:szCs w:val="24"/>
        </w:rPr>
        <w:t xml:space="preserve">Si esclude Sergio Fenoaltea, che fu ambasciatore a Washington fino al 1967 e non presso le Nazioni Unite.</w:t>
      </w:r>
    </w:p>
    <w:p>
      <w:pPr>
        <w:spacing w:after="120" w:line="276"/>
        <w:jc w:val="both"/>
      </w:pPr>
      <w:r>
        <w:rPr>
          <w:rFonts w:ascii="Barlow Semi Condensed" w:cs="Barlow Semi Condensed" w:eastAsia="Barlow Semi Condensed" w:hAnsi="Barlow Semi Condensed"/>
          <w:b/>
          <w:bCs/>
          <w:sz w:val="24"/>
          <w:szCs w:val="24"/>
        </w:rPr>
        <w:t xml:space="preserve">E adesso ciò che non si è ottenuto, dichiarato senza attenuazioni.</w:t>
      </w:r>
    </w:p>
    <w:p>
      <w:pPr>
        <w:spacing w:after="120" w:line="276"/>
        <w:jc w:val="both"/>
      </w:pPr>
      <w:r>
        <w:rPr>
          <w:rFonts w:ascii="Barlow Semi Condensed" w:cs="Barlow Semi Condensed" w:eastAsia="Barlow Semi Condensed" w:hAnsi="Barlow Semi Condensed"/>
          <w:b/>
          <w:bCs/>
          <w:sz w:val="24"/>
          <w:szCs w:val="24"/>
        </w:rPr>
        <w:t xml:space="preserve">Il testo del corpo della lettera non è stato recuperato.</w:t>
      </w:r>
    </w:p>
    <w:p>
      <w:pPr>
        <w:spacing w:after="120" w:line="276"/>
        <w:jc w:val="both"/>
      </w:pPr>
      <w:r>
        <w:rPr>
          <w:rFonts w:ascii="Barlow Semi Condensed" w:cs="Barlow Semi Condensed" w:eastAsia="Barlow Semi Condensed" w:hAnsi="Barlow Semi Condensed"/>
          <w:b/>
          <w:bCs/>
          <w:sz w:val="24"/>
          <w:szCs w:val="24"/>
        </w:rPr>
        <w:t xml:space="preserve">La ragione non è archivistica: il documento è pubblico, catalogato, indicizzato, e possiede un indirizzo di reperimento. Il server documentale delle Nazioni Unite ha respinto ogni tentativo di recupero automatizzato dei file, per rilevamento anti-robot.</w:t>
      </w:r>
    </w:p>
    <w:p>
      <w:pPr>
        <w:spacing w:after="120" w:line="276"/>
        <w:jc w:val="both"/>
      </w:pPr>
      <w:r>
        <w:rPr>
          <w:rFonts w:ascii="Barlow Semi Condensed" w:cs="Barlow Semi Condensed" w:eastAsia="Barlow Semi Condensed" w:hAnsi="Barlow Semi Condensed"/>
          <w:b/>
          <w:bCs/>
          <w:sz w:val="24"/>
          <w:szCs w:val="24"/>
        </w:rPr>
        <w:t xml:space="preserve">Ne discende che quanto si sa del contenuto proviene dall'oggetto ufficiale e non dal testo: l'Italia respinse la tesi zambiana e affermò di osservare il divieto di vendita di armi al Sudafrica.</w:t>
      </w:r>
    </w:p>
    <w:p>
      <w:pPr>
        <w:spacing w:after="120" w:line="276"/>
        <w:jc w:val="both"/>
      </w:pPr>
      <w:r>
        <w:rPr>
          <w:rFonts w:ascii="Barlow Semi Condensed" w:cs="Barlow Semi Condensed" w:eastAsia="Barlow Semi Condensed" w:hAnsi="Barlow Semi Condensed"/>
          <w:b/>
          <w:bCs/>
          <w:sz w:val="24"/>
          <w:szCs w:val="24"/>
        </w:rPr>
        <w:t xml:space="preserve">Che cosa esattamente affermasse, con quali argomenti, e se menzionasse la licenza Aermacchi già in essere dal 1964, resta ignoto.</w:t>
      </w:r>
    </w:p>
    <w:p>
      <w:pPr>
        <w:pStyle w:val="Heading2"/>
        <w:spacing w:after="100" w:before="200"/>
      </w:pPr>
      <w:r>
        <w:rPr>
          <w:rFonts w:ascii="Barlow Semi Condensed" w:cs="Barlow Semi Condensed" w:eastAsia="Barlow Semi Condensed" w:hAnsi="Barlow Semi Condensed"/>
          <w:sz w:val="24"/>
          <w:szCs w:val="24"/>
        </w:rPr>
        <w:t xml:space="preserve">Capitolo terzo — Il gemello tedesco, e la scoperta che il perimetro non prevedeva</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che la ricerca non cercava e che tocca direttamente la sedicesima ricognizione.</w:t>
      </w:r>
    </w:p>
    <w:p>
      <w:pPr>
        <w:spacing w:after="120" w:line="276"/>
        <w:jc w:val="both"/>
      </w:pPr>
      <w:r>
        <w:rPr>
          <w:rFonts w:ascii="Barlow Semi Condensed" w:cs="Barlow Semi Condensed" w:eastAsia="Barlow Semi Condensed" w:hAnsi="Barlow Semi Condensed"/>
          <w:b/>
          <w:bCs/>
          <w:sz w:val="24"/>
          <w:szCs w:val="24"/>
        </w:rPr>
        <w:t xml:space="preserve">La fonte dell'accusa, prima. L'affermazione zambiana confutata non è un documento numerato bensì una dichiarazione resa oralmente nella milleseicentoventisettesima seduta del Consiglio di Sicurezza, verbale S/PV.1527, tenutasi il 27 e 28 gennaio 1970.</w:t>
      </w:r>
    </w:p>
    <w:p>
      <w:pPr>
        <w:spacing w:after="120" w:line="276"/>
        <w:jc w:val="both"/>
      </w:pPr>
      <w:r>
        <w:rPr>
          <w:rFonts w:ascii="Barlow Semi Condensed" w:cs="Barlow Semi Condensed" w:eastAsia="Barlow Semi Condensed" w:hAnsi="Barlow Semi Condensed"/>
          <w:b/>
          <w:bCs/>
          <w:sz w:val="24"/>
          <w:szCs w:val="24"/>
        </w:rPr>
        <w:t xml:space="preserve">Lo Zambia era in quell'anno membro non permanente del Consiglio, e fu tra i promotori della linea che avrebbe condotto alla risoluzione duecentottantadue del luglio 1970.</w:t>
      </w:r>
    </w:p>
    <w:p>
      <w:pPr>
        <w:spacing w:after="120" w:line="276"/>
        <w:jc w:val="both"/>
      </w:pPr>
      <w:r>
        <w:rPr>
          <w:rFonts w:ascii="Barlow Semi Condensed" w:cs="Barlow Semi Condensed" w:eastAsia="Barlow Semi Condensed" w:hAnsi="Barlow Semi Condensed"/>
          <w:b/>
          <w:bCs/>
          <w:sz w:val="24"/>
          <w:szCs w:val="24"/>
        </w:rPr>
        <w:t xml:space="preserve">E adesso il documento parallelo.</w:t>
      </w:r>
    </w:p>
    <w:p>
      <w:pPr>
        <w:spacing w:after="120" w:line="276"/>
        <w:jc w:val="both"/>
      </w:pPr>
      <w:r>
        <w:rPr>
          <w:rFonts w:ascii="Barlow Semi Condensed" w:cs="Barlow Semi Condensed" w:eastAsia="Barlow Semi Condensed" w:hAnsi="Barlow Semi Condensed"/>
          <w:b/>
          <w:bCs/>
          <w:sz w:val="24"/>
          <w:szCs w:val="24"/>
        </w:rPr>
        <w:t xml:space="preserve">Segnatura S/9648, record cinquecentotremilasettecentosettantanove: \Nota del Presidente del Consiglio di Sicurezza\ datata 13 febbraio 1970, che allega una lettera dell'11 febbraio 1970 dell'Osservatore permanente supplente della Repubblica Federale di Germania.</w:t>
      </w:r>
    </w:p>
    <w:p>
      <w:pPr>
        <w:spacing w:after="120" w:line="276"/>
        <w:jc w:val="both"/>
      </w:pPr>
      <w:r>
        <w:rPr>
          <w:rFonts w:ascii="Barlow Semi Condensed" w:cs="Barlow Semi Condensed" w:eastAsia="Barlow Semi Condensed" w:hAnsi="Barlow Semi Condensed"/>
          <w:b/>
          <w:bCs/>
          <w:sz w:val="24"/>
          <w:szCs w:val="24"/>
        </w:rPr>
        <w:t xml:space="preserve">Il suo abstract dichiara che essa confuta la dichiarazione del rappresentante dello Zambia riguardo alla vendita di armi al Sudafrica.</w:t>
      </w:r>
    </w:p>
    <w:p>
      <w:pPr>
        <w:spacing w:after="120" w:line="276"/>
        <w:jc w:val="both"/>
      </w:pPr>
      <w:r>
        <w:rPr>
          <w:rFonts w:ascii="Barlow Semi Condensed" w:cs="Barlow Semi Condensed" w:eastAsia="Barlow Semi Condensed" w:hAnsi="Barlow Semi Condensed"/>
          <w:b/>
          <w:bCs/>
          <w:sz w:val="24"/>
          <w:szCs w:val="24"/>
        </w:rPr>
        <w:t xml:space="preserve">La medesima accusa. La medesima confutazione. A cinque giorni di distanza.</w:t>
      </w:r>
    </w:p>
    <w:p>
      <w:pPr>
        <w:spacing w:after="120" w:line="276"/>
        <w:jc w:val="both"/>
      </w:pPr>
      <w:r>
        <w:rPr>
          <w:rFonts w:ascii="Barlow Semi Condensed" w:cs="Barlow Semi Condensed" w:eastAsia="Barlow Semi Condensed" w:hAnsi="Barlow Semi Condensed"/>
          <w:b/>
          <w:bCs/>
          <w:sz w:val="24"/>
          <w:szCs w:val="24"/>
        </w:rPr>
        <w:t xml:space="preserve">Un dettaglio formale va spiegato perché è rivelatore. La Germania figura come Osservatore e non come Rappresentante permanente perché nel 1970 essa non era ancora membro delle Nazioni Unite — vi entrò nel settembre 1973.</w:t>
      </w:r>
    </w:p>
    <w:p>
      <w:pPr>
        <w:spacing w:after="120" w:line="276"/>
        <w:jc w:val="both"/>
      </w:pPr>
      <w:r>
        <w:rPr>
          <w:rFonts w:ascii="Barlow Semi Condensed" w:cs="Barlow Semi Condensed" w:eastAsia="Barlow Semi Condensed" w:hAnsi="Barlow Semi Condensed"/>
          <w:b/>
          <w:bCs/>
          <w:sz w:val="24"/>
          <w:szCs w:val="24"/>
        </w:rPr>
        <w:t xml:space="preserve">Ne discende che la Repubblica Federale, priva di seggio e persino di rappresentanza piena, dovette far pervenire la propria confutazione attraverso la nota del Presidente del Consiglio anziché con lettera diretta.</w:t>
      </w:r>
    </w:p>
    <w:p>
      <w:pPr>
        <w:spacing w:after="120" w:line="276"/>
        <w:jc w:val="both"/>
      </w:pPr>
      <w:r>
        <w:rPr>
          <w:rFonts w:ascii="Barlow Semi Condensed" w:cs="Barlow Semi Condensed" w:eastAsia="Barlow Semi Condensed" w:hAnsi="Barlow Semi Condensed"/>
          <w:b/>
          <w:bCs/>
          <w:sz w:val="24"/>
          <w:szCs w:val="24"/>
        </w:rPr>
        <w:t xml:space="preserve">Italia e Germania Federale reagirono dunque in modo speculare alla medesima accusa zambiana, ciascuna con lo strumento che il proprio statuto le consentiva.</w:t>
      </w:r>
    </w:p>
    <w:p>
      <w:pPr>
        <w:spacing w:after="120" w:line="276"/>
        <w:jc w:val="both"/>
      </w:pPr>
      <w:r>
        <w:rPr>
          <w:rFonts w:ascii="Barlow Semi Condensed" w:cs="Barlow Semi Condensed" w:eastAsia="Barlow Semi Condensed" w:hAnsi="Barlow Semi Condensed"/>
          <w:b/>
          <w:bCs/>
          <w:sz w:val="24"/>
          <w:szCs w:val="24"/>
        </w:rPr>
        <w:t xml:space="preserve">E qui il ritrovamento tocca la sedicesima ricognizione, che si era chiusa con questa affermazione: la divergenza sulle sanzioni suggerisce che Roma e Bonn non agissero come blocco.</w:t>
      </w:r>
    </w:p>
    <w:p>
      <w:pPr>
        <w:spacing w:after="120" w:line="276"/>
        <w:jc w:val="both"/>
      </w:pPr>
      <w:r>
        <w:rPr>
          <w:rFonts w:ascii="Barlow Semi Condensed" w:cs="Barlow Semi Condensed" w:eastAsia="Barlow Semi Condensed" w:hAnsi="Barlow Semi Condensed"/>
          <w:b/>
          <w:bCs/>
          <w:sz w:val="24"/>
          <w:szCs w:val="24"/>
        </w:rPr>
        <w:t xml:space="preserve">Quella affermazione riguardava gli anni Ottanta e le sanzioni economiche, e resta valida per quel perimetro.</w:t>
      </w:r>
    </w:p>
    <w:p>
      <w:pPr>
        <w:spacing w:after="120" w:line="276"/>
        <w:jc w:val="both"/>
      </w:pPr>
      <w:r>
        <w:rPr>
          <w:rFonts w:ascii="Barlow Semi Condensed" w:cs="Barlow Semi Condensed" w:eastAsia="Barlow Semi Condensed" w:hAnsi="Barlow Semi Condensed"/>
          <w:b/>
          <w:bCs/>
          <w:sz w:val="24"/>
          <w:szCs w:val="24"/>
        </w:rPr>
        <w:t xml:space="preserve">Ma per il 1970 e per l'accusa di violazione dell'embargo sulle armi, il quadro è diverso: le due capitali si difesero in parallelo, nella medesima settimana, contro il medesimo accusatore.</w:t>
      </w:r>
    </w:p>
    <w:p>
      <w:pPr>
        <w:spacing w:after="120" w:line="276"/>
        <w:jc w:val="both"/>
      </w:pPr>
      <w:r>
        <w:rPr>
          <w:rFonts w:ascii="Barlow Semi Condensed" w:cs="Barlow Semi Condensed" w:eastAsia="Barlow Semi Condensed" w:hAnsi="Barlow Semi Condensed"/>
          <w:b/>
          <w:bCs/>
          <w:sz w:val="24"/>
          <w:szCs w:val="24"/>
        </w:rPr>
        <w:t xml:space="preserve">Non è coordinamento provato — nessuna fonte lo attesta, e la contemporaneità non è prova di nesso. Ma è la prima volta in diciotto ricognizioni che Roma e Bonn compaiono nel medesimo fascicolo africano con la medesima postura, e va registrato come tale.</w:t>
      </w:r>
    </w:p>
    <w:p>
      <w:pPr>
        <w:pStyle w:val="Heading2"/>
        <w:spacing w:after="100" w:before="200"/>
      </w:pPr>
      <w:r>
        <w:rPr>
          <w:rFonts w:ascii="Barlow Semi Condensed" w:cs="Barlow Semi Condensed" w:eastAsia="Barlow Semi Condensed" w:hAnsi="Barlow Semi Condensed"/>
          <w:sz w:val="24"/>
          <w:szCs w:val="24"/>
        </w:rPr>
        <w:t xml:space="preserve">Capitolo quarto — La lettera del 27 giugno 1980 e l'accusatore</w:t>
      </w:r>
    </w:p>
    <w:p>
      <w:pPr>
        <w:spacing w:after="120" w:line="276"/>
        <w:jc w:val="both"/>
      </w:pPr>
      <w:r>
        <w:rPr>
          <w:rFonts w:ascii="Barlow Semi Condensed" w:cs="Barlow Semi Condensed" w:eastAsia="Barlow Semi Condensed" w:hAnsi="Barlow Semi Condensed"/>
          <w:b/>
          <w:bCs/>
          <w:sz w:val="24"/>
          <w:szCs w:val="24"/>
        </w:rPr>
        <w:t xml:space="preserve">Il capitolo espone il secondo documento e la figura che lo provocò.</w:t>
      </w:r>
    </w:p>
    <w:p>
      <w:pPr>
        <w:spacing w:after="120" w:line="276"/>
        <w:jc w:val="both"/>
      </w:pPr>
      <w:r>
        <w:rPr>
          <w:rFonts w:ascii="Barlow Semi Condensed" w:cs="Barlow Semi Condensed" w:eastAsia="Barlow Semi Condensed" w:hAnsi="Barlow Semi Condensed"/>
          <w:b/>
          <w:bCs/>
          <w:sz w:val="24"/>
          <w:szCs w:val="24"/>
        </w:rPr>
        <w:t xml:space="preserve">Il documento. Record quattordicimilanovecentoquarantatré, segnatura S/AC.20/27, titolo ufficiale: \Lettera datata 27 giugno 1980 dal Rappresentante permanente d'Italia presso le Nazioni Unite indirizzata al Presidente del Comitato del Consiglio di Sicurezza istituito dalla risoluzione quattrocentoventuno del 1977 concernente la questione del Sudafrica.\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Data di pubblicazione: 3 luglio 1980. Lunghezza: due pagine.</w:t>
      </w:r>
    </w:p>
    <w:p>
      <w:pPr>
        <w:spacing w:after="120" w:line="276"/>
        <w:jc w:val="both"/>
      </w:pPr>
      <w:r>
        <w:rPr>
          <w:rFonts w:ascii="Barlow Semi Condensed" w:cs="Barlow Semi Condensed" w:eastAsia="Barlow Semi Condensed" w:hAnsi="Barlow Semi Condensed"/>
          <w:b/>
          <w:bCs/>
          <w:sz w:val="24"/>
          <w:szCs w:val="24"/>
        </w:rPr>
        <w:t xml:space="preserve">E la scheda reca un titolo alternativo che ne condensa il contenuto, riportato per intero: \Italia. Lettera, 27 giugno 1980, che nega accuse di violazione dell'embargo sulle armi nella dichiarazione di Abdul Minty.\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L'estensore, con la medesima qualificazione del Capitolo secondo. Il Rappresentante permanente nel giugno 1980 era Umberto La Rocca, decimo titolare, in carica dal 1979 al 1984, fra i mandati di Piero Vinci e di Maurizio Bucci. Attribuzione dalle date della carica, non dalla firma.</w:t>
      </w:r>
    </w:p>
    <w:p>
      <w:pPr>
        <w:spacing w:after="120" w:line="276"/>
        <w:jc w:val="both"/>
      </w:pPr>
      <w:r>
        <w:rPr>
          <w:rFonts w:ascii="Barlow Semi Condensed" w:cs="Barlow Semi Condensed" w:eastAsia="Barlow Semi Condensed" w:hAnsi="Barlow Semi Condensed"/>
          <w:b/>
          <w:bCs/>
          <w:sz w:val="24"/>
          <w:szCs w:val="24"/>
        </w:rPr>
        <w:t xml:space="preserve">Anche qui il testo del corpo non è stato recuperato.</w:t>
      </w:r>
    </w:p>
    <w:p>
      <w:pPr>
        <w:spacing w:after="120" w:line="276"/>
        <w:jc w:val="both"/>
      </w:pPr>
      <w:r>
        <w:rPr>
          <w:rFonts w:ascii="Barlow Semi Condensed" w:cs="Barlow Semi Condensed" w:eastAsia="Barlow Semi Condensed" w:hAnsi="Barlow Semi Condensed"/>
          <w:b/>
          <w:bCs/>
          <w:sz w:val="24"/>
          <w:szCs w:val="24"/>
        </w:rPr>
        <w:t xml:space="preserve">L'accusatore, e la ricerca ne ha ricostruito il profilo perché esso qualifica il peso dell'accusa.</w:t>
      </w:r>
    </w:p>
    <w:p>
      <w:pPr>
        <w:spacing w:after="120" w:line="276"/>
        <w:jc w:val="both"/>
      </w:pPr>
      <w:r>
        <w:rPr>
          <w:rFonts w:ascii="Barlow Semi Condensed" w:cs="Barlow Semi Condensed" w:eastAsia="Barlow Semi Condensed" w:hAnsi="Barlow Semi Condensed"/>
          <w:b/>
          <w:bCs/>
          <w:sz w:val="24"/>
          <w:szCs w:val="24"/>
        </w:rPr>
        <w:t xml:space="preserve">Abdul Samad Minty, segretario onorario dell'Anti-Apartheid Movement britannico, rese testimonianza come esperto individuale dinanzi al Comitato del Consiglio di Sicurezza per l'embargo sulle armi in quattro occasioni fra il 1977 e il 1994.</w:t>
      </w:r>
    </w:p>
    <w:p>
      <w:pPr>
        <w:spacing w:after="120" w:line="276"/>
        <w:jc w:val="both"/>
      </w:pPr>
      <w:r>
        <w:rPr>
          <w:rFonts w:ascii="Barlow Semi Condensed" w:cs="Barlow Semi Condensed" w:eastAsia="Barlow Semi Condensed" w:hAnsi="Barlow Semi Condensed"/>
          <w:b/>
          <w:bCs/>
          <w:sz w:val="24"/>
          <w:szCs w:val="24"/>
        </w:rPr>
        <w:t xml:space="preserve">L'organizzazione da lui diretta — il World Campaign against Military and Nuclear Collaboration with South Africa — fu la fonte primaria di informazione delle Nazioni Unite sulle violazioni degli embarghi sulle armi contro il regime dell'apartheid.</w:t>
      </w:r>
    </w:p>
    <w:p>
      <w:pPr>
        <w:spacing w:after="120" w:line="276"/>
        <w:jc w:val="both"/>
      </w:pPr>
      <w:r>
        <w:rPr>
          <w:rFonts w:ascii="Barlow Semi Condensed" w:cs="Barlow Semi Condensed" w:eastAsia="Barlow Semi Condensed" w:hAnsi="Barlow Semi Condensed"/>
          <w:b/>
          <w:bCs/>
          <w:sz w:val="24"/>
          <w:szCs w:val="24"/>
        </w:rPr>
        <w:t xml:space="preserve">Il Campaign fu lanciato a Oslo il 28 marzo 1979\\, sotto il patronato dell'ex Presidente tanzaniano \\Julius Nyerere\\ e degli altri capi di Stato della prima linea, con sponsor quali \\Olof Palme, David Steel e Coretta Scott King.</w:t>
      </w:r>
    </w:p>
    <w:p>
      <w:pPr>
        <w:spacing w:after="120" w:line="276"/>
        <w:jc w:val="both"/>
      </w:pPr>
      <w:r>
        <w:rPr>
          <w:rFonts w:ascii="Barlow Semi Condensed" w:cs="Barlow Semi Condensed" w:eastAsia="Barlow Semi Condensed" w:hAnsi="Barlow Semi Condensed"/>
          <w:b/>
          <w:bCs/>
          <w:sz w:val="24"/>
          <w:szCs w:val="24"/>
        </w:rPr>
        <w:t xml:space="preserve">Ne discende che l'accusa cui l'Italia rispose non proveniva da una fonte marginale ma dall'organismo che le Nazioni Unite stesse riconoscevano come principale fornitore di informazioni sulle violazioni.</w:t>
      </w:r>
    </w:p>
    <w:p>
      <w:pPr>
        <w:spacing w:after="120" w:line="276"/>
        <w:jc w:val="both"/>
      </w:pPr>
      <w:r>
        <w:rPr>
          <w:rFonts w:ascii="Barlow Semi Condensed" w:cs="Barlow Semi Condensed" w:eastAsia="Barlow Semi Condensed" w:hAnsi="Barlow Semi Condensed"/>
          <w:b/>
          <w:bCs/>
          <w:sz w:val="24"/>
          <w:szCs w:val="24"/>
        </w:rPr>
        <w:t xml:space="preserve">Il che rende la mancata acquisizione del testo, esposta al capitolo seguente, tanto più gravosa.</w:t>
      </w:r>
    </w:p>
    <w:p>
      <w:pPr>
        <w:pStyle w:val="Heading2"/>
        <w:spacing w:after="100" w:before="200"/>
      </w:pPr>
      <w:r>
        <w:rPr>
          <w:rFonts w:ascii="Barlow Semi Condensed" w:cs="Barlow Semi Condensed" w:eastAsia="Barlow Semi Condensed" w:hAnsi="Barlow Semi Condensed"/>
          <w:sz w:val="24"/>
          <w:szCs w:val="24"/>
        </w:rPr>
        <w:t xml:space="preserve">Capitolo quinto — La dichiarazione non reperita</w:t>
      </w:r>
    </w:p>
    <w:p>
      <w:pPr>
        <w:spacing w:after="120" w:line="276"/>
        <w:jc w:val="both"/>
      </w:pPr>
      <w:r>
        <w:rPr>
          <w:rFonts w:ascii="Barlow Semi Condensed" w:cs="Barlow Semi Condensed" w:eastAsia="Barlow Semi Condensed" w:hAnsi="Barlow Semi Condensed"/>
          <w:b/>
          <w:bCs/>
          <w:sz w:val="24"/>
          <w:szCs w:val="24"/>
        </w:rPr>
        <w:t xml:space="preserve">Il capitolo è il più breve del documento e ne dichiara la ragione: è un esito negativo, e un esito negativo non si dilata.</w:t>
      </w:r>
    </w:p>
    <w:p>
      <w:pPr>
        <w:spacing w:after="120" w:line="276"/>
        <w:jc w:val="both"/>
      </w:pPr>
      <w:r>
        <w:rPr>
          <w:rFonts w:ascii="Barlow Semi Condensed" w:cs="Barlow Semi Condensed" w:eastAsia="Barlow Semi Condensed" w:hAnsi="Barlow Semi Condensed"/>
          <w:b/>
          <w:bCs/>
          <w:sz w:val="24"/>
          <w:szCs w:val="24"/>
        </w:rPr>
        <w:t xml:space="preserve">Che cosa si cercava. Il verbale sommario S/AC.20/SR.25, contenente la dichiarazione di Abdul Minty dinanzi al Comitato istituito dalla risoluzione quattrocentoventuno — cioè le accuse cui la lettera italiana del 27 giugno 1980 rispondeva.</w:t>
      </w:r>
    </w:p>
    <w:p>
      <w:pPr>
        <w:spacing w:after="120" w:line="276"/>
        <w:jc w:val="both"/>
      </w:pPr>
      <w:r>
        <w:rPr>
          <w:rFonts w:ascii="Barlow Semi Condensed" w:cs="Barlow Semi Condensed" w:eastAsia="Barlow Semi Condensed" w:hAnsi="Barlow Semi Condensed"/>
          <w:b/>
          <w:bCs/>
          <w:sz w:val="24"/>
          <w:szCs w:val="24"/>
        </w:rPr>
        <w:t xml:space="preserve">Che cosa si è trovato.\\ \\Nulla: né testo né scheda utile.</w:t>
      </w:r>
    </w:p>
    <w:p>
      <w:pPr>
        <w:spacing w:after="120" w:line="276"/>
        <w:jc w:val="both"/>
      </w:pPr>
      <w:r>
        <w:rPr>
          <w:rFonts w:ascii="Barlow Semi Condensed" w:cs="Barlow Semi Condensed" w:eastAsia="Barlow Semi Condensed" w:hAnsi="Barlow Semi Condensed"/>
          <w:b/>
          <w:bCs/>
          <w:sz w:val="24"/>
          <w:szCs w:val="24"/>
        </w:rPr>
        <w:t xml:space="preserve">La ragione, accertata.\\ Il documento \\appartiene alla serie dei verbali di riunioni chiuse del Comitato, a distribuzione ristretta, e non compare nelle risorse accessibili.</w:t>
      </w:r>
    </w:p>
    <w:p>
      <w:pPr>
        <w:spacing w:after="120" w:line="276"/>
        <w:jc w:val="both"/>
      </w:pPr>
      <w:r>
        <w:rPr>
          <w:rFonts w:ascii="Barlow Semi Condensed" w:cs="Barlow Semi Condensed" w:eastAsia="Barlow Semi Condensed" w:hAnsi="Barlow Semi Condensed"/>
          <w:b/>
          <w:bCs/>
          <w:sz w:val="24"/>
          <w:szCs w:val="24"/>
        </w:rPr>
        <w:t xml:space="preserve">Ne discende che non si è potuto accertare che cosa esattamente Minty avesse affermato riguardo all'Italia, né su quali elementi.</w:t>
      </w:r>
    </w:p>
    <w:p>
      <w:pPr>
        <w:spacing w:after="120" w:line="276"/>
        <w:jc w:val="both"/>
      </w:pPr>
      <w:r>
        <w:rPr>
          <w:rFonts w:ascii="Barlow Semi Condensed" w:cs="Barlow Semi Condensed" w:eastAsia="Barlow Semi Condensed" w:hAnsi="Barlow Semi Condensed"/>
          <w:b/>
          <w:bCs/>
          <w:sz w:val="24"/>
          <w:szCs w:val="24"/>
        </w:rPr>
        <w:t xml:space="preserve">La ricostruzione contestuale va offerta e immediatamente qualificata. L'accusa verteva verosimilmente sulla licenza Aermacchi MB-326 e sulle relative forniture, e in particolare — secondo quanto la quindicesima ricognizione ha accertato per altra via — su una fornitura di velivoli alla South African Air Force nel gennaio 1980, denunciata dall'operaio Elio Pagani.</w:t>
      </w:r>
    </w:p>
    <w:p>
      <w:pPr>
        <w:spacing w:after="120" w:line="276"/>
        <w:jc w:val="both"/>
      </w:pPr>
      <w:r>
        <w:rPr>
          <w:rFonts w:ascii="Barlow Semi Condensed" w:cs="Barlow Semi Condensed" w:eastAsia="Barlow Semi Condensed" w:hAnsi="Barlow Semi Condensed"/>
          <w:b/>
          <w:bCs/>
          <w:sz w:val="24"/>
          <w:szCs w:val="24"/>
        </w:rPr>
        <w:t xml:space="preserve">Ma questa è ricostruzione contestuale e non lettura del documento, e la distinzione va mantenuta con rigore: si sa che cosa l'Italia negò, non che cosa le fu contestato.</w:t>
      </w:r>
    </w:p>
    <w:p>
      <w:pPr>
        <w:spacing w:after="120" w:line="276"/>
        <w:jc w:val="both"/>
      </w:pPr>
      <w:r>
        <w:rPr>
          <w:rFonts w:ascii="Barlow Semi Condensed" w:cs="Barlow Semi Condensed" w:eastAsia="Barlow Semi Condensed" w:hAnsi="Barlow Semi Condensed"/>
          <w:b/>
          <w:bCs/>
          <w:sz w:val="24"/>
          <w:szCs w:val="24"/>
        </w:rPr>
        <w:t xml:space="preserve">La sede.\\ L'archivio degli atti del Comitato istituito dalla risoluzione quattrocentoventuno e la collezione dei verbali della serie S/AC.20/SR presso la \\Dag Hammarskjöld Library.</w:t>
      </w:r>
    </w:p>
    <w:p>
      <w:pPr>
        <w:spacing w:after="120" w:line="276"/>
        <w:jc w:val="both"/>
      </w:pPr>
      <w:r>
        <w:rPr>
          <w:rFonts w:ascii="Barlow Semi Condensed" w:cs="Barlow Semi Condensed" w:eastAsia="Barlow Semi Condensed" w:hAnsi="Barlow Semi Condensed"/>
          <w:b/>
          <w:bCs/>
          <w:sz w:val="24"/>
          <w:szCs w:val="24"/>
        </w:rPr>
        <w:t xml:space="preserve">La condizione di chiusura.\\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Ne discende una asimmetria che vale la pena enunciare, perché è la stessa che il corpus ha già incontrato altrove.</w:t>
      </w:r>
    </w:p>
    <w:p>
      <w:pPr>
        <w:spacing w:after="120" w:line="276"/>
        <w:jc w:val="both"/>
      </w:pPr>
      <w:r>
        <w:rPr>
          <w:rFonts w:ascii="Barlow Semi Condensed" w:cs="Barlow Semi Condensed" w:eastAsia="Barlow Semi Condensed" w:hAnsi="Barlow Semi Condensed"/>
          <w:b/>
          <w:bCs/>
          <w:sz w:val="24"/>
          <w:szCs w:val="24"/>
        </w:rPr>
        <w:t xml:space="preserve">Della vicenda del 1980 conosciamo la difesa e ignoriamo l'accusa.</w:t>
      </w:r>
    </w:p>
    <w:p>
      <w:pPr>
        <w:spacing w:after="120" w:line="276"/>
        <w:jc w:val="both"/>
      </w:pPr>
      <w:r>
        <w:rPr>
          <w:rFonts w:ascii="Barlow Semi Condensed" w:cs="Barlow Semi Condensed" w:eastAsia="Barlow Semi Condensed" w:hAnsi="Barlow Semi Condensed"/>
          <w:b/>
          <w:bCs/>
          <w:sz w:val="24"/>
          <w:szCs w:val="24"/>
        </w:rPr>
        <w:t xml:space="preserve">È l'inverso della situazione ordinaria negli archivi di Stato, dove sopravvivono gli atti d'accusa e si perdono le repliche. Qui il documento italiano è catalogato e pubblico; il documento che lo provocò è chiuso.</w:t>
      </w:r>
    </w:p>
    <w:p>
      <w:pPr>
        <w:pStyle w:val="Heading2"/>
        <w:spacing w:after="100" w:before="200"/>
      </w:pPr>
      <w:r>
        <w:rPr>
          <w:rFonts w:ascii="Barlow Semi Condensed" w:cs="Barlow Semi Condensed" w:eastAsia="Barlow Semi Condensed" w:hAnsi="Barlow Semi Condensed"/>
          <w:sz w:val="24"/>
          <w:szCs w:val="24"/>
        </w:rPr>
        <w:t xml:space="preserve">Capitolo sesto — I voti sulla Namibia: il dato primario</w:t>
      </w:r>
    </w:p>
    <w:p>
      <w:pPr>
        <w:spacing w:after="120" w:line="276"/>
        <w:jc w:val="both"/>
      </w:pPr>
      <w:r>
        <w:rPr>
          <w:rFonts w:ascii="Barlow Semi Condensed" w:cs="Barlow Semi Condensed" w:eastAsia="Barlow Semi Condensed" w:hAnsi="Barlow Semi Condensed"/>
          <w:b/>
          <w:bCs/>
          <w:sz w:val="24"/>
          <w:szCs w:val="24"/>
        </w:rPr>
        <w:t xml:space="preserve">Il capitolo espone la seconda voce della tavola, che è stata eseguita con pieno successo.</w:t>
      </w:r>
    </w:p>
    <w:p>
      <w:pPr>
        <w:spacing w:after="120" w:line="276"/>
        <w:jc w:val="both"/>
      </w:pPr>
      <w:r>
        <w:rPr>
          <w:rFonts w:ascii="Barlow Semi Condensed" w:cs="Barlow Semi Condensed" w:eastAsia="Barlow Semi Condensed" w:hAnsi="Barlow Semi Condensed"/>
          <w:b/>
          <w:bCs/>
          <w:sz w:val="24"/>
          <w:szCs w:val="24"/>
        </w:rPr>
        <w:t xml:space="preserve">Il voto centrale, e va esposto per primo perché è il più carico politicamente. La risoluzione trentuno barra centoquarantasei del 20 dicembre 1976, sulla situazione in Namibia risultante dall'occupazione illegale del Territorio da parte del Sudafrica, adottata nella centocinquesima seduta plenaria con centosette favorevoli, sei contrari e dodici astenuti, riconosceva la SWAPO come unico e autentico rappresentante del popolo namibiano.</w:t>
      </w:r>
    </w:p>
    <w:p>
      <w:pPr>
        <w:spacing w:after="120" w:line="276"/>
        <w:jc w:val="both"/>
      </w:pPr>
      <w:r>
        <w:rPr>
          <w:rFonts w:ascii="Barlow Semi Condensed" w:cs="Barlow Semi Condensed" w:eastAsia="Barlow Semi Condensed" w:hAnsi="Barlow Semi Condensed"/>
          <w:b/>
          <w:bCs/>
          <w:sz w:val="24"/>
          <w:szCs w:val="24"/>
        </w:rPr>
        <w:t xml:space="preserve">L'Italia si ASTENNE.\\ La marca \\A ITALY\\ è leggibile direttamente nel record di voto \\seicentoquarantanovemilasettecentosessantadue.</w:t>
      </w:r>
    </w:p>
    <w:p>
      <w:pPr>
        <w:spacing w:after="120" w:line="276"/>
        <w:jc w:val="both"/>
      </w:pPr>
      <w:r>
        <w:rPr>
          <w:rFonts w:ascii="Barlow Semi Condensed" w:cs="Barlow Semi Condensed" w:eastAsia="Barlow Semi Condensed" w:hAnsi="Barlow Semi Condensed"/>
          <w:b/>
          <w:bCs/>
          <w:sz w:val="24"/>
          <w:szCs w:val="24"/>
        </w:rPr>
        <w:t xml:space="preserve">E votarono CONTRO Belgio, Francia, Germania Federale, Lussemburgo, Regno Unito e Stati Uniti, con le marche verificate nel medesimo record.</w:t>
      </w:r>
    </w:p>
    <w:p>
      <w:pPr>
        <w:spacing w:after="120" w:line="276"/>
        <w:jc w:val="both"/>
      </w:pPr>
      <w:r>
        <w:rPr>
          <w:rFonts w:ascii="Barlow Semi Condensed" w:cs="Barlow Semi Condensed" w:eastAsia="Barlow Semi Condensed" w:hAnsi="Barlow Semi Condensed"/>
          <w:b/>
          <w:bCs/>
          <w:sz w:val="24"/>
          <w:szCs w:val="24"/>
        </w:rPr>
        <w:t xml:space="preserve">Gli altri voti della medesima tornata namibiana, e sono tre.</w:t>
      </w:r>
    </w:p>
    <w:p>
      <w:pPr>
        <w:spacing w:after="120" w:line="276"/>
        <w:jc w:val="both"/>
      </w:pPr>
      <w:r>
        <w:rPr>
          <w:rFonts w:ascii="Barlow Semi Condensed" w:cs="Barlow Semi Condensed" w:eastAsia="Barlow Semi Condensed" w:hAnsi="Barlow Semi Condensed"/>
          <w:b/>
          <w:bCs/>
          <w:sz w:val="24"/>
          <w:szCs w:val="24"/>
        </w:rPr>
        <w:t xml:space="preserve">Risoluzione trentuno barra centoquarantotto\\, centodiciotto favorevoli, nessun contrario, sette astenuti: \\l'Italia votò A FAVORE, la Germania Federale si astenne.</w:t>
      </w:r>
    </w:p>
    <w:p>
      <w:pPr>
        <w:spacing w:after="120" w:line="276"/>
        <w:jc w:val="both"/>
      </w:pPr>
      <w:r>
        <w:rPr>
          <w:rFonts w:ascii="Barlow Semi Condensed" w:cs="Barlow Semi Condensed" w:eastAsia="Barlow Semi Condensed" w:hAnsi="Barlow Semi Condensed"/>
          <w:b/>
          <w:bCs/>
          <w:sz w:val="24"/>
          <w:szCs w:val="24"/>
        </w:rPr>
        <w:t xml:space="preserve">Risoluzione trentuno barra centoquarantanove\\, centoventi favorevoli, nessun contrario, sette astenuti: \\l'Italia A FAVORE, la Germania Federale astenuta.</w:t>
      </w:r>
    </w:p>
    <w:p>
      <w:pPr>
        <w:spacing w:after="120" w:line="276"/>
        <w:jc w:val="both"/>
      </w:pPr>
      <w:r>
        <w:rPr>
          <w:rFonts w:ascii="Barlow Semi Condensed" w:cs="Barlow Semi Condensed" w:eastAsia="Barlow Semi Condensed" w:hAnsi="Barlow Semi Condensed"/>
          <w:b/>
          <w:bCs/>
          <w:sz w:val="24"/>
          <w:szCs w:val="24"/>
        </w:rPr>
        <w:t xml:space="preserve">Risoluzione trentadue barra nove G del 4 novembre 1977, sull'intensificazione dell'azione delle Nazioni Unite a sostegno della Namibia, centotrenta favorevoli, nessun contrario, undici astenuti: l'Italia A FAVORE, la Germania Federale astenuta.</w:t>
      </w:r>
    </w:p>
    <w:p>
      <w:pPr>
        <w:spacing w:after="120" w:line="276"/>
        <w:jc w:val="both"/>
      </w:pPr>
      <w:r>
        <w:rPr>
          <w:rFonts w:ascii="Barlow Semi Condensed" w:cs="Barlow Semi Condensed" w:eastAsia="Barlow Semi Condensed" w:hAnsi="Barlow Semi Condensed"/>
          <w:b/>
          <w:bCs/>
          <w:sz w:val="24"/>
          <w:szCs w:val="24"/>
        </w:rPr>
        <w:t xml:space="preserve">La fase successiva, e il quadro muta. Sulle risoluzioni trentanove barra cinquanta D del 12 dicembre 1984 — centotrenta favorevoli, nessun contrario, ventiquattro astenuti — quarantuno barra trentanove B del 20 novembre 1986 — centotrentatré, nessuno, venticinque — e quarantadue barra quattordici B del 6 novembre 1987 — centotrenta, nessuno, ventiquattro — l'Italia si ASTENNE ogni volta, collocandosi nel medesimo blocco di Australia, Austria, Belgio, Canada, Danimarca, Finlandia, Francia, Islanda, Irlanda, Giappone, Lussemburgo, Paesi Bassi, Nuova Zelanda e Norvegia.</w:t>
      </w:r>
    </w:p>
    <w:p>
      <w:pPr>
        <w:spacing w:after="120" w:line="276"/>
        <w:jc w:val="both"/>
      </w:pPr>
      <w:r>
        <w:rPr>
          <w:rFonts w:ascii="Barlow Semi Condensed" w:cs="Barlow Semi Condensed" w:eastAsia="Barlow Semi Condensed" w:hAnsi="Barlow Semi Condensed"/>
          <w:b/>
          <w:bCs/>
          <w:sz w:val="24"/>
          <w:szCs w:val="24"/>
        </w:rPr>
        <w:t xml:space="preserve">Un dato anteriore, per contesto. Sulla risoluzione trentuno barra undici della ventottesima sessione, del 12 dicembre 1973, sulla Namibia, centosette favorevoli, diciassette contrari, due astenuti, l'Italia si astenne insieme ad Austria, Belgio, Canada, Francia, Germania Federale, Irlanda, Israele, Lussemburgo, Paesi Bassi, Regno Unito e Stati Uniti: indice della compattezza del blocco occidentale già nel 1973.</w:t>
      </w:r>
    </w:p>
    <w:p>
      <w:pPr>
        <w:spacing w:after="120" w:line="276"/>
        <w:jc w:val="both"/>
      </w:pPr>
      <w:r>
        <w:rPr>
          <w:rFonts w:ascii="Barlow Semi Condensed" w:cs="Barlow Semi Condensed" w:eastAsia="Barlow Semi Condensed" w:hAnsi="Barlow Semi Condensed"/>
          <w:b/>
          <w:bCs/>
          <w:sz w:val="24"/>
          <w:szCs w:val="24"/>
        </w:rPr>
        <w:t xml:space="preserve">Un esito negativo va dichiarato. Per numerose risoluzioni namibiane intermedie — trentatré barra centoottantadue, trentaquattro barra novantadue, trentacinque barra duecentoventisette, trentasei barra centoventuno, trentasette barra duecentotrentatré, quaranta barra novantasette, quarantatré barra ventisei — i risultati numerici sono in parte noti ma i voti individuali di Italia e Germania Federale non sono stati confermati al livello di paese.</w:t>
      </w:r>
    </w:p>
    <w:p>
      <w:pPr>
        <w:pStyle w:val="Heading2"/>
        <w:spacing w:after="100" w:before="200"/>
      </w:pPr>
      <w:r>
        <w:rPr>
          <w:rFonts w:ascii="Barlow Semi Condensed" w:cs="Barlow Semi Condensed" w:eastAsia="Barlow Semi Condensed" w:hAnsi="Barlow Semi Condensed"/>
          <w:sz w:val="24"/>
          <w:szCs w:val="24"/>
        </w:rPr>
        <w:t xml:space="preserve">Capitolo settimo — L'inversione del 1976-1977, e la correzione alla sedicesima</w:t>
      </w:r>
    </w:p>
    <w:p>
      <w:pPr>
        <w:spacing w:after="120" w:line="276"/>
        <w:jc w:val="both"/>
      </w:pPr>
      <w:r>
        <w:rPr>
          <w:rFonts w:ascii="Barlow Semi Condensed" w:cs="Barlow Semi Condensed" w:eastAsia="Barlow Semi Condensed" w:hAnsi="Barlow Semi Condensed"/>
          <w:b/>
          <w:bCs/>
          <w:sz w:val="24"/>
          <w:szCs w:val="24"/>
        </w:rPr>
        <w:t xml:space="preserve">Il capitolo espone il risultato analitico maggiore di questa ricognizione, che modifica una lettura consolidata.</w:t>
      </w:r>
    </w:p>
    <w:p>
      <w:pPr>
        <w:spacing w:after="120" w:line="276"/>
        <w:jc w:val="both"/>
      </w:pPr>
      <w:r>
        <w:rPr>
          <w:rFonts w:ascii="Barlow Semi Condensed" w:cs="Barlow Semi Condensed" w:eastAsia="Barlow Semi Condensed" w:hAnsi="Barlow Semi Condensed"/>
          <w:b/>
          <w:bCs/>
          <w:sz w:val="24"/>
          <w:szCs w:val="24"/>
        </w:rPr>
        <w:t xml:space="preserve">Che cosa la sedicesima ricognizione aveva stabilito. Che la Repubblica Federale sedeva nel Gruppo di contatto occidentale sulla Namibia per ragione di seggio, e che l'Italia ne era esclusa per la medesima ragione, essendo il suo mandato scaduto il 31 dicembre 1976. E che la differenza fra le due potenze era di collocazione istituzionale.</w:t>
      </w:r>
    </w:p>
    <w:p>
      <w:pPr>
        <w:spacing w:after="120" w:line="276"/>
        <w:jc w:val="both"/>
      </w:pPr>
      <w:r>
        <w:rPr>
          <w:rFonts w:ascii="Barlow Semi Condensed" w:cs="Barlow Semi Condensed" w:eastAsia="Barlow Semi Condensed" w:hAnsi="Barlow Semi Condensed"/>
          <w:b/>
          <w:bCs/>
          <w:sz w:val="24"/>
          <w:szCs w:val="24"/>
        </w:rPr>
        <w:t xml:space="preserve">Che cosa i voti aggiungono, e va enunciato con precisione perché rovescia l'attesa.</w:t>
      </w:r>
    </w:p>
    <w:p>
      <w:pPr>
        <w:spacing w:after="120" w:line="276"/>
        <w:jc w:val="both"/>
      </w:pPr>
      <w:r>
        <w:rPr>
          <w:rFonts w:ascii="Barlow Semi Condensed" w:cs="Barlow Semi Condensed" w:eastAsia="Barlow Semi Condensed" w:hAnsi="Barlow Semi Condensed"/>
          <w:b/>
          <w:bCs/>
          <w:sz w:val="24"/>
          <w:szCs w:val="24"/>
        </w:rPr>
        <w:t xml:space="preserve">Nella fase 1976-1977, sui voti namibiani, l'Italia esclusa dal consesso negoziale fu più avanzata della Germania che vi sedeva.</w:t>
      </w:r>
    </w:p>
    <w:p>
      <w:pPr>
        <w:spacing w:after="120" w:line="276"/>
        <w:jc w:val="both"/>
      </w:pPr>
      <w:r>
        <w:rPr>
          <w:rFonts w:ascii="Barlow Semi Condensed" w:cs="Barlow Semi Condensed" w:eastAsia="Barlow Semi Condensed" w:hAnsi="Barlow Semi Condensed"/>
          <w:b/>
          <w:bCs/>
          <w:sz w:val="24"/>
          <w:szCs w:val="24"/>
        </w:rPr>
        <w:t xml:space="preserve">Sul testo politicamente più carico — il riconoscimento della SWAPO come unico rappresentante — la Germania votò CONTRO e l'Italia si limitò all'ASTENSIONE.</w:t>
      </w:r>
    </w:p>
    <w:p>
      <w:pPr>
        <w:spacing w:after="120" w:line="276"/>
        <w:jc w:val="both"/>
      </w:pPr>
      <w:r>
        <w:rPr>
          <w:rFonts w:ascii="Barlow Semi Condensed" w:cs="Barlow Semi Condensed" w:eastAsia="Barlow Semi Condensed" w:hAnsi="Barlow Semi Condensed"/>
          <w:b/>
          <w:bCs/>
          <w:sz w:val="24"/>
          <w:szCs w:val="24"/>
        </w:rPr>
        <w:t xml:space="preserve">Su tre testi successivi l'Italia votò A FAVORE mentre la Germania si asteneva.</w:t>
      </w:r>
    </w:p>
    <w:p>
      <w:pPr>
        <w:spacing w:after="120" w:line="276"/>
        <w:jc w:val="both"/>
      </w:pPr>
      <w:r>
        <w:rPr>
          <w:rFonts w:ascii="Barlow Semi Condensed" w:cs="Barlow Semi Condensed" w:eastAsia="Barlow Semi Condensed" w:hAnsi="Barlow Semi Condensed"/>
          <w:b/>
          <w:bCs/>
          <w:sz w:val="24"/>
          <w:szCs w:val="24"/>
        </w:rPr>
        <w:t xml:space="preserve">Quattro voti, quattro volte l'Italia più avanti.</w:t>
      </w:r>
    </w:p>
    <w:p>
      <w:pPr>
        <w:spacing w:after="120" w:line="276"/>
        <w:jc w:val="both"/>
      </w:pPr>
      <w:r>
        <w:rPr>
          <w:rFonts w:ascii="Barlow Semi Condensed" w:cs="Barlow Semi Condensed" w:eastAsia="Barlow Semi Condensed" w:hAnsi="Barlow Semi Condensed"/>
          <w:b/>
          <w:bCs/>
          <w:sz w:val="24"/>
          <w:szCs w:val="24"/>
        </w:rPr>
        <w:t xml:space="preserve">La spiegazione plausibile va offerta e qualificata come tale. La Germania, membro del Gruppo di contatto, era negoziatrice con Pretoria e aveva perciò interesse a non pregiudicare il negoziato con voti che il Sudafrica avrebbe letto come ostili. L'Italia, priva di responsabilità negoziali, poteva votare secondo la propria posizione senza costo diplomatico.</w:t>
      </w:r>
    </w:p>
    <w:p>
      <w:pPr>
        <w:spacing w:after="120" w:line="276"/>
        <w:jc w:val="both"/>
      </w:pPr>
      <w:r>
        <w:rPr>
          <w:rFonts w:ascii="Barlow Semi Condensed" w:cs="Barlow Semi Condensed" w:eastAsia="Barlow Semi Condensed" w:hAnsi="Barlow Semi Condensed"/>
          <w:b/>
          <w:bCs/>
          <w:sz w:val="24"/>
          <w:szCs w:val="24"/>
        </w:rPr>
        <w:t xml:space="preserve">Ne discende un rilievo generale: la partecipazione a un consesso negoziale vincola il voto, e l'esclusione lo libera.</w:t>
      </w:r>
    </w:p>
    <w:p>
      <w:pPr>
        <w:spacing w:after="120" w:line="276"/>
        <w:jc w:val="both"/>
      </w:pPr>
      <w:r>
        <w:rPr>
          <w:rFonts w:ascii="Barlow Semi Condensed" w:cs="Barlow Semi Condensed" w:eastAsia="Barlow Semi Condensed" w:hAnsi="Barlow Semi Condensed"/>
          <w:b/>
          <w:bCs/>
          <w:sz w:val="24"/>
          <w:szCs w:val="24"/>
        </w:rPr>
        <w:t xml:space="preserve">Chi sta al tavolo paga in libertà di voto ciò che guadagna in influenza. Chi ne è fuori vota più liberamente perché il suo voto pesa meno.</w:t>
      </w:r>
    </w:p>
    <w:p>
      <w:pPr>
        <w:spacing w:after="120" w:line="276"/>
        <w:jc w:val="both"/>
      </w:pPr>
      <w:r>
        <w:rPr>
          <w:rFonts w:ascii="Barlow Semi Condensed" w:cs="Barlow Semi Condensed" w:eastAsia="Barlow Semi Condensed" w:hAnsi="Barlow Semi Condensed"/>
          <w:b/>
          <w:bCs/>
          <w:sz w:val="24"/>
          <w:szCs w:val="24"/>
        </w:rPr>
        <w:t xml:space="preserve">La correzione alla sedicesima ricognizione va formulata così.\\ Essa aveva concluso che la differenza fra Italia e Germania sulla Namibia era \\di collocazione istituzionale e non di condotta.</w:t>
      </w:r>
    </w:p>
    <w:p>
      <w:pPr>
        <w:spacing w:after="120" w:line="276"/>
        <w:jc w:val="both"/>
      </w:pPr>
      <w:r>
        <w:rPr>
          <w:rFonts w:ascii="Barlow Semi Condensed" w:cs="Barlow Semi Condensed" w:eastAsia="Barlow Semi Condensed" w:hAnsi="Barlow Semi Condensed"/>
          <w:b/>
          <w:bCs/>
          <w:sz w:val="24"/>
          <w:szCs w:val="24"/>
        </w:rPr>
        <w:t xml:space="preserve">Va emendata: la differenza di collocazione produsse una differenza di condotta, e in direzione opposta a quella che l'intuizione suggerirebbe. La potenza esclusa risulta, sul registro dei voti, la più avanzata delle due.</w:t>
      </w:r>
    </w:p>
    <w:p>
      <w:pPr>
        <w:spacing w:after="120" w:line="276"/>
        <w:jc w:val="both"/>
      </w:pPr>
      <w:r>
        <w:rPr>
          <w:rFonts w:ascii="Barlow Semi Condensed" w:cs="Barlow Semi Condensed" w:eastAsia="Barlow Semi Condensed" w:hAnsi="Barlow Semi Condensed"/>
          <w:b/>
          <w:bCs/>
          <w:sz w:val="24"/>
          <w:szCs w:val="24"/>
        </w:rPr>
        <w:t xml:space="preserve">Ma l'emendazione va contenuta entro i propri limiti, e tre avvertenze la circoscrivono.</w:t>
      </w:r>
    </w:p>
    <w:p>
      <w:pPr>
        <w:spacing w:after="120" w:line="276"/>
        <w:jc w:val="both"/>
      </w:pPr>
      <w:r>
        <w:rPr>
          <w:rFonts w:ascii="Barlow Semi Condensed" w:cs="Barlow Semi Condensed" w:eastAsia="Barlow Semi Condensed" w:hAnsi="Barlow Semi Condensed"/>
          <w:b/>
          <w:bCs/>
          <w:sz w:val="24"/>
          <w:szCs w:val="24"/>
        </w:rPr>
        <w:t xml:space="preserve">Prima: un voto non è una condotta complessiva. L'Italia che votava a favore delle risoluzioni namibiane era la medesima che manteneva ambasciata a Pretoria e la licenza Aermacchi.</w:t>
      </w:r>
    </w:p>
    <w:p>
      <w:pPr>
        <w:spacing w:after="120" w:line="276"/>
        <w:jc w:val="both"/>
      </w:pPr>
      <w:r>
        <w:rPr>
          <w:rFonts w:ascii="Barlow Semi Condensed" w:cs="Barlow Semi Condensed" w:eastAsia="Barlow Semi Condensed" w:hAnsi="Barlow Semi Condensed"/>
          <w:b/>
          <w:bCs/>
          <w:sz w:val="24"/>
          <w:szCs w:val="24"/>
        </w:rPr>
        <w:t xml:space="preserve">Seconda: la differenza dura poco. Dal 1984 le due potenze convergono su un'astensione identica, e vi restano.</w:t>
      </w:r>
    </w:p>
    <w:p>
      <w:pPr>
        <w:spacing w:after="120" w:line="276"/>
        <w:jc w:val="both"/>
      </w:pPr>
      <w:r>
        <w:rPr>
          <w:rFonts w:ascii="Barlow Semi Condensed" w:cs="Barlow Semi Condensed" w:eastAsia="Barlow Semi Condensed" w:hAnsi="Barlow Semi Condensed"/>
          <w:b/>
          <w:bCs/>
          <w:sz w:val="24"/>
          <w:szCs w:val="24"/>
        </w:rPr>
        <w:t xml:space="preserve">Terza: un voto è un voto, e non se ne inferiscono le intenzioni, che andrebbero cercate nelle dichiarazioni esplicative — non reperite, come il Capitolo nono dichiara.</w:t>
      </w:r>
    </w:p>
    <w:p>
      <w:pPr>
        <w:pStyle w:val="Heading2"/>
        <w:spacing w:after="100" w:before="200"/>
      </w:pPr>
      <w:r>
        <w:rPr>
          <w:rFonts w:ascii="Barlow Semi Condensed" w:cs="Barlow Semi Condensed" w:eastAsia="Barlow Semi Condensed" w:hAnsi="Barlow Semi Condensed"/>
          <w:sz w:val="24"/>
          <w:szCs w:val="24"/>
        </w:rPr>
        <w:t xml:space="preserve">Capitolo ottavo — Lo schema del 30 settembre 1974, verificato</w:t>
      </w:r>
    </w:p>
    <w:p>
      <w:pPr>
        <w:spacing w:after="120" w:line="276"/>
        <w:jc w:val="both"/>
      </w:pPr>
      <w:r>
        <w:rPr>
          <w:rFonts w:ascii="Barlow Semi Condensed" w:cs="Barlow Semi Condensed" w:eastAsia="Barlow Semi Condensed" w:hAnsi="Barlow Semi Condensed"/>
          <w:b/>
          <w:bCs/>
          <w:sz w:val="24"/>
          <w:szCs w:val="24"/>
        </w:rPr>
        <w:t xml:space="preserve">Il capitolo risponde alla domanda analitica che la ricerca aveva posto.</w:t>
      </w:r>
    </w:p>
    <w:p>
      <w:pPr>
        <w:spacing w:after="120" w:line="276"/>
        <w:jc w:val="both"/>
      </w:pPr>
      <w:r>
        <w:rPr>
          <w:rFonts w:ascii="Barlow Semi Condensed" w:cs="Barlow Semi Condensed" w:eastAsia="Barlow Semi Condensed" w:hAnsi="Barlow Semi Condensed"/>
          <w:b/>
          <w:bCs/>
          <w:sz w:val="24"/>
          <w:szCs w:val="24"/>
        </w:rPr>
        <w:t xml:space="preserve">La domanda era questa. Il doppio comportamento del 30 settembre 1974 — contrario sulla risoluzione tremiladuecentosei relativa al rifiuto delle credenziali sudafricane, favorevole sulla tremiladuecentosette relativa alla condanna sostanziale — era caso isolato o regolarità?</w:t>
      </w:r>
    </w:p>
    <w:p>
      <w:pPr>
        <w:spacing w:after="120" w:line="276"/>
        <w:jc w:val="both"/>
      </w:pPr>
      <w:r>
        <w:rPr>
          <w:rFonts w:ascii="Barlow Semi Condensed" w:cs="Barlow Semi Condensed" w:eastAsia="Barlow Semi Condensed" w:hAnsi="Barlow Semi Condensed"/>
          <w:b/>
          <w:bCs/>
          <w:sz w:val="24"/>
          <w:szCs w:val="24"/>
        </w:rPr>
        <w:t xml:space="preserve">La risposta è: regolarità, con evoluzione.</w:t>
      </w:r>
    </w:p>
    <w:p>
      <w:pPr>
        <w:spacing w:after="120" w:line="276"/>
        <w:jc w:val="both"/>
      </w:pPr>
      <w:r>
        <w:rPr>
          <w:rFonts w:ascii="Barlow Semi Condensed" w:cs="Barlow Semi Condensed" w:eastAsia="Barlow Semi Condensed" w:hAnsi="Barlow Semi Condensed"/>
          <w:b/>
          <w:bCs/>
          <w:sz w:val="24"/>
          <w:szCs w:val="24"/>
        </w:rPr>
        <w:t xml:space="preserve">Lo schema.\\ L'Italia distingue sistematicamente \\il piano procedurale e di esclusione, dove resiste, da quello della condanna sostanziale, dove aderisce.</w:t>
      </w:r>
    </w:p>
    <w:p>
      <w:pPr>
        <w:spacing w:after="120" w:line="276"/>
        <w:jc w:val="both"/>
      </w:pPr>
      <w:r>
        <w:rPr>
          <w:rFonts w:ascii="Barlow Semi Condensed" w:cs="Barlow Semi Condensed" w:eastAsia="Barlow Semi Condensed" w:hAnsi="Barlow Semi Condensed"/>
          <w:b/>
          <w:bCs/>
          <w:sz w:val="24"/>
          <w:szCs w:val="24"/>
        </w:rPr>
        <w:t xml:space="preserve">Le verifiche. Nel 1973 si astiene sulla risoluzione namibiana con l'intero blocco occidentale. Nel 1976 si astiene sul riconoscimento della SWAPO — atto che ha natura di attribuzione di rappresentanza esclusiva, dunque procedurale nel senso ampio — ma vota a favore dei tre testi successivi di sostegno alla Namibia.</w:t>
      </w:r>
    </w:p>
    <w:p>
      <w:pPr>
        <w:spacing w:after="120" w:line="276"/>
        <w:jc w:val="both"/>
      </w:pPr>
      <w:r>
        <w:rPr>
          <w:rFonts w:ascii="Barlow Semi Condensed" w:cs="Barlow Semi Condensed" w:eastAsia="Barlow Semi Condensed" w:hAnsi="Barlow Semi Condensed"/>
          <w:b/>
          <w:bCs/>
          <w:sz w:val="24"/>
          <w:szCs w:val="24"/>
        </w:rPr>
        <w:t xml:space="preserve">Nel 1977 vota a favore dell'intensificazione dell'azione delle Nazioni Unite.</w:t>
      </w:r>
    </w:p>
    <w:p>
      <w:pPr>
        <w:spacing w:after="120" w:line="276"/>
        <w:jc w:val="both"/>
      </w:pPr>
      <w:r>
        <w:rPr>
          <w:rFonts w:ascii="Barlow Semi Condensed" w:cs="Barlow Semi Condensed" w:eastAsia="Barlow Semi Condensed" w:hAnsi="Barlow Semi Condensed"/>
          <w:b/>
          <w:bCs/>
          <w:sz w:val="24"/>
          <w:szCs w:val="24"/>
        </w:rPr>
        <w:t xml:space="preserve">Ne discende che lo schema del 1974 non è un episodio ma una grammatica: l'Italia sostiene le condanne e i sostegni, e si sottrae agli atti che escludono o che attribuiscono rappresentanze esclusive.</w:t>
      </w:r>
    </w:p>
    <w:p>
      <w:pPr>
        <w:spacing w:after="120" w:line="276"/>
        <w:jc w:val="both"/>
      </w:pPr>
      <w:r>
        <w:rPr>
          <w:rFonts w:ascii="Barlow Semi Condensed" w:cs="Barlow Semi Condensed" w:eastAsia="Barlow Semi Condensed" w:hAnsi="Barlow Semi Condensed"/>
          <w:b/>
          <w:bCs/>
          <w:sz w:val="24"/>
          <w:szCs w:val="24"/>
        </w:rPr>
        <w:t xml:space="preserve">L'evoluzione, e va registrata perché non è un miglioramento. Dal 1984 la posizione si assesta sull'astensione anche sui testi di sostegno, e l'Italia entra stabilmente nel blocco astensionista dell'Europa occidentale allargato a Giappone, Canada, Australia e Nuova Zelanda.</w:t>
      </w:r>
    </w:p>
    <w:p>
      <w:pPr>
        <w:spacing w:after="120" w:line="276"/>
        <w:jc w:val="both"/>
      </w:pPr>
      <w:r>
        <w:rPr>
          <w:rFonts w:ascii="Barlow Semi Condensed" w:cs="Barlow Semi Condensed" w:eastAsia="Barlow Semi Condensed" w:hAnsi="Barlow Semi Condensed"/>
          <w:b/>
          <w:bCs/>
          <w:sz w:val="24"/>
          <w:szCs w:val="24"/>
        </w:rPr>
        <w:t xml:space="preserve">La grammatica del 1974 si semplifica in una posizione unica, e la posizione unica è più arretrata delle due che l'avevano preceduta.</w:t>
      </w:r>
    </w:p>
    <w:p>
      <w:pPr>
        <w:spacing w:after="120" w:line="276"/>
        <w:jc w:val="both"/>
      </w:pPr>
      <w:r>
        <w:rPr>
          <w:rFonts w:ascii="Barlow Semi Condensed" w:cs="Barlow Semi Condensed" w:eastAsia="Barlow Semi Condensed" w:hAnsi="Barlow Semi Condensed"/>
          <w:b/>
          <w:bCs/>
          <w:sz w:val="24"/>
          <w:szCs w:val="24"/>
        </w:rPr>
        <w:t xml:space="preserve">Un esito negativo circoscrive l'accertamento.\\ Per il periodo \\1969-1973\\ i voti individuali italiani sulle risoluzioni relative all'apartheid \\restano in ampia parte non verificati al livello di paese.</w:t>
      </w:r>
    </w:p>
    <w:p>
      <w:pPr>
        <w:spacing w:after="120" w:line="276"/>
        <w:jc w:val="both"/>
      </w:pPr>
      <w:r>
        <w:rPr>
          <w:rFonts w:ascii="Barlow Semi Condensed" w:cs="Barlow Semi Condensed" w:eastAsia="Barlow Semi Condensed" w:hAnsi="Barlow Semi Condensed"/>
          <w:b/>
          <w:bCs/>
          <w:sz w:val="24"/>
          <w:szCs w:val="24"/>
        </w:rPr>
        <w:t xml:space="preserve">In particolare, la risoluzione duemilasettecentosettantacinque della ventiseiesima sessione, del 29 novembre 1971, intitolata proprio Arms embargo e adottata con centosette favorevoli, due contrari e cinque astenuti nella millenovecentonovantasettesima seduta plenaria, ha lista per paese troncata nelle risorse accessibili.</w:t>
      </w:r>
    </w:p>
    <w:p>
      <w:pPr>
        <w:spacing w:after="120" w:line="276"/>
        <w:jc w:val="both"/>
      </w:pPr>
      <w:r>
        <w:rPr>
          <w:rFonts w:ascii="Barlow Semi Condensed" w:cs="Barlow Semi Condensed" w:eastAsia="Barlow Semi Condensed" w:hAnsi="Barlow Semi Condensed"/>
          <w:b/>
          <w:bCs/>
          <w:sz w:val="24"/>
          <w:szCs w:val="24"/>
        </w:rPr>
        <w:t xml:space="preserve">È la risoluzione più direttamente pertinente al perimetro dell'intera serie — l'embargo sulle armi — e il voto italiano su di essa non è stato accertato. Sede: la scheda di voting data del singolo documento.</w:t>
      </w:r>
    </w:p>
    <w:p>
      <w:pPr>
        <w:pStyle w:val="Heading2"/>
        <w:spacing w:after="100" w:before="200"/>
      </w:pPr>
      <w:r>
        <w:rPr>
          <w:rFonts w:ascii="Barlow Semi Condensed" w:cs="Barlow Semi Condensed" w:eastAsia="Barlow Semi Condensed" w:hAnsi="Barlow Semi Condensed"/>
          <w:sz w:val="24"/>
          <w:szCs w:val="24"/>
        </w:rPr>
        <w:t xml:space="preserve">Capitolo nono — Dichiarazioni e sponsorizzazioni: esito parziale</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w:t>
      </w:r>
    </w:p>
    <w:p>
      <w:pPr>
        <w:spacing w:after="120" w:line="276"/>
        <w:jc w:val="both"/>
      </w:pPr>
      <w:r>
        <w:rPr>
          <w:rFonts w:ascii="Barlow Semi Condensed" w:cs="Barlow Semi Condensed" w:eastAsia="Barlow Semi Condensed" w:hAnsi="Barlow Semi Condensed"/>
          <w:b/>
          <w:bCs/>
          <w:sz w:val="24"/>
          <w:szCs w:val="24"/>
        </w:rPr>
        <w:t xml:space="preserve">Che cosa si cercava. Le dichiarazioni esplicative di voto dei delegati italiani sulle risoluzioni namibiane e sull'apartheid, che sono l'unico luogo dove le intenzioni di un voto sono documentate anziché inferite.</w:t>
      </w:r>
    </w:p>
    <w:p>
      <w:pPr>
        <w:spacing w:after="120" w:line="276"/>
        <w:jc w:val="both"/>
      </w:pPr>
      <w:r>
        <w:rPr>
          <w:rFonts w:ascii="Barlow Semi Condensed" w:cs="Barlow Semi Condensed" w:eastAsia="Barlow Semi Condensed" w:hAnsi="Barlow Semi Condensed"/>
          <w:b/>
          <w:bCs/>
          <w:sz w:val="24"/>
          <w:szCs w:val="24"/>
        </w:rPr>
        <w:t xml:space="preserve">Che cosa si è trovato.\\ \\Nulla, nei limiti delle fonti accessibili.</w:t>
      </w:r>
    </w:p>
    <w:p>
      <w:pPr>
        <w:spacing w:after="120" w:line="276"/>
        <w:jc w:val="both"/>
      </w:pPr>
      <w:r>
        <w:rPr>
          <w:rFonts w:ascii="Barlow Semi Condensed" w:cs="Barlow Semi Condensed" w:eastAsia="Barlow Semi Condensed" w:hAnsi="Barlow Semi Condensed"/>
          <w:b/>
          <w:bCs/>
          <w:sz w:val="24"/>
          <w:szCs w:val="24"/>
        </w:rPr>
        <w:t xml:space="preserve">Le sedi. I verbali plenari della serie A/PV — e in particolare A/31/PV.105, seduta in cui fu adottata la risoluzione sul riconoscimento della SWAPO — nonché le serie relative alle sessioni trentanovesima, quarantunesima e quarantaduesima, e i verbali di Comitato.</w:t>
      </w:r>
    </w:p>
    <w:p>
      <w:pPr>
        <w:spacing w:after="120" w:line="276"/>
        <w:jc w:val="both"/>
      </w:pPr>
      <w:r>
        <w:rPr>
          <w:rFonts w:ascii="Barlow Semi Condensed" w:cs="Barlow Semi Condensed" w:eastAsia="Barlow Semi Condensed" w:hAnsi="Barlow Semi Condensed"/>
          <w:b/>
          <w:bCs/>
          <w:sz w:val="24"/>
          <w:szCs w:val="24"/>
        </w:rPr>
        <w:t xml:space="preserve">Ne discende una conseguenza che va enunciata perché limita il Capitolo settimo.</w:t>
      </w:r>
    </w:p>
    <w:p>
      <w:pPr>
        <w:spacing w:after="120" w:line="276"/>
        <w:jc w:val="both"/>
      </w:pPr>
      <w:r>
        <w:rPr>
          <w:rFonts w:ascii="Barlow Semi Condensed" w:cs="Barlow Semi Condensed" w:eastAsia="Barlow Semi Condensed" w:hAnsi="Barlow Semi Condensed"/>
          <w:b/>
          <w:bCs/>
          <w:sz w:val="24"/>
          <w:szCs w:val="24"/>
        </w:rPr>
        <w:t xml:space="preserve">L'inversione del 1976-1977 è accertata quanto al fatto — l'Italia votò più avanti della Germania — e non accertata quanto alla ragione.</w:t>
      </w:r>
    </w:p>
    <w:p>
      <w:pPr>
        <w:spacing w:after="120" w:line="276"/>
        <w:jc w:val="both"/>
      </w:pPr>
      <w:r>
        <w:rPr>
          <w:rFonts w:ascii="Barlow Semi Condensed" w:cs="Barlow Semi Condensed" w:eastAsia="Barlow Semi Condensed" w:hAnsi="Barlow Semi Condensed"/>
          <w:b/>
          <w:bCs/>
          <w:sz w:val="24"/>
          <w:szCs w:val="24"/>
        </w:rPr>
        <w:t xml:space="preserve">La spiegazione offerta al Capitolo settimo, secondo cui la partecipazione al Gruppo di contatto vincolava il voto tedesco, è inferenza plausibile e non lettura di documento.</w:t>
      </w:r>
    </w:p>
    <w:p>
      <w:pPr>
        <w:spacing w:after="120" w:line="276"/>
        <w:jc w:val="both"/>
      </w:pPr>
      <w:r>
        <w:rPr>
          <w:rFonts w:ascii="Barlow Semi Condensed" w:cs="Barlow Semi Condensed" w:eastAsia="Barlow Semi Condensed" w:hAnsi="Barlow Semi Condensed"/>
          <w:b/>
          <w:bCs/>
          <w:sz w:val="24"/>
          <w:szCs w:val="24"/>
        </w:rPr>
        <w:t xml:space="preserve">Chi voglia accertarla deve leggere le dichiarazioni esplicative tedesche del dicembre 1976, che esistono e sono nei verbali.</w:t>
      </w:r>
    </w:p>
    <w:p>
      <w:pPr>
        <w:spacing w:after="120" w:line="276"/>
        <w:jc w:val="both"/>
      </w:pPr>
      <w:r>
        <w:rPr>
          <w:rFonts w:ascii="Barlow Semi Condensed" w:cs="Barlow Semi Condensed" w:eastAsia="Barlow Semi Condensed" w:hAnsi="Barlow Semi Condensed"/>
          <w:b/>
          <w:bCs/>
          <w:sz w:val="24"/>
          <w:szCs w:val="24"/>
        </w:rPr>
        <w:t xml:space="preserve">Il secondo obiettivo del capitolo. Verificare se l'Italia figuri fra i firmatari o promotori delle risoluzioni, o se si sia limitata a votare.</w:t>
      </w:r>
    </w:p>
    <w:p>
      <w:pPr>
        <w:spacing w:after="120" w:line="276"/>
        <w:jc w:val="both"/>
      </w:pPr>
      <w:r>
        <w:rPr>
          <w:rFonts w:ascii="Barlow Semi Condensed" w:cs="Barlow Semi Condensed" w:eastAsia="Barlow Semi Condensed" w:hAnsi="Barlow Semi Condensed"/>
          <w:b/>
          <w:bCs/>
          <w:sz w:val="24"/>
          <w:szCs w:val="24"/>
        </w:rPr>
        <w:t xml:space="preserve">I dati raccolti non la collocano fra i proponenti: la sua fu condotta di voto e non di sponsorizzazione.</w:t>
      </w:r>
    </w:p>
    <w:p>
      <w:pPr>
        <w:spacing w:after="120" w:line="276"/>
        <w:jc w:val="both"/>
      </w:pPr>
      <w:r>
        <w:rPr>
          <w:rFonts w:ascii="Barlow Semi Condensed" w:cs="Barlow Semi Condensed" w:eastAsia="Barlow Semi Condensed" w:hAnsi="Barlow Semi Condensed"/>
          <w:b/>
          <w:bCs/>
          <w:sz w:val="24"/>
          <w:szCs w:val="24"/>
        </w:rPr>
        <w:t xml:space="preserve">Ma l'esito è provvisorio, e la verifica definitiva richiederebbe l'esame dei progetti di risoluzione della serie A con suffisso L, dove figura l'elenco dei co-proponenti.</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vale per l'intera serie.</w:t>
      </w:r>
    </w:p>
    <w:p>
      <w:pPr>
        <w:spacing w:after="120" w:line="276"/>
        <w:jc w:val="both"/>
      </w:pPr>
      <w:r>
        <w:rPr>
          <w:rFonts w:ascii="Barlow Semi Condensed" w:cs="Barlow Semi Condensed" w:eastAsia="Barlow Semi Condensed" w:hAnsi="Barlow Semi Condensed"/>
          <w:b/>
          <w:bCs/>
          <w:sz w:val="24"/>
          <w:szCs w:val="24"/>
        </w:rPr>
        <w:t xml:space="preserve">Diciotto ricognizioni hanno cercato l'Italia come attore e l'hanno trovata, quando l'hanno trovata, come votante.</w:t>
      </w:r>
    </w:p>
    <w:p>
      <w:pPr>
        <w:spacing w:after="120" w:line="276"/>
        <w:jc w:val="both"/>
      </w:pPr>
      <w:r>
        <w:rPr>
          <w:rFonts w:ascii="Barlow Semi Condensed" w:cs="Barlow Semi Condensed" w:eastAsia="Barlow Semi Condensed" w:hAnsi="Barlow Semi Condensed"/>
          <w:b/>
          <w:bCs/>
          <w:sz w:val="24"/>
          <w:szCs w:val="24"/>
        </w:rPr>
        <w:t xml:space="preserve">Votare è la forma minima della presenza in un consesso multilaterale: è ciò che uno Stato fa quando è presente e non fa altro.</w:t>
      </w:r>
    </w:p>
    <w:p>
      <w:pPr>
        <w:spacing w:after="120" w:line="276"/>
        <w:jc w:val="both"/>
      </w:pPr>
      <w:r>
        <w:rPr>
          <w:rFonts w:ascii="Barlow Semi Condensed" w:cs="Barlow Semi Condensed" w:eastAsia="Barlow Semi Condensed" w:hAnsi="Barlow Semi Condensed"/>
          <w:b/>
          <w:bCs/>
          <w:sz w:val="24"/>
          <w:szCs w:val="24"/>
        </w:rPr>
        <w:t xml:space="preserve">Che in diciotto ricognizioni non sia emersa una sola risoluzione di cui l'Italia fosse proponente sull'Africa australe è, se confermato, un accertamento di rango.</w:t>
      </w:r>
    </w:p>
    <w:p>
      <w:pPr>
        <w:pStyle w:val="Heading2"/>
        <w:spacing w:after="100" w:before="200"/>
      </w:pPr>
      <w:r>
        <w:rPr>
          <w:rFonts w:ascii="Barlow Semi Condensed" w:cs="Barlow Semi Condensed" w:eastAsia="Barlow Semi Condensed" w:hAnsi="Barlow Semi Condensed"/>
          <w:sz w:val="24"/>
          <w:szCs w:val="24"/>
        </w:rPr>
        <w:t xml:space="preserve">Capitolo decimo — Il decimo grado: la barriera macchinica</w:t>
      </w:r>
    </w:p>
    <w:p>
      <w:pPr>
        <w:spacing w:after="120" w:line="276"/>
        <w:jc w:val="both"/>
      </w:pPr>
      <w:r>
        <w:rPr>
          <w:rFonts w:ascii="Barlow Semi Condensed" w:cs="Barlow Semi Condensed" w:eastAsia="Barlow Semi Condensed" w:hAnsi="Barlow Semi Condensed"/>
          <w:b/>
          <w:bCs/>
          <w:sz w:val="24"/>
          <w:szCs w:val="24"/>
        </w:rPr>
        <w:t xml:space="preserve">Il capitolo propone un'aggiunta alla scala degli Stati Zero, e la propone perché il modo in cui questa ricerca è fallita non rientra in alcuno dei nove gradi esistenti.</w:t>
      </w:r>
    </w:p>
    <w:p>
      <w:pPr>
        <w:spacing w:after="120" w:line="276"/>
        <w:jc w:val="both"/>
      </w:pPr>
      <w:r>
        <w:rPr>
          <w:rFonts w:ascii="Barlow Semi Condensed" w:cs="Barlow Semi Condensed" w:eastAsia="Barlow Semi Condensed" w:hAnsi="Barlow Semi Condensed"/>
          <w:b/>
          <w:bCs/>
          <w:sz w:val="24"/>
          <w:szCs w:val="24"/>
        </w:rPr>
        <w:t xml:space="preserve">La scala consolidata nel corpus conta nove gradi. Impossibilità istituzionale; limite di strumento; deposito inesplorato; insieme vuoto verificato; esito negativo presso i beneficiari; assenza coerente con la collocazione; allegazione senza base; falso positivo; atto atipico.</w:t>
      </w:r>
    </w:p>
    <w:p>
      <w:pPr>
        <w:spacing w:after="120" w:line="276"/>
        <w:jc w:val="both"/>
      </w:pPr>
      <w:r>
        <w:rPr>
          <w:rFonts w:ascii="Barlow Semi Condensed" w:cs="Barlow Semi Condensed" w:eastAsia="Barlow Semi Condensed" w:hAnsi="Barlow Semi Condensed"/>
          <w:b/>
          <w:bCs/>
          <w:sz w:val="24"/>
          <w:szCs w:val="24"/>
        </w:rPr>
        <w:t xml:space="preserve">Nessuno descrive ciò che è accaduto ai documenti S/9640 e S/AC.20/27.</w:t>
      </w:r>
    </w:p>
    <w:p>
      <w:pPr>
        <w:spacing w:after="120" w:line="276"/>
        <w:jc w:val="both"/>
      </w:pPr>
      <w:r>
        <w:rPr>
          <w:rFonts w:ascii="Barlow Semi Condensed" w:cs="Barlow Semi Condensed" w:eastAsia="Barlow Semi Condensed" w:hAnsi="Barlow Semi Condensed"/>
          <w:b/>
          <w:bCs/>
          <w:sz w:val="24"/>
          <w:szCs w:val="24"/>
        </w:rPr>
        <w:t xml:space="preserve">La verifica, grado per grado.</w:t>
      </w:r>
    </w:p>
    <w:p>
      <w:pPr>
        <w:spacing w:after="120" w:line="276"/>
        <w:jc w:val="both"/>
      </w:pPr>
      <w:r>
        <w:rPr>
          <w:rFonts w:ascii="Barlow Semi Condensed" w:cs="Barlow Semi Condensed" w:eastAsia="Barlow Semi Condensed" w:hAnsi="Barlow Semi Condensed"/>
          <w:b/>
          <w:bCs/>
          <w:sz w:val="24"/>
          <w:szCs w:val="24"/>
        </w:rPr>
        <w:t xml:space="preserve">Non è impossibilità istituzionale, perché l'archivio è aperto: i documenti sono pubblici, non classificati, non soggetti a termine di consultabilità.</w:t>
      </w:r>
    </w:p>
    <w:p>
      <w:pPr>
        <w:spacing w:after="120" w:line="276"/>
        <w:jc w:val="both"/>
      </w:pPr>
      <w:r>
        <w:rPr>
          <w:rFonts w:ascii="Barlow Semi Condensed" w:cs="Barlow Semi Condensed" w:eastAsia="Barlow Semi Condensed" w:hAnsi="Barlow Semi Condensed"/>
          <w:b/>
          <w:bCs/>
          <w:sz w:val="24"/>
          <w:szCs w:val="24"/>
        </w:rPr>
        <w:t xml:space="preserve">Non è limite di strumento\\ nel senso già codificato — la banca dati che comincia dal 1976 — perché \\i documenti sono nella banca dati, catalogati e indicizzati.</w:t>
      </w:r>
    </w:p>
    <w:p>
      <w:pPr>
        <w:spacing w:after="120" w:line="276"/>
        <w:jc w:val="both"/>
      </w:pPr>
      <w:r>
        <w:rPr>
          <w:rFonts w:ascii="Barlow Semi Condensed" w:cs="Barlow Semi Condensed" w:eastAsia="Barlow Semi Condensed" w:hAnsi="Barlow Semi Condensed"/>
          <w:b/>
          <w:bCs/>
          <w:sz w:val="24"/>
          <w:szCs w:val="24"/>
        </w:rPr>
        <w:t xml:space="preserve">Non è deposito inesplorato\\, perché \\il deposito è esplorato: la scheda è stata letta, l'oggetto ufficiale trascritto, la segnatura verificata.</w:t>
      </w:r>
    </w:p>
    <w:p>
      <w:pPr>
        <w:spacing w:after="120" w:line="276"/>
        <w:jc w:val="both"/>
      </w:pPr>
      <w:r>
        <w:rPr>
          <w:rFonts w:ascii="Barlow Semi Condensed" w:cs="Barlow Semi Condensed" w:eastAsia="Barlow Semi Condensed" w:hAnsi="Barlow Semi Condensed"/>
          <w:b/>
          <w:bCs/>
          <w:sz w:val="24"/>
          <w:szCs w:val="24"/>
        </w:rPr>
        <w:t xml:space="preserve">Non è insieme vuoto verificato\\, perché \\l'insieme non è vuoto: il documento esiste e se ne conosce la lunghezza — due pagine per il secondo.</w:t>
      </w:r>
    </w:p>
    <w:p>
      <w:pPr>
        <w:spacing w:after="120" w:line="276"/>
        <w:jc w:val="both"/>
      </w:pPr>
      <w:r>
        <w:rPr>
          <w:rFonts w:ascii="Barlow Semi Condensed" w:cs="Barlow Semi Condensed" w:eastAsia="Barlow Semi Condensed" w:hAnsi="Barlow Semi Condensed"/>
          <w:b/>
          <w:bCs/>
          <w:sz w:val="24"/>
          <w:szCs w:val="24"/>
        </w:rPr>
        <w:t xml:space="preserve">Che cosa è accaduto, in termini precisi.\\ \\Il documento è pubblicamente disponibile a un lettore umano e inaccessibile a un lettore automatico.\\ Il server ha respinto il recupero \\per rilevamento anti-robot.</w:t>
      </w:r>
    </w:p>
    <w:p>
      <w:pPr>
        <w:spacing w:after="120" w:line="276"/>
        <w:jc w:val="both"/>
      </w:pPr>
      <w:r>
        <w:rPr>
          <w:rFonts w:ascii="Barlow Semi Condensed" w:cs="Barlow Semi Condensed" w:eastAsia="Barlow Semi Condensed" w:hAnsi="Barlow Semi Condensed"/>
          <w:b/>
          <w:bCs/>
          <w:sz w:val="24"/>
          <w:szCs w:val="24"/>
        </w:rPr>
        <w:t xml:space="preserve">Propongo il decimo grado, e lo denomino la barriera macchinica.</w:t>
      </w:r>
    </w:p>
    <w:p>
      <w:pPr>
        <w:spacing w:after="120" w:line="276"/>
        <w:jc w:val="both"/>
      </w:pPr>
      <w:r>
        <w:rPr>
          <w:rFonts w:ascii="Barlow Semi Condensed" w:cs="Barlow Semi Condensed" w:eastAsia="Barlow Semi Condensed" w:hAnsi="Barlow Semi Condensed"/>
          <w:b/>
          <w:bCs/>
          <w:sz w:val="24"/>
          <w:szCs w:val="24"/>
        </w:rPr>
        <w:t xml:space="preserve">Definizione: un documento è pubblico, catalogato e indirizzabile, e la sua acquisizione è impedita non da una norma né da una lacuna ma da un dispositivo tecnico che discrimina fra lettori umani e automatici.</w:t>
      </w:r>
    </w:p>
    <w:p>
      <w:pPr>
        <w:spacing w:after="120" w:line="276"/>
        <w:jc w:val="both"/>
      </w:pPr>
      <w:r>
        <w:rPr>
          <w:rFonts w:ascii="Barlow Semi Condensed" w:cs="Barlow Semi Condensed" w:eastAsia="Barlow Semi Condensed" w:hAnsi="Barlow Semi Condensed"/>
          <w:b/>
          <w:bCs/>
          <w:sz w:val="24"/>
          <w:szCs w:val="24"/>
        </w:rPr>
        <w:t xml:space="preserve">Le sue tre proprietà, che lo distinguono dagli altri nove.</w:t>
      </w:r>
    </w:p>
    <w:p>
      <w:pPr>
        <w:spacing w:after="120" w:line="276"/>
        <w:jc w:val="both"/>
      </w:pPr>
      <w:r>
        <w:rPr>
          <w:rFonts w:ascii="Barlow Semi Condensed" w:cs="Barlow Semi Condensed" w:eastAsia="Barlow Semi Condensed" w:hAnsi="Barlow Semi Condensed"/>
          <w:b/>
          <w:bCs/>
          <w:sz w:val="24"/>
          <w:szCs w:val="24"/>
        </w:rPr>
        <w:t xml:space="preserve">Prima: è invisibile a chi non tenti l'accesso. Una ricerca che si fermi alla scheda non sa di aver fallito, perché la scheda contiene abbastanza da sembrare un risultato.</w:t>
      </w:r>
    </w:p>
    <w:p>
      <w:pPr>
        <w:spacing w:after="120" w:line="276"/>
        <w:jc w:val="both"/>
      </w:pPr>
      <w:r>
        <w:rPr>
          <w:rFonts w:ascii="Barlow Semi Condensed" w:cs="Barlow Semi Condensed" w:eastAsia="Barlow Semi Condensed" w:hAnsi="Barlow Semi Condensed"/>
          <w:b/>
          <w:bCs/>
          <w:sz w:val="24"/>
          <w:szCs w:val="24"/>
        </w:rPr>
        <w:t xml:space="preserve">Seconda: è asimmetrico rispetto al ricercatore.\\ Un umano in una biblioteca aprirebbe quel file in trenta secondi. \\La stessa ricerca condotta da uno strumento automatico si arresta.</w:t>
      </w:r>
    </w:p>
    <w:p>
      <w:pPr>
        <w:spacing w:after="120" w:line="276"/>
        <w:jc w:val="both"/>
      </w:pPr>
      <w:r>
        <w:rPr>
          <w:rFonts w:ascii="Barlow Semi Condensed" w:cs="Barlow Semi Condensed" w:eastAsia="Barlow Semi Condensed" w:hAnsi="Barlow Semi Condensed"/>
          <w:b/>
          <w:bCs/>
          <w:sz w:val="24"/>
          <w:szCs w:val="24"/>
        </w:rPr>
        <w:t xml:space="preserve">Terza, ed è la più importante: non è rimediabile dall'interno del metodo che l'ha incontrata.\\ Nessuna riformulazione della domanda, nessuna insistenza, nessuna tavola lo scioglie. \\Si scioglie soltanto uscendo dal metodo — cioè andando.</w:t>
      </w:r>
    </w:p>
    <w:p>
      <w:pPr>
        <w:spacing w:after="120" w:line="276"/>
        <w:jc w:val="both"/>
      </w:pPr>
      <w:r>
        <w:rPr>
          <w:rFonts w:ascii="Barlow Semi Condensed" w:cs="Barlow Semi Condensed" w:eastAsia="Barlow Semi Condensed" w:hAnsi="Barlow Semi Condensed"/>
          <w:b/>
          <w:bCs/>
          <w:sz w:val="24"/>
          <w:szCs w:val="24"/>
        </w:rPr>
        <w:t xml:space="preserve">Ne discende una conseguenza che riguarda questa serie intera e che registro senza compiacimento.</w:t>
      </w:r>
    </w:p>
    <w:p>
      <w:pPr>
        <w:spacing w:after="120" w:line="276"/>
        <w:jc w:val="both"/>
      </w:pPr>
      <w:r>
        <w:rPr>
          <w:rFonts w:ascii="Barlow Semi Condensed" w:cs="Barlow Semi Condensed" w:eastAsia="Barlow Semi Condensed" w:hAnsi="Barlow Semi Condensed"/>
          <w:b/>
          <w:bCs/>
          <w:sz w:val="24"/>
          <w:szCs w:val="24"/>
        </w:rPr>
        <w:t xml:space="preserve">Diciotto ricognizioni hanno prodotto tavole di ciò che andrebbe fatto in archivio. Questa ha scoperto che anche ciò che credeva di poter fare a distanza ha un limite, e che il limite non coincide con quello degli archivi ma con quello dello strumento.</w:t>
      </w:r>
    </w:p>
    <w:p>
      <w:pPr>
        <w:pStyle w:val="Heading2"/>
        <w:spacing w:after="100" w:before="200"/>
      </w:pPr>
      <w:r>
        <w:rPr>
          <w:rFonts w:ascii="Barlow Semi Condensed" w:cs="Barlow Semi Condensed" w:eastAsia="Barlow Semi Condensed" w:hAnsi="Barlow Semi Condensed"/>
          <w:sz w:val="24"/>
          <w:szCs w:val="24"/>
        </w:rPr>
        <w:t xml:space="preserve">Capitolo undicesimo — Che cosa questa ricognizione consegna al corpus</w:t>
      </w:r>
    </w:p>
    <w:p>
      <w:pPr>
        <w:spacing w:after="120" w:line="276"/>
        <w:jc w:val="both"/>
      </w:pPr>
      <w:r>
        <w:rPr>
          <w:rFonts w:ascii="Barlow Semi Condensed" w:cs="Barlow Semi Condensed" w:eastAsia="Barlow Semi Condensed" w:hAnsi="Barlow Semi Condensed"/>
          <w:b/>
          <w:bCs/>
          <w:sz w:val="24"/>
          <w:szCs w:val="24"/>
        </w:rPr>
        <w:t xml:space="preserve">Il capitolo isola i quattro guadagni, perché essi valgono oltre il perimetro.</w:t>
      </w:r>
    </w:p>
    <w:p>
      <w:pPr>
        <w:spacing w:after="120" w:line="276"/>
        <w:jc w:val="both"/>
      </w:pPr>
      <w:r>
        <w:rPr>
          <w:rFonts w:ascii="Barlow Semi Condensed" w:cs="Barlow Semi Condensed" w:eastAsia="Barlow Semi Condensed" w:hAnsi="Barlow Semi Condensed"/>
          <w:b/>
          <w:bCs/>
          <w:sz w:val="24"/>
          <w:szCs w:val="24"/>
        </w:rPr>
        <w:t xml:space="preserve">Primo guadagno: la correzione alla sedicesima. La differenza fra Italia e Germania sulla Namibia non fu soltanto di collocazione ma anche di condotta, e l'inversione va nella direzione contraria all'attesa: la potenza esclusa votò più avanti di quella inclusa, nella fase 1976-1977.</w:t>
      </w:r>
    </w:p>
    <w:p>
      <w:pPr>
        <w:spacing w:after="120" w:line="276"/>
        <w:jc w:val="both"/>
      </w:pPr>
      <w:r>
        <w:rPr>
          <w:rFonts w:ascii="Barlow Semi Condensed" w:cs="Barlow Semi Condensed" w:eastAsia="Barlow Semi Condensed" w:hAnsi="Barlow Semi Condensed"/>
          <w:b/>
          <w:bCs/>
          <w:sz w:val="24"/>
          <w:szCs w:val="24"/>
        </w:rPr>
        <w:t xml:space="preserve">Il rilievo generale che se ne trae: la partecipazione a un consesso negoziale vincola il voto; l'esclusione lo libera. Chi siede paga in libertà ciò che guadagna in influenza.</w:t>
      </w:r>
    </w:p>
    <w:p>
      <w:pPr>
        <w:spacing w:after="120" w:line="276"/>
        <w:jc w:val="both"/>
      </w:pPr>
      <w:r>
        <w:rPr>
          <w:rFonts w:ascii="Barlow Semi Condensed" w:cs="Barlow Semi Condensed" w:eastAsia="Barlow Semi Condensed" w:hAnsi="Barlow Semi Condensed"/>
          <w:b/>
          <w:bCs/>
          <w:sz w:val="24"/>
          <w:szCs w:val="24"/>
        </w:rPr>
        <w:t xml:space="preserve">Secondo guadagno: il gemello tedesco del febbraio 1970. Per la prima volta in diciotto ricognizioni Roma e Bonn compaiono nel medesimo fascicolo africano con la medesima postura, a cinque giorni di distanza, contro il medesimo accusatore.</w:t>
      </w:r>
    </w:p>
    <w:p>
      <w:pPr>
        <w:spacing w:after="120" w:line="276"/>
        <w:jc w:val="both"/>
      </w:pPr>
      <w:r>
        <w:rPr>
          <w:rFonts w:ascii="Barlow Semi Condensed" w:cs="Barlow Semi Condensed" w:eastAsia="Barlow Semi Condensed" w:hAnsi="Barlow Semi Condensed"/>
          <w:b/>
          <w:bCs/>
          <w:sz w:val="24"/>
          <w:szCs w:val="24"/>
        </w:rPr>
        <w:t xml:space="preserve">Non è coordinamento provato. È una simultaneità documentata, e va registrata come tale.</w:t>
      </w:r>
    </w:p>
    <w:p>
      <w:pPr>
        <w:spacing w:after="120" w:line="276"/>
        <w:jc w:val="both"/>
      </w:pPr>
      <w:r>
        <w:rPr>
          <w:rFonts w:ascii="Barlow Semi Condensed" w:cs="Barlow Semi Condensed" w:eastAsia="Barlow Semi Condensed" w:hAnsi="Barlow Semi Condensed"/>
          <w:b/>
          <w:bCs/>
          <w:sz w:val="24"/>
          <w:szCs w:val="24"/>
        </w:rPr>
        <w:t xml:space="preserve">Terzo guadagno: lo schema del 1974 verificato come grammatica. L'Italia sostiene le condanne e si sottrae agli atti di esclusione, e questa non è tattica occasionale ma regola di condotta, mantenuta almeno dal 1973 al 1977 e poi semplificata in astensione unica dal 1984.</w:t>
      </w:r>
    </w:p>
    <w:p>
      <w:pPr>
        <w:spacing w:after="120" w:line="276"/>
        <w:jc w:val="both"/>
      </w:pPr>
      <w:r>
        <w:rPr>
          <w:rFonts w:ascii="Barlow Semi Condensed" w:cs="Barlow Semi Condensed" w:eastAsia="Barlow Semi Condensed" w:hAnsi="Barlow Semi Condensed"/>
          <w:b/>
          <w:bCs/>
          <w:sz w:val="24"/>
          <w:szCs w:val="24"/>
        </w:rPr>
        <w:t xml:space="preserve">Quarto guadagno: il decimo grado di Stato Zero, la barriera macchinica, esposto al capitolo precedente.</w:t>
      </w:r>
    </w:p>
    <w:p>
      <w:pPr>
        <w:spacing w:after="120" w:line="276"/>
        <w:jc w:val="both"/>
      </w:pPr>
      <w:r>
        <w:rPr>
          <w:rFonts w:ascii="Barlow Semi Condensed" w:cs="Barlow Semi Condensed" w:eastAsia="Barlow Semi Condensed" w:hAnsi="Barlow Semi Condensed"/>
          <w:b/>
          <w:bCs/>
          <w:sz w:val="24"/>
          <w:szCs w:val="24"/>
        </w:rPr>
        <w:t xml:space="preserve">E una acquisizione negativa che vale quanto le positive.</w:t>
      </w:r>
    </w:p>
    <w:p>
      <w:pPr>
        <w:spacing w:after="120" w:line="276"/>
        <w:jc w:val="both"/>
      </w:pPr>
      <w:r>
        <w:rPr>
          <w:rFonts w:ascii="Barlow Semi Condensed" w:cs="Barlow Semi Condensed" w:eastAsia="Barlow Semi Condensed" w:hAnsi="Barlow Semi Condensed"/>
          <w:b/>
          <w:bCs/>
          <w:sz w:val="24"/>
          <w:szCs w:val="24"/>
        </w:rPr>
        <w:t xml:space="preserve">In diciotto ricognizioni non è emersa una sola risoluzione sull'Africa australe di cui l'Italia fosse proponente.\\ Votante sì, e in date accertate. \\Proponente mai.</w:t>
      </w:r>
    </w:p>
    <w:p>
      <w:pPr>
        <w:spacing w:after="120" w:line="276"/>
        <w:jc w:val="both"/>
      </w:pPr>
      <w:r>
        <w:rPr>
          <w:rFonts w:ascii="Barlow Semi Condensed" w:cs="Barlow Semi Condensed" w:eastAsia="Barlow Semi Condensed" w:hAnsi="Barlow Semi Condensed"/>
          <w:b/>
          <w:bCs/>
          <w:sz w:val="24"/>
          <w:szCs w:val="24"/>
        </w:rPr>
        <w:t xml:space="preserve">Se la verifica sui progetti di risoluzione lo confermasse, esso descriverebbe con esattezza la posizione italiana su quel dossier per l'intero periodo: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Un ultimo rilievo, sul rapporto fra le due voci eseguite.</w:t>
      </w:r>
    </w:p>
    <w:p>
      <w:pPr>
        <w:spacing w:after="120" w:line="276"/>
        <w:jc w:val="both"/>
      </w:pPr>
      <w:r>
        <w:rPr>
          <w:rFonts w:ascii="Barlow Semi Condensed" w:cs="Barlow Semi Condensed" w:eastAsia="Barlow Semi Condensed" w:hAnsi="Barlow Semi Condensed"/>
          <w:b/>
          <w:bCs/>
          <w:sz w:val="24"/>
          <w:szCs w:val="24"/>
        </w:rPr>
        <w:t xml:space="preserve">La voce che avevo giudicato più facile — le due lettere, condizione di chiusura meramente tecnica — è fallita.</w:t>
      </w:r>
    </w:p>
    <w:p>
      <w:pPr>
        <w:spacing w:after="120" w:line="276"/>
        <w:jc w:val="both"/>
      </w:pPr>
      <w:r>
        <w:rPr>
          <w:rFonts w:ascii="Barlow Semi Condensed" w:cs="Barlow Semi Condensed" w:eastAsia="Barlow Semi Condensed" w:hAnsi="Barlow Semi Condensed"/>
          <w:b/>
          <w:bCs/>
          <w:sz w:val="24"/>
          <w:szCs w:val="24"/>
        </w:rPr>
        <w:t xml:space="preserve">La voce che avevo giudicato di rendimento alto ma non massimo — i voti — è riuscita pienamente e ha prodotto la correzione a una ricognizione anteriore.</w:t>
      </w:r>
    </w:p>
    <w:p>
      <w:pPr>
        <w:spacing w:after="120" w:line="276"/>
        <w:jc w:val="both"/>
      </w:pPr>
      <w:r>
        <w:rPr>
          <w:rFonts w:ascii="Barlow Semi Condensed" w:cs="Barlow Semi Condensed" w:eastAsia="Barlow Semi Condensed" w:hAnsi="Barlow Semi Condensed"/>
          <w:b/>
          <w:bCs/>
          <w:sz w:val="24"/>
          <w:szCs w:val="24"/>
        </w:rPr>
        <w:t xml:space="preserve">Ne discende che la mia stima comparativa era errata in entrambe le direzioni, e che le tavole di rendimento atteso che diciotto ricognizioni hanno compilato andrebbero considerate per quello che sono: congetture di chi non ha ancora provato.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e tavola</w:t>
      </w:r>
    </w:p>
    <w:p>
      <w:pPr>
        <w:spacing w:after="120" w:line="276"/>
        <w:jc w:val="both"/>
      </w:pPr>
      <w:r>
        <w:rPr>
          <w:rFonts w:ascii="Barlow Semi Condensed" w:cs="Barlow Semi Condensed" w:eastAsia="Barlow Semi Condensed" w:hAnsi="Barlow Semi Condensed"/>
          <w:b/>
          <w:bCs/>
          <w:sz w:val="24"/>
          <w:szCs w:val="24"/>
        </w:rPr>
        <w:t xml:space="preserve">Primo punto: se il testo delle due lettere italiane sia stato reperito e che cosa esso attesti.</w:t>
      </w:r>
    </w:p>
    <w:p>
      <w:pPr>
        <w:spacing w:after="120" w:line="276"/>
        <w:jc w:val="both"/>
      </w:pPr>
      <w:r>
        <w:rPr>
          <w:rFonts w:ascii="Barlow Semi Condensed" w:cs="Barlow Semi Condensed" w:eastAsia="Barlow Semi Condensed" w:hAnsi="Barlow Semi Condensed"/>
          <w:b/>
          <w:bCs/>
          <w:sz w:val="24"/>
          <w:szCs w:val="24"/>
        </w:rPr>
        <w:t xml:space="preserve">Il corpo non è stato reperito. È stata reperita e verificata la scheda catalografica completa di entrambe: segnatura, data, estensore istituzionale, oggetto ufficiale.</w:t>
      </w:r>
    </w:p>
    <w:p>
      <w:pPr>
        <w:spacing w:after="120" w:line="276"/>
        <w:jc w:val="both"/>
      </w:pPr>
      <w:r>
        <w:rPr>
          <w:rFonts w:ascii="Barlow Semi Condensed" w:cs="Barlow Semi Condensed" w:eastAsia="Barlow Semi Condensed" w:hAnsi="Barlow Semi Condensed"/>
          <w:b/>
          <w:bCs/>
          <w:sz w:val="24"/>
          <w:szCs w:val="24"/>
        </w:rPr>
        <w:t xml:space="preserve">Ciò che le due lettere attestano, al livello dell'oggetto, è omogeneo: in entrambe l'Italia respinge un'accusa di inosservanza dell'embargo — nel 1970 contro lo Zambia, nel 1980 contro Abdul Minty.</w:t>
      </w:r>
    </w:p>
    <w:p>
      <w:pPr>
        <w:spacing w:after="120" w:line="276"/>
        <w:jc w:val="both"/>
      </w:pPr>
      <w:r>
        <w:rPr>
          <w:rFonts w:ascii="Barlow Semi Condensed" w:cs="Barlow Semi Condensed" w:eastAsia="Barlow Semi Condensed" w:hAnsi="Barlow Semi Condensed"/>
          <w:b/>
          <w:bCs/>
          <w:sz w:val="24"/>
          <w:szCs w:val="24"/>
        </w:rPr>
        <w:t xml:space="preserve">Un rilievo va aggiunto perché è la lettura che il dato consente. A dieci anni di distanza, sotto due regimi giuridici diversi — raccomandato nel 1970, obbligatorio nel 1980 — l'Italia fu accusata due volte della medesima cosa e due volte la negò formalmente.</w:t>
      </w:r>
    </w:p>
    <w:p>
      <w:pPr>
        <w:spacing w:after="120" w:line="276"/>
        <w:jc w:val="both"/>
      </w:pPr>
      <w:r>
        <w:rPr>
          <w:rFonts w:ascii="Barlow Semi Condensed" w:cs="Barlow Semi Condensed" w:eastAsia="Barlow Semi Condensed" w:hAnsi="Barlow Semi Condensed"/>
          <w:b/>
          <w:bCs/>
          <w:sz w:val="24"/>
          <w:szCs w:val="24"/>
        </w:rPr>
        <w:t xml:space="preserve">Che le accuse fossero fondate o infondate, il documento non lo dice: attesta una negazione, non la verità del negato.</w:t>
      </w:r>
    </w:p>
    <w:p>
      <w:pPr>
        <w:spacing w:after="120" w:line="276"/>
        <w:jc w:val="both"/>
      </w:pPr>
      <w:r>
        <w:rPr>
          <w:rFonts w:ascii="Barlow Semi Condensed" w:cs="Barlow Semi Condensed" w:eastAsia="Barlow Semi Condensed" w:hAnsi="Barlow Semi Condensed"/>
          <w:b/>
          <w:bCs/>
          <w:sz w:val="24"/>
          <w:szCs w:val="24"/>
        </w:rPr>
        <w:t xml:space="preserve">Secondo punto: se il comportamento di voto configuri regolarità o andamento variabile, e se differisca da quello tedesco.</w:t>
      </w:r>
    </w:p>
    <w:p>
      <w:pPr>
        <w:spacing w:after="120" w:line="276"/>
        <w:jc w:val="both"/>
      </w:pPr>
      <w:r>
        <w:rPr>
          <w:rFonts w:ascii="Barlow Semi Condensed" w:cs="Barlow Semi Condensed" w:eastAsia="Barlow Semi Condensed" w:hAnsi="Barlow Semi Condensed"/>
          <w:b/>
          <w:bCs/>
          <w:sz w:val="24"/>
          <w:szCs w:val="24"/>
        </w:rPr>
        <w:t xml:space="preserve">Regolarità con evoluzione.\\ Lo schema del 1974 — resistenza sul procedurale, adesione sul sostanziale — \\è grammatica e non episodio\\, verificato dal 1973 al 1977; \\si semplifica dal 1984 in astensione unica.</w:t>
      </w:r>
    </w:p>
    <w:p>
      <w:pPr>
        <w:spacing w:after="120" w:line="276"/>
        <w:jc w:val="both"/>
      </w:pPr>
      <w:r>
        <w:rPr>
          <w:rFonts w:ascii="Barlow Semi Condensed" w:cs="Barlow Semi Condensed" w:eastAsia="Barlow Semi Condensed" w:hAnsi="Barlow Semi Condensed"/>
          <w:b/>
          <w:bCs/>
          <w:sz w:val="24"/>
          <w:szCs w:val="24"/>
        </w:rPr>
        <w:t xml:space="preserve">Quanto alla Germania: le condotte divergono nella fase 1976-1977, con l'Italia più avanzata su quattro voti; convergono in astensione identica dal 1984 al 1987.</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e di massimo rendimento perché ne dipende la comprensione dell'accusa del 1980: il verbale S/AC.20/SR.25 con la dichiarazione di Minty. Sede: atti del Comitato istituito dalla risoluzione quattrocentoventuno e serie S/AC.20/SR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Seconda: i corpi testuali di S/9640 e S/AC.20/27.\\ Condizione: \\superamento della barriera macchinica, cioè accesso manuale o consultazione in sede. Alto rendimento e costo nullo per chi possa andare.</w:t>
      </w:r>
    </w:p>
    <w:p>
      <w:pPr>
        <w:spacing w:after="120" w:line="276"/>
        <w:jc w:val="both"/>
      </w:pPr>
      <w:r>
        <w:rPr>
          <w:rFonts w:ascii="Barlow Semi Condensed" w:cs="Barlow Semi Condensed" w:eastAsia="Barlow Semi Condensed" w:hAnsi="Barlow Semi Condensed"/>
          <w:b/>
          <w:bCs/>
          <w:sz w:val="24"/>
          <w:szCs w:val="24"/>
        </w:rPr>
        <w:t xml:space="preserve">Terza: il voto italiano sulla risoluzione duemilasettecentosettantacinque del 1971, intitolata Arms embargo, e sulla serie apartheid della ventinovesima sessione. Sede: schede di voting data dei singoli documenti.</w:t>
      </w:r>
    </w:p>
    <w:p>
      <w:pPr>
        <w:spacing w:after="120" w:line="276"/>
        <w:jc w:val="both"/>
      </w:pPr>
      <w:r>
        <w:rPr>
          <w:rFonts w:ascii="Barlow Semi Condensed" w:cs="Barlow Semi Condensed" w:eastAsia="Barlow Semi Condensed" w:hAnsi="Barlow Semi Condensed"/>
          <w:b/>
          <w:bCs/>
          <w:sz w:val="24"/>
          <w:szCs w:val="24"/>
        </w:rPr>
        <w:t xml:space="preserve">Quarta: le dichiarazioni esplicative di voto italiane e tedesche\\, che sole accerterebbero la ragione dell'inversione del 1976-1977. Sede: verbali plenari della serie A/PV, in particolare \\A/31/PV.105.</w:t>
      </w:r>
    </w:p>
    <w:p>
      <w:pPr>
        <w:spacing w:after="120" w:line="276"/>
        <w:jc w:val="both"/>
      </w:pPr>
      <w:r>
        <w:rPr>
          <w:rFonts w:ascii="Barlow Semi Condensed" w:cs="Barlow Semi Condensed" w:eastAsia="Barlow Semi Condensed" w:hAnsi="Barlow Semi Condensed"/>
          <w:b/>
          <w:bCs/>
          <w:sz w:val="24"/>
          <w:szCs w:val="24"/>
        </w:rPr>
        <w:t xml:space="preserve">Quinta: l'elenco dei co-proponenti, per verificare se l'Italia sia mai stata promotrice e non solo votante. Sede: progetti di risoluzione della serie A con suffisso L.</w:t>
      </w:r>
    </w:p>
    <w:p>
      <w:pPr>
        <w:spacing w:after="120" w:line="276"/>
        <w:jc w:val="both"/>
      </w:pPr>
      <w:r>
        <w:rPr>
          <w:rFonts w:ascii="Barlow Semi Condensed" w:cs="Barlow Semi Condensed" w:eastAsia="Barlow Semi Condensed" w:hAnsi="Barlow Semi Condensed"/>
          <w:b/>
          <w:bCs/>
          <w:sz w:val="24"/>
          <w:szCs w:val="24"/>
        </w:rPr>
        <w:t xml:space="preserve">E una osservazione conclusiva.</w:t>
      </w:r>
    </w:p>
    <w:p>
      <w:pPr>
        <w:spacing w:after="120" w:line="276"/>
        <w:jc w:val="both"/>
      </w:pPr>
      <w:r>
        <w:rPr>
          <w:rFonts w:ascii="Barlow Semi Condensed" w:cs="Barlow Semi Condensed" w:eastAsia="Barlow Semi Condensed" w:hAnsi="Barlow Semi Condensed"/>
          <w:b/>
          <w:bCs/>
          <w:sz w:val="24"/>
          <w:szCs w:val="24"/>
        </w:rPr>
        <w:t xml:space="preserve">Questa è la prima ricognizione della serie che non abbia cercato un fatto nuovo ma abbia eseguito un compito che io stesso mi ero assegnato e non avevo svolto.</w:t>
      </w:r>
    </w:p>
    <w:p>
      <w:pPr>
        <w:spacing w:after="120" w:line="276"/>
        <w:jc w:val="both"/>
      </w:pPr>
      <w:r>
        <w:rPr>
          <w:rFonts w:ascii="Barlow Semi Condensed" w:cs="Barlow Semi Condensed" w:eastAsia="Barlow Semi Condensed" w:hAnsi="Barlow Semi Condensed"/>
          <w:b/>
          <w:bCs/>
          <w:sz w:val="24"/>
          <w:szCs w:val="24"/>
        </w:rPr>
        <w:t xml:space="preserve">Ha prodotto una correzione a una ricognizione anteriore, una scoperta che non cercava, e un grado nuovo nella scala degli Stati Zero.</w:t>
      </w:r>
    </w:p>
    <w:p>
      <w:pPr>
        <w:spacing w:after="120" w:line="276"/>
        <w:jc w:val="both"/>
      </w:pPr>
      <w:r>
        <w:rPr>
          <w:rFonts w:ascii="Barlow Semi Condensed" w:cs="Barlow Semi Condensed" w:eastAsia="Barlow Semi Condensed" w:hAnsi="Barlow Semi Condensed"/>
          <w:b/>
          <w:bCs/>
          <w:sz w:val="24"/>
          <w:szCs w:val="24"/>
        </w:rPr>
        <w:t xml:space="preserve">Ne traggo che le tavole non servono a documentare l'incompiuto: servono a essere eseguite, e che un'opera che ne accumuli diciotto senza tornarci sopra sta scambiando il catalogo del lavoro per il lavoro.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XIX · L'Italia Alle Nazioni Unite: Embargo, Apartheid, Namibia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XIX: 4.127 parole in 9 sezioni; la più ampia è §9 Altre sezioni, con 3.553.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XIX: 162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 —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Teatro australe</w:t>
      </w:r>
    </w:p>
    <w:p>
      <w:pPr>
        <w:pStyle w:val="Heading2"/>
        <w:spacing w:after="100" w:before="200"/>
      </w:pPr>
      <w:r>
        <w:rPr>
          <w:rFonts w:ascii="Barlow Semi Condensed" w:cs="Barlow Semi Condensed" w:eastAsia="Barlow Semi Condensed" w:hAnsi="Barlow Semi Condensed"/>
          <w:sz w:val="24"/>
          <w:szCs w:val="24"/>
        </w:rPr>
        <w:t xml:space="preserve">Triangolazione a blocchi mirati dei 5 artefatti della sessione</w:t>
      </w:r>
    </w:p>
    <w:p>
      <w:pPr>
        <w:pStyle w:val="Heading2"/>
        <w:spacing w:after="100" w:before="200"/>
      </w:pPr>
      <w:r>
        <w:rPr>
          <w:rFonts w:ascii="Barlow Semi Condensed" w:cs="Barlow Semi Condensed" w:eastAsia="Barlow Semi Condensed" w:hAnsi="Barlow Semi Condensed"/>
          <w:sz w:val="24"/>
          <w:szCs w:val="24"/>
        </w:rPr>
        <w:t xml:space="preserve">con il Registro dei Nodi e dei Ponti Certificati e la monografia sul caso Moro</w:t>
      </w:r>
    </w:p>
    <w:p>
      <w:pPr>
        <w:pStyle w:val="Heading2"/>
        <w:spacing w:after="100" w:before="200"/>
      </w:pPr>
      <w:r>
        <w:rPr>
          <w:rFonts w:ascii="Barlow Semi Condensed" w:cs="Barlow Semi Condensed" w:eastAsia="Barlow Semi Condensed" w:hAnsi="Barlow Semi Condensed"/>
          <w:sz w:val="24"/>
          <w:szCs w:val="24"/>
        </w:rPr>
        <w:t xml:space="preserve">14 nodi individuali — 13 organizzativi — 12 eventi — 9 ponti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REGISTRO ANALITICO DEI NODI E DEI PONTI — TEATRO AUSTRALE</w:t>
      </w:r>
    </w:p>
    <w:p>
      <w:pPr>
        <w:spacing w:after="120" w:line="276"/>
        <w:jc w:val="both"/>
      </w:pPr>
      <w:r>
        <w:rPr>
          <w:rFonts w:ascii="Barlow Semi Condensed" w:cs="Barlow Semi Condensed" w:eastAsia="Barlow Semi Condensed" w:hAnsi="Barlow Semi Condensed"/>
          <w:b/>
          <w:bCs/>
          <w:sz w:val="24"/>
          <w:szCs w:val="24"/>
        </w:rPr>
        <w:t xml:space="preserve">Triangolazione a blocchi mirati dei 5 artefatti della sessione con il Registro dei Nodi e dei Ponti Certificati e con la monografia sul caso Moro</w:t>
      </w:r>
    </w:p>
    <w:p>
      <w:pPr>
        <w:spacing w:after="120" w:line="276"/>
        <w:jc w:val="both"/>
      </w:pPr>
      <w:r>
        <w:rPr>
          <w:rFonts w:ascii="Barlow Semi Condensed" w:cs="Barlow Semi Condensed" w:eastAsia="Barlow Semi Condensed" w:hAnsi="Barlow Semi Condensed"/>
          <w:b/>
          <w:bCs/>
          <w:sz w:val="24"/>
          <w:szCs w:val="24"/>
        </w:rPr>
        <w:t xml:space="preserve">Blocco mirato numero 1 — Oggetto. Il presente registro non espone una ricerca nuova ma la collisione controllata fra 2 corpi già esistenti. Il primo è costituito dai 5 artefatti generati nella presente sessione: la calibrazione libica del silenzio dello Stato, la ricognizione sul canale Aermacchi verso il Sudafrica, il confronto italo-tedesco sul dossier namibiano, la ricognizione sulla Santa Sede e la Democrazia Cristiana, e il reperimento delle fonti primarie italiane presso le Nazioni Unite. Il secondo è costituito dai 2 volumi conferiti: il primo tomo del Registro dei Nodi e dei Ponti Certificati, che espone in 50 capitoli il quadrilatero loggia-finanza-Vaticano-mafia e ne annuncia la proiezione internazionale, e la monografia in blocchi mirati sul caso Moro.</w:t>
      </w:r>
    </w:p>
    <w:p>
      <w:pPr>
        <w:spacing w:after="120" w:line="276"/>
        <w:jc w:val="both"/>
      </w:pPr>
      <w:r>
        <w:rPr>
          <w:rFonts w:ascii="Barlow Semi Condensed" w:cs="Barlow Semi Condensed" w:eastAsia="Barlow Semi Condensed" w:hAnsi="Barlow Semi Condensed"/>
          <w:b/>
          <w:bCs/>
          <w:sz w:val="24"/>
          <w:szCs w:val="24"/>
        </w:rPr>
        <w:t xml:space="preserve">Blocco mirato numero 2 — Funzione. La collisione ha 3 funzioni ordinate. Accertare che cosa dei 5 artefatti sia già certificato nel registro, e vada dunque taciuto per non duplicare. Accertare che cosa vi sia assente, e costituisca perciò versamento. Accertare che cosa vi entri in tensione, e richieda emendazione. Il presente documento espone soltanto il secondo e il terzo esito, poiché il primo è, per definizione, già scritto.</w:t>
      </w:r>
    </w:p>
    <w:p>
      <w:pPr>
        <w:spacing w:after="120" w:line="276"/>
        <w:jc w:val="both"/>
      </w:pPr>
      <w:r>
        <w:rPr>
          <w:rFonts w:ascii="Barlow Semi Condensed" w:cs="Barlow Semi Condensed" w:eastAsia="Barlow Semi Condensed" w:hAnsi="Barlow Semi Condensed"/>
          <w:b/>
          <w:bCs/>
          <w:sz w:val="24"/>
          <w:szCs w:val="24"/>
        </w:rPr>
        <w:t xml:space="preserve">Blocco mirato numero 3 — Il test lessicale. Prima di ogni valutazione interpretativa è stato condotto un riscontro meccanico delle occorrenze sui 2 volumi, per un totale di 569.784 parole. L'esito è il fondamento di quanto segue e va riportato per intero. Nella monografia sul caso Moro, su 369.677 parole, i termini Sudafrica, apartheid, Namibia, Aermacchi, Impala, Aginter e Libia ricorrono zero volte. Nel primo tomo del registro, su 200.107 parole, Sudafrica ricorre 38 volte, apartheid 11, Libia 5, Gheddafi 2, Pretoria 2, embargo 3, Namibia 1 volta sola e in contesto biografico estraneo al territorio, mentre Aermacchi e Impala ricorrono zero volte.</w:t>
      </w:r>
    </w:p>
    <w:p>
      <w:pPr>
        <w:spacing w:after="120" w:line="276"/>
        <w:jc w:val="both"/>
      </w:pPr>
      <w:r>
        <w:rPr>
          <w:rFonts w:ascii="Barlow Semi Condensed" w:cs="Barlow Semi Condensed" w:eastAsia="Barlow Semi Condensed" w:hAnsi="Barlow Semi Condensed"/>
          <w:b/>
          <w:bCs/>
          <w:sz w:val="24"/>
          <w:szCs w:val="24"/>
        </w:rPr>
        <w:t xml:space="preserve">Blocco mirato numero 4 — Prima conseguenza. La monografia sul caso Moro non contiene alcuna materia africana australe. Ne discende che essa non può essere triangolata con i 5 artefatti su questo perimetro, e che ogni tentativo di stabilirvi un ponte sarebbe costruzione dell'analista e non reperto. Livello A quanto al fatto dell'assenza; nessun livello quanto a un nesso, che non si asserisce.</w:t>
      </w:r>
    </w:p>
    <w:p>
      <w:pPr>
        <w:spacing w:after="120" w:line="276"/>
        <w:jc w:val="both"/>
      </w:pPr>
      <w:r>
        <w:rPr>
          <w:rFonts w:ascii="Barlow Semi Condensed" w:cs="Barlow Semi Condensed" w:eastAsia="Barlow Semi Condensed" w:hAnsi="Barlow Semi Condensed"/>
          <w:b/>
          <w:bCs/>
          <w:sz w:val="24"/>
          <w:szCs w:val="24"/>
        </w:rPr>
        <w:t xml:space="preserve">Blocco mirato numero 5 — Seconda conseguenza. Il primo tomo del registro possiede già il Sudafrica come nodo, e con collocazione precisa: la Fase 5, capitolo 3, è intitolata al Sudafrica dell'apartheid quale hub australe e Stato Zero esemplare, e il registro lo qualifica quale nodo a massima intermediazione dell'intero dossier internazionale, punto di passaggio fra i teatri africani, le reti dei fuoriusciti europei e i circuiti della cooperazione fra regimi assediati.</w:t>
      </w:r>
    </w:p>
    <w:p>
      <w:pPr>
        <w:spacing w:after="120" w:line="276"/>
        <w:jc w:val="both"/>
      </w:pPr>
      <w:r>
        <w:rPr>
          <w:rFonts w:ascii="Barlow Semi Condensed" w:cs="Barlow Semi Condensed" w:eastAsia="Barlow Semi Condensed" w:hAnsi="Barlow Semi Condensed"/>
          <w:b/>
          <w:bCs/>
          <w:sz w:val="24"/>
          <w:szCs w:val="24"/>
        </w:rPr>
        <w:t xml:space="preserve">Blocco mirato numero 6 — Terza conseguenza, ed è quella operativa. Il registro descrive la rete europea dell'aggiramento delle sanzioni in termini di sistema di intermediari, società di comodo e canali finanziari. Non nomina alcun canale industriale italiano. I 5 artefatti ne nominano uno, datato, con la sua catena di sub-licenza e con un documento d'intelligence straniero che vi attribuisce all'Italia l'anello autorizzativo. È questo il versamento principale del presente registro.</w:t>
      </w:r>
    </w:p>
    <w:p>
      <w:pPr>
        <w:spacing w:after="120" w:line="276"/>
        <w:jc w:val="both"/>
      </w:pPr>
      <w:r>
        <w:rPr>
          <w:rFonts w:ascii="Barlow Semi Condensed" w:cs="Barlow Semi Condensed" w:eastAsia="Barlow Semi Condensed" w:hAnsi="Barlow Semi Condensed"/>
          <w:b/>
          <w:bCs/>
          <w:sz w:val="24"/>
          <w:szCs w:val="24"/>
        </w:rPr>
        <w:t xml:space="preserve">Blocco mirato numero 7 — Quarta conseguenza. Il registro non contiene alcuna occorrenza dei termini delegazione apostolica e nunziatura. L'assenza è notevole perché la Fase 1 del registro è intitolata al quadrilatero della certificazione massima loggia-finanza-Vaticano-mafia, e dedica un capitolo autonomo all'Istituto per le Opere di Religione. Il Dominio 5 è dunque architettonicamente centrale nel registro, e la condotta diplomatica della Santa Sede verso il regime di Pretoria vi manca.</w:t>
      </w:r>
    </w:p>
    <w:p>
      <w:pPr>
        <w:spacing w:after="120" w:line="276"/>
        <w:jc w:val="both"/>
      </w:pPr>
      <w:r>
        <w:rPr>
          <w:rFonts w:ascii="Barlow Semi Condensed" w:cs="Barlow Semi Condensed" w:eastAsia="Barlow Semi Condensed" w:hAnsi="Barlow Semi Condensed"/>
          <w:b/>
          <w:bCs/>
          <w:sz w:val="24"/>
          <w:szCs w:val="24"/>
        </w:rPr>
        <w:t xml:space="preserve">Blocco mirato numero 8 — Statuto probatorio. Si applica il sistema Savona nella versione 2.1 già adottata dal registro. Ogni affermazione sostanziale reca il proprio grado in linea. Si applicano inoltre le discipline già vigenti: divieto di trattare la contemporaneità cronologica quale prova di nesso; divieto di trattare l'appartenenza di una persona a un'organizzazione quale prova della condotta di quella organizzazione; disciplina delle persone viventi ristretta ai soli fatti pubblici documentati.</w:t>
      </w:r>
    </w:p>
    <w:p>
      <w:pPr>
        <w:spacing w:after="120" w:line="276"/>
        <w:jc w:val="both"/>
      </w:pPr>
      <w:r>
        <w:rPr>
          <w:rFonts w:ascii="Barlow Semi Condensed" w:cs="Barlow Semi Condensed" w:eastAsia="Barlow Semi Condensed" w:hAnsi="Barlow Semi Condensed"/>
          <w:b/>
          <w:bCs/>
          <w:sz w:val="24"/>
          <w:szCs w:val="24"/>
        </w:rPr>
        <w:t xml:space="preserve">Blocco mirato numero 9 — Notazione. Si conserva la notazione del registro: il triangolo per i nodi individuali, il rombo per i nodi organizzativi, il quadrato per i nodi-evento. I ponti sono tipizzati secondo la tassonomia della Nota Metodologica in archi di collusione, di strumentalizzazione, di infiltrazione, di convergenza e di transito.</w:t>
      </w:r>
    </w:p>
    <w:p>
      <w:pPr>
        <w:pStyle w:val="Heading2"/>
        <w:spacing w:after="100" w:before="200"/>
      </w:pPr>
      <w:r>
        <w:rPr>
          <w:rFonts w:ascii="Barlow Semi Condensed" w:cs="Barlow Semi Condensed" w:eastAsia="Barlow Semi Condensed" w:hAnsi="Barlow Semi Condensed"/>
          <w:sz w:val="24"/>
          <w:szCs w:val="24"/>
        </w:rPr>
        <w:t xml:space="preserve">I — NODI INDIVIDUALI VERSATI</w:t>
      </w:r>
    </w:p>
    <w:p>
      <w:pPr>
        <w:spacing w:after="120" w:line="276"/>
        <w:jc w:val="both"/>
      </w:pPr>
      <w:r>
        <w:rPr>
          <w:rFonts w:ascii="Barlow Semi Condensed" w:cs="Barlow Semi Condensed" w:eastAsia="Barlow Semi Condensed" w:hAnsi="Barlow Semi Condensed"/>
          <w:b/>
          <w:bCs/>
          <w:sz w:val="24"/>
          <w:szCs w:val="24"/>
        </w:rPr>
        <w:t xml:space="preserve">Blocco mirato numero 101 — ▶ Ermanno Bazzocchi. Progettista dell'aereo da addestramento e attacco leggero MB-326 presso l'Aeronautica Macchi di Varese, velivolo volato in prototipo il 10 dicembre 1957. Livello A. Dominio 6. Il nodo è tecnico e non politico, e si iscrive nel registro non per condotta propria ma perché è all'origine dell'artefatto che percorrerà il ponte del blocco 401. Nessun elemento collega Bazzocchi alle destinazioni del velivolo: reperto negativo,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102 — ▶ Elio Pagani. Operaio dell'Aermacchi e obiettore di coscienza. Testimoniò che l'azienda avrebbe consegnato velivoli alla South African Air Force nel gennaio 1980; la campagna nata dalla denuncia, rilanciata nel marzo 1988 attraverso un settimanale cattolico, fu fra i fattori che condussero alla legge 185 del 9 luglio 1990. Livello B, trattandosi di testimonianza di protagonista e pubblicistica militante, non di fonte primaria d'archivio. Domini 6 e 8. Il nodo ha rilievo strutturale esposto al blocco 702.</w:t>
      </w:r>
    </w:p>
    <w:p>
      <w:pPr>
        <w:spacing w:after="120" w:line="276"/>
        <w:jc w:val="both"/>
      </w:pPr>
      <w:r>
        <w:rPr>
          <w:rFonts w:ascii="Barlow Semi Condensed" w:cs="Barlow Semi Condensed" w:eastAsia="Barlow Semi Condensed" w:hAnsi="Barlow Semi Condensed"/>
          <w:b/>
          <w:bCs/>
          <w:sz w:val="24"/>
          <w:szCs w:val="24"/>
        </w:rPr>
        <w:t xml:space="preserve">Blocco mirato numero 103 — ▶ Abdul Samad Minty. Segretario onorario dell'Anti-Apartheid Movement britannico, testimoniò quale esperto individuale dinanzi al Comitato del Consiglio di sicurezza per l'embargo sulle armi in 4 occasioni fra il 1977 e il 1994. L'organizzazione da lui diretta, il World Campaign against Military and Nuclear Collaboration with South Africa, lanciato a Oslo il 28 marzo 1979 sotto il patronato di Julius Nyerere e degli altri capi di Stato della prima linea, fu riconosciuto dalle Nazioni Unite quale fonte primaria di informazione sulle violazioni degli embarghi. Livello A. Dominio 2 internazionale. È l'accusatore dell'Italia nel 1980.</w:t>
      </w:r>
    </w:p>
    <w:p>
      <w:pPr>
        <w:spacing w:after="120" w:line="276"/>
        <w:jc w:val="both"/>
      </w:pPr>
      <w:r>
        <w:rPr>
          <w:rFonts w:ascii="Barlow Semi Condensed" w:cs="Barlow Semi Condensed" w:eastAsia="Barlow Semi Condensed" w:hAnsi="Barlow Semi Condensed"/>
          <w:b/>
          <w:bCs/>
          <w:sz w:val="24"/>
          <w:szCs w:val="24"/>
        </w:rPr>
        <w:t xml:space="preserve">Blocco mirato numero 104 — ▶ Piero Vinci. Rappresentante permanente d'Italia presso le Nazioni Unite, settimo titolare, in carica dal 1964 al 1973 e nuovamente dal 1975 al 1979. Firmatario istituzionale della lettera S/9640 del 6 febbraio 1970. Livello B quanto all'attribuzione della firma, che discende dalle date di titolarità della carica e non dalla lettura del documento, non aperto.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105 — ▶ Umberto La Rocca. Rappresentante permanente presso le Nazioni Unite, decimo titolare, in carica dal 1979 al 1984, fra i mandati di Vinci e di Maurizio Bucci. Firmatario istituzionale della lettera S/AC.20/27 del 27 giugno 1980. Livello B, per la medesima ragione. Dominio 2.</w:t>
      </w:r>
    </w:p>
    <w:p>
      <w:pPr>
        <w:spacing w:after="120" w:line="276"/>
        <w:jc w:val="both"/>
      </w:pPr>
      <w:r>
        <w:rPr>
          <w:rFonts w:ascii="Barlow Semi Condensed" w:cs="Barlow Semi Condensed" w:eastAsia="Barlow Semi Condensed" w:hAnsi="Barlow Semi Condensed"/>
          <w:b/>
          <w:bCs/>
          <w:sz w:val="24"/>
          <w:szCs w:val="24"/>
        </w:rPr>
        <w:t xml:space="preserve">Blocco mirato numero 106 — ▶ Denis Eugene Hurley. Nato a Città del Capo nel 1915 da genitori irlandesi, oblato di Maria Immacolata, vicario apostolico del Natal nel 1947, arcivescovo di Durban nel 1951 quale più giovane arcivescovo del mondo, presidente della conferenza episcopale sudafricana dal 1952 al 1961 e dal 1981 al 1987. Forza trainante della dichiarazione del 21 luglio 1957. Incriminato nel 1984 per false dichiarazioni sulle atrocità dell'unità Koevoet in Namibia, prosciolto nel 1985. Livello A quanto alle cariche e al procedimento; le fonti divergono sulla qualificazione giuridica dell'imputazione e la divergenza si riporta anziché comporre. Dominio 5.</w:t>
      </w:r>
    </w:p>
    <w:p>
      <w:pPr>
        <w:spacing w:after="120" w:line="276"/>
        <w:jc w:val="both"/>
      </w:pPr>
      <w:r>
        <w:rPr>
          <w:rFonts w:ascii="Barlow Semi Condensed" w:cs="Barlow Semi Condensed" w:eastAsia="Barlow Semi Condensed" w:hAnsi="Barlow Semi Condensed"/>
          <w:b/>
          <w:bCs/>
          <w:sz w:val="24"/>
          <w:szCs w:val="24"/>
        </w:rPr>
        <w:t xml:space="preserve">Blocco mirato numero 107 — ▶ Alfredo Poledrini. Delegato apostolico in Sudafrica dal 1971 al 1978. Livello A. Dominio 5. Il nodo si iscrive per una ragione sola e va enunciata: è il rappresentante pontificio in carica per l'intera durata del secondo mandato ministeriale di Aldo Moro e della sua presidenza del Consiglio. Nessun elemento documentale collega Poledrini ad alcun contatto italiano sulla materia sudafricana: reperto negativo, Livello A, con sede di verifica nell'Archivio Apostolico Vaticano, non accessibile.</w:t>
      </w:r>
    </w:p>
    <w:p>
      <w:pPr>
        <w:spacing w:after="120" w:line="276"/>
        <w:jc w:val="both"/>
      </w:pPr>
      <w:r>
        <w:rPr>
          <w:rFonts w:ascii="Barlow Semi Condensed" w:cs="Barlow Semi Condensed" w:eastAsia="Barlow Semi Condensed" w:hAnsi="Barlow Semi Condensed"/>
          <w:b/>
          <w:bCs/>
          <w:sz w:val="24"/>
          <w:szCs w:val="24"/>
        </w:rPr>
        <w:t xml:space="preserve">Blocco mirato numero 108 — ▶ Ambrose Battista De Paoli. Delegato apostolico dal 6 febbraio 1988 e primo nunzio apostolico in Sudafrica dal 25 giugno 1994 all'11 novembre 1997; delegato apostolico per la Namibia dal 5 marzo 1994. Livello A. Dominio 5. È il nodo-cerniera fra i 2 regimi diplomatici esposti al blocco 501.</w:t>
      </w:r>
    </w:p>
    <w:p>
      <w:pPr>
        <w:spacing w:after="120" w:line="276"/>
        <w:jc w:val="both"/>
      </w:pPr>
      <w:r>
        <w:rPr>
          <w:rFonts w:ascii="Barlow Semi Condensed" w:cs="Barlow Semi Condensed" w:eastAsia="Barlow Semi Condensed" w:hAnsi="Barlow Semi Condensed"/>
          <w:b/>
          <w:bCs/>
          <w:sz w:val="24"/>
          <w:szCs w:val="24"/>
        </w:rPr>
        <w:t xml:space="preserve">Blocco mirato numero 109 — ▶ Borromeo. Ambasciatore d'Italia a Tripoli dal 20 dicembre 1969 al 30 agosto 1971. Il rapporto di fine missione è conservato nel Fondo Aldo Moro presso l'Archivio Centrale dello Stato, busta 139, fascicolo 2.2. Livello A quanto alla segnatura e alle date. Il nome di battesimo non è stato reperito: esito negativo dichiarato, sede l'annuario diplomatico del Ministero per il 1970-1971. Dominio 2.</w:t>
      </w:r>
    </w:p>
    <w:p>
      <w:pPr>
        <w:spacing w:after="120" w:line="276"/>
        <w:jc w:val="both"/>
      </w:pPr>
      <w:r>
        <w:rPr>
          <w:rFonts w:ascii="Barlow Semi Condensed" w:cs="Barlow Semi Condensed" w:eastAsia="Barlow Semi Condensed" w:hAnsi="Barlow Semi Condensed"/>
          <w:b/>
          <w:bCs/>
          <w:sz w:val="24"/>
          <w:szCs w:val="24"/>
        </w:rPr>
        <w:t xml:space="preserve">Blocco mirato numero 110 — ▶ Eugenio Carbone. Direttore generale del Ministero dell'Industria, titolare del canale attraverso cui fu condotto il negoziato per gli Accordi di Osimo, predisposto nel 1973 dai ministri Medici e Minić. Livello A. Domini 2 e 6. Il nodo ha portata metodologica generale esposta al blocco 703.</w:t>
      </w:r>
    </w:p>
    <w:p>
      <w:pPr>
        <w:spacing w:after="120" w:line="276"/>
        <w:jc w:val="both"/>
      </w:pPr>
      <w:r>
        <w:rPr>
          <w:rFonts w:ascii="Barlow Semi Condensed" w:cs="Barlow Semi Condensed" w:eastAsia="Barlow Semi Condensed" w:hAnsi="Barlow Semi Condensed"/>
          <w:b/>
          <w:bCs/>
          <w:sz w:val="24"/>
          <w:szCs w:val="24"/>
        </w:rPr>
        <w:t xml:space="preserve">Blocco mirato numero 111 — ▶ Camillo Giurati. Ambasciatore dimessosi alla vigilia della firma degli Accordi di Osimo. Livello A. Dominio 2. La dimissione è il riscontro per conflitto dell'aggiramento della Farnesina: un ambasciatore si dimette quando il proprio ministero viene scavalcato, e la dimissione prova che l'aggiramento fu reale e percepito come tale. Livello B quanto a tale lettura, che è inferenza dal fatto e non dichiarazione dell'interessato.</w:t>
      </w:r>
    </w:p>
    <w:p>
      <w:pPr>
        <w:spacing w:after="120" w:line="276"/>
        <w:jc w:val="both"/>
      </w:pPr>
      <w:r>
        <w:rPr>
          <w:rFonts w:ascii="Barlow Semi Condensed" w:cs="Barlow Semi Condensed" w:eastAsia="Barlow Semi Condensed" w:hAnsi="Barlow Semi Condensed"/>
          <w:b/>
          <w:bCs/>
          <w:sz w:val="24"/>
          <w:szCs w:val="24"/>
        </w:rPr>
        <w:t xml:space="preserve">Blocco mirato numero 112 — ▶ Hans-Dietrich Genscher. Ministro degli Esteri della Repubblica Federale di Germania. Nella conferenza tenuta alla Humboldt-Universität il 13 aprile 2010 attestò che l'inclusione tedesca nel Gruppo di contatto occidentale discendeva dall'elezione della Repubblica Federale a membro non permanente del Consiglio di sicurezza nel 1976, e che il consolato di Windhoek fu chiuso alla fine dell'ottobre 1977 per rimuovere l'equivoco di un riconoscimento del dominio sudafricano sulla Namibia. Livello B, trattandosi di memoria di protagonista. Dominio 2 estero.</w:t>
      </w:r>
    </w:p>
    <w:p>
      <w:pPr>
        <w:spacing w:after="120" w:line="276"/>
        <w:jc w:val="both"/>
      </w:pPr>
      <w:r>
        <w:rPr>
          <w:rFonts w:ascii="Barlow Semi Condensed" w:cs="Barlow Semi Condensed" w:eastAsia="Barlow Semi Condensed" w:hAnsi="Barlow Semi Condensed"/>
          <w:b/>
          <w:bCs/>
          <w:sz w:val="24"/>
          <w:szCs w:val="24"/>
        </w:rPr>
        <w:t xml:space="preserve">Blocco mirato numero 113 — ▶ Erwin Willy Becker. Professore presso il centro di ricerca di Karlsruhe, ideatore del metodo a getto da cui derivò il processo sudafricano di separazione a vortice Helikon, con cooperazione di scienziati sudafricani dal 1974. Livello A quanto alla derivazione tecnica; Livello C quanto a ogni inferenza su una cooperazione nucleare militare governativa, che la storiografia fondata su archivi giudica non sostenuta. Dominio 6 estero.</w:t>
      </w:r>
    </w:p>
    <w:p>
      <w:pPr>
        <w:spacing w:after="120" w:line="276"/>
        <w:jc w:val="both"/>
      </w:pPr>
      <w:r>
        <w:rPr>
          <w:rFonts w:ascii="Barlow Semi Condensed" w:cs="Barlow Semi Condensed" w:eastAsia="Barlow Semi Condensed" w:hAnsi="Barlow Semi Condensed"/>
          <w:b/>
          <w:bCs/>
          <w:sz w:val="24"/>
          <w:szCs w:val="24"/>
        </w:rPr>
        <w:t xml:space="preserve">Blocco mirato numero 114 — ▶ Fritz Pirkl. Ex ministro bavarese del lavoro della Christlich-Soziale Union, membro del comitato della Deutsch-Südafrikanische Gesellschaft e primo presidente della Hanns-Seidel-Stiftung. Livello A quanto alla doppia appartenenza, che è fatto pubblico documentato. Nessun livello quanto a una condotta della fondazione o del partito, che l'appartenenza di una persona a 2 organizzazioni non prova. Dominio 2 estero. Il nodo si iscrive quale indizio di prossimità di ambienti e non quale prova di nesso operativo.</w:t>
      </w:r>
    </w:p>
    <w:p>
      <w:pPr>
        <w:pStyle w:val="Heading2"/>
        <w:spacing w:after="100" w:before="200"/>
      </w:pPr>
      <w:r>
        <w:rPr>
          <w:rFonts w:ascii="Barlow Semi Condensed" w:cs="Barlow Semi Condensed" w:eastAsia="Barlow Semi Condensed" w:hAnsi="Barlow Semi Condensed"/>
          <w:sz w:val="24"/>
          <w:szCs w:val="24"/>
        </w:rPr>
        <w:t xml:space="preserve">II — NODI ORGANIZZATIVI VERSATI</w:t>
      </w:r>
    </w:p>
    <w:p>
      <w:pPr>
        <w:spacing w:after="120" w:line="276"/>
        <w:jc w:val="both"/>
      </w:pPr>
      <w:r>
        <w:rPr>
          <w:rFonts w:ascii="Barlow Semi Condensed" w:cs="Barlow Semi Condensed" w:eastAsia="Barlow Semi Condensed" w:hAnsi="Barlow Semi Condensed"/>
          <w:b/>
          <w:bCs/>
          <w:sz w:val="24"/>
          <w:szCs w:val="24"/>
        </w:rPr>
        <w:t xml:space="preserve">Blocco mirato numero 201 — ◆ Aeronautica Macchi. Impresa aeronautica di Varese, produttrice dell'MB-326. Concesse nel 1964 al Sudafrica la licenza di produzione della versione M, denominata localmente Impala Mark primo, con produzione locale avviata nel 1966. Livello A quanto alla licenza, all'anno e all'oggetto; esito negativo quanto ai termini contrattuali — durata, corrispettivi, clausole di riesportazione, clausole di rinnovo — non reperiti. Sede: archivio aziendale confluito nel gruppo Leonardo e archivio storico di Finmeccanica. Dominio 6.</w:t>
      </w:r>
    </w:p>
    <w:p>
      <w:pPr>
        <w:spacing w:after="120" w:line="276"/>
        <w:jc w:val="both"/>
      </w:pPr>
      <w:r>
        <w:rPr>
          <w:rFonts w:ascii="Barlow Semi Condensed" w:cs="Barlow Semi Condensed" w:eastAsia="Barlow Semi Condensed" w:hAnsi="Barlow Semi Condensed"/>
          <w:b/>
          <w:bCs/>
          <w:sz w:val="24"/>
          <w:szCs w:val="24"/>
        </w:rPr>
        <w:t xml:space="preserve">Blocco mirato numero 202 — ◆ Atlas Aircraft Corporation. Costituita nel 1965 allo scopo precipuo di fabbricare localmente velivoli militari per la South African Air Force; riorganizzata nel 1968 e posta sotto il controllo dell'Armaments Corporation of South Africa. Livello A. Domini 6 e 9 esteri. Il dato che qualifica il nodo: l'MB-326 fu il primo velivolo prodotto su licenza in Sudafrica, e il programma servì da leva per la costituzione di un'industria aeronautica nazionale secondo un disegno di sostituzione delle importazioni che le pressioni internazionali rendevano necessario.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203 — ◆ Piaggio. Produttrice in Italia, su licenza della Bristol Siddeley stabilita nel 1959, del turbogetto Viper modello Mark 22 destinato all'addestratore Aermacchi. Livello A, attestato dal Museo Motori dell'Università di Palermo. Dominio 6. È l'anello che il blocco 401 qualifica.</w:t>
      </w:r>
    </w:p>
    <w:p>
      <w:pPr>
        <w:spacing w:after="120" w:line="276"/>
        <w:jc w:val="both"/>
      </w:pPr>
      <w:r>
        <w:rPr>
          <w:rFonts w:ascii="Barlow Semi Condensed" w:cs="Barlow Semi Condensed" w:eastAsia="Barlow Semi Condensed" w:hAnsi="Barlow Semi Condensed"/>
          <w:b/>
          <w:bCs/>
          <w:sz w:val="24"/>
          <w:szCs w:val="24"/>
        </w:rPr>
        <w:t xml:space="preserve">Blocco mirato numero 204 — ◆ FIAT. Produttrice in Italia della più potente serie 600 del medesimo turbogetto, destinata alle varianti da attacco. Livello A, medesima fonte. Dominio 6.</w:t>
      </w:r>
    </w:p>
    <w:p>
      <w:pPr>
        <w:spacing w:after="120" w:line="276"/>
        <w:jc w:val="both"/>
      </w:pPr>
      <w:r>
        <w:rPr>
          <w:rFonts w:ascii="Barlow Semi Condensed" w:cs="Barlow Semi Condensed" w:eastAsia="Barlow Semi Condensed" w:hAnsi="Barlow Semi Condensed"/>
          <w:b/>
          <w:bCs/>
          <w:sz w:val="24"/>
          <w:szCs w:val="24"/>
        </w:rPr>
        <w:t xml:space="preserve">Blocco mirato numero 205 — ◆ Comitato del Consiglio di sicurezza istituito dalla risoluzione 421. Organo di sorveglianza dell'embargo obbligatorio, istituito il 9 dicembre 1977. Dinanzi ad esso furono formulate nel 1980 le accuse cui l'Italia rispose. Livello 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206 — ◆ Gruppo di contatto occidentale sulla Namibia. Costituito nell'aprile 1977, composto da Stati Uniti, Regno Unito, Francia, Canada e Repubblica Federale di Germania, operante attivamente sino alla metà del 1982 e sciolto attorno al 1983. Livello A. Il criterio di appartenenza era il seggio occidentale nel Consiglio di sicurezza nel 1977: 3 membri permanenti e i 2 non permanenti occidentali allora in carica. Livello 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207 — ◆ Delegazione apostolica di Pretoria. Istituita da Pio XI il 7 dicembre 1922, organo di rappresentanza presso la Chiesa locale e non presso lo Stato; il delegato non ha status di ambasciatore, non presenta credenziali al capo dello Stato, non gode delle immunità diplomatiche piene. Ebbe 9 titolari e fu elevata a nunziatura apostolica il 25 giugno 1994. Livello A. Dominio 5.</w:t>
      </w:r>
    </w:p>
    <w:p>
      <w:pPr>
        <w:spacing w:after="120" w:line="276"/>
        <w:jc w:val="both"/>
      </w:pPr>
      <w:r>
        <w:rPr>
          <w:rFonts w:ascii="Barlow Semi Condensed" w:cs="Barlow Semi Condensed" w:eastAsia="Barlow Semi Condensed" w:hAnsi="Barlow Semi Condensed"/>
          <w:b/>
          <w:bCs/>
          <w:sz w:val="24"/>
          <w:szCs w:val="24"/>
        </w:rPr>
        <w:t xml:space="preserve">Blocco mirato numero 208 — ◆ Southern African Catholic Bishops' Conference. Costituita nel 1947; prima pronuncia contro il razzismo nel 1952; condanna dell'apartheid quale intrinsecamente malvagio nella lettera pastorale letta in tutte le chiese cattoliche il 21 luglio 1957, ritenuta il primo caso in cui un corpo cristiano applicò tale qualificazione al sistema. Livello A. Dominio 5. Fondò nel 1986 il settimanale New Nation, bandito nel 1988; la sua sede Khanya House fu fatta oggetto di attentato dinamitardo nell'ottobre 1988, per il quale nel 2000 la Commissione per la verità e la riconciliazione concesse l'amnistia a 19 ex membri della polizia di sicurezza, incluso Eugene de Kock.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209 — ◆ World Campaign against Military and Nuclear Collaboration with South Africa. Lanciato a Oslo il 28 marzo 1979; riconosciuto dalle Nazioni Unite quale fonte primaria di informazione sulle violazioni degli embarghi. Livello A. Domini 2 e 8.</w:t>
      </w:r>
    </w:p>
    <w:p>
      <w:pPr>
        <w:spacing w:after="120" w:line="276"/>
        <w:jc w:val="both"/>
      </w:pPr>
      <w:r>
        <w:rPr>
          <w:rFonts w:ascii="Barlow Semi Condensed" w:cs="Barlow Semi Condensed" w:eastAsia="Barlow Semi Condensed" w:hAnsi="Barlow Semi Condensed"/>
          <w:b/>
          <w:bCs/>
          <w:sz w:val="24"/>
          <w:szCs w:val="24"/>
        </w:rPr>
        <w:t xml:space="preserve">Blocco mirato numero 210 — ◆ Steinkohlen-Elektrizität. Società tedesca che agevolò il trasferimento al Sudafrica del processo di arricchimento dell'uranio a ugello e che intendeva concedere alla corporazione sudafricana un'opzione per una sub-licenza di fabbricazione. Livello B, poiché la base documentale primaria risale in parte a documenti resi noti da fonte militante di parte. Dominio 6 estero.</w:t>
      </w:r>
    </w:p>
    <w:p>
      <w:pPr>
        <w:spacing w:after="120" w:line="276"/>
        <w:jc w:val="both"/>
      </w:pPr>
      <w:r>
        <w:rPr>
          <w:rFonts w:ascii="Barlow Semi Condensed" w:cs="Barlow Semi Condensed" w:eastAsia="Barlow Semi Condensed" w:hAnsi="Barlow Semi Condensed"/>
          <w:b/>
          <w:bCs/>
          <w:sz w:val="24"/>
          <w:szCs w:val="24"/>
        </w:rPr>
        <w:t xml:space="preserve">Blocco mirato numero 211 — ◆ Uranium Enrichment Corporation e impianto di Valindaba. Costruzione avviata nell'agosto 1971, operatività nel maggio 1975, produzione di uranio altamente arricchito dal 1978, chiusura definitiva il 1 febbraio 1990. Livello A. Dominio 9 estero.</w:t>
      </w:r>
    </w:p>
    <w:p>
      <w:pPr>
        <w:spacing w:after="120" w:line="276"/>
        <w:jc w:val="both"/>
      </w:pPr>
      <w:r>
        <w:rPr>
          <w:rFonts w:ascii="Barlow Semi Condensed" w:cs="Barlow Semi Condensed" w:eastAsia="Barlow Semi Condensed" w:hAnsi="Barlow Semi Condensed"/>
          <w:b/>
          <w:bCs/>
          <w:sz w:val="24"/>
          <w:szCs w:val="24"/>
        </w:rPr>
        <w:t xml:space="preserve">Blocco mirato numero 212 — ◆ Howaldtswerke-Deutsche Werft e Ingenieurkontor Lübeck. Imprese di Kiel che consegnarono al Sudafrica piani costruttivi per 4 sommergibili di tipo 209 senza la richiesta autorizzazione, con prezzo di 46 milioni di marchi iscritto in bilancio. Livello A quanto alla fornitura non autorizzata, accertata dal comitato d'inchiesta parlamentare attivo dal 1986 al 1990; Livello C quanto alla catena di responsabilità politiche e alle provvigioni, che il comitato dichiarò non chiarite. Domini 6 e 9 esteri.</w:t>
      </w:r>
    </w:p>
    <w:p>
      <w:pPr>
        <w:spacing w:after="120" w:line="276"/>
        <w:jc w:val="both"/>
      </w:pPr>
      <w:r>
        <w:rPr>
          <w:rFonts w:ascii="Barlow Semi Condensed" w:cs="Barlow Semi Condensed" w:eastAsia="Barlow Semi Condensed" w:hAnsi="Barlow Semi Condensed"/>
          <w:b/>
          <w:bCs/>
          <w:sz w:val="24"/>
          <w:szCs w:val="24"/>
        </w:rPr>
        <w:t xml:space="preserve">Blocco mirato numero 213 — ◆ Hanns-Seidel-Stiftung e Deutsch-Südafrikanische Gesellschaft. La prima, vicina alla Christlich-Soziale Union, operante in Namibia dal 1978 con ufficio a Windhoek e in Sudafrica dal 1991. Livello A quanto alle date; esito negativo quanto al contenuto puntuale delle attività nel biennio 1978-1980. La seconda, descritta quale maggiore società bilaterale tedesca con 3.000-5.000 membri dichiarati, ma alla quale una fonte d'autore attribuisce di non avere mai svolto ruolo degno di nota nella Bonn politica, proprio perché i suoi rapporti con Pretoria erano troppo stretti. Livello B. Dominio 2 estero.</w:t>
      </w:r>
    </w:p>
    <w:p>
      <w:pPr>
        <w:pStyle w:val="Heading2"/>
        <w:spacing w:after="100" w:before="200"/>
      </w:pPr>
      <w:r>
        <w:rPr>
          <w:rFonts w:ascii="Barlow Semi Condensed" w:cs="Barlow Semi Condensed" w:eastAsia="Barlow Semi Condensed" w:hAnsi="Barlow Semi Condensed"/>
          <w:sz w:val="24"/>
          <w:szCs w:val="24"/>
        </w:rPr>
        <w:t xml:space="preserve">III — NODI-EVENTO VERSATI</w:t>
      </w:r>
    </w:p>
    <w:p>
      <w:pPr>
        <w:spacing w:after="120" w:line="276"/>
        <w:jc w:val="both"/>
      </w:pPr>
      <w:r>
        <w:rPr>
          <w:rFonts w:ascii="Barlow Semi Condensed" w:cs="Barlow Semi Condensed" w:eastAsia="Barlow Semi Condensed" w:hAnsi="Barlow Semi Condensed"/>
          <w:b/>
          <w:bCs/>
          <w:sz w:val="24"/>
          <w:szCs w:val="24"/>
        </w:rPr>
        <w:t xml:space="preserve">Blocco mirato numero 301 — ■ 6 e 13 febbraio 1970. Le 2 confutazioni parallele. Il 27 e 28 gennaio 1970, nella 1527ª seduta del Consiglio di sicurezza, il rappresentante dello Zambia affermò che l'Italia aveva rifiutato di imporre un divieto alla vendita di armi al Sudafrica. Il 6 febbraio 1970 il Rappresentante permanente d'Italia indirizzò al Presidente del Consiglio la lettera S/9640, che confutava l'affermazione. L'11 febbraio 1970 l'Osservatore permanente supplente della Repubblica Federale di Germania trasmise una confutazione della medesima dichiarazione, allegata alla nota del Presidente S/9648 del 13 febbraio. Livello A quanto ai 3 fatti e alle 3 date. Livello C quanto a ogni coordinamento fra Roma e Bonn, che nessuna fonte attesta e che la simultaneità non prova.</w:t>
      </w:r>
    </w:p>
    <w:p>
      <w:pPr>
        <w:spacing w:after="120" w:line="276"/>
        <w:jc w:val="both"/>
      </w:pPr>
      <w:r>
        <w:rPr>
          <w:rFonts w:ascii="Barlow Semi Condensed" w:cs="Barlow Semi Condensed" w:eastAsia="Barlow Semi Condensed" w:hAnsi="Barlow Semi Condensed"/>
          <w:b/>
          <w:bCs/>
          <w:sz w:val="24"/>
          <w:szCs w:val="24"/>
        </w:rPr>
        <w:t xml:space="preserve">Blocco mirato numero 302 — ■ 21 luglio 1970. La legge libica di confisca. Il Consiglio del Comando della Rivoluzione promulgò le leggi che disposero la confisca dei beni della comunità italiana, con obbligo di dichiarazione e pene detentive. La natura giuridica fu di legge di confisca su base di cittadinanza e non di nazionalizzazione economica. Livello A. Domini 2 e 6.</w:t>
      </w:r>
    </w:p>
    <w:p>
      <w:pPr>
        <w:spacing w:after="120" w:line="276"/>
        <w:jc w:val="both"/>
      </w:pPr>
      <w:r>
        <w:rPr>
          <w:rFonts w:ascii="Barlow Semi Condensed" w:cs="Barlow Semi Condensed" w:eastAsia="Barlow Semi Condensed" w:hAnsi="Barlow Semi Condensed"/>
          <w:b/>
          <w:bCs/>
          <w:sz w:val="24"/>
          <w:szCs w:val="24"/>
        </w:rPr>
        <w:t xml:space="preserve">Blocco mirato numero 303 — ■ 7-15 ottobre 1970. L'esodo. Ultimatum del 7 ottobre, consacrato dal regime quale giorno della vendetta; espulsione perfezionata entro il 15 ottobre; traghettamento organizzato attraverso il Ministero della Marina Mercantile con 9 navi. Sul numero degli espulsi le stime oscillano fra 15.000, 17.000, 20.000 e 35.000 secondo il criterio adottato, e la divergenza si riporta anziché comporre. Livello A quanto alle date e all'organizzazione; Livello B quanto al numero.</w:t>
      </w:r>
    </w:p>
    <w:p>
      <w:pPr>
        <w:spacing w:after="120" w:line="276"/>
        <w:jc w:val="both"/>
      </w:pPr>
      <w:r>
        <w:rPr>
          <w:rFonts w:ascii="Barlow Semi Condensed" w:cs="Barlow Semi Condensed" w:eastAsia="Barlow Semi Condensed" w:hAnsi="Barlow Semi Condensed"/>
          <w:b/>
          <w:bCs/>
          <w:sz w:val="24"/>
          <w:szCs w:val="24"/>
        </w:rPr>
        <w:t xml:space="preserve">Blocco mirato numero 304 — ■ Marzo 1971. Il Conquistador Tredicesimo. L'Italia contribuì a far fallire un tentativo di colpo di Stato anti-Gheddafi, con il sequestro a Trieste del battello destinato all'operazione. Livello B. Domini 2 e 3.</w:t>
      </w:r>
    </w:p>
    <w:p>
      <w:pPr>
        <w:spacing w:after="120" w:line="276"/>
        <w:jc w:val="both"/>
      </w:pPr>
      <w:r>
        <w:rPr>
          <w:rFonts w:ascii="Barlow Semi Condensed" w:cs="Barlow Semi Condensed" w:eastAsia="Barlow Semi Condensed" w:hAnsi="Barlow Semi Condensed"/>
          <w:b/>
          <w:bCs/>
          <w:sz w:val="24"/>
          <w:szCs w:val="24"/>
        </w:rPr>
        <w:t xml:space="preserve">Blocco mirato numero 305 — ■ 5 maggio 1971. Moro a Tripoli. Il ministro degli Esteri si recò a Tripoli e incontrò Gheddafi; dell'incontro resta traccia nel Fondo Aldo Moro presso l'Archivio storico del Senato. Livello A. Dominio 2. Il fatto si registra e la sua lettura si rimette: 18 mesi dopo la confisca dei beni di circa 20.000 cittadini italiani, il loro ministro degli Esteri andò nella capitale che li aveva espropriati.</w:t>
      </w:r>
    </w:p>
    <w:p>
      <w:pPr>
        <w:spacing w:after="120" w:line="276"/>
        <w:jc w:val="both"/>
      </w:pPr>
      <w:r>
        <w:rPr>
          <w:rFonts w:ascii="Barlow Semi Condensed" w:cs="Barlow Semi Condensed" w:eastAsia="Barlow Semi Condensed" w:hAnsi="Barlow Semi Condensed"/>
          <w:b/>
          <w:bCs/>
          <w:sz w:val="24"/>
          <w:szCs w:val="24"/>
        </w:rPr>
        <w:t xml:space="preserve">Blocco mirato numero 306 — ■ 30 settembre 1974. Il doppio voto. Nella medesima giornata l'Italia votò contro la risoluzione 3206, sul rifiuto delle credenziali della delegazione sudafricana, adottata con 98 favorevoli, 23 contrari e 14 astenuti, e a favore della risoluzione 3207, sulla relazione fra Nazioni Unite e Sudafrica, adottata con 125 favorevoli, 1 contrario e 9 astenuti. Livello A. Dominio 2.</w:t>
      </w:r>
    </w:p>
    <w:p>
      <w:pPr>
        <w:spacing w:after="120" w:line="276"/>
        <w:jc w:val="both"/>
      </w:pPr>
      <w:r>
        <w:rPr>
          <w:rFonts w:ascii="Barlow Semi Condensed" w:cs="Barlow Semi Condensed" w:eastAsia="Barlow Semi Condensed" w:hAnsi="Barlow Semi Condensed"/>
          <w:b/>
          <w:bCs/>
          <w:sz w:val="24"/>
          <w:szCs w:val="24"/>
        </w:rPr>
        <w:t xml:space="preserve">Blocco mirato numero 307 — ■ 20 dicembre 1976. Il voto sul riconoscimento della SWAPO. Risoluzione 31/146, adottata con 107 favorevoli, 6 contrari e 12 astenuti. L'Italia si astenne; Belgio, Francia, Germania Federale, Lussemburgo, Regno Unito e Stati Uniti votarono contro. Livello A, verificato sul record di voto.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308 — ■ 4 novembre 1977. La risoluzione 418. L'embargo sulle armi divenne obbligatorio ai sensi del Capitolo settimo, con 15 voti favorevoli, nessun contrario, nessun astenuto: primo caso di sanzioni obbligatorie imposte a uno Stato membro. Livello A. Il registro possiede già questa data-cerniera e il presente blocco la richiama soltanto per collocarvi i nodi versati.</w:t>
      </w:r>
    </w:p>
    <w:p>
      <w:pPr>
        <w:spacing w:after="120" w:line="276"/>
        <w:jc w:val="both"/>
      </w:pPr>
      <w:r>
        <w:rPr>
          <w:rFonts w:ascii="Barlow Semi Condensed" w:cs="Barlow Semi Condensed" w:eastAsia="Barlow Semi Condensed" w:hAnsi="Barlow Semi Condensed"/>
          <w:b/>
          <w:bCs/>
          <w:sz w:val="24"/>
          <w:szCs w:val="24"/>
        </w:rPr>
        <w:t xml:space="preserve">Blocco mirato numero 309 — ■ 27 giugno 1980. La seconda confutazione italiana. Lettera S/AC.20/27 del Rappresentante permanente al Presidente del Comitato istituito dalla risoluzione 421, che nega accuse di violazione dell'embargo contenute nella dichiarazione di Abdul Minty. Livello A quanto all'esistenza, alla data e all'oggetto; il testo del corpo non è stato acquisito, e la dichiarazione di Minty che lo provocò, verbale S/AC.20/SR.25, appartiene alla serie delle riunioni chiuse e non è reperita. Dominio 2.</w:t>
      </w:r>
    </w:p>
    <w:p>
      <w:pPr>
        <w:spacing w:after="120" w:line="276"/>
        <w:jc w:val="both"/>
      </w:pPr>
      <w:r>
        <w:rPr>
          <w:rFonts w:ascii="Barlow Semi Condensed" w:cs="Barlow Semi Condensed" w:eastAsia="Barlow Semi Condensed" w:hAnsi="Barlow Semi Condensed"/>
          <w:b/>
          <w:bCs/>
          <w:sz w:val="24"/>
          <w:szCs w:val="24"/>
        </w:rPr>
        <w:t xml:space="preserve">Blocco mirato numero 310 — ■ 26 novembre 1986. La rivelazione di Kiel. Un quotidiano locale rivelò la consegna non autorizzata al Sudafrica di piani per 4 sommergibili; il 10 dicembre 1986 fu istituito il comitato d'inchiesta parlamentare, attivo sino al 1990, la cui raccomandazione conclusiva fu disomogenea e i cui fatti centrali rimasero non chiariti. Livello A quanto alla rivelazione e all'inchiesta; Livello C quanto alle responsabilità politiche. Domini 2, 6 e 9 esteri.</w:t>
      </w:r>
    </w:p>
    <w:p>
      <w:pPr>
        <w:spacing w:after="120" w:line="276"/>
        <w:jc w:val="both"/>
      </w:pPr>
      <w:r>
        <w:rPr>
          <w:rFonts w:ascii="Barlow Semi Condensed" w:cs="Barlow Semi Condensed" w:eastAsia="Barlow Semi Condensed" w:hAnsi="Barlow Semi Condensed"/>
          <w:b/>
          <w:bCs/>
          <w:sz w:val="24"/>
          <w:szCs w:val="24"/>
        </w:rPr>
        <w:t xml:space="preserve">Blocco mirato numero 311 — ■ Settembre 1988. Il viaggio che circondò il Sudafrica. Giovanni Paolo II compì un itinerario di 10 giorni in 5 Stati confinanti — Zimbabwe, Botswana, Lesotho, Swaziland e Mozambico — escludendo deliberatamente il Sudafrica a causa dell'apartheid e su esplicito consiglio dei vescovi sudafricani. Livello A. Il 14 settembre il maltempo mise fuori uso i radiofari di Maseru e l'aereo pontificio fu costretto ad atterrare a Johannesburg, dove il ministro degli Esteri Roelof Botha lo accolse; un corteo di 25 automobili portò la delegazione in Lesotho per via terrestre. Livello A. Dominio 5.</w:t>
      </w:r>
    </w:p>
    <w:p>
      <w:pPr>
        <w:spacing w:after="120" w:line="276"/>
        <w:jc w:val="both"/>
      </w:pPr>
      <w:r>
        <w:rPr>
          <w:rFonts w:ascii="Barlow Semi Condensed" w:cs="Barlow Semi Condensed" w:eastAsia="Barlow Semi Condensed" w:hAnsi="Barlow Semi Condensed"/>
          <w:b/>
          <w:bCs/>
          <w:sz w:val="24"/>
          <w:szCs w:val="24"/>
        </w:rPr>
        <w:t xml:space="preserve">Blocco mirato numero 312 — ■ 15 e 25 giugno 1994. L'apertura delle relazioni. Firma del protocollo diplomatico fra Giovanni Paolo II e Nelson Mandela il 15 giugno; erezione della nunziatura apostolica di Pretoria il 25 giugno. Livello A, confermato dal pontefice medesimo nel discorso di arrivo del 1995. Dominio 5.</w:t>
      </w:r>
    </w:p>
    <w:p>
      <w:pPr>
        <w:pStyle w:val="Heading2"/>
        <w:spacing w:after="100" w:before="200"/>
      </w:pPr>
      <w:r>
        <w:rPr>
          <w:rFonts w:ascii="Barlow Semi Condensed" w:cs="Barlow Semi Condensed" w:eastAsia="Barlow Semi Condensed" w:hAnsi="Barlow Semi Condensed"/>
          <w:sz w:val="24"/>
          <w:szCs w:val="24"/>
        </w:rPr>
        <w:t xml:space="preserve">IV — I PONTI</w:t>
      </w:r>
    </w:p>
    <w:p>
      <w:pPr>
        <w:spacing w:after="120" w:line="276"/>
        <w:jc w:val="both"/>
      </w:pPr>
      <w:r>
        <w:rPr>
          <w:rFonts w:ascii="Barlow Semi Condensed" w:cs="Barlow Semi Condensed" w:eastAsia="Barlow Semi Condensed" w:hAnsi="Barlow Semi Condensed"/>
          <w:b/>
          <w:bCs/>
          <w:sz w:val="24"/>
          <w:szCs w:val="24"/>
        </w:rPr>
        <w:t xml:space="preserve">Blocco mirato numero 401 — Il ponte di transito Bristol Siddeley-Piaggio-Atlas. È il ponte principale versato dal presente registro e va esposto per anelli. Anello primo: la Bristol Siddeley britannica concede nel 1959 alla Piaggio la licenza di produzione del turbogetto Viper. Anello secondo: la Piaggio produce in Italia il modello Mark 22 destinato all'MB-326, mentre la FIAT produce la serie 600 per le varianti da attacco. Anello terzo: il Sudafrica riceve il motore attraverso la catena della sub-licenza italiana e non direttamente dal Regno Unito. Livello A quanto ai 3 anelli.</w:t>
      </w:r>
    </w:p>
    <w:p>
      <w:pPr>
        <w:spacing w:after="120" w:line="276"/>
        <w:jc w:val="both"/>
      </w:pPr>
      <w:r>
        <w:rPr>
          <w:rFonts w:ascii="Barlow Semi Condensed" w:cs="Barlow Semi Condensed" w:eastAsia="Barlow Semi Condensed" w:hAnsi="Barlow Semi Condensed"/>
          <w:b/>
          <w:bCs/>
          <w:sz w:val="24"/>
          <w:szCs w:val="24"/>
        </w:rPr>
        <w:t xml:space="preserve">Blocco mirato numero 402 — Il documento che nomina l'Italia. Un rapporto declassificato della Central Intelligence Agency intitolato \South Africa: Evading the Arms Embargo\, reso disponibile nel 2018 con segnatura C06283667, nell'elencare i sistemi prodotti localmente registra il motore Viper con l'annotazione che la produzione fu autorizzata su licenza dall'Italia per l'Impala; e alla voce Impala registra che si tratta di copia su licenza dell'italiano MB 326, prodotto dal 1964 al 1986. Livello B, trattandosi di documento d'intelligence di natura valutativa e non giudiziaria, ma il cui tenore è univoco.</w:t>
      </w:r>
    </w:p>
    <w:p>
      <w:pPr>
        <w:spacing w:after="120" w:line="276"/>
        <w:jc w:val="both"/>
      </w:pPr>
      <w:r>
        <w:rPr>
          <w:rFonts w:ascii="Barlow Semi Condensed" w:cs="Barlow Semi Condensed" w:eastAsia="Barlow Semi Condensed" w:hAnsi="Barlow Semi Condensed"/>
          <w:b/>
          <w:bCs/>
          <w:sz w:val="24"/>
          <w:szCs w:val="24"/>
        </w:rPr>
        <w:t xml:space="preserve">Blocco mirato numero 403 — Perché la responsabilità si concentra sull'Italia. La licenza britannica alla Piaggio è del 1959, anteriore a ogni embargo, anche a quello raccomandato del 1963; la struttura della catena colloca perciò l'anello decisionale rilevante in Italia. Livello B, trattandosi di lettura strutturale. Esito negativo dichiarato: non è stato reperito alcun documento in cui la Rolls-Royce o il governo britannico autorizzino espressamente la produzione sudafricana del Viper.</w:t>
      </w:r>
    </w:p>
    <w:p>
      <w:pPr>
        <w:spacing w:after="120" w:line="276"/>
        <w:jc w:val="both"/>
      </w:pPr>
      <w:r>
        <w:rPr>
          <w:rFonts w:ascii="Barlow Semi Condensed" w:cs="Barlow Semi Condensed" w:eastAsia="Barlow Semi Condensed" w:hAnsi="Barlow Semi Condensed"/>
          <w:b/>
          <w:bCs/>
          <w:sz w:val="24"/>
          <w:szCs w:val="24"/>
        </w:rPr>
        <w:t xml:space="preserve">Blocco mirato numero 404 — Che cosa il ponte trasportò. L'Impala Mark primo, biposto da addestramento; e dal 1974 l'Impala Mark secondo, monoposto da attacco al suolo con cellula rinforzata, motore della serie 600, 2 cannoni da 30 millimetri, armamento francese e suite di guerra elettronica di sviluppo locale. Livello A. Sui numeri le fonti divergono: 40 o 16 esemplari di costruzione italiana; 125 o 135 Impala Mark primo assemblati localmente; 7 acquistati, 15 da kit e circa 78 su licenza per il Mark secondo; 334 motori Viper costruiti in Sudafrica su oltre 5.700 nel mondo.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Blocco mirato numero 405 — Dove il ponte arrivò. Il velivolo fu impiegato operativamente nella guerra di confine contro forze angolane e cubane fra il 1975 e il 1989, da piste sommarie e a bassissima quota. Livello B, trattandosi di pubblicistica aeronautica. La collocazione cronologica va enunciata perché è di rilievo giuridico: la quota maggiore dell'impiego si colloca dopo il 1977, sotto il regime dell'embargo obbligatorio, e non può essere retroattivamente imputata alle decisioni del periodo 1969-1976.</w:t>
      </w:r>
    </w:p>
    <w:p>
      <w:pPr>
        <w:spacing w:after="120" w:line="276"/>
        <w:jc w:val="both"/>
      </w:pPr>
      <w:r>
        <w:rPr>
          <w:rFonts w:ascii="Barlow Semi Condensed" w:cs="Barlow Semi Condensed" w:eastAsia="Barlow Semi Condensed" w:hAnsi="Barlow Semi Condensed"/>
          <w:b/>
          <w:bCs/>
          <w:sz w:val="24"/>
          <w:szCs w:val="24"/>
        </w:rPr>
        <w:t xml:space="preserve">Blocco mirato numero 406 — Il ponte di convergenza del febbraio 1970. Italia e Repubblica Federale di Germania reagirono in modo speculare alla medesima accusa zambiana, a 5 giorni di distanza, ciascuna con lo strumento che il proprio statuto le consentiva — l'Italia con lettera diretta, la Germania, non ancora membro delle Nazioni Unite, attraverso la nota del Presidente. Livello A quanto ai fatti; Livello C quanto a un coordinamento, non asserito. È arco di convergenza nel senso della tassonomia: 2 attori compiono, senza relazione diretta accertata, azioni che producono effetti convergenti.</w:t>
      </w:r>
    </w:p>
    <w:p>
      <w:pPr>
        <w:spacing w:after="120" w:line="276"/>
        <w:jc w:val="both"/>
      </w:pPr>
      <w:r>
        <w:rPr>
          <w:rFonts w:ascii="Barlow Semi Condensed" w:cs="Barlow Semi Condensed" w:eastAsia="Barlow Semi Condensed" w:hAnsi="Barlow Semi Condensed"/>
          <w:b/>
          <w:bCs/>
          <w:sz w:val="24"/>
          <w:szCs w:val="24"/>
        </w:rPr>
        <w:t xml:space="preserve">Blocco mirato numero 407 — Il ponte negato: Santa Sede e Pretoria. Per 72 anni, dal 7 dicembre 1922 al 25 giugno 1994, la Santa Sede mantenne in Sudafrica una sola delegazione apostolica e nessun rappresentante pontificio presentò mai credenziali a un capo di Stato sudafricano. Livello A. Le relazioni piene furono aperte 4 mesi dopo le prime elezioni democratiche. Livello A quanto al fatto; Livello C quanto al carattere deliberato dell'omissione, che la documentazione riservata proverebbe e che è inaccessibile.</w:t>
      </w:r>
    </w:p>
    <w:p>
      <w:pPr>
        <w:spacing w:after="120" w:line="276"/>
        <w:jc w:val="both"/>
      </w:pPr>
      <w:r>
        <w:rPr>
          <w:rFonts w:ascii="Barlow Semi Condensed" w:cs="Barlow Semi Condensed" w:eastAsia="Barlow Semi Condensed" w:hAnsi="Barlow Semi Condensed"/>
          <w:b/>
          <w:bCs/>
          <w:sz w:val="24"/>
          <w:szCs w:val="24"/>
        </w:rPr>
        <w:t xml:space="preserve">Blocco mirato numero 408 — Il ponte simmetrico: Italia e Pretoria. L'Italia mantenne per l'intera durata del regime relazioni diplomatiche piene, stabilite nel 1929, e un'ambasciata a Pretoria. Livello A. Il confronto fra i blocchi 407 e 408 è il reperto centrale del versamento vaticano, e va formulato con precisione al blocco 604.</w:t>
      </w:r>
    </w:p>
    <w:p>
      <w:pPr>
        <w:spacing w:after="120" w:line="276"/>
        <w:jc w:val="both"/>
      </w:pPr>
      <w:r>
        <w:rPr>
          <w:rFonts w:ascii="Barlow Semi Condensed" w:cs="Barlow Semi Condensed" w:eastAsia="Barlow Semi Condensed" w:hAnsi="Barlow Semi Condensed"/>
          <w:b/>
          <w:bCs/>
          <w:sz w:val="24"/>
          <w:szCs w:val="24"/>
        </w:rPr>
        <w:t xml:space="preserve">Blocco mirato numero 409 — Il ponte di accoglienza, già certificato e ora raccordato. Il registro certifica al Livello A la latitanza di Gianadelio Maletti a Johannesburg e la qualifica quale caso di scuola di una regolarità: il regime di Pretoria funzionò da nodo di accoglienza per una rete internazionale di soggetti dell'eversione e degli apparati deviati. Il presente registro non aggiunge nulla a tale certificazione ma vi apporta un raccordo: mentre un ufficiale dei servizi italiani vi trovava rifugio, un'impresa aeronautica italiana ne riforniva l'aviazione militare. I 2 fatti sono documentati separatamente e nessun elemento li collega: la simultaneità non è nesso, e il raccordo è di descrizione e non di causa. Livello A quanto ai 2 fatti presi ciascuno per sé; nessun livello quanto a una relazione fra essi.</w:t>
      </w:r>
    </w:p>
    <w:p>
      <w:pPr>
        <w:pStyle w:val="Heading2"/>
        <w:spacing w:after="100" w:before="200"/>
      </w:pPr>
      <w:r>
        <w:rPr>
          <w:rFonts w:ascii="Barlow Semi Condensed" w:cs="Barlow Semi Condensed" w:eastAsia="Barlow Semi Condensed" w:hAnsi="Barlow Semi Condensed"/>
          <w:sz w:val="24"/>
          <w:szCs w:val="24"/>
        </w:rPr>
        <w:t xml:space="preserve">V — LE COLLISIONI CON IL REGISTRO</w:t>
      </w:r>
    </w:p>
    <w:p>
      <w:pPr>
        <w:spacing w:after="120" w:line="276"/>
        <w:jc w:val="both"/>
      </w:pPr>
      <w:r>
        <w:rPr>
          <w:rFonts w:ascii="Barlow Semi Condensed" w:cs="Barlow Semi Condensed" w:eastAsia="Barlow Semi Condensed" w:hAnsi="Barlow Semi Condensed"/>
          <w:b/>
          <w:bCs/>
          <w:sz w:val="24"/>
          <w:szCs w:val="24"/>
        </w:rPr>
        <w:t xml:space="preserve">Blocco mirato numero 501 — Prima collisione: il teorema australe confermato e nominato. Il registro enuncia che un embargo obbligatorio privo di apparato coercitivo non chiude i canali ma li riprezza, spostando il traffico dalla contabilità degli Stati a quella degli intermediari. Il canale Aermacchi ne è l'istanza italiana e la conferma: la licenza è del 1964, la produzione corse sino al 1986, e la soglia del novembre 1977 non la interruppe. Livello A. Il presente registro non emenda dunque il teorema: lo nomina.</w:t>
      </w:r>
    </w:p>
    <w:p>
      <w:pPr>
        <w:spacing w:after="120" w:line="276"/>
        <w:jc w:val="both"/>
      </w:pPr>
      <w:r>
        <w:rPr>
          <w:rFonts w:ascii="Barlow Semi Condensed" w:cs="Barlow Semi Condensed" w:eastAsia="Barlow Semi Condensed" w:hAnsi="Barlow Semi Condensed"/>
          <w:b/>
          <w:bCs/>
          <w:sz w:val="24"/>
          <w:szCs w:val="24"/>
        </w:rPr>
        <w:t xml:space="preserve">Blocco mirato numero 502 — Seconda collisione, ed è la sola che emendi. Il registro qualifica il Sudafrica quale Stato Zero esemplare. Il presente versamento obbliga a distinguere. Il canale industriale italiano non è uno Stato Zero: è documentato, e lo è per triplice via — la catena della sub-licenza attestata da fonte tecnica italiana, il documento d'intelligence statunitense che nomina l'Italia, le 2 lettere italiane alle Nazioni Unite che negano accuse formalmente mosse. Ciò che è Stato Zero è l'atto di governo italiano relativo a quel canale, e per una ragione che il registro non contempla.</w:t>
      </w:r>
    </w:p>
    <w:p>
      <w:pPr>
        <w:spacing w:after="120" w:line="276"/>
        <w:jc w:val="both"/>
      </w:pPr>
      <w:r>
        <w:rPr>
          <w:rFonts w:ascii="Barlow Semi Condensed" w:cs="Barlow Semi Condensed" w:eastAsia="Barlow Semi Condensed" w:hAnsi="Barlow Semi Condensed"/>
          <w:b/>
          <w:bCs/>
          <w:sz w:val="24"/>
          <w:szCs w:val="24"/>
        </w:rPr>
        <w:t xml:space="preserve">Blocco mirato numero 503 — La ragione, e costituisce il versamento metodologico maggiore. Fino alla legge 185 del 9 luglio 1990 l'Italia non ebbe legge organica sul controllo dell'esportazione di armamenti. La disciplina era il Testo unico delle leggi di pubblica sicurezza e il regio decreto 11 luglio 1941 numero 1161, firmato da Mussolini, Ciano, Teruzzi e Grandi, che sottoponeva l'esportazione di armi al segreto di Stato. La cessione all'estero di licenze di produzione non era fattispecie autorizzativa tipizzata: lo divenne soltanto con l'articolo 13 della legge del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504 — Ne discende il grado nuovo. L'atto di governo non è documentato non perché sia stato occultato ma perché nell'ordinamento del tempo esso non esisteva quale atto. Si propone di iscriverlo nella scala degli Stati Zero quale grado autonomo, denominato atto atipico, con definizione: una condotta dello Stato non lascia traccia documentale perché il diritto vigente non la configurava quale atto giuridico tipico, e dunque non ne prescriveva forma, motivazione né registrazione. La proprietà che lo distingue: non è rimediabile con l'apertura di un archivio, perché non vi è nulla da aprire.</w:t>
      </w:r>
    </w:p>
    <w:p>
      <w:pPr>
        <w:spacing w:after="120" w:line="276"/>
        <w:jc w:val="both"/>
      </w:pPr>
      <w:r>
        <w:rPr>
          <w:rFonts w:ascii="Barlow Semi Condensed" w:cs="Barlow Semi Condensed" w:eastAsia="Barlow Semi Condensed" w:hAnsi="Barlow Semi Condensed"/>
          <w:b/>
          <w:bCs/>
          <w:sz w:val="24"/>
          <w:szCs w:val="24"/>
        </w:rPr>
        <w:t xml:space="preserve">Blocco mirato numero 505 — La circolarità che chiude il grado. La legge che avrebbe tipizzato quell'atto — la 185 del 1990 — fu prodotta anche dalla denuncia dell'operaio del blocco 102 sulle consegne del gennaio 1980. L'assenza di documentazione non era dunque un dato di natura ma una proprietà di un ordinamento, e quell'ordinamento fu mutato dal basso. Livello B.</w:t>
      </w:r>
    </w:p>
    <w:p>
      <w:pPr>
        <w:spacing w:after="120" w:line="276"/>
        <w:jc w:val="both"/>
      </w:pPr>
      <w:r>
        <w:rPr>
          <w:rFonts w:ascii="Barlow Semi Condensed" w:cs="Barlow Semi Condensed" w:eastAsia="Barlow Semi Condensed" w:hAnsi="Barlow Semi Condensed"/>
          <w:b/>
          <w:bCs/>
          <w:sz w:val="24"/>
          <w:szCs w:val="24"/>
        </w:rPr>
        <w:t xml:space="preserve">Blocco mirato numero 506 — Terza collisione: la lacuna vaticana. La Fase 1 del registro è intitolata al quadrilatero loggia-finanza-Vaticano-mafia e dedica un capitolo autonomo all'Istituto per le Opere di Religione. Il Dominio 5 vi è architettonicamente centrale. E i termini delegazione apostolica e nunziatura vi ricorrono zero volte. Il presente versamento colma la lacuna con i blocchi 207, 307 e 407, e ne segnala la portata: il registro possiede il Vaticano quale nodo finanziario e non quale nodo diplomatico.</w:t>
      </w:r>
    </w:p>
    <w:p>
      <w:pPr>
        <w:spacing w:after="120" w:line="276"/>
        <w:jc w:val="both"/>
      </w:pPr>
      <w:r>
        <w:rPr>
          <w:rFonts w:ascii="Barlow Semi Condensed" w:cs="Barlow Semi Condensed" w:eastAsia="Barlow Semi Condensed" w:hAnsi="Barlow Semi Condensed"/>
          <w:b/>
          <w:bCs/>
          <w:sz w:val="24"/>
          <w:szCs w:val="24"/>
        </w:rPr>
        <w:t xml:space="preserve">Blocco mirato numero 507 — Quarta collisione: la Namibia. Il registro contiene 1 sola occorrenza del toponimo, in contesto biografico estraneo al territorio. Il Gruppo di contatto occidentale, la risoluzione 435 del 29 settembre 1978, lo United Nations Transition Assistance Group e l'esclusione italiana dal consesso negoziale sono integralmente assenti. Il versamento è ai blocchi 206 e 601.</w:t>
      </w:r>
    </w:p>
    <w:p>
      <w:pPr>
        <w:spacing w:after="120" w:line="276"/>
        <w:jc w:val="both"/>
      </w:pPr>
      <w:r>
        <w:rPr>
          <w:rFonts w:ascii="Barlow Semi Condensed" w:cs="Barlow Semi Condensed" w:eastAsia="Barlow Semi Condensed" w:hAnsi="Barlow Semi Condensed"/>
          <w:b/>
          <w:bCs/>
          <w:sz w:val="24"/>
          <w:szCs w:val="24"/>
        </w:rPr>
        <w:t xml:space="preserve">Blocco mirato numero 508 — Quinta collisione: la Libia. Il registro contiene 5 occorrenze del toponimo, relative al fascicolo Mi.Fo.Biali, alla vicenda Billygate e alla notte di Lampedusa dell'aprile 1986. La confisca del luglio 1970, l'esodo dell'ottobre 1970 e la condotta della Farnesina sono assenti. Il versamento è ai blocchi 302, 303, 304 e 305, e ha funzione di calibrazione esposta al blocco 605.</w:t>
      </w:r>
    </w:p>
    <w:p>
      <w:pPr>
        <w:pStyle w:val="Heading2"/>
        <w:spacing w:after="100" w:before="200"/>
      </w:pPr>
      <w:r>
        <w:rPr>
          <w:rFonts w:ascii="Barlow Semi Condensed" w:cs="Barlow Semi Condensed" w:eastAsia="Barlow Semi Condensed" w:hAnsi="Barlow Semi Condensed"/>
          <w:sz w:val="24"/>
          <w:szCs w:val="24"/>
        </w:rPr>
        <w:t xml:space="preserve">VI — I REPERTI ANALITICI</w:t>
      </w:r>
    </w:p>
    <w:p>
      <w:pPr>
        <w:spacing w:after="120" w:line="276"/>
        <w:jc w:val="both"/>
      </w:pPr>
      <w:r>
        <w:rPr>
          <w:rFonts w:ascii="Barlow Semi Condensed" w:cs="Barlow Semi Condensed" w:eastAsia="Barlow Semi Condensed" w:hAnsi="Barlow Semi Condensed"/>
          <w:b/>
          <w:bCs/>
          <w:sz w:val="24"/>
          <w:szCs w:val="24"/>
        </w:rPr>
        <w:t xml:space="preserve">Blocco mirato numero 601 — L'inversione del 1976-1977. Sui voti namibiani, l'Italia esclusa dal Gruppo di contatto risultò più avanzata della Germania che vi sedeva. Sul testo politicamente più carico — il riconoscimento della SWAPO — la Germania votò contro e l'Italia si astenne; sulle risoluzioni 31/148, 31/149 e 32/9 G l'Italia votò a favore mentre la Germania si asteneva. Livello A. Dal 1984 le 2 potenze convergono su astensione identica. Il rilievo generale, di Livello B perché inferenza: la partecipazione a un consesso negoziale vincola il voto, l'esclusione lo libera. Chi siede al tavolo paga in libertà di voto ciò che guadagna in influenza.</w:t>
      </w:r>
    </w:p>
    <w:p>
      <w:pPr>
        <w:spacing w:after="120" w:line="276"/>
        <w:jc w:val="both"/>
      </w:pPr>
      <w:r>
        <w:rPr>
          <w:rFonts w:ascii="Barlow Semi Condensed" w:cs="Barlow Semi Condensed" w:eastAsia="Barlow Semi Condensed" w:hAnsi="Barlow Semi Condensed"/>
          <w:b/>
          <w:bCs/>
          <w:sz w:val="24"/>
          <w:szCs w:val="24"/>
        </w:rPr>
        <w:t xml:space="preserve">Blocco mirato numero 602 — La grammatica del voto italiano. Il doppio comportamento del 30 settembre 1974 non è episodio ma regola: l'Italia sostiene le condanne sostanziali e si sottrae agli atti procedurali di esclusione, e la regola è verificata dal 1973 al 1977. Livello A quanto ai voti; Livello B quanto alla qualificazione di regolarità. Dal 1984 la grammatica si semplifica in astensione unica, e la posizione unica è più arretrata delle 2 che l'avevano preceduta.</w:t>
      </w:r>
    </w:p>
    <w:p>
      <w:pPr>
        <w:spacing w:after="120" w:line="276"/>
        <w:jc w:val="both"/>
      </w:pPr>
      <w:r>
        <w:rPr>
          <w:rFonts w:ascii="Barlow Semi Condensed" w:cs="Barlow Semi Condensed" w:eastAsia="Barlow Semi Condensed" w:hAnsi="Barlow Semi Condensed"/>
          <w:b/>
          <w:bCs/>
          <w:sz w:val="24"/>
          <w:szCs w:val="24"/>
        </w:rPr>
        <w:t xml:space="preserve">Blocco mirato numero 603 — Il reperto negativo sull'iniziativa. In nessuna delle risoluzioni esaminate l'Italia figura fra i proponenti: la sua fu condotta di voto e non di sponsorizzazione. Livello B, esito provvisorio, con sede di verifica nei progetti di risoluzione della serie A con suffisso L. Se confermato, esso descrive con esattezza la posizione italiana sul dossier: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Blocco mirato numero 604 — Le 2 sovranità. La Santa Sede negò per 72 anni il riconoscimento; l'Italia lo concesse per l'intera durata del regime e vi aggiunse un canale industriale militare. Ma il confronto va formulato con precisione e non moralizzato, per 3 ragioni. Uno Stato ha cittadini all'estero — circa 100.000 in Sudafrica — e interessi economici; la Santa Sede non ne ha, e il costo della non-relazione era per essa incomparabilmente minore. La Santa Sede non fu lineare al proprio interno: la dichiarazione episcopale del 1957 fu adottata in opposizione alla linea del delegato apostolico, che preferiva l'ingaggio con Verwoerd. L'assenza di relazioni non equivale ad assenza di presenza: la Chiesa era in Sudafrica massicciamente presente. Livello A quanto ai 3 rilievi.</w:t>
      </w:r>
    </w:p>
    <w:p>
      <w:pPr>
        <w:spacing w:after="120" w:line="276"/>
        <w:jc w:val="both"/>
      </w:pPr>
      <w:r>
        <w:rPr>
          <w:rFonts w:ascii="Barlow Semi Condensed" w:cs="Barlow Semi Condensed" w:eastAsia="Barlow Semi Condensed" w:hAnsi="Barlow Semi Condensed"/>
          <w:b/>
          <w:bCs/>
          <w:sz w:val="24"/>
          <w:szCs w:val="24"/>
        </w:rPr>
        <w:t xml:space="preserve">Blocco mirato numero 605 — La calibrazione libica. Il caso libico serve a distinguere il silenzio comportamentale dal silenzio archivistico. Esso stabilisce che dove uno studioso ha aperto le serie della Farnesina l'azione italiana è sempre emersa — Libia, Cina, Helsinki, Adriatico, 4 casi su 4 — e che Moro scartò consapevolmente le ritorsioni puntando a compensazioni economiche indirette. Livello B, trattandosi di tesi argomentata da storiografia fondata su archivio. Ne discende la prescrizione che governa ogni esito negativo del presente registro: non concludere per l'inazione senza avere identificato l'apparato competente.</w:t>
      </w:r>
    </w:p>
    <w:p>
      <w:pPr>
        <w:spacing w:after="120" w:line="276"/>
        <w:jc w:val="both"/>
      </w:pPr>
      <w:r>
        <w:rPr>
          <w:rFonts w:ascii="Barlow Semi Condensed" w:cs="Barlow Semi Condensed" w:eastAsia="Barlow Semi Condensed" w:hAnsi="Barlow Semi Condensed"/>
          <w:b/>
          <w:bCs/>
          <w:sz w:val="24"/>
          <w:szCs w:val="24"/>
        </w:rPr>
        <w:t xml:space="preserve">Blocco mirato numero 606 — Il pattern centro-periferia rovesciato. Il corpus possiede 2 casi in cui la periferia episcopale decideva e il centro romano accompagnava. Il caso sudafricano è invertito: la periferia condannò e il centro frenava. Livello B. Il rilievo generale: chi sta sul territorio vede il costo del silenzio, chi rappresenta la sede vede il costo della rottura, e le 2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Blocco mirato numero 607 — Il ponte non costruito. Non esiste alcun nesso documentato fra Aldo Moro e la questione sudafricana o namibiana. Gli atti italiani reperiti — le relazioni diplomatiche dal 1929, l'ordine di 40 velivoli da osservazione del settembre 1970 con consegne sino al dicembre 1975, i voti favorevoli sulle risoluzioni namibiane 301 e 323 del 1971 e 1972 — sono istituzionali e non personalmente riferibili a lui. Stato Zero di grado deposito inesplorato, tendente ad assenza coerente con la collocazione, con sede nella Settima serie dei Documenti Diplomatici Italiani e nei fondi dell'Archivio Storico Diplomatico. Il presente registro non costruisce quel ponte perché il materiale non lo regge.</w:t>
      </w:r>
    </w:p>
    <w:p>
      <w:pPr>
        <w:pStyle w:val="Heading2"/>
        <w:spacing w:after="100" w:before="200"/>
      </w:pPr>
      <w:r>
        <w:rPr>
          <w:rFonts w:ascii="Barlow Semi Condensed" w:cs="Barlow Semi Condensed" w:eastAsia="Barlow Semi Condensed" w:hAnsi="Barlow Semi Condensed"/>
          <w:sz w:val="24"/>
          <w:szCs w:val="24"/>
        </w:rPr>
        <w:t xml:space="preserve">VII — TAVOLA DELLE ACQUISIZIONI NON CONSEGUITE</w:t>
      </w:r>
    </w:p>
    <w:p>
      <w:pPr>
        <w:spacing w:after="120" w:line="276"/>
        <w:jc w:val="both"/>
      </w:pPr>
      <w:r>
        <w:rPr>
          <w:rFonts w:ascii="Barlow Semi Condensed" w:cs="Barlow Semi Condensed" w:eastAsia="Barlow Semi Condensed" w:hAnsi="Barlow Semi Condensed"/>
          <w:b/>
          <w:bCs/>
          <w:sz w:val="24"/>
          <w:szCs w:val="24"/>
        </w:rPr>
        <w:t xml:space="preserve">Blocco mirato numero 701 — Prima voce. Il verbale S/AC.20/SR.25 con la dichiarazione di Abdul Minty sull'Italia. Massimo rendimento, perché da esso dipende la comprensione dell'accusa cui l'Italia rispose nel 1980. Sede: atti del Comitato istituito dalla risoluzione 421 e serie S/AC.20/SR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Blocco mirato numero 702 — Seconda voce. I corpi testuali delle lettere S/9640 e S/AC.20/27. Alto rendimento e costo nullo per chi possa recarvisi, poiché i documenti sono pubblici, catalogati e indirizzabili, e l'ostacolo incontrato è stato il rifiuto del server documentale al recupero automatizzato. Si propone per tale ostacolo un grado autonomo, denominato barriera macchinica: un documento pubblico e indirizzabile la cui acquisizione è impedita non da una norma né da una lacuna ma da un dispositivo tecnico che discrimina fra lettori umani e automatici. La sua proprietà distintiva: non è rimediabile dall'interno del metodo che l'ha incontrato, ma soltanto uscendone.</w:t>
      </w:r>
    </w:p>
    <w:p>
      <w:pPr>
        <w:spacing w:after="120" w:line="276"/>
        <w:jc w:val="both"/>
      </w:pPr>
      <w:r>
        <w:rPr>
          <w:rFonts w:ascii="Barlow Semi Condensed" w:cs="Barlow Semi Condensed" w:eastAsia="Barlow Semi Condensed" w:hAnsi="Barlow Semi Condensed"/>
          <w:b/>
          <w:bCs/>
          <w:sz w:val="24"/>
          <w:szCs w:val="24"/>
        </w:rPr>
        <w:t xml:space="preserve">Blocco mirato numero 703 — Terza voce. Il testo dell'accordo di licenza fra Aermacchi e la controparte sudafricana del 1964, con termini finanziari, geografici e di rinnovo. Sedi: archivio storico di Finmeccanica-Leonardo, archivio Aermacchi, e sul versante sudafricano gli archivi Atlas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704 — Quarta voce. La documentazione dell'apparato competente italiano sulle autorizzazioni. Sedi: Archivio storico dell'Istituto per la Ricostruzione Industriale presso l'Archivio Centrale dello Stato, archivi della Difesa e dello Stato Maggiore dell'Aeronautica, ministeri economici. Condizione: declassificazione degli atti coperti dal segreto di Stato del regime del 1941, con l'avvertenza del blocco 504 che presso quelle sedi potrebbe non esservi nulla da trovare.</w:t>
      </w:r>
    </w:p>
    <w:p>
      <w:pPr>
        <w:spacing w:after="120" w:line="276"/>
        <w:jc w:val="both"/>
      </w:pPr>
      <w:r>
        <w:rPr>
          <w:rFonts w:ascii="Barlow Semi Condensed" w:cs="Barlow Semi Condensed" w:eastAsia="Barlow Semi Condensed" w:hAnsi="Barlow Semi Condensed"/>
          <w:b/>
          <w:bCs/>
          <w:sz w:val="24"/>
          <w:szCs w:val="24"/>
        </w:rPr>
        <w:t xml:space="preserve">Blocco mirato numero 705 — Quinta voce. La verifica dell'esistenza di canali paralleli alla Farnesina per ciascun perimetro, presso i ministeri competenti per materia. Voce nuova, nata dal precedente di Osimo, che nessuna ricognizione anteriore aveva cercata.</w:t>
      </w:r>
    </w:p>
    <w:p>
      <w:pPr>
        <w:spacing w:after="120" w:line="276"/>
        <w:jc w:val="both"/>
      </w:pPr>
      <w:r>
        <w:rPr>
          <w:rFonts w:ascii="Barlow Semi Condensed" w:cs="Barlow Semi Condensed" w:eastAsia="Barlow Semi Condensed" w:hAnsi="Barlow Semi Condensed"/>
          <w:b/>
          <w:bCs/>
          <w:sz w:val="24"/>
          <w:szCs w:val="24"/>
        </w:rPr>
        <w:t xml:space="preserve">Blocco mirato numero 706 — Sesta voce. La documentazione vaticana sul rango della rappresentanza e sulle ragioni del mancato scambio di ambasciatori. Sede: Archivio Apostolico Vaticano. Condizione: impossibilità istituzionale, l'archivio essendo chiuso oltre l'ottobre 1958. È la sola voce della tavola non conseguibile in alcun modo allo stato.</w:t>
      </w:r>
    </w:p>
    <w:p>
      <w:pPr>
        <w:spacing w:after="120" w:line="276"/>
        <w:jc w:val="both"/>
      </w:pPr>
      <w:r>
        <w:rPr>
          <w:rFonts w:ascii="Barlow Semi Condensed" w:cs="Barlow Semi Condensed" w:eastAsia="Barlow Semi Condensed" w:hAnsi="Barlow Semi Condensed"/>
          <w:b/>
          <w:bCs/>
          <w:sz w:val="24"/>
          <w:szCs w:val="24"/>
        </w:rPr>
        <w:t xml:space="preserve">Blocco mirato numero 707 — Settima voce. Il voto italiano sulla risoluzione 2775 della ventiseiesima sessione, del 29 novembre 1971, intitolata Arms embargo. È la risoluzione più direttamente pertinente al perimetro e il voto italiano su di essa non è accertato. Sede: scheda di voting data del singolo documento.</w:t>
      </w:r>
    </w:p>
    <w:p>
      <w:pPr>
        <w:spacing w:after="120" w:line="276"/>
        <w:jc w:val="both"/>
      </w:pPr>
      <w:r>
        <w:rPr>
          <w:rFonts w:ascii="Barlow Semi Condensed" w:cs="Barlow Semi Condensed" w:eastAsia="Barlow Semi Condensed" w:hAnsi="Barlow Semi Condensed"/>
          <w:b/>
          <w:bCs/>
          <w:sz w:val="24"/>
          <w:szCs w:val="24"/>
        </w:rPr>
        <w:t xml:space="preserve">Blocco mirato numero 708 — Ottava voce. Le dichiarazioni esplicative di voto italiane e tedesche, che sole accerterebbero la ragione dell'inversione del blocco 601. Sede: verbali plenari della serie A/PV, e in particolare A/31/PV.105.</w:t>
      </w:r>
    </w:p>
    <w:p>
      <w:pPr>
        <w:spacing w:after="120" w:line="276"/>
        <w:jc w:val="both"/>
      </w:pPr>
      <w:r>
        <w:rPr>
          <w:rFonts w:ascii="Barlow Semi Condensed" w:cs="Barlow Semi Condensed" w:eastAsia="Barlow Semi Condensed" w:hAnsi="Barlow Semi Condensed"/>
          <w:b/>
          <w:bCs/>
          <w:sz w:val="24"/>
          <w:szCs w:val="24"/>
        </w:rPr>
        <w:t xml:space="preserve">Blocco mirato numero 801 — Sintesi del dato nuovo acquisito. La triangolazione dei 5 artefatti con i 2 volumi conferiti stabilisce che la monografia sul caso Moro non contiene materia africana australe e non è triangolabile su questo perimetro; che il primo tomo del registro possiede il Sudafrica quale nodo a massima intermediazione ma non ne nomina il canale industriale italiano, assente con zero occorrenze; che il medesimo tomo, la cui Fase 1 è intitolata al quadrilatero comprendente il Vaticano, non contiene la condotta diplomatica della Santa Sede verso Pretoria, assente con zero occorrenze; che la Namibia vi ricorre una sola volta e in contesto estraneo. Il presente registro versa 14 nodi individuali, 13 nodi organizzativi, 12 nodi-evento e 9 ponti, di cui il ponte di transito Bristol Siddeley-Piaggio-Atlas costituisce l'acquisizione principale, con il documento d'intelligence statunitense che ne attribuisce all'Italia l'anello autorizzativo. Esso emenda inoltre la qualificazione del Sudafrica quale Stato Zero esemplare, distinguendo il canale industriale — documentato — dall'atto di governo — non documentato per atipicità dell'ordinamento anteriore al 1990 — e propone per tale fattispecie il grado dell'atto atipico, e per l'ostacolo tecnico incontrato sui documenti pubblici il grado della barriera macchinica. Non costruisce alcun ponte fra Aldo Moro e il teatro australe, dichiarando in sua vece uno Stato Zero di grado deposito inesplorato, poiché il materiale non regge il ponte e la disciplina del registro vieta di edificarlo.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 ·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 6.143 parole in 9 sezioni; la più ampia è §9 Altre sezioni, con 4.413.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 82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 — Secondo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SECONDO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Il teatro australe entro l'architettura Alfa-Beta</w:t>
      </w:r>
    </w:p>
    <w:p>
      <w:pPr>
        <w:pStyle w:val="Heading2"/>
        <w:spacing w:after="100" w:before="200"/>
      </w:pPr>
      <w:r>
        <w:rPr>
          <w:rFonts w:ascii="Barlow Semi Condensed" w:cs="Barlow Semi Condensed" w:eastAsia="Barlow Semi Condensed" w:hAnsi="Barlow Semi Condensed"/>
          <w:sz w:val="24"/>
          <w:szCs w:val="24"/>
        </w:rPr>
        <w:t xml:space="preserve">Triangolazione del sesto artefatto con l'Edizione Integrata</w:t>
      </w:r>
    </w:p>
    <w:p>
      <w:pPr>
        <w:pStyle w:val="Heading2"/>
        <w:spacing w:after="100" w:before="200"/>
      </w:pPr>
      <w:r>
        <w:rPr>
          <w:rFonts w:ascii="Barlow Semi Condensed" w:cs="Barlow Semi Condensed" w:eastAsia="Barlow Semi Condensed" w:hAnsi="Barlow Semi Condensed"/>
          <w:sz w:val="24"/>
          <w:szCs w:val="24"/>
        </w:rPr>
        <w:t xml:space="preserve">Il paragrafo 1.6 istanziato — il test su H1 — i 2 flussi distinti</w:t>
      </w:r>
    </w:p>
    <w:p>
      <w:pPr>
        <w:pStyle w:val="Heading2"/>
        <w:spacing w:after="100" w:before="200"/>
      </w:pPr>
      <w:r>
        <w:rPr>
          <w:rFonts w:ascii="Barlow Semi Condensed" w:cs="Barlow Semi Condensed" w:eastAsia="Barlow Semi Condensed" w:hAnsi="Barlow Semi Condensed"/>
          <w:sz w:val="24"/>
          <w:szCs w:val="24"/>
        </w:rPr>
        <w:t xml:space="preserve">Blocchi 901-1501 — 10 nodi residui — 2 gradi proposti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SECONDO REGISTRO ANALITICO DEI NODI E DEI PONTI</w:t>
      </w:r>
    </w:p>
    <w:p>
      <w:pPr>
        <w:spacing w:after="120" w:line="276"/>
        <w:jc w:val="both"/>
      </w:pPr>
      <w:r>
        <w:rPr>
          <w:rFonts w:ascii="Barlow Semi Condensed" w:cs="Barlow Semi Condensed" w:eastAsia="Barlow Semi Condensed" w:hAnsi="Barlow Semi Condensed"/>
          <w:b/>
          <w:bCs/>
          <w:sz w:val="24"/>
          <w:szCs w:val="24"/>
        </w:rPr>
        <w:t xml:space="preserve">Il teatro australe entro l'architettura Alfa-Beta. Triangolazione del sesto artefatto con l'Edizione Integrata</w:t>
      </w:r>
    </w:p>
    <w:p>
      <w:pPr>
        <w:spacing w:after="120" w:line="276"/>
        <w:jc w:val="both"/>
      </w:pPr>
      <w:r>
        <w:rPr>
          <w:rFonts w:ascii="Barlow Semi Condensed" w:cs="Barlow Semi Condensed" w:eastAsia="Barlow Semi Condensed" w:hAnsi="Barlow Semi Condensed"/>
          <w:b/>
          <w:bCs/>
          <w:sz w:val="24"/>
          <w:szCs w:val="24"/>
        </w:rPr>
        <w:t xml:space="preserve">Blocco mirato numero 901 — Rettifica preliminare sul conteggio. L'ordine ricevuto domanda la triangolazione degli artefatti dal sesto al decimo. Gli artefatti dal settimo al decimo non esistono. La sessione ne ha prodotti 6: le 5 ricognizioni — calibrazione libica, canale Aermacchi, confronto italo-tedesco namibiano, Santa Sede e Democrazia Cristiana, fonti primarie presso le Nazioni Unite — e il Registro Analitico dei Nodi e dei Ponti che le ha triangolate. Il sesto artefatto è quel Registro. Non è possibile triangolare documenti non prodotti, e il presente registro non lo simula.</w:t>
      </w:r>
    </w:p>
    <w:p>
      <w:pPr>
        <w:spacing w:after="120" w:line="276"/>
        <w:jc w:val="both"/>
      </w:pPr>
      <w:r>
        <w:rPr>
          <w:rFonts w:ascii="Barlow Semi Condensed" w:cs="Barlow Semi Condensed" w:eastAsia="Barlow Semi Condensed" w:hAnsi="Barlow Semi Condensed"/>
          <w:b/>
          <w:bCs/>
          <w:sz w:val="24"/>
          <w:szCs w:val="24"/>
        </w:rPr>
        <w:t xml:space="preserve">Blocco mirato numero 902 — L'operazione eseguita in vece. Si triangola il sesto artefatto con il volume nella sua Edizione Integrata, che differisce da quella conferita in precedenza e ne muta l'architettura. Livello A quanto alla differenza, accertata per riscontro meccanico.</w:t>
      </w:r>
    </w:p>
    <w:p>
      <w:pPr>
        <w:spacing w:after="120" w:line="276"/>
        <w:jc w:val="both"/>
      </w:pPr>
      <w:r>
        <w:rPr>
          <w:rFonts w:ascii="Barlow Semi Condensed" w:cs="Barlow Semi Condensed" w:eastAsia="Barlow Semi Condensed" w:hAnsi="Barlow Semi Condensed"/>
          <w:b/>
          <w:bCs/>
          <w:sz w:val="24"/>
          <w:szCs w:val="24"/>
        </w:rPr>
        <w:t xml:space="preserve">Blocco mirato numero 903 — Il delta fra le 2 edizioni. L'edizione precedente contava 1.074 paragrafi e 200.107 parole; l'Edizione Integrata ne conta 1.952 e 241.052. L'accrescimento è di 878 paragrafi e circa 41.000 parole, con 19 intestazioni nuove.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904 — Che cosa l'accrescimento ha assorbito. Non il teatro australe nella forma versata dal sesto artefatto, bensì un corpus distinto: la Formazione Beta, ossia l'operazione di influenza russa contemporanea dal 2010 al 2026, con i suoi 10 capitoli dedicati al substrato ideologico, a Dugin, all'infiltrazione nella Lega, al canale finanziario di Malofeev e Komov, alla Crimea, all'affare Metropol, ai servizi russi e alla Fondazione per la Pace, all'ecosistema mediatico e alla convergenza rossobruna. Livello A. Vi si aggiungono una Fase 0 di premessa epistemologica, una Fase III sul contenitore europeo, una Fase IV di vaglio delle ipotesi, una Fase V di rilievi civili e penali, una Fase VI di registro di verifica, e 2 tranche di triangolazione documentale.</w:t>
      </w:r>
    </w:p>
    <w:p>
      <w:pPr>
        <w:spacing w:after="120" w:line="276"/>
        <w:jc w:val="both"/>
      </w:pPr>
      <w:r>
        <w:rPr>
          <w:rFonts w:ascii="Barlow Semi Condensed" w:cs="Barlow Semi Condensed" w:eastAsia="Barlow Semi Condensed" w:hAnsi="Barlow Semi Condensed"/>
          <w:b/>
          <w:bCs/>
          <w:sz w:val="24"/>
          <w:szCs w:val="24"/>
        </w:rPr>
        <w:t xml:space="preserve">Blocco mirato numero 905 — Il riscontro lessicale sul versamento. Le 20 chiavi del sesto artefatto — Aermacchi, Impala, Piaggio, Viper, Atlas, nunziatura, delegazione apostolica, Hurley, Minty, la segnatura del documento d'intelligence, atto atipico, barriera macchinica, Gruppo di contatto, Zonderwater, Bosbok, Poledrini, Carbone, Osimo, e le segnature delle 2 lettere — ricorrono zero volte nell'Edizione Integrata.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906 — Ma il riscontro lessicale non esaurisce la verifica, e il presente registro rettifica sé stesso. L'assenza dei nomi propri non implica l'assenza della materia. L'Edizione Integrata possiede il teatro australe, e con collocazione precisa: il paragrafo 1.6 della Fase I, intitolato all'asse dei paria — apartheid, armi ed elusione dell'embargo — dichiarato ultimo segmento spaziale della Formazione Alfa.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907 — Che cosa il paragrafo 1.6 stabilisce. Che esiste un asse fra i regimi isolati dalla comunità internazionale — il Sudafrica dell'apartheid, il Paraguay di Stroessner, il Cile di Pinochet e altri — fondato sulla comune condizione di Stati paria e sull'elusione delle sanzioni; e che esso mostra il pattern del transito applicato su scala intercontinentale, con competenze e materiali circolanti lungo una catena di regimi accomunati non da un'ideologia positiva unica ma dalla necessità di sottrarsi alle sanzioni.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908 — Ne discende la qualificazione corretta del rapporto fra i 2 corpi. Il sesto artefatto non collide con l'Edizione Integrata: la istanzia. Il ponte principale che esso versa — la catena Bristol Siddeley, Piaggio, Atlas — è precisamente un arco di transito nel senso della tassonomia, ed è l'istanza italiana nominata, datata e documentata di ciò che il paragrafo 1.6 descrive in forma generica.</w:t>
      </w:r>
    </w:p>
    <w:p>
      <w:pPr>
        <w:spacing w:after="120" w:line="276"/>
        <w:jc w:val="both"/>
      </w:pPr>
      <w:r>
        <w:rPr>
          <w:rFonts w:ascii="Barlow Semi Condensed" w:cs="Barlow Semi Condensed" w:eastAsia="Barlow Semi Condensed" w:hAnsi="Barlow Semi Condensed"/>
          <w:b/>
          <w:bCs/>
          <w:sz w:val="24"/>
          <w:szCs w:val="24"/>
        </w:rPr>
        <w:t xml:space="preserve">Blocco mirato numero 909 — La formulazione del versamento. Il volume possiede il pattern; il sesto artefatto ne fornisce l'esemplare italiano. Il volume dice che competenze e materiali circolarono lungo una catena di regimi paria; il sesto artefatto dice quali competenze, per quale catena, con quale licenza, in quale anno, e con quale documento d'intelligence straniero che ne attribuisce all'Italia l'anello autorizzativo.</w:t>
      </w:r>
    </w:p>
    <w:p>
      <w:pPr>
        <w:spacing w:after="120" w:line="276"/>
        <w:jc w:val="both"/>
      </w:pPr>
      <w:r>
        <w:rPr>
          <w:rFonts w:ascii="Barlow Semi Condensed" w:cs="Barlow Semi Condensed" w:eastAsia="Barlow Semi Condensed" w:hAnsi="Barlow Semi Condensed"/>
          <w:b/>
          <w:bCs/>
          <w:sz w:val="24"/>
          <w:szCs w:val="24"/>
        </w:rPr>
        <w:t xml:space="preserve">Blocco mirato numero 910 — Statuto probatorio e discipline. Si conservano il sistema Savona 2.1 con grado in linea, la notazione a triangolo, rombo e quadrato, la tipizzazione degli archi, il divieto di trattare la contemporaneità quale prova di nesso e l'appartenenza quale prova di condotta, e la disciplina delle persone viventi. Si conserva altresì la numerazione a blocchi mirati, che riprende dal 901 per segnalare la distinzione dal primo registro, chiuso al blocco 801.</w:t>
      </w:r>
    </w:p>
    <w:p>
      <w:pPr>
        <w:pStyle w:val="Heading2"/>
        <w:spacing w:after="100" w:before="200"/>
      </w:pPr>
      <w:r>
        <w:rPr>
          <w:rFonts w:ascii="Barlow Semi Condensed" w:cs="Barlow Semi Condensed" w:eastAsia="Barlow Semi Condensed" w:hAnsi="Barlow Semi Condensed"/>
          <w:sz w:val="24"/>
          <w:szCs w:val="24"/>
        </w:rPr>
        <w:t xml:space="preserve">I — LA COLLOCAZIONE ENTRO LA FORMAZIONE ALFA</w:t>
      </w:r>
    </w:p>
    <w:p>
      <w:pPr>
        <w:spacing w:after="120" w:line="276"/>
        <w:jc w:val="both"/>
      </w:pPr>
      <w:r>
        <w:rPr>
          <w:rFonts w:ascii="Barlow Semi Condensed" w:cs="Barlow Semi Condensed" w:eastAsia="Barlow Semi Condensed" w:hAnsi="Barlow Semi Condensed"/>
          <w:b/>
          <w:bCs/>
          <w:sz w:val="24"/>
          <w:szCs w:val="24"/>
        </w:rPr>
        <w:t xml:space="preserve">Blocco mirato numero 1001 — L'asse temporale. La Formazione Alfa è definita dal volume lungo un asse che muove dal 1945 e si chiude al 1990. Il teatro australe versato dal sesto artefatto si distribuisce integralmente entro tale arco, con 3 date di apertura e 3 di chiusura. Apertura: la licenza Aermacchi del 1964, l'avvio della produzione locale del 1966, la costituzione dell'Atlas nel 1965. Chiusura: la cessazione della produzione nel 1986, l'indipendenza namibiana del 21 marzo 1990, lo smantellamento dell'impianto di Valindaba il 1 febbraio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1002 — Il reperto cronologico, ed è di rilievo architettonico. La Formazione Alfa si chiude al 1990; la Formazione Beta si apre agli anni Dieci del nuovo secolo. Il teatro australe si estingue esattamente sulla soglia terminale di Alfa, e 3 dei suoi eventi maggiori cadono nell'anno 1990 medesimo. Livello A quanto alle date; Livello B quanto alla qualificazione che se ne trae, ossia che il teatro australe costituisce l'ultimo atto documentato della Formazione Alfa e non trova continuazione in Beta.</w:t>
      </w:r>
    </w:p>
    <w:p>
      <w:pPr>
        <w:spacing w:after="120" w:line="276"/>
        <w:jc w:val="both"/>
      </w:pPr>
      <w:r>
        <w:rPr>
          <w:rFonts w:ascii="Barlow Semi Condensed" w:cs="Barlow Semi Condensed" w:eastAsia="Barlow Semi Condensed" w:hAnsi="Barlow Semi Condensed"/>
          <w:b/>
          <w:bCs/>
          <w:sz w:val="24"/>
          <w:szCs w:val="24"/>
        </w:rPr>
        <w:t xml:space="preserve">Blocco mirato numero 1003 — L'eccezione vaticana alla cronologia. Un solo nodo del sesto artefatto oltrepassa la soglia del 1990: l'apertura delle relazioni diplomatiche fra Santa Sede e Sudafrica, il 15 giugno 1994, con erezione della nunziatura il 25 giugno. Livello A. Esso non appartiene però alla Formazione Alfa bensì alla sua liquidazione: è l'atto con cui la fine del regime viene riconosciuta, non un atto del regime.</w:t>
      </w:r>
    </w:p>
    <w:p>
      <w:pPr>
        <w:spacing w:after="120" w:line="276"/>
        <w:jc w:val="both"/>
      </w:pPr>
      <w:r>
        <w:rPr>
          <w:rFonts w:ascii="Barlow Semi Condensed" w:cs="Barlow Semi Condensed" w:eastAsia="Barlow Semi Condensed" w:hAnsi="Barlow Semi Condensed"/>
          <w:b/>
          <w:bCs/>
          <w:sz w:val="24"/>
          <w:szCs w:val="24"/>
        </w:rPr>
        <w:t xml:space="preserve">Blocco mirato numero 1004 — L'asse spaziale. Il volume dispone la Formazione Alfa lungo un asse che dall'Europa continentale procede verso la penisola iberica, poi verso il Sud America e infine verso l'Africa australe, dichiarata ultimo segmento spaziale. Il sesto artefatto vi aggiunge una direttrice che il volume non censisce: la Namibia quale prolungamento del segmento australe, con il Gruppo di contatto occidentale costituito nell'aprile 1977, la risoluzione 435 del 29 settembre 1978 e lo United Nations Transition Assistance Group.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1005 — Il codice unificante e la sua verifica sul canale italiano. Il volume enuncia che il codice della Formazione Alfa è l'allineamento anticomunista, e che la polarità geopolitica è coerente: allineamento nel campo anticomunista, non ponte verso il blocco orientale. Il canale Aermacchi verifica l'enunciato: il velivolo fu impiegato operativamente contro forze angolane e cubane nella guerra di confine fra il 1975 e il 1989. Livello B, trattandosi di pubblicistica aeronautica per l'impiego, Livello A per la sua collocazione nel campo.</w:t>
      </w:r>
    </w:p>
    <w:p>
      <w:pPr>
        <w:spacing w:after="120" w:line="276"/>
        <w:jc w:val="both"/>
      </w:pPr>
      <w:r>
        <w:rPr>
          <w:rFonts w:ascii="Barlow Semi Condensed" w:cs="Barlow Semi Condensed" w:eastAsia="Barlow Semi Condensed" w:hAnsi="Barlow Semi Condensed"/>
          <w:b/>
          <w:bCs/>
          <w:sz w:val="24"/>
          <w:szCs w:val="24"/>
        </w:rPr>
        <w:t xml:space="preserve">Blocco mirato numero 1006 — Ma il codice non spiega tutto, e il sesto artefatto vi introduce una tensione. Il volume qualifica l'asse dei paria come fondato non su un'ideologia positiva unica ma sulla necessità di sottrarsi alle sanzioni. Il canale italiano è coerente con tale qualificazione e non con quella ideologica: la licenza del 1964 è anteriore di 13 anni all'embargo obbligatorio, non nasce come elusione ma vi si trova dentro per continuazione. Livello A quanto alle date.</w:t>
      </w:r>
    </w:p>
    <w:p>
      <w:pPr>
        <w:spacing w:after="120" w:line="276"/>
        <w:jc w:val="both"/>
      </w:pPr>
      <w:r>
        <w:rPr>
          <w:rFonts w:ascii="Barlow Semi Condensed" w:cs="Barlow Semi Condensed" w:eastAsia="Barlow Semi Condensed" w:hAnsi="Barlow Semi Condensed"/>
          <w:b/>
          <w:bCs/>
          <w:sz w:val="24"/>
          <w:szCs w:val="24"/>
        </w:rPr>
        <w:t xml:space="preserve">Blocco mirato numero 1007 — Ne discende una distinzione che il registro propone. Entro l'asse dei paria vanno distinti 2 tipi di canale. Il canale costituito per eludere, che nasce dopo la sanzione e in funzione di essa, e al quale appartengono le società di comodo e gli intermediari che il volume censisce. E il canale preesistente alla sanzione e non risolto, che nasce in regime lecito e diviene problematico per mutamento del diritto senza mutamento della condotta. Il caso Aermacchi appartiene al secondo tipo.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1008 — La portata della distinzione. Essa non attenua la valutazione politica ma ne muta l'oggetto: non vi è, per il canale del secondo tipo, un atto di costituzione da imputare, bensì un'omissione di risoluzione. Livello B, trattandosi di qualificazione giuridica proposta e non attestata da fonte.</w:t>
      </w:r>
    </w:p>
    <w:p>
      <w:pPr>
        <w:spacing w:after="120" w:line="276"/>
        <w:jc w:val="both"/>
      </w:pPr>
      <w:r>
        <w:rPr>
          <w:rFonts w:ascii="Barlow Semi Condensed" w:cs="Barlow Semi Condensed" w:eastAsia="Barlow Semi Condensed" w:hAnsi="Barlow Semi Condensed"/>
          <w:b/>
          <w:bCs/>
          <w:sz w:val="24"/>
          <w:szCs w:val="24"/>
        </w:rPr>
        <w:t xml:space="preserve">Blocco mirato numero 1009 — E qui il primo registro fornisce la ragione dell'omissione. Fino alla legge 185 del 9 luglio 1990 la cessione all'estero di licenze di produzione non era fattispecie autorizzativa tipizzata, e la materia era coperta dal segreto di Stato ai sensi del regio decreto 11 luglio 1941 numero 1161. Livello A. Non esisteva l'atto con cui risolvere, perché non esisteva l'atto con cui autorizzare.</w:t>
      </w:r>
    </w:p>
    <w:p>
      <w:pPr>
        <w:spacing w:after="120" w:line="276"/>
        <w:jc w:val="both"/>
      </w:pPr>
      <w:r>
        <w:rPr>
          <w:rFonts w:ascii="Barlow Semi Condensed" w:cs="Barlow Semi Condensed" w:eastAsia="Barlow Semi Condensed" w:hAnsi="Barlow Semi Condensed"/>
          <w:b/>
          <w:bCs/>
          <w:sz w:val="24"/>
          <w:szCs w:val="24"/>
        </w:rPr>
        <w:t xml:space="preserve">Blocco mirato numero 1010 — Sintesi del segmento. Il teatro australe si colloca integralmente entro la Formazione Alfa, ne costituisce l'ultimo segmento temporale oltre che spaziale, ne verifica il codice unificante quanto alla polarità, e vi introduce una distinzione fra canali costituiti per eludere e canali preesistenti non risolti, della quale il canale italiano è esemplare del secondo tipo.</w:t>
      </w:r>
    </w:p>
    <w:p>
      <w:pPr>
        <w:pStyle w:val="Heading2"/>
        <w:spacing w:after="100" w:before="200"/>
      </w:pPr>
      <w:r>
        <w:rPr>
          <w:rFonts w:ascii="Barlow Semi Condensed" w:cs="Barlow Semi Condensed" w:eastAsia="Barlow Semi Condensed" w:hAnsi="Barlow Semi Condensed"/>
          <w:sz w:val="24"/>
          <w:szCs w:val="24"/>
        </w:rPr>
        <w:t xml:space="preserve">II — IL TEST SU H1: LA POLARITÀ DELLE SUPERPOTENZE NEL TEATRO AUSTRALE</w:t>
      </w:r>
    </w:p>
    <w:p>
      <w:pPr>
        <w:spacing w:after="120" w:line="276"/>
        <w:jc w:val="both"/>
      </w:pPr>
      <w:r>
        <w:rPr>
          <w:rFonts w:ascii="Barlow Semi Condensed" w:cs="Barlow Semi Condensed" w:eastAsia="Barlow Semi Condensed" w:hAnsi="Barlow Semi Condensed"/>
          <w:b/>
          <w:bCs/>
          <w:sz w:val="24"/>
          <w:szCs w:val="24"/>
        </w:rPr>
        <w:t xml:space="preserve">Blocco mirato numero 1101 — La tesi che il volume oppone alla macro-ipotesi. L'Edizione Integrata enuncia quale evidenza diagnostica centrale che nelle 2 formazioni — l'anticomunista atlantica e l'eurasiatista contemporanea — Stati Uniti e Russia si trovano su fronti opposti, e che la Formazione Alfa, presa per ciò che il corpus documenta, non offre alcun riscontro alla tesi di un condominio operativo fra Stati Uniti e Unione Sovietica.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1102 — Perché il teatro australe è il banco di prova più duro. Se un condominio operativo fra le superpotenze fosse mai esistito, il dossier dell'apartheid sarebbe il luogo dove cercarlo: vi convergevano un embargo internazionale, un regime isolato, una guerra per procura con truppe cubane e sostegno sovietico da un lato e appoggi occidentali dall'altro. Il registro vi conduce dunque la verifica.</w:t>
      </w:r>
    </w:p>
    <w:p>
      <w:pPr>
        <w:spacing w:after="120" w:line="276"/>
        <w:jc w:val="both"/>
      </w:pPr>
      <w:r>
        <w:rPr>
          <w:rFonts w:ascii="Barlow Semi Condensed" w:cs="Barlow Semi Condensed" w:eastAsia="Barlow Semi Condensed" w:hAnsi="Barlow Semi Condensed"/>
          <w:b/>
          <w:bCs/>
          <w:sz w:val="24"/>
          <w:szCs w:val="24"/>
        </w:rPr>
        <w:t xml:space="preserve">Blocco mirato numero 1103 — Primo reperto: il voto unanime del 4 novembre 1977. La risoluzione 418, che rese obbligatorio l'embargo sulle armi ai sensi del Capitolo settimo, fu adottata nella 2046ª seduta con 15 voti favorevoli, nessun contrario, nessun astenuto. Livello A. Stati Uniti e Unione Sovietica votarono entrambi a favore.</w:t>
      </w:r>
    </w:p>
    <w:p>
      <w:pPr>
        <w:spacing w:after="120" w:line="276"/>
        <w:jc w:val="both"/>
      </w:pPr>
      <w:r>
        <w:rPr>
          <w:rFonts w:ascii="Barlow Semi Condensed" w:cs="Barlow Semi Condensed" w:eastAsia="Barlow Semi Condensed" w:hAnsi="Barlow Semi Condensed"/>
          <w:b/>
          <w:bCs/>
          <w:sz w:val="24"/>
          <w:szCs w:val="24"/>
        </w:rPr>
        <w:t xml:space="preserve">Blocco mirato numero 1104 — Come va letto tale reperto, e la lettura richiede disciplina. L'unanimità del 1977 non è un condominio ma il suo contrario: è convergenza formale su una sanzione contro un terzo, non coordinamento operativo fra le 2 potenze. La distinzione fra voto convergente e condotta convergente è dirimente e va mantenuta. Livello A quanto al voto; nessun livello quanto a un condominio, che il voto non prova.</w:t>
      </w:r>
    </w:p>
    <w:p>
      <w:pPr>
        <w:spacing w:after="120" w:line="276"/>
        <w:jc w:val="both"/>
      </w:pPr>
      <w:r>
        <w:rPr>
          <w:rFonts w:ascii="Barlow Semi Condensed" w:cs="Barlow Semi Condensed" w:eastAsia="Barlow Semi Condensed" w:hAnsi="Barlow Semi Condensed"/>
          <w:b/>
          <w:bCs/>
          <w:sz w:val="24"/>
          <w:szCs w:val="24"/>
        </w:rPr>
        <w:t xml:space="preserve">Blocco mirato numero 1105 — Secondo reperto: la divergenza operativa immediatamente successiva. Mentre entrambe le superpotenze votavano la sanzione, esse operavano su fronti opposti sul terreno: l'Unione Sovietica sosteneva i movimenti di liberazione, e gli Stati Uniti dell'amministrazione Reagan subordinarono l'attuazione del piano namibiano al ritiro delle truppe cubane dall'Angola, secondo la dottrina del linkage. Livello A.</w:t>
      </w:r>
    </w:p>
    <w:p>
      <w:pPr>
        <w:spacing w:after="120" w:line="276"/>
        <w:jc w:val="both"/>
      </w:pPr>
      <w:r>
        <w:rPr>
          <w:rFonts w:ascii="Barlow Semi Condensed" w:cs="Barlow Semi Condensed" w:eastAsia="Barlow Semi Condensed" w:hAnsi="Barlow Semi Condensed"/>
          <w:b/>
          <w:bCs/>
          <w:sz w:val="24"/>
          <w:szCs w:val="24"/>
        </w:rPr>
        <w:t xml:space="preserve">Blocco mirato numero 1106 — Terzo reperto, ed è quello che il sesto artefatto aggiunge di proprio. La frattura rilevante nel teatro australe non corre fra Est e Ovest ma dentro l'Occidente. Le acquisizioni lo documentano su 3 piani. Sul piano delle forniture: fu la Francia a divenire principale fornitore militare di Pretoria dopo l'embargo raccomandato del 1963, mentre Italia, Regno Unito, Germania Federale e Stati Uniti vi si adeguarono senza particolari ritardi. Livello B. Sul piano delle sanzioni economiche: la Germania Federale bloccò nel settembre 1986 il divieto comunitario di importazione del carbone sudafricano. Livello A. Sul piano industriale: il canale italiano proseguì attraverso la soglia del 1977. Livello A.</w:t>
      </w:r>
    </w:p>
    <w:p>
      <w:pPr>
        <w:spacing w:after="120" w:line="276"/>
        <w:jc w:val="both"/>
      </w:pPr>
      <w:r>
        <w:rPr>
          <w:rFonts w:ascii="Barlow Semi Condensed" w:cs="Barlow Semi Condensed" w:eastAsia="Barlow Semi Condensed" w:hAnsi="Barlow Semi Condensed"/>
          <w:b/>
          <w:bCs/>
          <w:sz w:val="24"/>
          <w:szCs w:val="24"/>
        </w:rPr>
        <w:t xml:space="preserve">Blocco mirato numero 1107 — Ne discende il primo esito del test. Il teatro australe conferma la tesi diagnostica del volume e non la contraddice: esso non offre alcun riscontro a un condominio fra le superpotenze, e mostra semmai superpotenze su fronti opposti e un Occidente diviso al proprio interno. Livello A quanto ai reperti; Livello B quanto alla conclusione.</w:t>
      </w:r>
    </w:p>
    <w:p>
      <w:pPr>
        <w:spacing w:after="120" w:line="276"/>
        <w:jc w:val="both"/>
      </w:pPr>
      <w:r>
        <w:rPr>
          <w:rFonts w:ascii="Barlow Semi Condensed" w:cs="Barlow Semi Condensed" w:eastAsia="Barlow Semi Condensed" w:hAnsi="Barlow Semi Condensed"/>
          <w:b/>
          <w:bCs/>
          <w:sz w:val="24"/>
          <w:szCs w:val="24"/>
        </w:rPr>
        <w:t xml:space="preserve">Blocco mirato numero 1108 — Il secondo esito, che riguarda la macro-ipotesi H1. Poiché H1 postula la convergenza delle potenze imperiali contro l'integrazione europea, e poiché il teatro australe mostra divergenza fra le potenze e frattura interna al campo occidentale, esso milita contro H1 e non a suo favore. Il registro lo iscrive perciò fra i falsificatori disponibili, e non fra le conferme.</w:t>
      </w:r>
    </w:p>
    <w:p>
      <w:pPr>
        <w:spacing w:after="120" w:line="276"/>
        <w:jc w:val="both"/>
      </w:pPr>
      <w:r>
        <w:rPr>
          <w:rFonts w:ascii="Barlow Semi Condensed" w:cs="Barlow Semi Condensed" w:eastAsia="Barlow Semi Condensed" w:hAnsi="Barlow Semi Condensed"/>
          <w:b/>
          <w:bCs/>
          <w:sz w:val="24"/>
          <w:szCs w:val="24"/>
        </w:rPr>
        <w:t xml:space="preserve">Blocco mirato numero 1109 — La disciplina impone però il limite dell'esito. Un solo teatro non falsifica una macro-ipotesi che ha ambizione sistemica; esso ne restringe il campo di applicazione. La formulazione corretta è che H1, ove mantenuta, deve escludere il dossier australe dal proprio perimetro, e dichiararlo. Livello C, poiché H1 resta ipotesi di terzo grado per statuto del progetto.</w:t>
      </w:r>
    </w:p>
    <w:p>
      <w:pPr>
        <w:spacing w:after="120" w:line="276"/>
        <w:jc w:val="both"/>
      </w:pPr>
      <w:r>
        <w:rPr>
          <w:rFonts w:ascii="Barlow Semi Condensed" w:cs="Barlow Semi Condensed" w:eastAsia="Barlow Semi Condensed" w:hAnsi="Barlow Semi Condensed"/>
          <w:b/>
          <w:bCs/>
          <w:sz w:val="24"/>
          <w:szCs w:val="24"/>
        </w:rPr>
        <w:t xml:space="preserve">Blocco mirato numero 1110 — Un reperto vaticano che complica il quadro e va registrato. La risoluzione 418 fu votata anche dall'Unione Sovietica; e la Santa Sede negò a Pretoria il riconoscimento diplomatico per 72 anni, mentre l'Italia glielo concedeva dal 1929. Livello A. Ne discende che sul dossier dell'apartheid l'allineamento non segue la linea Est-Ovest né quella cattolica-laica, e che le sovranità vi si distribuiscono secondo un criterio che il registro non è in grado di ridurre a codice unico. Reperto negativo di prima classe: nessun codice unificante spiega la distribuzione delle condotte sul dossier australe.</w:t>
      </w:r>
    </w:p>
    <w:p>
      <w:pPr>
        <w:pStyle w:val="Heading2"/>
        <w:spacing w:after="100" w:before="200"/>
      </w:pPr>
      <w:r>
        <w:rPr>
          <w:rFonts w:ascii="Barlow Semi Condensed" w:cs="Barlow Semi Condensed" w:eastAsia="Barlow Semi Condensed" w:hAnsi="Barlow Semi Condensed"/>
          <w:sz w:val="24"/>
          <w:szCs w:val="24"/>
        </w:rPr>
        <w:t xml:space="preserve">III — IL CONTENITORE EUROPEO E IL TEATRO AUSTRALE</w:t>
      </w:r>
    </w:p>
    <w:p>
      <w:pPr>
        <w:spacing w:after="120" w:line="276"/>
        <w:jc w:val="both"/>
      </w:pPr>
      <w:r>
        <w:rPr>
          <w:rFonts w:ascii="Barlow Semi Condensed" w:cs="Barlow Semi Condensed" w:eastAsia="Barlow Semi Condensed" w:hAnsi="Barlow Semi Condensed"/>
          <w:b/>
          <w:bCs/>
          <w:sz w:val="24"/>
          <w:szCs w:val="24"/>
        </w:rPr>
        <w:t xml:space="preserve">Blocco mirato numero 1201 — La categoria del volume. L'Edizione Integrata introduce nella Fase III la destra radicale europea quale contenitore ricorsivo, ambiente occupabile che attraversa entrambe le formazioni.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1202 — La verifica sul teatro australe. Il sesto artefatto offre alla categoria una verifica e un limite. La verifica: il regime di Pretoria funzionò da nodo di accoglienza per soggetti dell'eversione e degli apparati deviati europei, e il volume lo certifica già al Livello A per il caso della latitanza di Gianadelio Maletti a Johannesburg. Il contenitore fu dunque occupato anche in direzione australe.</w:t>
      </w:r>
    </w:p>
    <w:p>
      <w:pPr>
        <w:spacing w:after="120" w:line="276"/>
        <w:jc w:val="both"/>
      </w:pPr>
      <w:r>
        <w:rPr>
          <w:rFonts w:ascii="Barlow Semi Condensed" w:cs="Barlow Semi Condensed" w:eastAsia="Barlow Semi Condensed" w:hAnsi="Barlow Semi Condensed"/>
          <w:b/>
          <w:bCs/>
          <w:sz w:val="24"/>
          <w:szCs w:val="24"/>
        </w:rPr>
        <w:t xml:space="preserve">Blocco mirato numero 1203 — Il limite, ed è il reperto proprio di questo registro. Il canale industriale italiano non passò per il contenitore. Esso passò per un'impresa aeronautica, una sub-licenza motoristica del 1959 e un'autorizzazione di Stato mai tipizzata. Nessun elemento documentale collega il canale Aermacchi ad ambienti della destra radicale. Reperto negativo,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1204 — Ne discende una distinzione che il registro propone alla categoria. Il teatro australe fu attraversato da 2 flussi distinti e non comunicanti allo stato delle fonti. Il flusso delle persone, che passò per il contenitore ideologico e che il volume censisce con Maletti. E il flusso dei materiali, che passò per il canale industriale e statale e che il sesto artefatto versa. Livello A quanto ai 2 flussi presi ciascuno per sé; nessun livello quanto a una relazione fra essi.</w:t>
      </w:r>
    </w:p>
    <w:p>
      <w:pPr>
        <w:spacing w:after="120" w:line="276"/>
        <w:jc w:val="both"/>
      </w:pPr>
      <w:r>
        <w:rPr>
          <w:rFonts w:ascii="Barlow Semi Condensed" w:cs="Barlow Semi Condensed" w:eastAsia="Barlow Semi Condensed" w:hAnsi="Barlow Semi Condensed"/>
          <w:b/>
          <w:bCs/>
          <w:sz w:val="24"/>
          <w:szCs w:val="24"/>
        </w:rPr>
        <w:t xml:space="preserve">Blocco mirato numero 1205 — Il raccordo, che è di descrizione e non di causa. Mentre un ufficiale dei servizi italiani latitante risiedeva a Johannesburg, un'impresa aeronautica italiana riforniva l'aviazione militare del medesimo Stato. I 2 fatti sono documentati separatamente e nulla li collega. La simultaneità non è nesso, e il registro la riporta come tale.</w:t>
      </w:r>
    </w:p>
    <w:p>
      <w:pPr>
        <w:spacing w:after="120" w:line="276"/>
        <w:jc w:val="both"/>
      </w:pPr>
      <w:r>
        <w:rPr>
          <w:rFonts w:ascii="Barlow Semi Condensed" w:cs="Barlow Semi Condensed" w:eastAsia="Barlow Semi Condensed" w:hAnsi="Barlow Semi Condensed"/>
          <w:b/>
          <w:bCs/>
          <w:sz w:val="24"/>
          <w:szCs w:val="24"/>
        </w:rPr>
        <w:t xml:space="preserve">Blocco mirato numero 1206 — Il valore analitico della distinzione. Essa protegge la categoria del contenitore da un'estensione indebita: non tutto ciò che raggiunse il regime paria vi giunse attraverso l'ideologia. Una parte vi giunse attraverso il commercio, e la vulnerabilità che quella parte rivela non è ideologica ma normativa — l'assenza, fino al 1990, di una legge italiana sull'esportazione di armamenti. Livello A.</w:t>
      </w:r>
    </w:p>
    <w:p>
      <w:pPr>
        <w:spacing w:after="120" w:line="276"/>
        <w:jc w:val="both"/>
      </w:pPr>
      <w:r>
        <w:rPr>
          <w:rFonts w:ascii="Barlow Semi Condensed" w:cs="Barlow Semi Condensed" w:eastAsia="Barlow Semi Condensed" w:hAnsi="Barlow Semi Condensed"/>
          <w:b/>
          <w:bCs/>
          <w:sz w:val="24"/>
          <w:szCs w:val="24"/>
        </w:rPr>
        <w:t xml:space="preserve">Blocco mirato numero 1207 — La ricorsività verificata sul caso bavarese. Il volume enuncia la ricorsività del contenitore. Il sesto artefatto vi porta un caso che la illustra e insieme la circoscrive: sul dossier sudafricano le divergenze fra Christlich-Demokratische Union e Christlich-Soziale Union furono tali da far fallire l'adozione della piattaforma elettorale comune prima delle elezioni federali del 1987. Livello B, trattandosi di fonte d'autore interna al dibattito. Il contenitore, dunque, non fu omogeneo neppure entro un medesimo campo partitico nazionale.</w:t>
      </w:r>
    </w:p>
    <w:p>
      <w:pPr>
        <w:spacing w:after="120" w:line="276"/>
        <w:jc w:val="both"/>
      </w:pPr>
      <w:r>
        <w:rPr>
          <w:rFonts w:ascii="Barlow Semi Condensed" w:cs="Barlow Semi Condensed" w:eastAsia="Barlow Semi Condensed" w:hAnsi="Barlow Semi Condensed"/>
          <w:b/>
          <w:bCs/>
          <w:sz w:val="24"/>
          <w:szCs w:val="24"/>
        </w:rPr>
        <w:t xml:space="preserve">Blocco mirato numero 1208 — Il reperto sulla doppia appartenenza e il suo limite. È fatto pubblico documentato che un ex ministro bavarese della Christlich-Soziale Union sedesse nel comitato della società bilaterale tedesco-sudafricana e fosse insieme primo presidente della fondazione politica del partito. Livello A quanto alla doppia appartenenza. Nessun livello quanto a una condotta della fondazione o del partito: l'adesione di una persona a 2 organizzazioni non prova un rapporto istituzionale fra esse. Il registro lo iscrive quale indizio di prossimità di ambienti e non altro.</w:t>
      </w:r>
    </w:p>
    <w:p>
      <w:pPr>
        <w:spacing w:after="120" w:line="276"/>
        <w:jc w:val="both"/>
      </w:pPr>
      <w:r>
        <w:rPr>
          <w:rFonts w:ascii="Barlow Semi Condensed" w:cs="Barlow Semi Condensed" w:eastAsia="Barlow Semi Condensed" w:hAnsi="Barlow Semi Condensed"/>
          <w:b/>
          <w:bCs/>
          <w:sz w:val="24"/>
          <w:szCs w:val="24"/>
        </w:rPr>
        <w:t xml:space="preserve">Blocco mirato numero 1209 — Il pattern centro-periferia, versato alla Fase III. Il corpus possiede 2 casi in cui la periferia episcopale determinava e il centro romano accompagnava. Il caso sudafricano li inverte: l'episcopato locale condannò l'apartheid quale intrinsecamente malvagio il 21 luglio 1957, in opposizione dichiarata alla linea del rappresentante pontificio, che preferiva l'ingaggio diplomatico con il regime. Livello B. Il rilievo generale: chi sta sul territorio misura il costo del silenzio, chi rappresenta la sede misura il costo della rottura, e le 2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Blocco mirato numero 1210 — L'ultimo versamento alla Fase III. Sui voti namibiani del 1976 e 1977 l'Italia esclusa dal Gruppo di contatto risultò più avanzata della Germania che vi sedeva, votando a favore di 3 risoluzioni sulle quali Bonn si asteneva, e astenendosi su quella sulla quale Bonn votava contro. Livello A quanto ai voti. Il rilievo, di Livello B perché inferenza: la partecipazione a un consesso negoziale vincola il voto e l'esclusione lo libera. Chi siede al tavolo paga in libertà di voto ciò che guadagna in influenza, e la circostanza va tenuta presente ogni volta che il registro misuri una condotta multilaterale.</w:t>
      </w:r>
    </w:p>
    <w:p>
      <w:pPr>
        <w:pStyle w:val="Heading2"/>
        <w:spacing w:after="100" w:before="200"/>
      </w:pPr>
      <w:r>
        <w:rPr>
          <w:rFonts w:ascii="Barlow Semi Condensed" w:cs="Barlow Semi Condensed" w:eastAsia="Barlow Semi Condensed" w:hAnsi="Barlow Semi Condensed"/>
          <w:sz w:val="24"/>
          <w:szCs w:val="24"/>
        </w:rPr>
        <w:t xml:space="preserve">IV — I NODI CHE RESTANO FUORI ANCHE DAL PARAGRAFO 1.6</w:t>
      </w:r>
    </w:p>
    <w:p>
      <w:pPr>
        <w:spacing w:after="120" w:line="276"/>
        <w:jc w:val="both"/>
      </w:pPr>
      <w:r>
        <w:rPr>
          <w:rFonts w:ascii="Barlow Semi Condensed" w:cs="Barlow Semi Condensed" w:eastAsia="Barlow Semi Condensed" w:hAnsi="Barlow Semi Condensed"/>
          <w:b/>
          <w:bCs/>
          <w:sz w:val="24"/>
          <w:szCs w:val="24"/>
        </w:rPr>
        <w:t xml:space="preserve">Blocco mirato numero 1301 — Criterio di questa sezione. Il blocco 906 ha accertato che l'Edizione Integrata possiede il teatro australe al paragrafo 1.6. Restano tuttavia nodi del sesto artefatto che non sono riconducibili a quel paragrafo neppure per genere, poiché non appartengono all'asse dei paria né all'elusione delle sanzioni. Essi costituiscono il versamento residuo, e vanno enumerati distintamente perché richiedono collocazione autonoma.</w:t>
      </w:r>
    </w:p>
    <w:p>
      <w:pPr>
        <w:spacing w:after="120" w:line="276"/>
        <w:jc w:val="both"/>
      </w:pPr>
      <w:r>
        <w:rPr>
          <w:rFonts w:ascii="Barlow Semi Condensed" w:cs="Barlow Semi Condensed" w:eastAsia="Barlow Semi Condensed" w:hAnsi="Barlow Semi Condensed"/>
          <w:b/>
          <w:bCs/>
          <w:sz w:val="24"/>
          <w:szCs w:val="24"/>
        </w:rPr>
        <w:t xml:space="preserve">Blocco mirato numero 1302 — ◆ Primo nodo residuo: la delegazione apostolica di Pretoria. Istituita il 7 dicembre 1922, con 9 titolari, elevata a nunziatura il 25 giugno 1994. Livello A. Essa non appartiene all'asse dei paria bensì al suo rovescio: è la sovranità che al regime paria negò il riconoscimento. Dominio 5. Collocazione proposta: Fase I quale contro-segmento del paragrafo 1.6, ovvero Fase III quale caso di sovranità non occupabile dal contenitore.</w:t>
      </w:r>
    </w:p>
    <w:p>
      <w:pPr>
        <w:spacing w:after="120" w:line="276"/>
        <w:jc w:val="both"/>
      </w:pPr>
      <w:r>
        <w:rPr>
          <w:rFonts w:ascii="Barlow Semi Condensed" w:cs="Barlow Semi Condensed" w:eastAsia="Barlow Semi Condensed" w:hAnsi="Barlow Semi Condensed"/>
          <w:b/>
          <w:bCs/>
          <w:sz w:val="24"/>
          <w:szCs w:val="24"/>
        </w:rPr>
        <w:t xml:space="preserve">Blocco mirato numero 1303 — ▶ Secondo nodo residuo: Alfredo Poledrini. Delegato apostolico dal 1971 al 1978, dunque rappresentante pontificio in carica per l'intera durata del secondo mandato ministeriale di Aldo Moro e della sua presidenza del Consiglio. Livello A quanto alle date. Reperto negativo, Livello A: nessun elemento documentale lo collega ad alcun contatto italiano sulla materia sudafricana, con sede di verifica nell'Archivio Apostolico Vaticano, chiuso oltre l'ottobre 1958 e dunque Stato Zero di impossibilità istituzionale.</w:t>
      </w:r>
    </w:p>
    <w:p>
      <w:pPr>
        <w:spacing w:after="120" w:line="276"/>
        <w:jc w:val="both"/>
      </w:pPr>
      <w:r>
        <w:rPr>
          <w:rFonts w:ascii="Barlow Semi Condensed" w:cs="Barlow Semi Condensed" w:eastAsia="Barlow Semi Condensed" w:hAnsi="Barlow Semi Condensed"/>
          <w:b/>
          <w:bCs/>
          <w:sz w:val="24"/>
          <w:szCs w:val="24"/>
        </w:rPr>
        <w:t xml:space="preserve">Blocco mirato numero 1304 — ▶ Terzo nodo residuo: Denis Hurley. Arcivescovo di Durban dal 1951, presidente della conferenza episcopale sudafricana dal 1952 al 1961 e dal 1981 al 1987, forza trainante della dichiarazione del 21 luglio 1957, incriminato nel 1984 per false dichiarazioni sulle atrocità dell'unità Koevoet in Namibia e prosciolto nel 1985. Livello A quanto alle cariche e al procedimento; le fonti divergono sulla qualificazione giuridica dell'imputazione e la divergenza si riporta. Dominio 5. Collocazione proposta: Fase III, quale caso di occupazione del contenitore in senso contrario.</w:t>
      </w:r>
    </w:p>
    <w:p>
      <w:pPr>
        <w:spacing w:after="120" w:line="276"/>
        <w:jc w:val="both"/>
      </w:pPr>
      <w:r>
        <w:rPr>
          <w:rFonts w:ascii="Barlow Semi Condensed" w:cs="Barlow Semi Condensed" w:eastAsia="Barlow Semi Condensed" w:hAnsi="Barlow Semi Condensed"/>
          <w:b/>
          <w:bCs/>
          <w:sz w:val="24"/>
          <w:szCs w:val="24"/>
        </w:rPr>
        <w:t xml:space="preserve">Blocco mirato numero 1305 — ■ Quarto nodo residuo: il viaggio del settembre 1988. Itinerario pontificio di 10 giorni in 5 Stati confinanti con il Sudafrica, con esclusione deliberata del Sudafrica medesimo su esplicito consiglio dei vescovi locali, e con atterraggio forzato a Johannesburg il 14 settembre per avaria dei radiofari di Maseru. Livello A. Dominio 5. Il nodo è il solo atto diplomatico simbolico documentato di una sovranità europea verso il regime nel perimetro, e non ha equivalenti italiani.</w:t>
      </w:r>
    </w:p>
    <w:p>
      <w:pPr>
        <w:spacing w:after="120" w:line="276"/>
        <w:jc w:val="both"/>
      </w:pPr>
      <w:r>
        <w:rPr>
          <w:rFonts w:ascii="Barlow Semi Condensed" w:cs="Barlow Semi Condensed" w:eastAsia="Barlow Semi Condensed" w:hAnsi="Barlow Semi Condensed"/>
          <w:b/>
          <w:bCs/>
          <w:sz w:val="24"/>
          <w:szCs w:val="24"/>
        </w:rPr>
        <w:t xml:space="preserve">Blocco mirato numero 1306 — ◆ Quinto nodo residuo: il Gruppo di contatto occidentale. Costituito nell'aprile 1977 con Stati Uniti, Regno Unito, Francia, Canada e Repubblica Federale di Germania, sciolto attorno al 1983. Livello A. Non appartiene all'asse dei paria ma al suo contrario: è il consesso costituito per negoziare la fine dell'occupazione namibiana.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1307 — ■ Sesto nodo residuo: l'esclusione italiana da quel consesso. L'Italia non vi fu ammessa perché il criterio di appartenenza era il seggio occidentale nel Consiglio di sicurezza nel 1977, e il mandato italiano si era chiuso il 31 dicembre 1976 senza riprendere prima del 1 gennaio 1987. Livello A. La ragione è istituzionale e non un giudizio di merito: Canada e Repubblica Federale vi entrarono precisamente perché occupavano i 2 seggi che l'Italia non deteneva.</w:t>
      </w:r>
    </w:p>
    <w:p>
      <w:pPr>
        <w:spacing w:after="120" w:line="276"/>
        <w:jc w:val="both"/>
      </w:pPr>
      <w:r>
        <w:rPr>
          <w:rFonts w:ascii="Barlow Semi Condensed" w:cs="Barlow Semi Condensed" w:eastAsia="Barlow Semi Condensed" w:hAnsi="Barlow Semi Condensed"/>
          <w:b/>
          <w:bCs/>
          <w:sz w:val="24"/>
          <w:szCs w:val="24"/>
        </w:rPr>
        <w:t xml:space="preserve">Blocco mirato numero 1308 — ■ Settimo nodo residuo: le 2 confutazioni italiane presso le Nazioni Unite. La lettera S/9640 del 6 febbraio 1970, che confuta l'affermazione zambiana secondo cui l'Italia avrebbe rifiutato di imporre il divieto di vendita di armi; e la lettera S/AC.20/27 del 27 giugno 1980, che nega accuse di violazione dell'embargo formulate da Abdul Minty. Livello A quanto all'esistenza, alle date e all'oggetto; il testo del corpo di entrambe non è stato acquisito.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1309 — ■ Ottavo nodo residuo: la simultaneità italo-tedesca del febbraio 1970. A 5 giorni dalla lettera italiana, l'Osservatore permanente supplente della Repubblica Federale trasmise una confutazione della medesima dichiarazione zambiana, allegata alla nota del Presidente del Consiglio del 13 febbraio. Livello A quanto ai fatti; Livello C quanto a ogni coordinamento, non asserito. Arco di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1310 — ■ Nono nodo residuo: la calibrazione libica. Confisca dei beni della comunità italiana il 21 luglio 1970, esodo perfezionato entro il 15 ottobre, viaggio di Moro a Tripoli il 5 maggio 1971, rinuncia consapevole alle ritorsioni in favore di compensazioni economiche indirette. Livello A quanto ai fatti; Livello B quanto alla qualificazione della linea, argomentata da storiografia fondata su archivio. Il nodo non appartiene al teatro australe ma vi si collega per funzione: stabilisce che dove uno studioso ha aperto le serie della Farnesina l'azione italiana è sempre emersa, e prescrive di non concludere per l'inazione senza avere identificato l'apparato competente.</w:t>
      </w:r>
    </w:p>
    <w:p>
      <w:pPr>
        <w:pStyle w:val="Heading2"/>
        <w:spacing w:after="100" w:before="200"/>
      </w:pPr>
      <w:r>
        <w:rPr>
          <w:rFonts w:ascii="Barlow Semi Condensed" w:cs="Barlow Semi Condensed" w:eastAsia="Barlow Semi Condensed" w:hAnsi="Barlow Semi Condensed"/>
          <w:sz w:val="24"/>
          <w:szCs w:val="24"/>
        </w:rPr>
        <w:t xml:space="preserve">V — I 2 GRADI PROPOSTI E LA LORO COLLOCAZIONE NELLA SCALA</w:t>
      </w:r>
    </w:p>
    <w:p>
      <w:pPr>
        <w:spacing w:after="120" w:line="276"/>
        <w:jc w:val="both"/>
      </w:pPr>
      <w:r>
        <w:rPr>
          <w:rFonts w:ascii="Barlow Semi Condensed" w:cs="Barlow Semi Condensed" w:eastAsia="Barlow Semi Condensed" w:hAnsi="Barlow Semi Condensed"/>
          <w:b/>
          <w:bCs/>
          <w:sz w:val="24"/>
          <w:szCs w:val="24"/>
        </w:rPr>
        <w:t xml:space="preserve">Blocco mirato numero 1401 — Statuto della sezione. L'Edizione Integrata conta 98 occorrenze della locuzione Stato Zero e ne fa categoria portante, definendola quale assenza certificata di una connessione attesa e risultato analitico di primo ordine, di pari dignità rispetto al risultato positivo. Il sesto artefatto propone 2 gradi nuovi, e la presente sezione ne verifica la compatibilità con la scala.</w:t>
      </w:r>
    </w:p>
    <w:p>
      <w:pPr>
        <w:spacing w:after="120" w:line="276"/>
        <w:jc w:val="both"/>
      </w:pPr>
      <w:r>
        <w:rPr>
          <w:rFonts w:ascii="Barlow Semi Condensed" w:cs="Barlow Semi Condensed" w:eastAsia="Barlow Semi Condensed" w:hAnsi="Barlow Semi Condensed"/>
          <w:b/>
          <w:bCs/>
          <w:sz w:val="24"/>
          <w:szCs w:val="24"/>
        </w:rPr>
        <w:t xml:space="preserve">Blocco mirato numero 1402 — Primo grado proposto: l'atto atipico. Definizione: una condotta dello Stato non lascia traccia documentale perché il diritto vigente al momento non la configurava quale atto giuridico tipico, e dunque non ne prescriveva forma, motivazione né registrazione. Caso: la cessione all'estero di licenze di produzione di armamenti, non tipizzata in Italia fino all'articolo 13 della legge 185 del 9 luglio 1990, con materia coperta dal segreto di Stato ai sensi del regio decreto 11 luglio 1941 numero 1161. Livello A quanto al regime giuridico.</w:t>
      </w:r>
    </w:p>
    <w:p>
      <w:pPr>
        <w:spacing w:after="120" w:line="276"/>
        <w:jc w:val="both"/>
      </w:pPr>
      <w:r>
        <w:rPr>
          <w:rFonts w:ascii="Barlow Semi Condensed" w:cs="Barlow Semi Condensed" w:eastAsia="Barlow Semi Condensed" w:hAnsi="Barlow Semi Condensed"/>
          <w:b/>
          <w:bCs/>
          <w:sz w:val="24"/>
          <w:szCs w:val="24"/>
        </w:rPr>
        <w:t xml:space="preserve">Blocco mirato numero 1403 — La proprietà distintiva del grado. Esso non è rimediabile con l'apertura di un archivio, perché non vi è nulla da aprire. Ne discende che le sedi di verifica ordinariamente indicate — archivi ministeriali, archivi di enti pubblici — possono risultare vuote non per dispersione ma per struttura, e che la ricerca vi si dirige sapendo di poter trovare il nulla senza che il nulla provi l'inazione.</w:t>
      </w:r>
    </w:p>
    <w:p>
      <w:pPr>
        <w:spacing w:after="120" w:line="276"/>
        <w:jc w:val="both"/>
      </w:pPr>
      <w:r>
        <w:rPr>
          <w:rFonts w:ascii="Barlow Semi Condensed" w:cs="Barlow Semi Condensed" w:eastAsia="Barlow Semi Condensed" w:hAnsi="Barlow Semi Condensed"/>
          <w:b/>
          <w:bCs/>
          <w:sz w:val="24"/>
          <w:szCs w:val="24"/>
        </w:rPr>
        <w:t xml:space="preserve">Blocco mirato numero 1404 — La circolarità che chiude il grado. La legge che avrebbe tipizzato quell'atto fu prodotta anche dalla denuncia di un operaio dell'impresa costruttrice sulle consegne del gennaio 1980, rilanciata nel marzo 1988. Livello B. L'assenza di documentazione non era dunque un dato di natura ma una proprietà di un ordinamento, e quell'ordinamento fu mutato dal basso.</w:t>
      </w:r>
    </w:p>
    <w:p>
      <w:pPr>
        <w:spacing w:after="120" w:line="276"/>
        <w:jc w:val="both"/>
      </w:pPr>
      <w:r>
        <w:rPr>
          <w:rFonts w:ascii="Barlow Semi Condensed" w:cs="Barlow Semi Condensed" w:eastAsia="Barlow Semi Condensed" w:hAnsi="Barlow Semi Condensed"/>
          <w:b/>
          <w:bCs/>
          <w:sz w:val="24"/>
          <w:szCs w:val="24"/>
        </w:rPr>
        <w:t xml:space="preserve">Blocco mirato numero 1405 — Secondo grado proposto: la barriera macchinica. Definizione: un documento è pubblico, catalogato e indirizzabile, e la sua acquisizione è impedita non da una norma né da una lacuna ma da un dispositivo tecnico che discrimina fra lettori umani e automatici. Caso: le 2 lettere italiane presso le Nazioni Unite, di cui si sono acquisite le schede catalografiche integrali e non i corpi, il server documentale avendo respinto il recupero automatizzato.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1406 — Le 3 proprietà del grado. È invisibile a chi si arresti alla scheda, poiché la scheda contiene abbastanza da sembrare un risultato. È asimmetrico rispetto al ricercatore, poiché un lettore umano in biblioteca aprirebbe quel file in trenta secondi. Ed è non rimediabile dall'interno del metodo che lo ha incontrato: nessuna riformulazione della domanda lo scioglie, e si scioglie soltanto uscendo dal metodo, cioè andando.</w:t>
      </w:r>
    </w:p>
    <w:p>
      <w:pPr>
        <w:spacing w:after="120" w:line="276"/>
        <w:jc w:val="both"/>
      </w:pPr>
      <w:r>
        <w:rPr>
          <w:rFonts w:ascii="Barlow Semi Condensed" w:cs="Barlow Semi Condensed" w:eastAsia="Barlow Semi Condensed" w:hAnsi="Barlow Semi Condensed"/>
          <w:b/>
          <w:bCs/>
          <w:sz w:val="24"/>
          <w:szCs w:val="24"/>
        </w:rPr>
        <w:t xml:space="preserve">Blocco mirato numero 1407 — La distinzione fra i 2 gradi proposti. Nell'atto atipico il documento non esiste e non è mai esistito. Nella barriera macchinica il documento esiste, è pubblico, ed è misurabile — la seconda lettera consta di 2 pagine. La seconda assenza è dunque quantificabile e la prima no, e la differenza è la ragione per cui i 2 gradi non si possono fondere.</w:t>
      </w:r>
    </w:p>
    <w:p>
      <w:pPr>
        <w:spacing w:after="120" w:line="276"/>
        <w:jc w:val="both"/>
      </w:pPr>
      <w:r>
        <w:rPr>
          <w:rFonts w:ascii="Barlow Semi Condensed" w:cs="Barlow Semi Condensed" w:eastAsia="Barlow Semi Condensed" w:hAnsi="Barlow Semi Condensed"/>
          <w:b/>
          <w:bCs/>
          <w:sz w:val="24"/>
          <w:szCs w:val="24"/>
        </w:rPr>
        <w:t xml:space="preserve">Blocco mirato numero 1408 — Una osservazione sul rapporto fra i gradi e il metodo. La scala degli Stati Zero era stata costruita per censire i limiti degli archivi. I 2 gradi proposti censiscono limiti di natura diversa: uno dell'ordinamento giuridico, l'altro dello strumento di ricerca. Ne discende che la scala non descrive più soltanto ciò che gli archivi non conservano, ma anche ciò che il diritto non produsse e ciò che il metodo non raggiunge.</w:t>
      </w:r>
    </w:p>
    <w:p>
      <w:pPr>
        <w:pStyle w:val="Heading2"/>
        <w:spacing w:after="100" w:before="200"/>
      </w:pPr>
      <w:r>
        <w:rPr>
          <w:rFonts w:ascii="Barlow Semi Condensed" w:cs="Barlow Semi Condensed" w:eastAsia="Barlow Semi Condensed" w:hAnsi="Barlow Semi Condensed"/>
          <w:sz w:val="24"/>
          <w:szCs w:val="24"/>
        </w:rPr>
        <w:t xml:space="preserve">VI — TAVOLA E SINTESI</w:t>
      </w:r>
    </w:p>
    <w:p>
      <w:pPr>
        <w:spacing w:after="120" w:line="276"/>
        <w:jc w:val="both"/>
      </w:pPr>
      <w:r>
        <w:rPr>
          <w:rFonts w:ascii="Barlow Semi Condensed" w:cs="Barlow Semi Condensed" w:eastAsia="Barlow Semi Condensed" w:hAnsi="Barlow Semi Condensed"/>
          <w:b/>
          <w:bCs/>
          <w:sz w:val="24"/>
          <w:szCs w:val="24"/>
        </w:rPr>
        <w:t xml:space="preserve">Blocco mirato numero 1451 — Prima voce della tavola. Il verbale S/AC.20/SR.25 con la dichiarazione di Abdul Minty sull'Italia. Massimo rendimento, poiché da esso dipende la comprensione dell'accusa cui l'Italia rispose. Sede: atti del Comitato istituito dalla risoluzione 421 e serie dei verbali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Blocco mirato numero 1452 — Seconda voce.\\ I corpi testuali delle 2 lettere italiane. \\Alto rendimento e costo nullo per chi possa recarvisi.\\ Condizione: \\superamento della barriera macchinica del blocco 1405.</w:t>
      </w:r>
    </w:p>
    <w:p>
      <w:pPr>
        <w:spacing w:after="120" w:line="276"/>
        <w:jc w:val="both"/>
      </w:pPr>
      <w:r>
        <w:rPr>
          <w:rFonts w:ascii="Barlow Semi Condensed" w:cs="Barlow Semi Condensed" w:eastAsia="Barlow Semi Condensed" w:hAnsi="Barlow Semi Condensed"/>
          <w:b/>
          <w:bCs/>
          <w:sz w:val="24"/>
          <w:szCs w:val="24"/>
        </w:rPr>
        <w:t xml:space="preserve">Blocco mirato numero 1453 — Terza voce. Il testo dell'accordo di licenza del 1964 con termini finanziari, geografici e di rinnovo. Sedi: archivio storico di Finmeccanica-Leonardo e archivio Aermacchi; controparti negli archivi Atlas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1454 — Quarta voce, nuova. La verifica dell'esistenza di canali paralleli alla Farnesina per ciascun perimetro, presso i ministeri competenti per materia, nata dal precedente degli Accordi di Osimo e mai cercata da alcuna ricognizione anteriore.</w:t>
      </w:r>
    </w:p>
    <w:p>
      <w:pPr>
        <w:spacing w:after="120" w:line="276"/>
        <w:jc w:val="both"/>
      </w:pPr>
      <w:r>
        <w:rPr>
          <w:rFonts w:ascii="Barlow Semi Condensed" w:cs="Barlow Semi Condensed" w:eastAsia="Barlow Semi Condensed" w:hAnsi="Barlow Semi Condensed"/>
          <w:b/>
          <w:bCs/>
          <w:sz w:val="24"/>
          <w:szCs w:val="24"/>
        </w:rPr>
        <w:t xml:space="preserve">Blocco mirato numero 1455 — Quinta voce.\\ Il voto italiano sulla risoluzione 2775 del 29 novembre 1971, intitolata Arms embargo. \\È la risoluzione più direttamente pertinente al perimetro e il voto italiano su di essa non è accertato.</w:t>
      </w:r>
    </w:p>
    <w:p>
      <w:pPr>
        <w:spacing w:after="120" w:line="276"/>
        <w:jc w:val="both"/>
      </w:pPr>
      <w:r>
        <w:rPr>
          <w:rFonts w:ascii="Barlow Semi Condensed" w:cs="Barlow Semi Condensed" w:eastAsia="Barlow Semi Condensed" w:hAnsi="Barlow Semi Condensed"/>
          <w:b/>
          <w:bCs/>
          <w:sz w:val="24"/>
          <w:szCs w:val="24"/>
        </w:rPr>
        <w:t xml:space="preserve">Blocco mirato numero 1456 — Sesta voce. Le dichiarazioni esplicative di voto italiane e tedesche del dicembre 1976, che sole accerterebbero la ragione dell'inversione del blocco 1210. Sede: verbali plenari della serie A/PV.</w:t>
      </w:r>
    </w:p>
    <w:p>
      <w:pPr>
        <w:spacing w:after="120" w:line="276"/>
        <w:jc w:val="both"/>
      </w:pPr>
      <w:r>
        <w:rPr>
          <w:rFonts w:ascii="Barlow Semi Condensed" w:cs="Barlow Semi Condensed" w:eastAsia="Barlow Semi Condensed" w:hAnsi="Barlow Semi Condensed"/>
          <w:b/>
          <w:bCs/>
          <w:sz w:val="24"/>
          <w:szCs w:val="24"/>
        </w:rPr>
        <w:t xml:space="preserve">Blocco mirato numero 1457 — Settima voce, non conseguibile.\\ La documentazione vaticana sulle ragioni del mancato scambio di ambasciatori. Sede: Archivio Apostolico Vaticano. \\Condizione: impossibilità istituzionale.</w:t>
      </w:r>
    </w:p>
    <w:p>
      <w:pPr>
        <w:spacing w:after="120" w:line="276"/>
        <w:jc w:val="both"/>
      </w:pPr>
      <w:r>
        <w:rPr>
          <w:rFonts w:ascii="Barlow Semi Condensed" w:cs="Barlow Semi Condensed" w:eastAsia="Barlow Semi Condensed" w:hAnsi="Barlow Semi Condensed"/>
          <w:b/>
          <w:bCs/>
          <w:sz w:val="24"/>
          <w:szCs w:val="24"/>
        </w:rPr>
        <w:t xml:space="preserve">Blocco mirato numero 1501 — Sintesi del dato nuovo acquisito. La triangolazione del sesto artefatto con l'Edizione Integrata rettifica anzitutto l'ordine ricevuto, poiché gli artefatti dal settimo al decimo non esistono e la sessione ne ha prodotti 6. Essa accerta che l'Edizione Integrata è cresciuta di 878 paragrafi e circa 41.000 parole assorbendo la Formazione Beta e non il teatro australe, e che le 20 chiavi lessicali del sesto artefatto vi ricorrono zero volte; ma rettifica sé stessa al blocco 906 accertando che il volume possiede già il teatro australe al paragrafo 1.6, quale ultimo segmento spaziale della Formazione Alfa e quale pattern del transito su scala intercontinentale. Ne discende che il sesto artefatto non collide con il volume ma lo istanzia, fornendo al pattern generico l'esemplare italiano nominato, datato e documentato. Il registro versa inoltre 3 acquisizioni proprie. La prima: la distinzione, entro l'asse dei paria, fra canali costituiti per eludere e canali preesistenti alla sanzione e non risolti, dei quali il caso italiano è esemplare del secondo tipo, con la conseguenza che l'imputazione non riguarda un atto di costituzione ma un'omissione di risoluzione, a sua volta spiegata dall'atipicità dell'atto nell'ordinamento anteriore al 1990. La seconda: il test della polarità delle superpotenze sul dossier australe, che conferma la tesi diagnostica del volume — nessun condominio, superpotenze su fronti opposti — e che aggiunge il reperto proprio secondo cui la frattura rilevante non corre fra Est e Ovest ma dentro l'Occidente, con la Francia principale fornitore, la Germania Federale bloccante sul carbone nel 1986 e l'Italia titolare del canale industriale; onde il teatro australe si iscrive fra i falsificatori disponibili di H1 e non fra le sue conferme. La terza: la distinzione fra i 2 flussi che attraversarono il teatro — il flusso delle persone, che passò per il contenitore ideologico e che il volume censisce, e il flusso dei materiali, che passò per il canale industriale e statale e che il sesto artefatto versa — fra i quali nulla, allo stato delle fonti, stabilisce comunicazione, con la conseguenza che la categoria del contenitore va preservata da estensione indebita, poiché non tutto ciò che raggiunse il regime paria vi giunse attraverso l'ideologia, e ciò che vi giunse per commercio rivela una vulnerabilità non ideologica ma normativa. Restano infine iscritti alla scala 2 gradi nuovi, l'atto atipico e la barriera macchinica, che ne mutano la portata: essa non descrive più soltanto ciò che gli archivi non conservano, ma ciò che il diritto non produsse e ciò che il metodo non raggiunge.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 · Secondo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 4.933 parole in 9 sezioni; la più ampia è §9 Altre sezioni, con 3.457.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 67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XXII — Terzo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TERZO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Il nodo sudafricano alla prova delle due formazioni</w:t>
      </w:r>
    </w:p>
    <w:p>
      <w:pPr>
        <w:pStyle w:val="Heading2"/>
        <w:spacing w:after="100" w:before="200"/>
      </w:pPr>
      <w:r>
        <w:rPr>
          <w:rFonts w:ascii="Barlow Semi Condensed" w:cs="Barlow Semi Condensed" w:eastAsia="Barlow Semi Condensed" w:hAnsi="Barlow Semi Condensed"/>
          <w:sz w:val="24"/>
          <w:szCs w:val="24"/>
        </w:rPr>
        <w:t xml:space="preserve">La quarta confutazione: non un nodo che ruota, ma lo Stato che contiene i due fronti</w:t>
      </w:r>
    </w:p>
    <w:p>
      <w:pPr>
        <w:pStyle w:val="Heading2"/>
        <w:spacing w:after="100" w:before="200"/>
      </w:pPr>
      <w:r>
        <w:rPr>
          <w:rFonts w:ascii="Barlow Semi Condensed" w:cs="Barlow Semi Condensed" w:eastAsia="Barlow Semi Condensed" w:hAnsi="Barlow Semi Condensed"/>
          <w:sz w:val="24"/>
          <w:szCs w:val="24"/>
        </w:rPr>
        <w:t xml:space="preserve">Blocchi 1601-2201 — il grado del fatto trasferito — la polarita invertita dell'attore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TERZO REGISTRO ANALITICO DEI NODI E DEI PONTI</w:t>
      </w:r>
    </w:p>
    <w:p>
      <w:pPr>
        <w:pStyle w:val="Heading2"/>
        <w:spacing w:after="100" w:before="200"/>
      </w:pPr>
      <w:r>
        <w:rPr>
          <w:rFonts w:ascii="Barlow Semi Condensed" w:cs="Barlow Semi Condensed" w:eastAsia="Barlow Semi Condensed" w:hAnsi="Barlow Semi Condensed"/>
          <w:sz w:val="24"/>
          <w:szCs w:val="24"/>
        </w:rPr>
        <w:t xml:space="preserve">Il nodo sudafricano alla prova delle 2 formazioni. La quarta confutazione</w:t>
      </w:r>
    </w:p>
    <w:p>
      <w:pPr>
        <w:spacing w:after="120" w:line="276"/>
        <w:jc w:val="both"/>
      </w:pPr>
      <w:r>
        <w:rPr>
          <w:rFonts w:ascii="Barlow Semi Condensed" w:cs="Barlow Semi Condensed" w:eastAsia="Barlow Semi Condensed" w:hAnsi="Barlow Semi Condensed"/>
          <w:b/>
          <w:bCs/>
          <w:sz w:val="24"/>
          <w:szCs w:val="24"/>
        </w:rPr>
        <w:t xml:space="preserve">Blocco mirato numero 1601 — Oggetto e statuto. Il Secondo Registro aveva collocato il teatro australe entro la Formazione Alfa e ne aveva lasciato non eseguita la metà comparativa, poiché l'architettura dell'opera è per costruzione a 2 formazioni e una sola era stata messa alla prova. Il presente registro esegue la parte mancante. Esso non versa un perimetro nuovo: verifica un'ipotesi, e la verifica si conclude con la sua confutazione.</w:t>
      </w:r>
    </w:p>
    <w:p>
      <w:pPr>
        <w:spacing w:after="120" w:line="276"/>
        <w:jc w:val="both"/>
      </w:pPr>
      <w:r>
        <w:rPr>
          <w:rFonts w:ascii="Barlow Semi Condensed" w:cs="Barlow Semi Condensed" w:eastAsia="Barlow Semi Condensed" w:hAnsi="Barlow Semi Condensed"/>
          <w:b/>
          <w:bCs/>
          <w:sz w:val="24"/>
          <w:szCs w:val="24"/>
        </w:rPr>
        <w:t xml:space="preserve">Blocco mirato numero 1602 — L'ipotesi confutata, riportata nella formulazione in cui fu proposta. Che il Sudafrica costituisca un nodo che attraversa entrambe le formazioni cambiando polarità: allineato al campo occidentale anticomunista nella Formazione Alfa, allineato a Mosca nella Formazione Beta.</w:t>
      </w:r>
    </w:p>
    <w:p>
      <w:pPr>
        <w:spacing w:after="120" w:line="276"/>
        <w:jc w:val="both"/>
      </w:pPr>
      <w:r>
        <w:rPr>
          <w:rFonts w:ascii="Barlow Semi Condensed" w:cs="Barlow Semi Condensed" w:eastAsia="Barlow Semi Condensed" w:hAnsi="Barlow Semi Condensed"/>
          <w:b/>
          <w:bCs/>
          <w:sz w:val="24"/>
          <w:szCs w:val="24"/>
        </w:rPr>
        <w:t xml:space="preserve">Blocco mirato numero 1603 — La procedura seguita, e va enunciata perché è il metodo che ha prodotto l'esito. L'ipotesi fu scritta per esteso nel comando di ricerca insieme all'obiezione che poteva ucciderla, con richiesta espressa di tentare la confutazione anziché la difesa. È la quarta volta nella serie che tale procedura produce la caduta di una proposizione dell'autore, e le 4 volte hanno in comune la medesima circostanza: l'ipotesi era per iscritto e non nella testa di chi cercava.</w:t>
      </w:r>
    </w:p>
    <w:p>
      <w:pPr>
        <w:spacing w:after="120" w:line="276"/>
        <w:jc w:val="both"/>
      </w:pPr>
      <w:r>
        <w:rPr>
          <w:rFonts w:ascii="Barlow Semi Condensed" w:cs="Barlow Semi Condensed" w:eastAsia="Barlow Semi Condensed" w:hAnsi="Barlow Semi Condensed"/>
          <w:b/>
          <w:bCs/>
          <w:sz w:val="24"/>
          <w:szCs w:val="24"/>
        </w:rPr>
        <w:t xml:space="preserve">Blocco mirato numero 1604 — L'obiezione che l'ha uccisa. Se l'African National Congress fu, per l'intera durata dell'apartheid, sostenuto, armato e addestrato dall'Unione Sovietica, e se il South African Communist Party ne fu alleato strutturale, allora il soggetto che governa dal 1994 è il medesimo che negli anni della lotta stava nel campo sovietico. Non inversione di polarità di uno Stato, ma continuità di allineamento di un soggetto politico transitato dall'opposizione armata al potere.</w:t>
      </w:r>
    </w:p>
    <w:p>
      <w:pPr>
        <w:spacing w:after="120" w:line="276"/>
        <w:jc w:val="both"/>
      </w:pPr>
      <w:r>
        <w:rPr>
          <w:rFonts w:ascii="Barlow Semi Condensed" w:cs="Barlow Semi Condensed" w:eastAsia="Barlow Semi Condensed" w:hAnsi="Barlow Semi Condensed"/>
          <w:b/>
          <w:bCs/>
          <w:sz w:val="24"/>
          <w:szCs w:val="24"/>
        </w:rPr>
        <w:t xml:space="preserve">Blocco mirato numero 1605 — L'esito, dichiarato senza attenuazioni. L'obiezione regge e l'ipotesi cade. Livello A quanto ai fatti che la sostengono, esposti ai blocchi 1701 e seguenti.</w:t>
      </w:r>
    </w:p>
    <w:p>
      <w:pPr>
        <w:spacing w:after="120" w:line="276"/>
        <w:jc w:val="both"/>
      </w:pPr>
      <w:r>
        <w:rPr>
          <w:rFonts w:ascii="Barlow Semi Condensed" w:cs="Barlow Semi Condensed" w:eastAsia="Barlow Semi Condensed" w:hAnsi="Barlow Semi Condensed"/>
          <w:b/>
          <w:bCs/>
          <w:sz w:val="24"/>
          <w:szCs w:val="24"/>
        </w:rPr>
        <w:t xml:space="preserve">Blocco mirato numero 1606 — La formulazione corretta che sostituisce l'ipotesi caduta. Il Sudafrica non è un nodo che attraversa le 2 formazioni mutando campo. È lo Stato entro il quale entrambi i fronti della Formazione Alfa coesistevano: il regime bianco anticomunista sul fronte occidentale, il movimento di liberazione filo-sovietico sul fronte opposto. Nel 1994 non mutò l'allineamento di uno Stato: mutò quale dei 2 fronti interni detenesse il potere statale.</w:t>
      </w:r>
    </w:p>
    <w:p>
      <w:pPr>
        <w:spacing w:after="120" w:line="276"/>
        <w:jc w:val="both"/>
      </w:pPr>
      <w:r>
        <w:rPr>
          <w:rFonts w:ascii="Barlow Semi Condensed" w:cs="Barlow Semi Condensed" w:eastAsia="Barlow Semi Condensed" w:hAnsi="Barlow Semi Condensed"/>
          <w:b/>
          <w:bCs/>
          <w:sz w:val="24"/>
          <w:szCs w:val="24"/>
        </w:rPr>
        <w:t xml:space="preserve">Blocco mirato numero 1607 — La conseguenza per l'architettura dell'opera, e va enunciata perché è il guadagno maggiore. Ne discende che il teatro australe è il luogo più ricco per la verifica della tesi diagnostica del volume, poiché contiene entrambi i fronti dentro un solo Stato e ne mostra la traiettoria per 5 decenni. Non un nodo che ruota, ma un contenitore in cui i 2 campi si fronteggiano e si scambiano il potere.</w:t>
      </w:r>
    </w:p>
    <w:p>
      <w:pPr>
        <w:spacing w:after="120" w:line="276"/>
        <w:jc w:val="both"/>
      </w:pPr>
      <w:r>
        <w:rPr>
          <w:rFonts w:ascii="Barlow Semi Condensed" w:cs="Barlow Semi Condensed" w:eastAsia="Barlow Semi Condensed" w:hAnsi="Barlow Semi Condensed"/>
          <w:b/>
          <w:bCs/>
          <w:sz w:val="24"/>
          <w:szCs w:val="24"/>
        </w:rPr>
        <w:t xml:space="preserve">Blocco mirato numero 1608 — Che cosa la confutazione non stabilisce. Essa non nega il riorientamento del Sudafrica verso Mosca dopo il 2010, che i blocchi 1801 e seguenti documentano. Nega soltanto che tale riorientamento costituisca inversione di polarità di uno Stato anziché accesso al potere di un soggetto che quella polarità aveva sempre avuto.</w:t>
      </w:r>
    </w:p>
    <w:p>
      <w:pPr>
        <w:spacing w:after="120" w:line="276"/>
        <w:jc w:val="both"/>
      </w:pPr>
      <w:r>
        <w:rPr>
          <w:rFonts w:ascii="Barlow Semi Condensed" w:cs="Barlow Semi Condensed" w:eastAsia="Barlow Semi Condensed" w:hAnsi="Barlow Semi Condensed"/>
          <w:b/>
          <w:bCs/>
          <w:sz w:val="24"/>
          <w:szCs w:val="24"/>
        </w:rPr>
        <w:t xml:space="preserve">Blocco mirato numero 1609 — Un temperamento che la disciplina impone. La continuità non è né meccanica né immutabile. Il South African Communist Party ha annunciato nel dicembre 2024 la rottura con l'Alleanza tripartita in vista delle amministrative del 2026; l'accordo nucleare con la controparte russa fu annullato dalla magistratura sudafricana nel 2017; e l'orientamento filo-russo incontra vincoli giuridici interni reali. La continuità è tendenza storica documentata, non determinismo.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1610 — Discipline applicate. Sistema Savona 2.1 con grado in linea; notazione a triangolo, rombo e quadrato; tipizzazione degli archi; divieto di trattare la contemporaneità quale prova di nesso e l'appartenenza quale prova di condotta. La disciplina delle persone viventi si applica qui con il massimo rigore, la materia essendo contemporanea: soli fatti pubblici documentati, nessuna inferenza associativa, nessuna attribuzione di intenzioni non dichiarate. Numerazione a blocchi mirati dal 1601, il Secondo Registro essendosi chiuso al 1501.</w:t>
      </w:r>
    </w:p>
    <w:p>
      <w:pPr>
        <w:pStyle w:val="Heading2"/>
        <w:spacing w:after="100" w:before="200"/>
      </w:pPr>
      <w:r>
        <w:rPr>
          <w:rFonts w:ascii="Barlow Semi Condensed" w:cs="Barlow Semi Condensed" w:eastAsia="Barlow Semi Condensed" w:hAnsi="Barlow Semi Condensed"/>
          <w:sz w:val="24"/>
          <w:szCs w:val="24"/>
        </w:rPr>
        <w:t xml:space="preserve">I — I NODI DELLA CONTINUITÀ: IL CAMPO SOVIETICO DENTRO IL SUDAFRICA</w:t>
      </w:r>
    </w:p>
    <w:p>
      <w:pPr>
        <w:spacing w:after="120" w:line="276"/>
        <w:jc w:val="both"/>
      </w:pPr>
      <w:r>
        <w:rPr>
          <w:rFonts w:ascii="Barlow Semi Condensed" w:cs="Barlow Semi Condensed" w:eastAsia="Barlow Semi Condensed" w:hAnsi="Barlow Semi Condensed"/>
          <w:b/>
          <w:bCs/>
          <w:sz w:val="24"/>
          <w:szCs w:val="24"/>
        </w:rPr>
        <w:t xml:space="preserve">Blocco mirato numero 1701 — ◆ Umkhonto we Sizwe. Braccio armato dell'African National Congress, costituito il 16 dicembre 1961 dopo che il massacro di Sharpeville del marzo 1960 aveva chiuso la via nonviolenta. Livello A. Dominio 7.</w:t>
      </w:r>
    </w:p>
    <w:p>
      <w:pPr>
        <w:spacing w:after="120" w:line="276"/>
        <w:jc w:val="both"/>
      </w:pPr>
      <w:r>
        <w:rPr>
          <w:rFonts w:ascii="Barlow Semi Condensed" w:cs="Barlow Semi Condensed" w:eastAsia="Barlow Semi Condensed" w:hAnsi="Barlow Semi Condensed"/>
          <w:b/>
          <w:bCs/>
          <w:sz w:val="24"/>
          <w:szCs w:val="24"/>
        </w:rPr>
        <w:t xml:space="preserve">Blocco mirato numero 1702 — ■ Dicembre 1962: la missione a Mosca. Emissari del South African Communist Party, fra cui Arthur Goldreich, visitarono Mosca e gli Stati del Patto di Varsavia per sollecitare aiuto militare nel quadro dell'Operazione Mayibuye. Livello A, attestato dall'archivio documentale della fondazione intitolata a Nelson Mandela.</w:t>
      </w:r>
    </w:p>
    <w:p>
      <w:pPr>
        <w:spacing w:after="120" w:line="276"/>
        <w:jc w:val="both"/>
      </w:pPr>
      <w:r>
        <w:rPr>
          <w:rFonts w:ascii="Barlow Semi Condensed" w:cs="Barlow Semi Condensed" w:eastAsia="Barlow Semi Condensed" w:hAnsi="Barlow Semi Condensed"/>
          <w:b/>
          <w:bCs/>
          <w:sz w:val="24"/>
          <w:szCs w:val="24"/>
        </w:rPr>
        <w:t xml:space="preserve">Blocco mirato numero 1703 — ■ Dal 1963: l'Unione Sovietica maggiore fornitore. Da tale anno l'URSS divenne il maggiore contributore di materiale bellico e di armi a Umkhonto we Sizwe. Livello A. L'assistenza comprendeva non soltanto l'addestramento ma la fornitura di armi, munizioni, uniformi e di ogni struttura necessaria nei campi militari.</w:t>
      </w:r>
    </w:p>
    <w:p>
      <w:pPr>
        <w:spacing w:after="120" w:line="276"/>
        <w:jc w:val="both"/>
      </w:pPr>
      <w:r>
        <w:rPr>
          <w:rFonts w:ascii="Barlow Semi Condensed" w:cs="Barlow Semi Condensed" w:eastAsia="Barlow Semi Condensed" w:hAnsi="Barlow Semi Condensed"/>
          <w:b/>
          <w:bCs/>
          <w:sz w:val="24"/>
          <w:szCs w:val="24"/>
        </w:rPr>
        <w:t xml:space="preserve">Blocco mirato numero 1704 — ◆ La rete dell'addestramento, ripartita per Paese. Unione Sovietica, Repubblica Democratica Tedesca e Jugoslavia coprirono la maggior parte delle necessità formative nelle aree specializzate; Bulgaria, Ungheria, Cuba e Algeria fornirono addestramenti brevi e altamente specializzati — Cuba e Algeria per le forze speciali, Cuba anche per intelligence e controintelligence, la Bulgaria per la formazione politica, l'Ungheria per quella agricola.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1705 — ■ Novo Catengue, Angola. Base principale di Umkhonto we Sizwe, ove reclute in scaglioni fino a 500 unità furono addestrate da istruttori militari cubani; fra il 1976 e il 1979 vi furono formati oltre 1.000 guerriglieri.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1706 — ■ L'addestramento in Ucraina, e la sua torsione contemporanea. Molti quadri di Umkhonto we Sizwe furono addestrati in territorio dell'attuale Ucraina, con testimonianza di un addestramento iniziale a Odessa nel 1964.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1707 — E qui il registro isola una fattispecie che merita nome proprio. Il fatto dell'addestramento sovietico è oggi invocato nel discorso ufficiale russo e sudafricano a sostegno di una gratitudine verso Mosca; ma l'addestramento avvenne in repubbliche oggi indipendenti e ostili all'invasione.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1708 — Il grado che se ne trae. Non è connessione falsa nel senso già codificato dal corpus, poiché il fatto è vero. È un fatto vero la cui attribuzione geografica e politica viene silenziosamente aggiornata per servire una rivendicazione presente. Si propone di denominarlo fatto trasferito, e di distinguerlo dall'allegazione senza base: là il fatto non esiste; qui esiste e viene trasportato.</w:t>
      </w:r>
    </w:p>
    <w:p>
      <w:pPr>
        <w:spacing w:after="120" w:line="276"/>
        <w:jc w:val="both"/>
      </w:pPr>
      <w:r>
        <w:rPr>
          <w:rFonts w:ascii="Barlow Semi Condensed" w:cs="Barlow Semi Condensed" w:eastAsia="Barlow Semi Condensed" w:hAnsi="Barlow Semi Condensed"/>
          <w:b/>
          <w:bCs/>
          <w:sz w:val="24"/>
          <w:szCs w:val="24"/>
        </w:rPr>
        <w:t xml:space="preserve">Blocco mirato numero 1709 — ▶ Joe Slovo. Fra i primi membri di Umkhonto we Sizwe, capo di stato maggiore fino al 1987, membro del Consiglio rivoluzionario dell'African National Congress dal 1969 al 1983, e ministro per l'edilizia abitativa nel primo governo Mandela nel 1994. Livello A. Domini 2 e 7. È il nodo che incarna materialmente la continuità: il medesimo uomo nel comando armato e nel gabinetto.</w:t>
      </w:r>
    </w:p>
    <w:p>
      <w:pPr>
        <w:spacing w:after="120" w:line="276"/>
        <w:jc w:val="both"/>
      </w:pPr>
      <w:r>
        <w:rPr>
          <w:rFonts w:ascii="Barlow Semi Condensed" w:cs="Barlow Semi Condensed" w:eastAsia="Barlow Semi Condensed" w:hAnsi="Barlow Semi Condensed"/>
          <w:b/>
          <w:bCs/>
          <w:sz w:val="24"/>
          <w:szCs w:val="24"/>
        </w:rPr>
        <w:t xml:space="preserve">Blocco mirato numero 1710 — ▶ Chris Hani. Comandante di Umkhonto we Sizwe e contestualmente segretario generale del South African Communist Party. Livello A. Domini 2 e 7.</w:t>
      </w:r>
    </w:p>
    <w:p>
      <w:pPr>
        <w:spacing w:after="120" w:line="276"/>
        <w:jc w:val="both"/>
      </w:pPr>
      <w:r>
        <w:rPr>
          <w:rFonts w:ascii="Barlow Semi Condensed" w:cs="Barlow Semi Condensed" w:eastAsia="Barlow Semi Condensed" w:hAnsi="Barlow Semi Condensed"/>
          <w:b/>
          <w:bCs/>
          <w:sz w:val="24"/>
          <w:szCs w:val="24"/>
        </w:rPr>
        <w:t xml:space="preserve">Blocco mirato numero 1711 — ■ Il fatto strutturale sul rapporto fra i 2 soggetti. La decisione di avviare la guerriglia — cioè la fondazione stessa di Umkhonto we Sizwe — fu presa dal comitato centrale del South African Communist Party, e da esso soltanto. Livello B, trattandosi di ricostruzione giornalistica sudafricana accreditata e non di verbale.</w:t>
      </w:r>
    </w:p>
    <w:p>
      <w:pPr>
        <w:spacing w:after="120" w:line="276"/>
        <w:jc w:val="both"/>
      </w:pPr>
      <w:r>
        <w:rPr>
          <w:rFonts w:ascii="Barlow Semi Condensed" w:cs="Barlow Semi Condensed" w:eastAsia="Barlow Semi Condensed" w:hAnsi="Barlow Semi Condensed"/>
          <w:b/>
          <w:bCs/>
          <w:sz w:val="24"/>
          <w:szCs w:val="24"/>
        </w:rPr>
        <w:t xml:space="preserve">Blocco mirato numero 1712 — ◆ L'Alleanza tripartita, e la sua incrinatura recente. Istituzionalizzata dopo il 1994 fra African National Congress, South African Communist Party e la confederazione sindacale, con radici nella Congress Alliance degli anni Cinquanta. Livello A. Nel dicembre 2024 il partito comunista annunciò che avrebbe contestato autonomamente le elezioni, in particolare le amministrative del 2026, dopo che l'African National Congress, sceso al 40 per cento alle elezioni del 2024, aveva formato un governo di unità nazionale con la Democratic Alliance. Livello B.</w:t>
      </w:r>
    </w:p>
    <w:p>
      <w:pPr>
        <w:pStyle w:val="Heading2"/>
        <w:spacing w:after="100" w:before="200"/>
      </w:pPr>
      <w:r>
        <w:rPr>
          <w:rFonts w:ascii="Barlow Semi Condensed" w:cs="Barlow Semi Condensed" w:eastAsia="Barlow Semi Condensed" w:hAnsi="Barlow Semi Condensed"/>
          <w:sz w:val="24"/>
          <w:szCs w:val="24"/>
        </w:rPr>
        <w:t xml:space="preserve">II — I NODI-EVENTO DELLA FORMAZIONE BETA</w:t>
      </w:r>
    </w:p>
    <w:p>
      <w:pPr>
        <w:spacing w:after="120" w:line="276"/>
        <w:jc w:val="both"/>
      </w:pPr>
      <w:r>
        <w:rPr>
          <w:rFonts w:ascii="Barlow Semi Condensed" w:cs="Barlow Semi Condensed" w:eastAsia="Barlow Semi Condensed" w:hAnsi="Barlow Semi Condensed"/>
          <w:b/>
          <w:bCs/>
          <w:sz w:val="24"/>
          <w:szCs w:val="24"/>
        </w:rPr>
        <w:t xml:space="preserve">Blocco mirato numero 1801 — ■ 24 dicembre 2010 e 14 aprile 2011: l'ingresso nei BRICS. Il Sudafrica fu invitato ad aderire il 24 dicembre 2010, con prima partecipazione al terzo vertice a Sanya, Hainan, il 14 aprile 2011, sotto la presidenza di Jacob Zuma. Livello A; le fonti divergono lievemente sulla data da assumere quale accessione, e la divergenza si riporta. Dominio 2.</w:t>
      </w:r>
    </w:p>
    <w:p>
      <w:pPr>
        <w:spacing w:after="120" w:line="276"/>
        <w:jc w:val="both"/>
      </w:pPr>
      <w:r>
        <w:rPr>
          <w:rFonts w:ascii="Barlow Semi Condensed" w:cs="Barlow Semi Condensed" w:eastAsia="Barlow Semi Condensed" w:hAnsi="Barlow Semi Condensed"/>
          <w:b/>
          <w:bCs/>
          <w:sz w:val="24"/>
          <w:szCs w:val="24"/>
        </w:rPr>
        <w:t xml:space="preserve">Blocco mirato numero 1802 — ■ 2014: l'accordo nucleare. Accordo intergovernativo fra la società nucleare statale russa e l'utility elettrica sudafricana per 9.600 megawatt di capacità, di valore stimato dalla stampa attorno a mille miliardi di rand, promosso personalmente dal presidente in carica e non sottoposto all'approvazione del Parlamento. Livello A. Domini 2 e 6.</w:t>
      </w:r>
    </w:p>
    <w:p>
      <w:pPr>
        <w:spacing w:after="120" w:line="276"/>
        <w:jc w:val="both"/>
      </w:pPr>
      <w:r>
        <w:rPr>
          <w:rFonts w:ascii="Barlow Semi Condensed" w:cs="Barlow Semi Condensed" w:eastAsia="Barlow Semi Condensed" w:hAnsi="Barlow Semi Condensed"/>
          <w:b/>
          <w:bCs/>
          <w:sz w:val="24"/>
          <w:szCs w:val="24"/>
        </w:rPr>
        <w:t xml:space="preserve">Blocco mirato numero 1803 — ■ 26 aprile 2017: l'annullamento giudiziario, ed è il nodo che più incrina l'immagine di allineamento monolitico. L'Alta Corte del Capo Occidentale, con sentenza del giudice Lee Bozalek, dichiarò l'accordo illegittimo e incostituzionale per la mancata tabulazione parlamentare ai sensi della sezione 231 della Costituzione, annullandolo insieme alle determinazioni ministeriali del 2013 e del 2016.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1804 — La motivazione, riportata perché qualifica l'atto. Il giudice osservò che visto nel suo insieme, l'accordo russo sta ben al di fuori della categoria di un ampio accordo di cooperazione nucleare, e collocava le parti sulla via di un accordo vincolante ed esclusivo.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1805 — La conseguenza analitica. La magistratura sudafricana, organo indipendente del medesimo Stato, arrestò un progetto strategico russo. Ne discende che l'allineamento di Pretoria con Mosca incontra contropoteri interni effettivi, e che descriverlo come monolitico sarebbe scorretto.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1806 — ■ 6-9 dicembre 2022: la Lady R a Simon's Town. La nave cargo di bandiera russa, inserita dagli Stati Uniti l'8 maggio 2022 nella lista delle navi sanzionate per trasporto di munizioni dalla Corea del Nord alla Federazione Russa, attraccò alla base navale presso Città del Capo. Livello A quanto all'attracco e alla sanzione.</w:t>
      </w:r>
    </w:p>
    <w:p>
      <w:pPr>
        <w:spacing w:after="120" w:line="276"/>
        <w:jc w:val="both"/>
      </w:pPr>
      <w:r>
        <w:rPr>
          <w:rFonts w:ascii="Barlow Semi Condensed" w:cs="Barlow Semi Condensed" w:eastAsia="Barlow Semi Condensed" w:hAnsi="Barlow Semi Condensed"/>
          <w:b/>
          <w:bCs/>
          <w:sz w:val="24"/>
          <w:szCs w:val="24"/>
        </w:rPr>
        <w:t xml:space="preserve">Blocco mirato numero 1807 — L'accusa e la sua qualificazione probatoria, che va tenuta ferma. Nel maggio 2023 l'ambasciatore statunitense Reuben Brigety dichiarò che Washington era fiduciosa che armi fossero state caricate. È dichiarazione ufficiale di un ambasciatore, non accertamento probatorio. La ministra degli Esteri Naledi Pandor lo convocò formalmente.</w:t>
      </w:r>
    </w:p>
    <w:p>
      <w:pPr>
        <w:spacing w:after="120" w:line="276"/>
        <w:jc w:val="both"/>
      </w:pPr>
      <w:r>
        <w:rPr>
          <w:rFonts w:ascii="Barlow Semi Condensed" w:cs="Barlow Semi Condensed" w:eastAsia="Barlow Semi Condensed" w:hAnsi="Barlow Semi Condensed"/>
          <w:b/>
          <w:bCs/>
          <w:sz w:val="24"/>
          <w:szCs w:val="24"/>
        </w:rPr>
        <w:t xml:space="preserve">Blocco mirato numero 1808 — L'inchiesta e il suo esito. Panel indipendente istituito l'11 maggio 2023 e nominato il 28 maggio 2023, composto dal giudice in pensione Phineas Mojapelo quale presidente, dall'avvocata Leah Gcabashe e da Enver Surty. Indagine completata nel luglio 2023, sommario pubblico nel settembre 2023. Conclusione: nonostante alcune voci secondo cui attrezzature o armi sarebbero state caricate, il panel non ha trovato alcuna prova a sostegno di tali affermazioni. Livello A quanto alla conclusione del panel.</w:t>
      </w:r>
    </w:p>
    <w:p>
      <w:pPr>
        <w:spacing w:after="120" w:line="276"/>
        <w:jc w:val="both"/>
      </w:pPr>
      <w:r>
        <w:rPr>
          <w:rFonts w:ascii="Barlow Semi Condensed" w:cs="Barlow Semi Condensed" w:eastAsia="Barlow Semi Condensed" w:hAnsi="Barlow Semi Condensed"/>
          <w:b/>
          <w:bCs/>
          <w:sz w:val="24"/>
          <w:szCs w:val="24"/>
        </w:rPr>
        <w:t xml:space="preserve">Blocco mirato numero 1809 — La qualificazione che ne discende, e va rispettata. L'allegazione di fornitura di armi alla Russia via Lady R resta non provata. Presentarla quale fatto accertato sarebbe scorretto. Il portavoce dell'ambasciata statunitense espresse apprezzamento per la serietà dell'inchiesta. Restano rilievi giornalistici sulla riservatezza dell'inchiesta e sul trasporto dei container, che non equivalgono a prova contraria. Livello C quanto a tali rilievi.</w:t>
      </w:r>
    </w:p>
    <w:p>
      <w:pPr>
        <w:spacing w:after="120" w:line="276"/>
        <w:jc w:val="both"/>
      </w:pPr>
      <w:r>
        <w:rPr>
          <w:rFonts w:ascii="Barlow Semi Condensed" w:cs="Barlow Semi Condensed" w:eastAsia="Barlow Semi Condensed" w:hAnsi="Barlow Semi Condensed"/>
          <w:b/>
          <w:bCs/>
          <w:sz w:val="24"/>
          <w:szCs w:val="24"/>
        </w:rPr>
        <w:t xml:space="preserve">Blocco mirato numero 1810 — ■ 17-27 febbraio 2023: l'esercitazione Mosi II. Esercitazione navale trilaterale con Russia e Cina al largo di Durban e Richards Bay, con oltre 350 militari sudafricani e la fregata Admiral Gorshkov, in prossimità del primo anniversario dell'invasione dell'Ucraina. Livello A. Le speculazioni della stampa su un test del missile ipersonico non trovarono conferma: il lancio non ebbe luogo. Livello A quanto al mancato lancio.</w:t>
      </w:r>
    </w:p>
    <w:p>
      <w:pPr>
        <w:spacing w:after="120" w:line="276"/>
        <w:jc w:val="both"/>
      </w:pPr>
      <w:r>
        <w:rPr>
          <w:rFonts w:ascii="Barlow Semi Condensed" w:cs="Barlow Semi Condensed" w:eastAsia="Barlow Semi Condensed" w:hAnsi="Barlow Semi Condensed"/>
          <w:b/>
          <w:bCs/>
          <w:sz w:val="24"/>
          <w:szCs w:val="24"/>
        </w:rPr>
        <w:t xml:space="preserve">Blocco mirato numero 1811 — ■ Le astensioni sull'Ucraina. Il Sudafrica si astenne sulle risoluzioni dell'Assemblea generale ES-11/1 del 2 marzo 2022, ES-11/4 del 12 ottobre 2022, ES-11/5 del 14 novembre 2022 ed ES-11/6 del 23 febbraio 2023, motivando ogni volta con la preferenza per diplomazia e dialogo. Livello A. Fra le 5 nazioni BRICS, soltanto il Brasile votò a favore della prima.</w:t>
      </w:r>
    </w:p>
    <w:p>
      <w:pPr>
        <w:spacing w:after="120" w:line="276"/>
        <w:jc w:val="both"/>
      </w:pPr>
      <w:r>
        <w:rPr>
          <w:rFonts w:ascii="Barlow Semi Condensed" w:cs="Barlow Semi Condensed" w:eastAsia="Barlow Semi Condensed" w:hAnsi="Barlow Semi Condensed"/>
          <w:b/>
          <w:bCs/>
          <w:sz w:val="24"/>
          <w:szCs w:val="24"/>
        </w:rPr>
        <w:t xml:space="preserve">Blocco mirato numero 1812 — ■ 17 marzo 2023 e agosto 2023: il mandato e il vertice. La Camera preliminare seconda della Corte penale internazionale emise mandati d'arresto per il crimine di guerra di deportazione illecita di popolazione, bambini, dalle aree occupate dell'Ucraina. Livello A. Il 19 luglio 2023 l'ufficio presidenziale annunciò che, per mutuo accordo, il presidente russo non avrebbe partecipato di persona al vertice di Johannesburg del 22-24 agosto, sostituito dal ministro degli Esteri e intervenuto in video per 17 minuti. Livello A. Un affidavit presidenziale reso pubblico il 18 luglio affermava che la Russia aveva chiarito che arrestare il suo presidente in carica sarebbe una dichiarazione di guerra; il Cremlino smentì di aver comunicato tale avvertimento. La divergenza si riporta e non si compone.</w:t>
      </w:r>
    </w:p>
    <w:p>
      <w:pPr>
        <w:pStyle w:val="Heading2"/>
        <w:spacing w:after="100" w:before="200"/>
      </w:pPr>
      <w:r>
        <w:rPr>
          <w:rFonts w:ascii="Barlow Semi Condensed" w:cs="Barlow Semi Condensed" w:eastAsia="Barlow Semi Condensed" w:hAnsi="Barlow Semi Condensed"/>
          <w:sz w:val="24"/>
          <w:szCs w:val="24"/>
        </w:rPr>
        <w:t xml:space="preserve">III — IL NODO ITALIANO NELLA FASE BETA E LA POLARITÀ INVERTITA DELL'ATTORE</w:t>
      </w:r>
    </w:p>
    <w:p>
      <w:pPr>
        <w:spacing w:after="120" w:line="276"/>
        <w:jc w:val="both"/>
      </w:pPr>
      <w:r>
        <w:rPr>
          <w:rFonts w:ascii="Barlow Semi Condensed" w:cs="Barlow Semi Condensed" w:eastAsia="Barlow Semi Condensed" w:hAnsi="Barlow Semi Condensed"/>
          <w:b/>
          <w:bCs/>
          <w:sz w:val="24"/>
          <w:szCs w:val="24"/>
        </w:rPr>
        <w:t xml:space="preserve">Blocco mirato numero 1901 — La domanda.\\ Il Primo Registro ha versato quale ponte principale la catena Bristol Siddeley, Piaggio, Atlas. \\Si chiede se tale ponte abbia un successore nella fase contemporanea, e con quale polarità.</w:t>
      </w:r>
    </w:p>
    <w:p>
      <w:pPr>
        <w:spacing w:after="120" w:line="276"/>
        <w:jc w:val="both"/>
      </w:pPr>
      <w:r>
        <w:rPr>
          <w:rFonts w:ascii="Barlow Semi Condensed" w:cs="Barlow Semi Condensed" w:eastAsia="Barlow Semi Condensed" w:hAnsi="Barlow Semi Condensed"/>
          <w:b/>
          <w:bCs/>
          <w:sz w:val="24"/>
          <w:szCs w:val="24"/>
        </w:rPr>
        <w:t xml:space="preserve">Blocco mirato numero 1902 — ◆ Il nodo successore esiste ed è nominato. Il gruppo Leonardo, già Finmeccanica e casa madre tanto di Alenia Aermacchi quanto di AgustaWestland, intrattiene con il Sudafrica una relazione contemporanea documentata, incentrata sul comparto elicotteristico. Livello A, ancorché la fonte sia in prevalenza il comunicato aziendale, di natura promozionale, e vada come tale qualificata. Dominio 6.</w:t>
      </w:r>
    </w:p>
    <w:p>
      <w:pPr>
        <w:spacing w:after="120" w:line="276"/>
        <w:jc w:val="both"/>
      </w:pPr>
      <w:r>
        <w:rPr>
          <w:rFonts w:ascii="Barlow Semi Condensed" w:cs="Barlow Semi Condensed" w:eastAsia="Barlow Semi Condensed" w:hAnsi="Barlow Semi Condensed"/>
          <w:b/>
          <w:bCs/>
          <w:sz w:val="24"/>
          <w:szCs w:val="24"/>
        </w:rPr>
        <w:t xml:space="preserve">Blocco mirato numero 1903 — ■ 21 agosto 2020: l'acquisizione di Wonderboom. Leonardo acquisì Precision Aviation Services presso l'aeroporto di Wonderboom a Pretoria: 2.275 metri quadrati, già operante da 25 anni quale centro autorizzato, divenuto il primo Leonardo Excellent Service Centre del continente, a supporto di oltre 120 elicotteri operanti nel mercato civile dell'Africa subsahariana.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1904 — ■ 2012: il richiamo esplicito all'eredità Impala. All'esposizione aerospaziale di Tshwane, Denel e Alenia Aermacchi firmarono un memorandum d'intesa; l'amministratore delegato Giuseppe Giordo richiamò espressamente la fruttuosa collaborazione industriale in Sudafrica con più di 250 addestratori e velivoli d'attacco leggero Impala. Livello A quanto alla dichiarazione. Si tratta di accordo-quadro e non di contratto di produzione fermo, e la distinzione va mantenuta.</w:t>
      </w:r>
    </w:p>
    <w:p>
      <w:pPr>
        <w:spacing w:after="120" w:line="276"/>
        <w:jc w:val="both"/>
      </w:pPr>
      <w:r>
        <w:rPr>
          <w:rFonts w:ascii="Barlow Semi Condensed" w:cs="Barlow Semi Condensed" w:eastAsia="Barlow Semi Condensed" w:hAnsi="Barlow Semi Condensed"/>
          <w:b/>
          <w:bCs/>
          <w:sz w:val="24"/>
          <w:szCs w:val="24"/>
        </w:rPr>
        <w:t xml:space="preserve">Blocco mirato numero 1905 — ■ Il ponte Alfa è materialmente estinto. La flotta Impala fu ritirata attorno al 2005 e sostituita dai Pilatus PC-7 Mk II; alcune cellule furono cedute al Brasile o al circuito dei velivoli storici. Non sussiste alcuna relazione di supporto Leonardo per l'Impala.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1906 — Ne discende un reperto di struttura. Il ponte del 1964 è materialmente estinto mentre il nodo societario che lo generò persiste e si è ampliato. Il legame fra i 2 non è di continuità operativa ma di sola successione societaria e di memoria aziendale rivendicata, come il richiamo del 2012 documenta.</w:t>
      </w:r>
    </w:p>
    <w:p>
      <w:pPr>
        <w:spacing w:after="120" w:line="276"/>
        <w:jc w:val="both"/>
      </w:pPr>
      <w:r>
        <w:rPr>
          <w:rFonts w:ascii="Barlow Semi Condensed" w:cs="Barlow Semi Condensed" w:eastAsia="Barlow Semi Condensed" w:hAnsi="Barlow Semi Condensed"/>
          <w:b/>
          <w:bCs/>
          <w:sz w:val="24"/>
          <w:szCs w:val="24"/>
        </w:rPr>
        <w:t xml:space="preserve">Blocco mirato numero 1907 — E adesso il reperto maggiore di questa sezione, che è di polarità.\\ \\L'attore industriale italiano non ha mutato collocazione; è mutato il terreno sotto di esso.</w:t>
      </w:r>
    </w:p>
    <w:p>
      <w:pPr>
        <w:spacing w:after="120" w:line="276"/>
        <w:jc w:val="both"/>
      </w:pPr>
      <w:r>
        <w:rPr>
          <w:rFonts w:ascii="Barlow Semi Condensed" w:cs="Barlow Semi Condensed" w:eastAsia="Barlow Semi Condensed" w:hAnsi="Barlow Semi Condensed"/>
          <w:b/>
          <w:bCs/>
          <w:sz w:val="24"/>
          <w:szCs w:val="24"/>
        </w:rPr>
        <w:t xml:space="preserve">Blocco mirato numero 1908 — La formulazione. Nella Formazione Alfa, l'impresa italiana riforniva un regime allineato contro Mosca, e l'Italia apparteneva al medesimo campo. Nella Formazione Beta, il gruppo successore opera in un Paese il cui governo è allineato con Mosca, mentre l'Italia è saldamente atlantica. Livello A quanto ai 2 quadri.</w:t>
      </w:r>
    </w:p>
    <w:p>
      <w:pPr>
        <w:spacing w:after="120" w:line="276"/>
        <w:jc w:val="both"/>
      </w:pPr>
      <w:r>
        <w:rPr>
          <w:rFonts w:ascii="Barlow Semi Condensed" w:cs="Barlow Semi Condensed" w:eastAsia="Barlow Semi Condensed" w:hAnsi="Barlow Semi Condensed"/>
          <w:b/>
          <w:bCs/>
          <w:sz w:val="24"/>
          <w:szCs w:val="24"/>
        </w:rPr>
        <w:t xml:space="preserve">Blocco mirato numero 1909 — La conseguenza. Il nodo italiano è dunque il termine costante del confronto: presente in entrambe le formazioni, di collocazione occidentale in entrambe, e passato dall'essere allineato con il governo sudafricano all'esserne divergente — senza aver compiuto alcun movimento proprio. Livello B, trattandosi di lettura strutturale e non di documento.</w:t>
      </w:r>
    </w:p>
    <w:p>
      <w:pPr>
        <w:spacing w:after="120" w:line="276"/>
        <w:jc w:val="both"/>
      </w:pPr>
      <w:r>
        <w:rPr>
          <w:rFonts w:ascii="Barlow Semi Condensed" w:cs="Barlow Semi Condensed" w:eastAsia="Barlow Semi Condensed" w:hAnsi="Barlow Semi Condensed"/>
          <w:b/>
          <w:bCs/>
          <w:sz w:val="24"/>
          <w:szCs w:val="24"/>
        </w:rPr>
        <w:t xml:space="preserve">Blocco mirato numero 1910 — La cornice bilaterale, per completezza. L'accordo di cooperazione italo-sudafricano in materia di difesa risale al 10 luglio 1997, integrato da accordo tecnico con la corporazione armamenti sudafricana del 19 novembre 1998, tuttora in vigore. Nel novembre 2024 si tennero a Roma consultazioni politiche bilaterali, con richiamo a un interscambio di 4,5 miliardi di euro nel 2023.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1911 — Un esito negativo va dichiarato. Non è stata reperita una frizione bilaterale formalizzata fra Roma e Pretoria sul dossier ucraino. La divergenza è documentabile sul piano dei rispettivi allineamenti, non come disputa esplicita. Sede: archivi della Farnesina e del ministero degli esteri sudafricano.</w:t>
      </w:r>
    </w:p>
    <w:p>
      <w:pPr>
        <w:spacing w:after="120" w:line="276"/>
        <w:jc w:val="both"/>
      </w:pPr>
      <w:r>
        <w:rPr>
          <w:rFonts w:ascii="Barlow Semi Condensed" w:cs="Barlow Semi Condensed" w:eastAsia="Barlow Semi Condensed" w:hAnsi="Barlow Semi Condensed"/>
          <w:b/>
          <w:bCs/>
          <w:sz w:val="24"/>
          <w:szCs w:val="24"/>
        </w:rPr>
        <w:t xml:space="preserve">Blocco mirato numero 1912 — Un secondo esito negativo, quantitativo. La quantificazione in valore dei contratti Leonardo con il Sudafrica non è stata reperita oltre i comunicati aziendali. Sedi: banca dati dei trasferimenti di armamenti dell'istituto di Stoccolma, bilanci del gruppo, atti della corporazione armamenti sudafricana.</w:t>
      </w:r>
    </w:p>
    <w:p>
      <w:pPr>
        <w:pStyle w:val="Heading2"/>
        <w:spacing w:after="100" w:before="200"/>
      </w:pPr>
      <w:r>
        <w:rPr>
          <w:rFonts w:ascii="Barlow Semi Condensed" w:cs="Barlow Semi Condensed" w:eastAsia="Barlow Semi Condensed" w:hAnsi="Barlow Semi Condensed"/>
          <w:sz w:val="24"/>
          <w:szCs w:val="24"/>
        </w:rPr>
        <w:t xml:space="preserve">IV — IL TEST SULLA TESI DIAGNOSTICA</w:t>
      </w:r>
    </w:p>
    <w:p>
      <w:pPr>
        <w:spacing w:after="120" w:line="276"/>
        <w:jc w:val="both"/>
      </w:pPr>
      <w:r>
        <w:rPr>
          <w:rFonts w:ascii="Barlow Semi Condensed" w:cs="Barlow Semi Condensed" w:eastAsia="Barlow Semi Condensed" w:hAnsi="Barlow Semi Condensed"/>
          <w:b/>
          <w:bCs/>
          <w:sz w:val="24"/>
          <w:szCs w:val="24"/>
        </w:rPr>
        <w:t xml:space="preserve">Blocco mirato numero 2001 — La tesi da verificare. L'Edizione Integrata enuncia quale evidenza diagnostica centrale che nelle 2 formazioni Stati Uniti e Russia si trovano su fronti opposti, e che non esiste riscontro a un condominio operativo fra le 2 potenze.</w:t>
      </w:r>
    </w:p>
    <w:p>
      <w:pPr>
        <w:spacing w:after="120" w:line="276"/>
        <w:jc w:val="both"/>
      </w:pPr>
      <w:r>
        <w:rPr>
          <w:rFonts w:ascii="Barlow Semi Condensed" w:cs="Barlow Semi Condensed" w:eastAsia="Barlow Semi Condensed" w:hAnsi="Barlow Semi Condensed"/>
          <w:b/>
          <w:bCs/>
          <w:sz w:val="24"/>
          <w:szCs w:val="24"/>
        </w:rPr>
        <w:t xml:space="preserve">Blocco mirato numero 2002 — Il quadro Alfa, riportato per intero perché è il termine di paragone. Su un fronte: Unione Sovietica, Cuba, African National Congress, SWAPO e MPLA. Sull'altro: Sudafrica, UNITA, FNLA e — per il tramite del sostegno a UNITA — gli Stati Uniti.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2003 — ■ L'intervento cubano, con le divergenze mantenute. Operazione Carlota avviata il 5 novembre 1975. Sull'entità le fonti divergono: oltre 25.000 soldati a fine 1975 secondo una sintesi, oltre 18.000 secondo l'opera monografica di Edward George; per il 1988 le stime oscillano fra 55.000 e 60.000, con 50.000 convenuti in sede negoziale.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Blocco mirato numero 2004 — ■ Cuito Cuanavale e l'accordo tripartito. Scontro decisivo fra la fine del 1987 e la primavera del 1988, con partecipazione diretta di unità corazzate e motorizzate cubane. L'Accordo tripartito del 1988 avviò il ritiro delle forze cubane e sudafricane e aprì la via all'indipendenza namibiana del 21 marzo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2005 — Il quadro Beta, e la polarità resta opposta. Da un lato la Russia proietta potenza in Africa attraverso le strutture esaminate ai blocchi seguenti, coltiva con Pretoria BRICS, esercitazioni navali e diplomazia convergente. Dall'altro gli Stati Uniti sono entrati in conflitto aperto con Pretoria: congelamento degli aiuti nel febbraio 2025 con ordine esecutivo, contestazione della legge sull'esproprio, offerta di reinsediamento agli afrikaner.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2006 — ◆ Il gruppo Wagner in Mozambico, ed è il solo teatro australe proprio della fase Beta. Nel settembre 2019 203 mercenari giunsero nel nord del Paese sbarcando all'aeroporto di Nacala e dispiegandosi in Cabo Delgado, con 3 elicotteri Mi-171Sh, dopo un incontro dell'agosto 2019 fra i 2 capi di Stato.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2007 — L'esito, rapido e fallimentare. 11 uccisi e 25 feriti in poche settimane, in un terreno di boscaglia che neutralizzava il vantaggio di elicotteri e sorveglianza elettronica; gli insorti penetrarono nel campo indossando uniformi dell'esercito mozambicano. Ritiro entro il novembre 2019, operazione dichiarata non redditizia; il numero complessivo di caduti nel teatro è indicato in 12 da altra fonte, e la divergenza si riporta. Livello B.</w:t>
      </w:r>
    </w:p>
    <w:p>
      <w:pPr>
        <w:spacing w:after="120" w:line="276"/>
        <w:jc w:val="both"/>
      </w:pPr>
      <w:r>
        <w:rPr>
          <w:rFonts w:ascii="Barlow Semi Condensed" w:cs="Barlow Semi Condensed" w:eastAsia="Barlow Semi Condensed" w:hAnsi="Barlow Semi Condensed"/>
          <w:b/>
          <w:bCs/>
          <w:sz w:val="24"/>
          <w:szCs w:val="24"/>
        </w:rPr>
        <w:t xml:space="preserve">Blocco mirato numero 2008 — ◆ L'Africa Corps. Dopo l'agosto 2023 le operazioni russe sono transitate verso una struttura posta sotto il comando diretto del ministero della Difesa, operante in almeno 6 nazioni africane con configurazioni disomogenee: la Libia ha pienamente adottato il modello; nella Repubblica Centrafricana persistono elementi precedenti sotto nuovi comandanti; Niger e Burkina Faso hanno firmato i primi contratti nel 2024; il Sudan presenta situazione ambigua. Livello B.</w:t>
      </w:r>
    </w:p>
    <w:p>
      <w:pPr>
        <w:spacing w:after="120" w:line="276"/>
        <w:jc w:val="both"/>
      </w:pPr>
      <w:r>
        <w:rPr>
          <w:rFonts w:ascii="Barlow Semi Condensed" w:cs="Barlow Semi Condensed" w:eastAsia="Barlow Semi Condensed" w:hAnsi="Barlow Semi Condensed"/>
          <w:b/>
          <w:bCs/>
          <w:sz w:val="24"/>
          <w:szCs w:val="24"/>
        </w:rPr>
        <w:t xml:space="preserve">Blocco mirato numero 2009 — L'esito del test, formulato. Il dossier australe conferma la tesi diagnostica senza eccezioni. Nella Formazione Alfa i 2 fronti erano netti e opposti; nella Beta la polarità resta opposta e si è acuita. Non esiste, nel dossier esaminato, alcun riscontro a un condominio operativo russo-americano. Livello A quanto ai reperti, Livello B quanto alla conclusione.</w:t>
      </w:r>
    </w:p>
    <w:p>
      <w:pPr>
        <w:spacing w:after="120" w:line="276"/>
        <w:jc w:val="both"/>
      </w:pPr>
      <w:r>
        <w:rPr>
          <w:rFonts w:ascii="Barlow Semi Condensed" w:cs="Barlow Semi Condensed" w:eastAsia="Barlow Semi Condensed" w:hAnsi="Barlow Semi Condensed"/>
          <w:b/>
          <w:bCs/>
          <w:sz w:val="24"/>
          <w:szCs w:val="24"/>
        </w:rPr>
        <w:t xml:space="preserve">Blocco mirato numero 2010 — E qui il registro enuncia il guadagno che la confutazione ha reso possibile. Se il Sudafrica fosse stato un nodo che ruota, esso avrebbe potuto essere invocato quale indizio di un ordine sovrastante che dispone dei Paesi terzi. Poiché invece esso è lo Stato in cui i 2 fronti coesistevano e nel 1994 si sono scambiati il potere, esso prova l'esatto contrario: che i 2 campi erano reali, distinti e in conflitto, al punto da dividere in 2 un solo Paese per 5 decenni. Livello B.</w:t>
      </w:r>
    </w:p>
    <w:p>
      <w:pPr>
        <w:pStyle w:val="Heading2"/>
        <w:spacing w:after="100" w:before="200"/>
      </w:pPr>
      <w:r>
        <w:rPr>
          <w:rFonts w:ascii="Barlow Semi Condensed" w:cs="Barlow Semi Condensed" w:eastAsia="Barlow Semi Condensed" w:hAnsi="Barlow Semi Condensed"/>
          <w:sz w:val="24"/>
          <w:szCs w:val="24"/>
        </w:rPr>
        <w:t xml:space="preserve">V — I VERSANTI TEDESCO E VATICANO NELLA FASE BETA, E LA TAVOLA</w:t>
      </w:r>
    </w:p>
    <w:p>
      <w:pPr>
        <w:spacing w:after="120" w:line="276"/>
        <w:jc w:val="both"/>
      </w:pPr>
      <w:r>
        <w:rPr>
          <w:rFonts w:ascii="Barlow Semi Condensed" w:cs="Barlow Semi Condensed" w:eastAsia="Barlow Semi Condensed" w:hAnsi="Barlow Semi Condensed"/>
          <w:b/>
          <w:bCs/>
          <w:sz w:val="24"/>
          <w:szCs w:val="24"/>
        </w:rPr>
        <w:t xml:space="preserve">Blocco mirato numero 2101 — ◆ La Hanns-Seidel-Stiftung in Sudafrica. Operante dal 1991, inizialmente da Johannesburg, con apertura di un ufficio a Città del Capo indicata dalle fonti nel 2018. Partner documentati: l'ufficio cattolico di collegamento parlamentare, la fondazione intitolata a Desmond e Leah Tutu, l'Institute for Security Studies, il Dullah Omar Institute dell'Università del Western Cape, la School of Public Leadership di Stellenbosch e il centro Tayarisha della Wits School of Governance. Livello A.</w:t>
      </w:r>
    </w:p>
    <w:p>
      <w:pPr>
        <w:spacing w:after="120" w:line="276"/>
        <w:jc w:val="both"/>
      </w:pPr>
      <w:r>
        <w:rPr>
          <w:rFonts w:ascii="Barlow Semi Condensed" w:cs="Barlow Semi Condensed" w:eastAsia="Barlow Semi Condensed" w:hAnsi="Barlow Semi Condensed"/>
          <w:b/>
          <w:bCs/>
          <w:sz w:val="24"/>
          <w:szCs w:val="24"/>
        </w:rPr>
        <w:t xml:space="preserve">Blocco mirato numero 2102 — Il quadro che ne emerge, e va enunciato perché chiude una voce del Primo Registro. Impegno civico-democratico stabile e cooperativo, privo di frizioni sul dossier russo e coerente con la collocazione occidentale della Germania. Livello A. Esito negativo dichiarato: non sono emerse prese di posizione tedesche specificamente critiche verso l'orientamento russo di Pretoria. Sede: archivi del ministero degli esteri federale.</w:t>
      </w:r>
    </w:p>
    <w:p>
      <w:pPr>
        <w:spacing w:after="120" w:line="276"/>
        <w:jc w:val="both"/>
      </w:pPr>
      <w:r>
        <w:rPr>
          <w:rFonts w:ascii="Barlow Semi Condensed" w:cs="Barlow Semi Condensed" w:eastAsia="Barlow Semi Condensed" w:hAnsi="Barlow Semi Condensed"/>
          <w:b/>
          <w:bCs/>
          <w:sz w:val="24"/>
          <w:szCs w:val="24"/>
        </w:rPr>
        <w:t xml:space="preserve">Blocco mirato numero 2103 — ■ 8 novembre 2025: l'udienza pontificia. Il Pontefice ricevette in Vaticano il presidente sudafricano, accompagnato dal ministro degli esteri. Il comunicato della Sala Stampa attesta cordiali colloqui e reciproco apprezzamento per il prezioso contributo che la Chiesa cattolica offre al Sudafrica, in particolare nei settori dell'istruzione e della sanità, e per il suo costante impegno a favorire il dialogo e la riconciliazione. Livello A. In tale occasione fu rinnovato l'invito a visitare il Paese.</w:t>
      </w:r>
    </w:p>
    <w:p>
      <w:pPr>
        <w:spacing w:after="120" w:line="276"/>
        <w:jc w:val="both"/>
      </w:pPr>
      <w:r>
        <w:rPr>
          <w:rFonts w:ascii="Barlow Semi Condensed" w:cs="Barlow Semi Condensed" w:eastAsia="Barlow Semi Condensed" w:hAnsi="Barlow Semi Condensed"/>
          <w:b/>
          <w:bCs/>
          <w:sz w:val="24"/>
          <w:szCs w:val="24"/>
        </w:rPr>
        <w:t xml:space="preserve">Blocco mirato numero 2104 — Il raccordo con il Primo Registro. Il ponte negato per 72 anni, esposto al blocco 407, è oggi relazione ordinaria e cordiale: nunziatura a Pretoria, con giurisdizione estesa a Lesotho, Namibia ed Eswatini. L'unica visita papale al Paese resta quella del 1995. Livello A.</w:t>
      </w:r>
    </w:p>
    <w:p>
      <w:pPr>
        <w:spacing w:after="120" w:line="276"/>
        <w:jc w:val="both"/>
      </w:pPr>
      <w:r>
        <w:rPr>
          <w:rFonts w:ascii="Barlow Semi Condensed" w:cs="Barlow Semi Condensed" w:eastAsia="Barlow Semi Condensed" w:hAnsi="Barlow Semi Condensed"/>
          <w:b/>
          <w:bCs/>
          <w:sz w:val="24"/>
          <w:szCs w:val="24"/>
        </w:rPr>
        <w:t xml:space="preserve">Blocco mirato numero 2105 — Un rilievo che il registro trae dal confronto. La Santa Sede negò il riconoscimento al regime dell'apartheid e lo concesse allo Stato uscito dalle prime elezioni democratiche; il suo criterio fu dunque il regime interno e non l'allineamento internazionale. Ne discende che essa non si dispone su nessuna delle 2 formazioni, e che la sua condotta non è misurabile con la scala Est-Ovest che governa il resto del corpus. Livello B.</w:t>
      </w:r>
    </w:p>
    <w:p>
      <w:pPr>
        <w:spacing w:after="120" w:line="276"/>
        <w:jc w:val="both"/>
      </w:pPr>
      <w:r>
        <w:rPr>
          <w:rFonts w:ascii="Barlow Semi Condensed" w:cs="Barlow Semi Condensed" w:eastAsia="Barlow Semi Condensed" w:hAnsi="Barlow Semi Condensed"/>
          <w:b/>
          <w:bCs/>
          <w:sz w:val="24"/>
          <w:szCs w:val="24"/>
        </w:rPr>
        <w:t xml:space="preserve">Blocco mirato numero 2151 — Tavola, prima voce. Il rapporto integrale del panel sulla Lady R, tuttora classificato. Massimo rendimento, poiché soltanto esso chiuderebbe la questione probatoria. Sede: Presidenza sudafricana o eventuale contenzioso presso l'Alta Corte. Condizione: desecretazione.</w:t>
      </w:r>
    </w:p>
    <w:p>
      <w:pPr>
        <w:spacing w:after="120" w:line="276"/>
        <w:jc w:val="both"/>
      </w:pPr>
      <w:r>
        <w:rPr>
          <w:rFonts w:ascii="Barlow Semi Condensed" w:cs="Barlow Semi Condensed" w:eastAsia="Barlow Semi Condensed" w:hAnsi="Barlow Semi Condensed"/>
          <w:b/>
          <w:bCs/>
          <w:sz w:val="24"/>
          <w:szCs w:val="24"/>
        </w:rPr>
        <w:t xml:space="preserve">Blocco mirato numero 2152 — Seconda voce. La quantificazione in valore dei contratti Leonardo con il Sudafrica dal 2010 al 2026. Sedi: banca dati di Stoccolma sui trasferimenti di armamenti, bilanci del gruppo, atti della corporazione armamenti sudafricana.</w:t>
      </w:r>
    </w:p>
    <w:p>
      <w:pPr>
        <w:spacing w:after="120" w:line="276"/>
        <w:jc w:val="both"/>
      </w:pPr>
      <w:r>
        <w:rPr>
          <w:rFonts w:ascii="Barlow Semi Condensed" w:cs="Barlow Semi Condensed" w:eastAsia="Barlow Semi Condensed" w:hAnsi="Barlow Semi Condensed"/>
          <w:b/>
          <w:bCs/>
          <w:sz w:val="24"/>
          <w:szCs w:val="24"/>
        </w:rPr>
        <w:t xml:space="preserve">Blocco mirato numero 2153 — Terza voce. L'esistenza di una frizione bilaterale formalizzata fra Italia e Sudafrica sul dossier ucraino. Sedi: archivio della Farnesina e del ministero degli esteri sudafricano.</w:t>
      </w:r>
    </w:p>
    <w:p>
      <w:pPr>
        <w:spacing w:after="120" w:line="276"/>
        <w:jc w:val="both"/>
      </w:pPr>
      <w:r>
        <w:rPr>
          <w:rFonts w:ascii="Barlow Semi Condensed" w:cs="Barlow Semi Condensed" w:eastAsia="Barlow Semi Condensed" w:hAnsi="Barlow Semi Condensed"/>
          <w:b/>
          <w:bCs/>
          <w:sz w:val="24"/>
          <w:szCs w:val="24"/>
        </w:rPr>
        <w:t xml:space="preserve">Blocco mirato numero 2154 — Quarta voce.\\ La cifra delle truppe cubane in Angola, sulla quale le fonti divergono in misura rilevante. Sede: archivi militari cubani. \\Condizione: accessibilità,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2155 — Quinta voce. Le prese di posizione tedesche e vaticane specificamente riferite all'orientamento russo di Pretoria. Sedi: ministero degli esteri federale e Sala Stampa della Santa Sede.</w:t>
      </w:r>
    </w:p>
    <w:p>
      <w:pPr>
        <w:spacing w:after="120" w:line="276"/>
        <w:jc w:val="both"/>
      </w:pPr>
      <w:r>
        <w:rPr>
          <w:rFonts w:ascii="Barlow Semi Condensed" w:cs="Barlow Semi Condensed" w:eastAsia="Barlow Semi Condensed" w:hAnsi="Barlow Semi Condensed"/>
          <w:b/>
          <w:bCs/>
          <w:sz w:val="24"/>
          <w:szCs w:val="24"/>
        </w:rPr>
        <w:t xml:space="preserve">Blocco mirato numero 2201 — Sintesi del dato nuovo acquisito. Il presente registro ha messo alla prova, con procedura di confutazione dichiarata nel comando, l'ipotesi secondo cui il Sudafrica costituirebbe un nodo che attraversa le 2 formazioni mutando polarità, e l'ha respinta. L'obiezione decisiva regge su fatti di Livello A: sostegno sovietico all'African National Congress dal 1963 in modo continuativo, rete di addestramento ripartita fra 8 Paesi del blocco, decisione della lotta armata assunta dal comitato centrale del partito comunista, e presenza dei medesimi uomini nel comando armato e nel primo gabinetto del 1994. Ne discende la formulazione che sostituisce l'ipotesi caduta: il Sudafrica non è un nodo che ruota ma lo Stato entro il quale entrambi i fronti della Formazione Alfa coesistevano, e nel 1994 mutò non l'allineamento dello Stato bensì quale dei 2 fronti interni detenesse il potere. Il registro versa inoltre 4 acquisizioni proprie. La prima: il grado del fatto trasferito, ossia un fatto vero la cui attribuzione geografica e politica viene silenziosamente aggiornata per servire una rivendicazione presente, di cui è esemplare l'addestramento dei quadri sudafricani in territorio oggi ucraino invocato quale titolo di gratitudine verso Mosca. La seconda: il reperto sull'allineamento non monolitico, poiché la magistratura sudafricana annullò nel 2017 il maggiore progetto strategico russo e l'obbligo derivante dallo Statuto di Roma impedì nel 2023 l'ospitalità piena al capo dello Stato russo. La terza: la polarità invertita dell'attore industriale italiano, che non ha mutato collocazione mentre è mutato il terreno sotto di esso, sicché il gruppo successore dell'impresa che riforniva un regime allineato contro Mosca opera oggi in un Paese allineato con Mosca, e il ponte del 1964 risulta materialmente estinto mentre il nodo societario persiste e si è ampliato. La quarta: il rilievo sulla Santa Sede, che negò il riconoscimento al regime e lo concesse allo Stato democratico, adottando quale criterio il regime interno anziché l'allineamento internazionale, e che perciò non si dispone su alcuna delle 2 formazioni. Quanto alla tesi diagnostica del volume, il dossier australe la conferma senza eccezioni; e la conferma è tanto più forte in quanto discende dalla confutazione dell'ipotesi opposta: poiché il Sudafrica non ruota ma contiene i 2 fronti e li vede scambiarsi il potere, esso prova che i 2 campi erano reali, distinti e in conflitto al punto da dividere in 2 un solo Paese per 5 decenni.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XXII · Terzo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 4.220 parole in 9 sezioni; la più ampia è §9 Altre sezioni, con 3.576.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 67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XXIII — Quarto Registro Analitico</w:t>
      </w:r>
    </w:p>
    <w:p>
      <w:pPr>
        <w:pStyle w:val="Heading1"/>
        <w:spacing w:after="120" w:before="240"/>
      </w:pPr>
      <w:r>
        <w:rPr>
          <w:rFonts w:ascii="Barlow Semi Condensed" w:cs="Barlow Semi Condensed" w:eastAsia="Barlow Semi Condensed" w:hAnsi="Barlow Semi Condensed"/>
          <w:sz w:val="24"/>
          <w:szCs w:val="24"/>
        </w:rPr>
        <w:t xml:space="preserve">QUARTO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La scala degli Stati Zero: consolidamento e prova di tenuta</w:t>
      </w:r>
    </w:p>
    <w:p>
      <w:pPr>
        <w:pStyle w:val="Heading2"/>
        <w:spacing w:after="100" w:before="200"/>
      </w:pPr>
      <w:r>
        <w:rPr>
          <w:rFonts w:ascii="Barlow Semi Condensed" w:cs="Barlow Semi Condensed" w:eastAsia="Barlow Semi Condensed" w:hAnsi="Barlow Semi Condensed"/>
          <w:sz w:val="24"/>
          <w:szCs w:val="24"/>
        </w:rPr>
        <w:t xml:space="preserve">La quinta correzione — due gradi confermati, uno ritirato</w:t>
      </w:r>
    </w:p>
    <w:p>
      <w:pPr>
        <w:pStyle w:val="Heading2"/>
        <w:spacing w:after="100" w:before="200"/>
      </w:pPr>
      <w:r>
        <w:rPr>
          <w:rFonts w:ascii="Barlow Semi Condensed" w:cs="Barlow Semi Condensed" w:eastAsia="Barlow Semi Condensed" w:hAnsi="Barlow Semi Condensed"/>
          <w:sz w:val="24"/>
          <w:szCs w:val="24"/>
        </w:rPr>
        <w:t xml:space="preserve">Blocchi 2301-2801 — dieci gradi — cinque proprieta trasversali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QUARTO REGISTRO ANALITICO</w:t>
      </w:r>
    </w:p>
    <w:p>
      <w:pPr>
        <w:pStyle w:val="Heading2"/>
        <w:spacing w:after="100" w:before="200"/>
      </w:pPr>
      <w:r>
        <w:rPr>
          <w:rFonts w:ascii="Barlow Semi Condensed" w:cs="Barlow Semi Condensed" w:eastAsia="Barlow Semi Condensed" w:hAnsi="Barlow Semi Condensed"/>
          <w:sz w:val="24"/>
          <w:szCs w:val="24"/>
        </w:rPr>
        <w:t xml:space="preserve">La scala degli Stati Zero: consolidamento e prova di tenuta. La quinta correzione</w:t>
      </w:r>
    </w:p>
    <w:p>
      <w:pPr>
        <w:spacing w:after="120" w:line="276"/>
        <w:jc w:val="both"/>
      </w:pPr>
      <w:r>
        <w:rPr>
          <w:rFonts w:ascii="Barlow Semi Condensed" w:cs="Barlow Semi Condensed" w:eastAsia="Barlow Semi Condensed" w:hAnsi="Barlow Semi Condensed"/>
          <w:b/>
          <w:bCs/>
          <w:sz w:val="24"/>
          <w:szCs w:val="24"/>
        </w:rPr>
        <w:t xml:space="preserve">Blocco mirato numero 2301 — Oggetto e ragione. Il presente registro non versa nodi né ponti. Esso opera sullo strumento con cui i 3 registri anteriori hanno misurato le assenze, e ne verifica la tenuta. La ragione è materiale: la sessione ha proposto 3 gradi nuovi della scala degli Stati Zero, sparsi in 3 documenti distinti, mai messi a confronto fra loro né con gli 8 preesistenti.</w:t>
      </w:r>
    </w:p>
    <w:p>
      <w:pPr>
        <w:spacing w:after="120" w:line="276"/>
        <w:jc w:val="both"/>
      </w:pPr>
      <w:r>
        <w:rPr>
          <w:rFonts w:ascii="Barlow Semi Condensed" w:cs="Barlow Semi Condensed" w:eastAsia="Barlow Semi Condensed" w:hAnsi="Barlow Semi Condensed"/>
          <w:b/>
          <w:bCs/>
          <w:sz w:val="24"/>
          <w:szCs w:val="24"/>
        </w:rPr>
        <w:t xml:space="preserve">Blocco mirato numero 2302 — Il rischio che la verifica previene. Una scala che passi da 8 a 11 gradi in una sola sessione, senza prova di tenuta, cessa di discriminare. Se 2 gradi coprono il medesimo caso, l'analista sceglierà quello che gli conviene; se un grado non descrive un'assenza, esso introdurrà nella scala una fattispecie estranea e la corromperà dall'interno. Entrambi i vizi sono verificabili, e il presente registro li verifica.</w:t>
      </w:r>
    </w:p>
    <w:p>
      <w:pPr>
        <w:spacing w:after="120" w:line="276"/>
        <w:jc w:val="both"/>
      </w:pPr>
      <w:r>
        <w:rPr>
          <w:rFonts w:ascii="Barlow Semi Condensed" w:cs="Barlow Semi Condensed" w:eastAsia="Barlow Semi Condensed" w:hAnsi="Barlow Semi Condensed"/>
          <w:b/>
          <w:bCs/>
          <w:sz w:val="24"/>
          <w:szCs w:val="24"/>
        </w:rPr>
        <w:t xml:space="preserve">Blocco mirato numero 2303 — Il criterio della prova. Ogni grado va sottoposto a 2 test. Primo test, di appartenenza: il grado descrive un'assenza? Se non descrive un'assenza, esso non appartiene a questa scala, quale che sia il suo valore analitico. Secondo test, di distinzione: il grado è irriducibile a ciascuno degli altri? Si verifica per confronto a coppie con i gradi confinanti.</w:t>
      </w:r>
    </w:p>
    <w:p>
      <w:pPr>
        <w:spacing w:after="120" w:line="276"/>
        <w:jc w:val="both"/>
      </w:pPr>
      <w:r>
        <w:rPr>
          <w:rFonts w:ascii="Barlow Semi Condensed" w:cs="Barlow Semi Condensed" w:eastAsia="Barlow Semi Condensed" w:hAnsi="Barlow Semi Condensed"/>
          <w:b/>
          <w:bCs/>
          <w:sz w:val="24"/>
          <w:szCs w:val="24"/>
        </w:rPr>
        <w:t xml:space="preserve">Blocco mirato numero 2304 — L'esito, anticipato perché sia chiaro che la prova non è cerimoniale. Dei 3 gradi proposti, 2 superano entrambi i test e 1 fallisce il primo. Il grado che fallisce è quello proposto venti minuti fa nel Terzo Registro, e il presente documento lo ritira e lo ricolloca altrove.</w:t>
      </w:r>
    </w:p>
    <w:p>
      <w:pPr>
        <w:spacing w:after="120" w:line="276"/>
        <w:jc w:val="both"/>
      </w:pPr>
      <w:r>
        <w:rPr>
          <w:rFonts w:ascii="Barlow Semi Condensed" w:cs="Barlow Semi Condensed" w:eastAsia="Barlow Semi Condensed" w:hAnsi="Barlow Semi Condensed"/>
          <w:b/>
          <w:bCs/>
          <w:sz w:val="24"/>
          <w:szCs w:val="24"/>
        </w:rPr>
        <w:t xml:space="preserve">Blocco mirato numero 2305 — La qualificazione di tale esito. È la quinta correzione della sessione, dopo le 3 confutazioni di ipotesi dell'autore e l'emendazione al Registro sul Fondo Moro. È la sola che colpisca una proposizione formulata nella medesima sessione, e va registrata come tale anziché attenuata.</w:t>
      </w:r>
    </w:p>
    <w:p>
      <w:pPr>
        <w:spacing w:after="120" w:line="276"/>
        <w:jc w:val="both"/>
      </w:pPr>
      <w:r>
        <w:rPr>
          <w:rFonts w:ascii="Barlow Semi Condensed" w:cs="Barlow Semi Condensed" w:eastAsia="Barlow Semi Condensed" w:hAnsi="Barlow Semi Condensed"/>
          <w:b/>
          <w:bCs/>
          <w:sz w:val="24"/>
          <w:szCs w:val="24"/>
        </w:rPr>
        <w:t xml:space="preserve">Blocco mirato numero 2306 — La funzione della scala, ricordata perché il test la presuppone. La scala serve a qualificare il tipo di assenza che una ricerca incontra, affinché l'esito negativo non sia una resa ma un'acquisizione di primo ordine, e affinché la sede di verifica e la condizione di chiusura discendano dal grado anziché essere improvvisate. Un grado mal posto non è un errore di nomenclatura: produce una tavola sbagliata e manda il ricercatore nel posto sbagliato.</w:t>
      </w:r>
    </w:p>
    <w:p>
      <w:pPr>
        <w:spacing w:after="120" w:line="276"/>
        <w:jc w:val="both"/>
      </w:pPr>
      <w:r>
        <w:rPr>
          <w:rFonts w:ascii="Barlow Semi Condensed" w:cs="Barlow Semi Condensed" w:eastAsia="Barlow Semi Condensed" w:hAnsi="Barlow Semi Condensed"/>
          <w:b/>
          <w:bCs/>
          <w:sz w:val="24"/>
          <w:szCs w:val="24"/>
        </w:rPr>
        <w:t xml:space="preserve">Blocco mirato numero 2307 — Che cosa la scala non fa, e va detto per delimitarla. Essa non misura il grado di certezza di ciò che si afferma — a ciò serve il sistema Savona — né il grado di contaminazione delle fonti — a ciò serve l'Indice di Contaminazione. Misura soltanto la natura dell'assenza. La delimitazione sarà decisiva al blocco 2601.</w:t>
      </w:r>
    </w:p>
    <w:p>
      <w:pPr>
        <w:spacing w:after="120" w:line="276"/>
        <w:jc w:val="both"/>
      </w:pPr>
      <w:r>
        <w:rPr>
          <w:rFonts w:ascii="Barlow Semi Condensed" w:cs="Barlow Semi Condensed" w:eastAsia="Barlow Semi Condensed" w:hAnsi="Barlow Semi Condensed"/>
          <w:b/>
          <w:bCs/>
          <w:sz w:val="24"/>
          <w:szCs w:val="24"/>
        </w:rPr>
        <w:t xml:space="preserve">Blocco mirato numero 2308 — Notazione. I gradi sono numerati progressivamente. Per ciascuno si indicano la definizione, il caso esemplare tratto dal corpus, la sede presso cui l'assenza andrebbe sciolta, e la condizione di chiusura. Ove la condizione di chiusura sia impossibile, lo si dichiara.</w:t>
      </w:r>
    </w:p>
    <w:p>
      <w:pPr>
        <w:spacing w:after="120" w:line="276"/>
        <w:jc w:val="both"/>
      </w:pPr>
      <w:r>
        <w:rPr>
          <w:rFonts w:ascii="Barlow Semi Condensed" w:cs="Barlow Semi Condensed" w:eastAsia="Barlow Semi Condensed" w:hAnsi="Barlow Semi Condensed"/>
          <w:b/>
          <w:bCs/>
          <w:sz w:val="24"/>
          <w:szCs w:val="24"/>
        </w:rPr>
        <w:t xml:space="preserve">Blocco mirato numero 2309 — Numerazione dei blocchi. Riprende dal 2301, il Terzo Registro essendosi chiuso al 2201.</w:t>
      </w:r>
    </w:p>
    <w:p>
      <w:pPr>
        <w:spacing w:after="120" w:line="276"/>
        <w:jc w:val="both"/>
      </w:pPr>
      <w:r>
        <w:rPr>
          <w:rFonts w:ascii="Barlow Semi Condensed" w:cs="Barlow Semi Condensed" w:eastAsia="Barlow Semi Condensed" w:hAnsi="Barlow Semi Condensed"/>
          <w:b/>
          <w:bCs/>
          <w:sz w:val="24"/>
          <w:szCs w:val="24"/>
        </w:rPr>
        <w:t xml:space="preserve">Blocco mirato numero 2310 — Avvertenza finale sul metodo. La prova che segue è condotta contro i gradi e non a loro favore, secondo la medesima procedura che in questa sessione ha prodotto 4 confutazioni. Un grado che sopravviva a un test condotto per demolirlo vale più di 10 gradi enunciati e mai messi alla prova.</w:t>
      </w:r>
    </w:p>
    <w:p>
      <w:pPr>
        <w:pStyle w:val="Heading2"/>
        <w:spacing w:after="100" w:before="200"/>
      </w:pPr>
      <w:r>
        <w:rPr>
          <w:rFonts w:ascii="Barlow Semi Condensed" w:cs="Barlow Semi Condensed" w:eastAsia="Barlow Semi Condensed" w:hAnsi="Barlow Semi Condensed"/>
          <w:sz w:val="24"/>
          <w:szCs w:val="24"/>
        </w:rPr>
        <w:t xml:space="preserve">I — GLI OTTO GRADI PREESISTENTI, RIESPOSTI</w:t>
      </w:r>
    </w:p>
    <w:p>
      <w:pPr>
        <w:spacing w:after="120" w:line="276"/>
        <w:jc w:val="both"/>
      </w:pPr>
      <w:r>
        <w:rPr>
          <w:rFonts w:ascii="Barlow Semi Condensed" w:cs="Barlow Semi Condensed" w:eastAsia="Barlow Semi Condensed" w:hAnsi="Barlow Semi Condensed"/>
          <w:b/>
          <w:bCs/>
          <w:sz w:val="24"/>
          <w:szCs w:val="24"/>
        </w:rPr>
        <w:t xml:space="preserve">Blocco mirato numero 2401 — Primo grado: impossibilità istituzionale. Definizione: l'informazione esiste in forma documentale ed è resa inaccessibile da una norma che ne differisce la consultabilità. Caso: l'Archivio Apostolico Vaticano, consultabile fino all'ottobre 1958, che rende strutturalmente inattingibili i pontificati di Giovanni XXIII, Paolo VI e Giovanni Paolo II. Sede: l'archivio medesimo. Condizione di chiusura: l'apertura del pontificato, che non dipende dal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2402 — Secondo grado: limite di strumento. Definizione: l'informazione esiste ed è consultabile, ma lo strumento di ricerca disponibile non copre il periodo o il perimetro. Caso: la banca dati del sindacato ispettivo parlamentare, che comincia dal 5 luglio 1976 e lascia fuori l'intero primo mandato di Moro. Sede: i resoconti a stampa non digitalizzati. Condizione di chiusura: lo spoglio manuale, oneroso ma possibile.</w:t>
      </w:r>
    </w:p>
    <w:p>
      <w:pPr>
        <w:spacing w:after="120" w:line="276"/>
        <w:jc w:val="both"/>
      </w:pPr>
      <w:r>
        <w:rPr>
          <w:rFonts w:ascii="Barlow Semi Condensed" w:cs="Barlow Semi Condensed" w:eastAsia="Barlow Semi Condensed" w:hAnsi="Barlow Semi Condensed"/>
          <w:b/>
          <w:bCs/>
          <w:sz w:val="24"/>
          <w:szCs w:val="24"/>
        </w:rPr>
        <w:t xml:space="preserve">Blocco mirato numero 2403 — Terzo grado: deposito inesplorato. Definizione: l'informazione esiste, è consultabile e lo strumento la copre, ma nessuno vi è entrato. Caso: la metà del fondo della Torre do Tombo mai consultata; e i fondi dell'Archivio Storico Diplomatico per i 6 perimetri. Sede: il deposito. Condizione di chiusura: che qualcuno vada.</w:t>
      </w:r>
    </w:p>
    <w:p>
      <w:pPr>
        <w:spacing w:after="120" w:line="276"/>
        <w:jc w:val="both"/>
      </w:pPr>
      <w:r>
        <w:rPr>
          <w:rFonts w:ascii="Barlow Semi Condensed" w:cs="Barlow Semi Condensed" w:eastAsia="Barlow Semi Condensed" w:hAnsi="Barlow Semi Condensed"/>
          <w:b/>
          <w:bCs/>
          <w:sz w:val="24"/>
          <w:szCs w:val="24"/>
        </w:rPr>
        <w:t xml:space="preserve">Blocco mirato numero 2404 — Quarto grado: insieme vuoto verificato. Definizione: l'assenza è positivamente accertata confrontando il perimetro con un registro che il soggetto medesimo pubblica. Caso: l'assenza dell'Opus Dei da Grecia, Cipro e Turchia, verificata contro l'elenco ufficiale dei Paesi in cui l'ente dichiara di operare. Sede: nessuna: l'accertamento è compiuto. Condizione di chiusura: già chiusa.</w:t>
      </w:r>
    </w:p>
    <w:p>
      <w:pPr>
        <w:spacing w:after="120" w:line="276"/>
        <w:jc w:val="both"/>
      </w:pPr>
      <w:r>
        <w:rPr>
          <w:rFonts w:ascii="Barlow Semi Condensed" w:cs="Barlow Semi Condensed" w:eastAsia="Barlow Semi Condensed" w:hAnsi="Barlow Semi Condensed"/>
          <w:b/>
          <w:bCs/>
          <w:sz w:val="24"/>
          <w:szCs w:val="24"/>
        </w:rPr>
        <w:t xml:space="preserve">Blocco mirato numero 2405 — La proprietà che distingue il quarto grado da tutti gli altri, e va isolata. Esso è il solo grado in cui l'assenza è un risultato e non un ostacolo. Negli altri l'assenza misura ciò che non si è potuto raggiungere; qui misura ciò che si è accertato non esserci. Ne discende che il quarto grado non genera voci di tavola, mentre tutti gli altri ne generano.</w:t>
      </w:r>
    </w:p>
    <w:p>
      <w:pPr>
        <w:spacing w:after="120" w:line="276"/>
        <w:jc w:val="both"/>
      </w:pPr>
      <w:r>
        <w:rPr>
          <w:rFonts w:ascii="Barlow Semi Condensed" w:cs="Barlow Semi Condensed" w:eastAsia="Barlow Semi Condensed" w:hAnsi="Barlow Semi Condensed"/>
          <w:b/>
          <w:bCs/>
          <w:sz w:val="24"/>
          <w:szCs w:val="24"/>
        </w:rPr>
        <w:t xml:space="preserve">Blocco mirato numero 2406 — Quinto grado: esito negativo presso i beneficiari. Definizione: l'assenza è accertata presso i soggetti che avrebbero avuto il maggiore interesse a registrare il fatto, e trae da tale collocazione la propria forza. Caso: nessuno dei comboniani espulsi dal Mozambico nell'aprile 1974 menziona un intervento italiano in proprio favore. Sede: archivi dell'ordine e memorialistica. Condizione di chiusura: parzialmente chiusa.</w:t>
      </w:r>
    </w:p>
    <w:p>
      <w:pPr>
        <w:spacing w:after="120" w:line="276"/>
        <w:jc w:val="both"/>
      </w:pPr>
      <w:r>
        <w:rPr>
          <w:rFonts w:ascii="Barlow Semi Condensed" w:cs="Barlow Semi Condensed" w:eastAsia="Barlow Semi Condensed" w:hAnsi="Barlow Semi Condensed"/>
          <w:b/>
          <w:bCs/>
          <w:sz w:val="24"/>
          <w:szCs w:val="24"/>
        </w:rPr>
        <w:t xml:space="preserve">Blocco mirato numero 2407 — Sesto grado: assenza coerente con la collocazione. Definizione: l'assenza è prevedibile dalla posizione nota del soggetto, e perciò non richiede spiegazione ulteriore. Caso: l'assenza di contatti fra Moro e l'Opus Dei, coerente con la sua formazione nella FUCI, in Studium e nell'area dossettiana. Sede: eventuale, non prioritaria. Condizione di chiusura: l'assenza resta tale salvo reperto contrario.</w:t>
      </w:r>
    </w:p>
    <w:p>
      <w:pPr>
        <w:spacing w:after="120" w:line="276"/>
        <w:jc w:val="both"/>
      </w:pPr>
      <w:r>
        <w:rPr>
          <w:rFonts w:ascii="Barlow Semi Condensed" w:cs="Barlow Semi Condensed" w:eastAsia="Barlow Semi Condensed" w:hAnsi="Barlow Semi Condensed"/>
          <w:b/>
          <w:bCs/>
          <w:sz w:val="24"/>
          <w:szCs w:val="24"/>
        </w:rPr>
        <w:t xml:space="preserve">Blocco mirato numero 2408 — Un'avvertenza sul sesto grado, che è il più insidioso. Esso rischia di funzionare come dispensa dalla ricerca: dichiarare un'assenza coerente con la collocazione può divenire il modo elegante di non cercare. Va perciò impiegato soltanto dopo che il terzo grado sia stato esaurito, mai in sua vece.</w:t>
      </w:r>
    </w:p>
    <w:p>
      <w:pPr>
        <w:spacing w:after="120" w:line="276"/>
        <w:jc w:val="both"/>
      </w:pPr>
      <w:r>
        <w:rPr>
          <w:rFonts w:ascii="Barlow Semi Condensed" w:cs="Barlow Semi Condensed" w:eastAsia="Barlow Semi Condensed" w:hAnsi="Barlow Semi Condensed"/>
          <w:b/>
          <w:bCs/>
          <w:sz w:val="24"/>
          <w:szCs w:val="24"/>
        </w:rPr>
        <w:t xml:space="preserve">Blocco mirato numero 2409 — Settimo grado: allegazione senza base. Definizione: una connessione è affermata da una fonte e non trova alcun riscontro; l'assenza riguarda il fondamento e non il documento. Caso: il nome operativo di un corriere, privo di qualsiasi riscontro, accanto a un nome verificabile nel medesimo elenco. Sede: la fonte che allega. Condizione di chiusura: l'onere grava su chi afferma.</w:t>
      </w:r>
    </w:p>
    <w:p>
      <w:pPr>
        <w:spacing w:after="120" w:line="276"/>
        <w:jc w:val="both"/>
      </w:pPr>
      <w:r>
        <w:rPr>
          <w:rFonts w:ascii="Barlow Semi Condensed" w:cs="Barlow Semi Condensed" w:eastAsia="Barlow Semi Condensed" w:hAnsi="Barlow Semi Condensed"/>
          <w:b/>
          <w:bCs/>
          <w:sz w:val="24"/>
          <w:szCs w:val="24"/>
        </w:rPr>
        <w:t xml:space="preserve">Blocco mirato numero 2410 — Ottavo grado: falso positivo. Definizione: un apparato detiene la qualificazione vera e ne diffonde una falsa; l'assenza è quella della verità nel circuito informativo, non nell'archivio. Caso: il servizio che deteneva il fascicolo con qualificazione anticomunista e trasmise agli organi di polizia quella anarchica. Sede: gli archivi del servizio. Condizione di chiusura: la desecretazione.</w:t>
      </w:r>
    </w:p>
    <w:p>
      <w:pPr>
        <w:spacing w:after="120" w:line="276"/>
        <w:jc w:val="both"/>
      </w:pPr>
      <w:r>
        <w:rPr>
          <w:rFonts w:ascii="Barlow Semi Condensed" w:cs="Barlow Semi Condensed" w:eastAsia="Barlow Semi Condensed" w:hAnsi="Barlow Semi Condensed"/>
          <w:b/>
          <w:bCs/>
          <w:sz w:val="24"/>
          <w:szCs w:val="24"/>
        </w:rPr>
        <w:t xml:space="preserve">Blocco mirato numero 2411 — Le 3 proprietà dell'ottavo grado, già acquisite e qui richiamate. È invisibile a chi cerchi assenze, poiché il documento c'è; corrompe a valle, poiché la qualificazione falsa entra nei documenti successivi; ed è verificabile soltanto dall'esterno, confrontando ciò che l'apparato deteneva con ciò che diffuse.</w:t>
      </w:r>
    </w:p>
    <w:p>
      <w:pPr>
        <w:spacing w:after="120" w:line="276"/>
        <w:jc w:val="both"/>
      </w:pPr>
      <w:r>
        <w:rPr>
          <w:rFonts w:ascii="Barlow Semi Condensed" w:cs="Barlow Semi Condensed" w:eastAsia="Barlow Semi Condensed" w:hAnsi="Barlow Semi Condensed"/>
          <w:b/>
          <w:bCs/>
          <w:sz w:val="24"/>
          <w:szCs w:val="24"/>
        </w:rPr>
        <w:t xml:space="preserve">Blocco mirato numero 2412 — Bilancio degli 8 preesistenti. Tutti descrivono un'assenza e superano il primo test. Quanto al secondo, si segnala una prossimità fra il primo e il secondo grado — norma che chiude contro strumento che non copre — che tuttavia regge, poiché nel primo caso il ricercatore che si recasse in sede sarebbe respinto, nel secondo sarebbe ammesso e dovrebbe soltanto lavorare di più.</w:t>
      </w:r>
    </w:p>
    <w:p>
      <w:pPr>
        <w:pStyle w:val="Heading2"/>
        <w:spacing w:after="100" w:before="200"/>
      </w:pPr>
      <w:r>
        <w:rPr>
          <w:rFonts w:ascii="Barlow Semi Condensed" w:cs="Barlow Semi Condensed" w:eastAsia="Barlow Semi Condensed" w:hAnsi="Barlow Semi Condensed"/>
          <w:sz w:val="24"/>
          <w:szCs w:val="24"/>
        </w:rPr>
        <w:t xml:space="preserve">II — I TRE GRADI PROPOSTI E LA PROVA INCROCIATA</w:t>
      </w:r>
    </w:p>
    <w:p>
      <w:pPr>
        <w:spacing w:after="120" w:line="276"/>
        <w:jc w:val="both"/>
      </w:pPr>
      <w:r>
        <w:rPr>
          <w:rFonts w:ascii="Barlow Semi Condensed" w:cs="Barlow Semi Condensed" w:eastAsia="Barlow Semi Condensed" w:hAnsi="Barlow Semi Condensed"/>
          <w:b/>
          <w:bCs/>
          <w:sz w:val="24"/>
          <w:szCs w:val="24"/>
        </w:rPr>
        <w:t xml:space="preserve">Blocco mirato numero 2501 — Nono grado proposto: atto atipico. Definizione: una condotta dello Stato non lascia traccia documentale perché il diritto vigente al momento non la configurava quale atto giuridico tipico, e dunque non ne prescriveva forma, motivazione né registrazione. Caso: la cessione all'estero di licenze di produzione di armamenti, non tipizzata in Italia fino all'articolo 13 della legge 185 del 9 luglio 1990, con materia coperta dal segreto di Stato per regio decreto del 1941.</w:t>
      </w:r>
    </w:p>
    <w:p>
      <w:pPr>
        <w:spacing w:after="120" w:line="276"/>
        <w:jc w:val="both"/>
      </w:pPr>
      <w:r>
        <w:rPr>
          <w:rFonts w:ascii="Barlow Semi Condensed" w:cs="Barlow Semi Condensed" w:eastAsia="Barlow Semi Condensed" w:hAnsi="Barlow Semi Condensed"/>
          <w:b/>
          <w:bCs/>
          <w:sz w:val="24"/>
          <w:szCs w:val="24"/>
        </w:rPr>
        <w:t xml:space="preserve">Blocco mirato numero 2502 — Primo test sul nono grado: descrive un'assenza?\\ \\Sì. Assenza di documento, e assenza di specie estrema: il documento non esiste e non è mai esistito. Il test è superato.</w:t>
      </w:r>
    </w:p>
    <w:p>
      <w:pPr>
        <w:spacing w:after="120" w:line="276"/>
        <w:jc w:val="both"/>
      </w:pPr>
      <w:r>
        <w:rPr>
          <w:rFonts w:ascii="Barlow Semi Condensed" w:cs="Barlow Semi Condensed" w:eastAsia="Barlow Semi Condensed" w:hAnsi="Barlow Semi Condensed"/>
          <w:b/>
          <w:bCs/>
          <w:sz w:val="24"/>
          <w:szCs w:val="24"/>
        </w:rPr>
        <w:t xml:space="preserve">Blocco mirato numero 2503 — Secondo test: confronto con il primo grado. L'impossibilità istituzionale dice che il documento esiste ed è sigillato. L'atto atipico dice che il documento non fu mai prodotto. Distinti, e la distinzione è operativa: nel primo caso attendere l'apertura ha senso, nel secondo attendere non serve a nulla.</w:t>
      </w:r>
    </w:p>
    <w:p>
      <w:pPr>
        <w:spacing w:after="120" w:line="276"/>
        <w:jc w:val="both"/>
      </w:pPr>
      <w:r>
        <w:rPr>
          <w:rFonts w:ascii="Barlow Semi Condensed" w:cs="Barlow Semi Condensed" w:eastAsia="Barlow Semi Condensed" w:hAnsi="Barlow Semi Condensed"/>
          <w:b/>
          <w:bCs/>
          <w:sz w:val="24"/>
          <w:szCs w:val="24"/>
        </w:rPr>
        <w:t xml:space="preserve">Blocco mirato numero 2504 — Confronto con il terzo grado. Il deposito inesplorato dice vai a cercare. L'atto atipico dice puoi andare e non troverai, e il non trovare non proverà l'inazione. Distinti. E qui il nono grado rende un servizio che nessun altro rende: immunizza il ricercatore dall'inferenza sbagliata che l'archivio vuoto autorizzerebbe.</w:t>
      </w:r>
    </w:p>
    <w:p>
      <w:pPr>
        <w:spacing w:after="120" w:line="276"/>
        <w:jc w:val="both"/>
      </w:pPr>
      <w:r>
        <w:rPr>
          <w:rFonts w:ascii="Barlow Semi Condensed" w:cs="Barlow Semi Condensed" w:eastAsia="Barlow Semi Condensed" w:hAnsi="Barlow Semi Condensed"/>
          <w:b/>
          <w:bCs/>
          <w:sz w:val="24"/>
          <w:szCs w:val="24"/>
        </w:rPr>
        <w:t xml:space="preserve">Blocco mirato numero 2505 — Confronto con il quarto grado, ed è il più stringente. L'insieme vuoto verificato accerta l'assenza confrontandola con un registro che il soggetto pubblica. L'atto atipico non può essere verificato contro alcun registro, perché di quegli atti non fu mai tenuto registro. Distinti — e la differenza di proprietà va enunciata: il quarto grado è falsificabile, il nono no. Chiunque può confutare il quarto esibendo una voce nel registro ufficiale; il nono non è confutabile se non mutando la ricostruzione del diritto vigente.</w:t>
      </w:r>
    </w:p>
    <w:p>
      <w:pPr>
        <w:spacing w:after="120" w:line="276"/>
        <w:jc w:val="both"/>
      </w:pPr>
      <w:r>
        <w:rPr>
          <w:rFonts w:ascii="Barlow Semi Condensed" w:cs="Barlow Semi Condensed" w:eastAsia="Barlow Semi Condensed" w:hAnsi="Barlow Semi Condensed"/>
          <w:b/>
          <w:bCs/>
          <w:sz w:val="24"/>
          <w:szCs w:val="24"/>
        </w:rPr>
        <w:t xml:space="preserve">Blocco mirato numero 2506 — Esito sul nono grado. Entrambi i test superati. Il grado tiene e si conferma.</w:t>
      </w:r>
    </w:p>
    <w:p>
      <w:pPr>
        <w:spacing w:after="120" w:line="276"/>
        <w:jc w:val="both"/>
      </w:pPr>
      <w:r>
        <w:rPr>
          <w:rFonts w:ascii="Barlow Semi Condensed" w:cs="Barlow Semi Condensed" w:eastAsia="Barlow Semi Condensed" w:hAnsi="Barlow Semi Condensed"/>
          <w:b/>
          <w:bCs/>
          <w:sz w:val="24"/>
          <w:szCs w:val="24"/>
        </w:rPr>
        <w:t xml:space="preserve">Blocco mirato numero 2507 — Decimo grado proposto: barriera macchinica. Definizione: un documento è pubblico, catalogato e indirizzabile, e la sua acquisizione è impedita non da una norma né da una lacuna ma da un dispositivo tecnico che discrimina fra lettori umani e automatici. Caso: le 2 lettere italiane presso le Nazioni Unite, di cui si sono acquisite le schede catalografiche integrali e non i corpi.</w:t>
      </w:r>
    </w:p>
    <w:p>
      <w:pPr>
        <w:spacing w:after="120" w:line="276"/>
        <w:jc w:val="both"/>
      </w:pPr>
      <w:r>
        <w:rPr>
          <w:rFonts w:ascii="Barlow Semi Condensed" w:cs="Barlow Semi Condensed" w:eastAsia="Barlow Semi Condensed" w:hAnsi="Barlow Semi Condensed"/>
          <w:b/>
          <w:bCs/>
          <w:sz w:val="24"/>
          <w:szCs w:val="24"/>
        </w:rPr>
        <w:t xml:space="preserve">Blocco mirato numero 2508 — Primo test sul decimo grado.\\ \\Descrive un'assenza: assenza di acquisizione, a fronte di un documento esistente, accessibile in diritto e misurabile — la seconda lettera consta di 2 pagine. Test superato.</w:t>
      </w:r>
    </w:p>
    <w:p>
      <w:pPr>
        <w:spacing w:after="120" w:line="276"/>
        <w:jc w:val="both"/>
      </w:pPr>
      <w:r>
        <w:rPr>
          <w:rFonts w:ascii="Barlow Semi Condensed" w:cs="Barlow Semi Condensed" w:eastAsia="Barlow Semi Condensed" w:hAnsi="Barlow Semi Condensed"/>
          <w:b/>
          <w:bCs/>
          <w:sz w:val="24"/>
          <w:szCs w:val="24"/>
        </w:rPr>
        <w:t xml:space="preserve">Blocco mirato numero 2509 — Secondo test: confronto con il secondo grado, ed è il confronto critico. Il limite di strumento è una lacuna di copertura: la banca dati non comprende il periodo. La barriera macchinica è un rifiuto attivo entro la copertura: la banca dati comprende il documento, lo cataloga, lo indirizza, e nega la consegna. Distinti, e la distinzione ha conseguenza pratica: nel secondo grado si cambia strumento, nel decimo si cambia lettore.</w:t>
      </w:r>
    </w:p>
    <w:p>
      <w:pPr>
        <w:spacing w:after="120" w:line="276"/>
        <w:jc w:val="both"/>
      </w:pPr>
      <w:r>
        <w:rPr>
          <w:rFonts w:ascii="Barlow Semi Condensed" w:cs="Barlow Semi Condensed" w:eastAsia="Barlow Semi Condensed" w:hAnsi="Barlow Semi Condensed"/>
          <w:b/>
          <w:bCs/>
          <w:sz w:val="24"/>
          <w:szCs w:val="24"/>
        </w:rPr>
        <w:t xml:space="preserve">Blocco mirato numero 2510 — Confronto con il primo grado. L'impossibilità istituzionale è normativa: una regola chiude l'archivio a chiunque. La barriera macchinica è tecnica, e la norma permette l'accesso. La prova decisiva è l'asimmetria: un lettore umano incontra il primo grado esattamente come un lettore automatico; il decimo grado lo incontra soltanto il secondo. Distinti.</w:t>
      </w:r>
    </w:p>
    <w:p>
      <w:pPr>
        <w:spacing w:after="120" w:line="276"/>
        <w:jc w:val="both"/>
      </w:pPr>
      <w:r>
        <w:rPr>
          <w:rFonts w:ascii="Barlow Semi Condensed" w:cs="Barlow Semi Condensed" w:eastAsia="Barlow Semi Condensed" w:hAnsi="Barlow Semi Condensed"/>
          <w:b/>
          <w:bCs/>
          <w:sz w:val="24"/>
          <w:szCs w:val="24"/>
        </w:rPr>
        <w:t xml:space="preserve">Blocco mirato numero 2511 — La proprietà più importante del decimo grado, che nessun altro possiede. Esso non è rimediabile dall'interno del metodo che lo ha incontrato. Nessuna riformulazione della domanda lo scioglie. Si scioglie soltanto uscendo dal metodo — cioè andando. Ne discende che il decimo grado è il solo che prescriva al ricercatore di cessare di essere ciò che è.</w:t>
      </w:r>
    </w:p>
    <w:p>
      <w:pPr>
        <w:spacing w:after="120" w:line="276"/>
        <w:jc w:val="both"/>
      </w:pPr>
      <w:r>
        <w:rPr>
          <w:rFonts w:ascii="Barlow Semi Condensed" w:cs="Barlow Semi Condensed" w:eastAsia="Barlow Semi Condensed" w:hAnsi="Barlow Semi Condensed"/>
          <w:b/>
          <w:bCs/>
          <w:sz w:val="24"/>
          <w:szCs w:val="24"/>
        </w:rPr>
        <w:t xml:space="preserve">Blocco mirato numero 2512 — Esito sul decimo grado. Entrambi i test superati. Il grado tiene e si conferma.</w:t>
      </w:r>
    </w:p>
    <w:p>
      <w:pPr>
        <w:pStyle w:val="Heading2"/>
        <w:spacing w:after="100" w:before="200"/>
      </w:pPr>
      <w:r>
        <w:rPr>
          <w:rFonts w:ascii="Barlow Semi Condensed" w:cs="Barlow Semi Condensed" w:eastAsia="Barlow Semi Condensed" w:hAnsi="Barlow Semi Condensed"/>
          <w:sz w:val="24"/>
          <w:szCs w:val="24"/>
        </w:rPr>
        <w:t xml:space="preserve">III — LA CADUTA DEL GRADO UNDICESIMO</w:t>
      </w:r>
    </w:p>
    <w:p>
      <w:pPr>
        <w:spacing w:after="120" w:line="276"/>
        <w:jc w:val="both"/>
      </w:pPr>
      <w:r>
        <w:rPr>
          <w:rFonts w:ascii="Barlow Semi Condensed" w:cs="Barlow Semi Condensed" w:eastAsia="Barlow Semi Condensed" w:hAnsi="Barlow Semi Condensed"/>
          <w:b/>
          <w:bCs/>
          <w:sz w:val="24"/>
          <w:szCs w:val="24"/>
        </w:rPr>
        <w:t xml:space="preserve">Blocco mirato numero 2601 — Il grado sotto esame. Il Terzo Registro ha proposto, al blocco 1708, un grado denominato fatto trasferito, così definito: un fatto vero la cui attribuzione geografica e politica viene silenziosamente aggiornata per servire una rivendicazione presente. Caso: l'addestramento dei quadri sudafricani in territorio oggi ucraino, invocato quale titolo di gratitudine verso Mosca.</w:t>
      </w:r>
    </w:p>
    <w:p>
      <w:pPr>
        <w:spacing w:after="120" w:line="276"/>
        <w:jc w:val="both"/>
      </w:pPr>
      <w:r>
        <w:rPr>
          <w:rFonts w:ascii="Barlow Semi Condensed" w:cs="Barlow Semi Condensed" w:eastAsia="Barlow Semi Condensed" w:hAnsi="Barlow Semi Condensed"/>
          <w:b/>
          <w:bCs/>
          <w:sz w:val="24"/>
          <w:szCs w:val="24"/>
        </w:rPr>
        <w:t xml:space="preserve">Blocco mirato numero 2602 — Primo test: descrive un'assenza?\\ \\No.</w:t>
      </w:r>
    </w:p>
    <w:p>
      <w:pPr>
        <w:spacing w:after="120" w:line="276"/>
        <w:jc w:val="both"/>
      </w:pPr>
      <w:r>
        <w:rPr>
          <w:rFonts w:ascii="Barlow Semi Condensed" w:cs="Barlow Semi Condensed" w:eastAsia="Barlow Semi Condensed" w:hAnsi="Barlow Semi Condensed"/>
          <w:b/>
          <w:bCs/>
          <w:sz w:val="24"/>
          <w:szCs w:val="24"/>
        </w:rPr>
        <w:t xml:space="preserve">Blocco mirato numero 2603 — La dimostrazione, e va condotta senza sconti perché la proposizione è mia e recentissima. Gli altri 10 gradi misurano tutti una privazione: assenza di documento, di accesso, di riscontro, di verità nel circuito, di atto giuridico. Il fatto trasferito non misura alcuna privazione. Il fatto c'è; il documento c'è; l'accesso c'è; il riscontro c'è. Ciò che è alterato è la cornice entro cui il fatto viene collocato, non la sua disponibilità.</w:t>
      </w:r>
    </w:p>
    <w:p>
      <w:pPr>
        <w:spacing w:after="120" w:line="276"/>
        <w:jc w:val="both"/>
      </w:pPr>
      <w:r>
        <w:rPr>
          <w:rFonts w:ascii="Barlow Semi Condensed" w:cs="Barlow Semi Condensed" w:eastAsia="Barlow Semi Condensed" w:hAnsi="Barlow Semi Condensed"/>
          <w:b/>
          <w:bCs/>
          <w:sz w:val="24"/>
          <w:szCs w:val="24"/>
        </w:rPr>
        <w:t xml:space="preserve">Blocco mirato numero 2604 — Ne discende l'esito.\\ \\Il grado fallisce il primo test e non appartiene alla scala degli Stati Zero. Il Terzo Registro lo aveva collocato male, e il presente registro lo ritira.</w:t>
      </w:r>
    </w:p>
    <w:p>
      <w:pPr>
        <w:spacing w:after="120" w:line="276"/>
        <w:jc w:val="both"/>
      </w:pPr>
      <w:r>
        <w:rPr>
          <w:rFonts w:ascii="Barlow Semi Condensed" w:cs="Barlow Semi Condensed" w:eastAsia="Barlow Semi Condensed" w:hAnsi="Barlow Semi Condensed"/>
          <w:b/>
          <w:bCs/>
          <w:sz w:val="24"/>
          <w:szCs w:val="24"/>
        </w:rPr>
        <w:t xml:space="preserve">Blocco mirato numero 2605 — Ma ritirarlo non è cassarlo, e la distinzione va enunciata.\\ La fattispecie che esso descrive \\esiste ed è analiticamente utile.\\ L'errore non fu di averla identificata: \\fu di averla iscritta nella scala sbagliata.</w:t>
      </w:r>
    </w:p>
    <w:p>
      <w:pPr>
        <w:spacing w:after="120" w:line="276"/>
        <w:jc w:val="both"/>
      </w:pPr>
      <w:r>
        <w:rPr>
          <w:rFonts w:ascii="Barlow Semi Condensed" w:cs="Barlow Semi Condensed" w:eastAsia="Barlow Semi Condensed" w:hAnsi="Barlow Semi Condensed"/>
          <w:b/>
          <w:bCs/>
          <w:sz w:val="24"/>
          <w:szCs w:val="24"/>
        </w:rPr>
        <w:t xml:space="preserve">Blocco mirato numero 2606 — La ricollocazione proposta. Il corpus dispone di un secondo strumento, l'Indice di Contaminazione, che misura non la disponibilità di un'informazione ma la sua indipendenza genealogica: quante volte un medesimo dato è stato riprodotto, attraverso quali passaggi, e quanto ciascuna riproduzione ne abbia alterato la portata. È lì che il fatto trasferito appartiene.</w:t>
      </w:r>
    </w:p>
    <w:p>
      <w:pPr>
        <w:spacing w:after="120" w:line="276"/>
        <w:jc w:val="both"/>
      </w:pPr>
      <w:r>
        <w:rPr>
          <w:rFonts w:ascii="Barlow Semi Condensed" w:cs="Barlow Semi Condensed" w:eastAsia="Barlow Semi Condensed" w:hAnsi="Barlow Semi Condensed"/>
          <w:b/>
          <w:bCs/>
          <w:sz w:val="24"/>
          <w:szCs w:val="24"/>
        </w:rPr>
        <w:t xml:space="preserve">Blocco mirato numero 2607 — La formulazione emendata per la nuova sede. Contaminazione per trasferimento di cornice: un dato genealogicamente autentico viene riprodotto con attribuzione geografica, politica o cronologica modificata, sicché le riproduzioni successive ereditano la cornice nuova insieme al dato vero, e la falsificazione diviene progressivamente indistinguibile dall'accertamento.</w:t>
      </w:r>
    </w:p>
    <w:p>
      <w:pPr>
        <w:spacing w:after="120" w:line="276"/>
        <w:jc w:val="both"/>
      </w:pPr>
      <w:r>
        <w:rPr>
          <w:rFonts w:ascii="Barlow Semi Condensed" w:cs="Barlow Semi Condensed" w:eastAsia="Barlow Semi Condensed" w:hAnsi="Barlow Semi Condensed"/>
          <w:b/>
          <w:bCs/>
          <w:sz w:val="24"/>
          <w:szCs w:val="24"/>
        </w:rPr>
        <w:t xml:space="preserve">Blocco mirato numero 2608 — La proprietà che la rende insidiosa, e che giustifica di conservarla. Essa resiste a ogni verifica condotta sul dato. Chi verifichi l'addestramento a Odessa lo trova confermato; la cornice non è verificabile insieme al dato, perché non è nel dato. Ne discende che gli strumenti ordinari di riscontro — che confermano o smentiscono fatti — sono strutturalmente ciechi ad essa.</w:t>
      </w:r>
    </w:p>
    <w:p>
      <w:pPr>
        <w:spacing w:after="120" w:line="276"/>
        <w:jc w:val="both"/>
      </w:pPr>
      <w:r>
        <w:rPr>
          <w:rFonts w:ascii="Barlow Semi Condensed" w:cs="Barlow Semi Condensed" w:eastAsia="Barlow Semi Condensed" w:hAnsi="Barlow Semi Condensed"/>
          <w:b/>
          <w:bCs/>
          <w:sz w:val="24"/>
          <w:szCs w:val="24"/>
        </w:rPr>
        <w:t xml:space="preserve">Blocco mirato numero 2609 — La distinzione dall'ottavo grado, che va mantenuta perché sono vicini. Il falso positivo richiede un apparato che detiene la qualificazione vera e ne diffonde una falsa: presuppone dunque la conoscenza e l'intenzione. La contaminazione per trasferimento non le richiede: può essere accrescitiva, prodursi per riproduzioni successive, e nessuno dei riproduttori deve sapere di trasferire. Il primo è dolo, la seconda può essere sedimentazione.</w:t>
      </w:r>
    </w:p>
    <w:p>
      <w:pPr>
        <w:spacing w:after="120" w:line="276"/>
        <w:jc w:val="both"/>
      </w:pPr>
      <w:r>
        <w:rPr>
          <w:rFonts w:ascii="Barlow Semi Condensed" w:cs="Barlow Semi Condensed" w:eastAsia="Barlow Semi Condensed" w:hAnsi="Barlow Semi Condensed"/>
          <w:b/>
          <w:bCs/>
          <w:sz w:val="24"/>
          <w:szCs w:val="24"/>
        </w:rPr>
        <w:t xml:space="preserve">Blocco mirato numero 2610 — Bilancio della sezione. Dei 3 gradi proposti nella sessione, 2 tengono e 1 cade. Il caduto non è perduto: è trasferito allo strumento competente, con definizione emendata e con una proprietà — la cecità degli strumenti di riscontro — che nella scala degli Stati Zero non avrebbe potuto essere enunciata.</w:t>
      </w:r>
    </w:p>
    <w:p>
      <w:pPr>
        <w:pStyle w:val="Heading2"/>
        <w:spacing w:after="100" w:before="200"/>
      </w:pPr>
      <w:r>
        <w:rPr>
          <w:rFonts w:ascii="Barlow Semi Condensed" w:cs="Barlow Semi Condensed" w:eastAsia="Barlow Semi Condensed" w:hAnsi="Barlow Semi Condensed"/>
          <w:sz w:val="24"/>
          <w:szCs w:val="24"/>
        </w:rPr>
        <w:t xml:space="preserve">IV — LA SCALA EMENDATA E LE SUE PROPRIETÀ TRASVERSALI</w:t>
      </w:r>
    </w:p>
    <w:p>
      <w:pPr>
        <w:spacing w:after="120" w:line="276"/>
        <w:jc w:val="both"/>
      </w:pPr>
      <w:r>
        <w:rPr>
          <w:rFonts w:ascii="Barlow Semi Condensed" w:cs="Barlow Semi Condensed" w:eastAsia="Barlow Semi Condensed" w:hAnsi="Barlow Semi Condensed"/>
          <w:b/>
          <w:bCs/>
          <w:sz w:val="24"/>
          <w:szCs w:val="24"/>
        </w:rPr>
        <w:t xml:space="preserve">Blocco mirato numero 2701 — La scala risultante conta 10 gradi.\\ Gli 8 preesistenti, confermati; il nono, atto atipico; il decimo, barriera macchinica. \\Il grado undicesimo è espunto e ricollocato.</w:t>
      </w:r>
    </w:p>
    <w:p>
      <w:pPr>
        <w:spacing w:after="120" w:line="276"/>
        <w:jc w:val="both"/>
      </w:pPr>
      <w:r>
        <w:rPr>
          <w:rFonts w:ascii="Barlow Semi Condensed" w:cs="Barlow Semi Condensed" w:eastAsia="Barlow Semi Condensed" w:hAnsi="Barlow Semi Condensed"/>
          <w:b/>
          <w:bCs/>
          <w:sz w:val="24"/>
          <w:szCs w:val="24"/>
        </w:rPr>
        <w:t xml:space="preserve">Blocco mirato numero 2702 — Prima proprietà trasversale: la ripartizione per rimediabilità. I gradi si dispongono su 3 classi. Rimediabili dal ricercatore: il secondo, il terzo, il quinto e in parte il settimo — basta lavorare di più o cercare altrove. Rimediabili soltanto da terzi: il primo, l'ottavo e il decimo — occorre che qualcuno apra, desecreti o consenta. Non rimediabili: il quarto, perché già chiuso, e il nono, perché non vi è nulla da rimediare.</w:t>
      </w:r>
    </w:p>
    <w:p>
      <w:pPr>
        <w:spacing w:after="120" w:line="276"/>
        <w:jc w:val="both"/>
      </w:pPr>
      <w:r>
        <w:rPr>
          <w:rFonts w:ascii="Barlow Semi Condensed" w:cs="Barlow Semi Condensed" w:eastAsia="Barlow Semi Condensed" w:hAnsi="Barlow Semi Condensed"/>
          <w:b/>
          <w:bCs/>
          <w:sz w:val="24"/>
          <w:szCs w:val="24"/>
        </w:rPr>
        <w:t xml:space="preserve">Blocco mirato numero 2703 — La conseguenza operativa della ripartizione. Una tavola di acquisizioni non conseguite dovrebbe essere ordinata per classe di rimediabilità prima che per rendimento atteso, poiché il rendimento più alto è inutile se la classe è la terza. I 3 registri anteriori hanno ordinato per solo rendimento, e vanno emendati su questo punto.</w:t>
      </w:r>
    </w:p>
    <w:p>
      <w:pPr>
        <w:spacing w:after="120" w:line="276"/>
        <w:jc w:val="both"/>
      </w:pPr>
      <w:r>
        <w:rPr>
          <w:rFonts w:ascii="Barlow Semi Condensed" w:cs="Barlow Semi Condensed" w:eastAsia="Barlow Semi Condensed" w:hAnsi="Barlow Semi Condensed"/>
          <w:b/>
          <w:bCs/>
          <w:sz w:val="24"/>
          <w:szCs w:val="24"/>
        </w:rPr>
        <w:t xml:space="preserve">Blocco mirato numero 2704 — Seconda proprietà trasversale: la ripartizione per falsificabilità. Alcuni gradi sono confutabili da chiunque esibisca un documento: il quarto, il quinto, il settimo. Altri non lo sono se non mutando la ricostruzione del quadro normativo o tecnico: il nono e il decimo. Ne discende che questi 2 vanno impiegati con maggiore cautela, poiché non offrono all'interlocutore lo strumento per contestarli.</w:t>
      </w:r>
    </w:p>
    <w:p>
      <w:pPr>
        <w:spacing w:after="120" w:line="276"/>
        <w:jc w:val="both"/>
      </w:pPr>
      <w:r>
        <w:rPr>
          <w:rFonts w:ascii="Barlow Semi Condensed" w:cs="Barlow Semi Condensed" w:eastAsia="Barlow Semi Condensed" w:hAnsi="Barlow Semi Condensed"/>
          <w:b/>
          <w:bCs/>
          <w:sz w:val="24"/>
          <w:szCs w:val="24"/>
        </w:rPr>
        <w:t xml:space="preserve">Blocco mirato numero 2705 — L'avvertenza che ne discende, e la rivolgo a me stesso. Un grado non falsificabile è comodo per chi lo invoca. Il nono grado permette di dichiarare che l'atto non fu mai prodotto senza che nessuno possa esibire il contrario. Va perciò impiegato soltanto dopo aver esibito il quadro normativo che lo fonda, come i registri anteriori hanno fatto citando il regio decreto del 1941 e l'articolo 13 della legge del 1990, e mai per affermazione.</w:t>
      </w:r>
    </w:p>
    <w:p>
      <w:pPr>
        <w:spacing w:after="120" w:line="276"/>
        <w:jc w:val="both"/>
      </w:pPr>
      <w:r>
        <w:rPr>
          <w:rFonts w:ascii="Barlow Semi Condensed" w:cs="Barlow Semi Condensed" w:eastAsia="Barlow Semi Condensed" w:hAnsi="Barlow Semi Condensed"/>
          <w:b/>
          <w:bCs/>
          <w:sz w:val="24"/>
          <w:szCs w:val="24"/>
        </w:rPr>
        <w:t xml:space="preserve">Blocco mirato numero 2706 — Terza proprietà trasversale: la ripartizione per visibilità. Alcuni gradi si manifestano a chi cerca: il primo, il secondo, il terzo. Altri sono invisibili a chi non conduca una verifica specifica: l'ottavo e il decimo. L'ottavo è invisibile perché il documento c'è e appare regolare; il decimo perché la scheda catalografica contiene abbastanza da sembrare un risultato.</w:t>
      </w:r>
    </w:p>
    <w:p>
      <w:pPr>
        <w:spacing w:after="120" w:line="276"/>
        <w:jc w:val="both"/>
      </w:pPr>
      <w:r>
        <w:rPr>
          <w:rFonts w:ascii="Barlow Semi Condensed" w:cs="Barlow Semi Condensed" w:eastAsia="Barlow Semi Condensed" w:hAnsi="Barlow Semi Condensed"/>
          <w:b/>
          <w:bCs/>
          <w:sz w:val="24"/>
          <w:szCs w:val="24"/>
        </w:rPr>
        <w:t xml:space="preserve">Blocco mirato numero 2707 — La conseguenza, che è una prescrizione di procedura. Una ricerca che si arresti alla scheda non sa di aver fallito. Ne discende che ogni acquisizione fondata su scheda catalografica anziché su testo va dichiarata come tale, e i registri anteriori lo hanno fatto per le 2 lettere alle Nazioni Unite. La prescrizione va estesa a ogni caso futuro.</w:t>
      </w:r>
    </w:p>
    <w:p>
      <w:pPr>
        <w:spacing w:after="120" w:line="276"/>
        <w:jc w:val="both"/>
      </w:pPr>
      <w:r>
        <w:rPr>
          <w:rFonts w:ascii="Barlow Semi Condensed" w:cs="Barlow Semi Condensed" w:eastAsia="Barlow Semi Condensed" w:hAnsi="Barlow Semi Condensed"/>
          <w:b/>
          <w:bCs/>
          <w:sz w:val="24"/>
          <w:szCs w:val="24"/>
        </w:rPr>
        <w:t xml:space="preserve">Blocco mirato numero 2708 — Quarta proprietà: i gradi non sono esclusivi. Un medesimo perimetro può presentarne più d'uno. Il teatro australe li presenta contemporaneamente in numero di 4: primo grado per la documentazione vaticana; terzo per i fondi diplomatici italiani; nono per l'atto autorizzativo sulla licenza; decimo per i corpi delle lettere. La scala qualifica assenze singole, non perimetri.</w:t>
      </w:r>
    </w:p>
    <w:p>
      <w:pPr>
        <w:spacing w:after="120" w:line="276"/>
        <w:jc w:val="both"/>
      </w:pPr>
      <w:r>
        <w:rPr>
          <w:rFonts w:ascii="Barlow Semi Condensed" w:cs="Barlow Semi Condensed" w:eastAsia="Barlow Semi Condensed" w:hAnsi="Barlow Semi Condensed"/>
          <w:b/>
          <w:bCs/>
          <w:sz w:val="24"/>
          <w:szCs w:val="24"/>
        </w:rPr>
        <w:t xml:space="preserve">Blocco mirato numero 2709 — Quinta proprietà, e chiude la sezione. La scala non descrive più soltanto ciò che gli archivi non conservano. Descrive ciò che il diritto non produsse, con il nono grado, e ciò che lo strumento non raggiunge, con il decimo. Ne discende che essa ha cessato di essere una tassonomia archivistica ed è divenuta una tassonomia dei limiti della conoscenza documentale, il che ne amplia la portata e ne accresce il rischio di abuso.</w:t>
      </w:r>
    </w:p>
    <w:p>
      <w:pPr>
        <w:spacing w:after="120" w:line="276"/>
        <w:jc w:val="both"/>
      </w:pPr>
      <w:r>
        <w:rPr>
          <w:rFonts w:ascii="Barlow Semi Condensed" w:cs="Barlow Semi Condensed" w:eastAsia="Barlow Semi Condensed" w:hAnsi="Barlow Semi Condensed"/>
          <w:b/>
          <w:bCs/>
          <w:sz w:val="24"/>
          <w:szCs w:val="24"/>
        </w:rPr>
        <w:t xml:space="preserve">Blocco mirato numero 2710 — Il rischio, enunciato per ultimo perché è il più serio. Più la scala si raffina, più diviene agevole qualificare elegantemente un'assenza anziché scioglierla. Undici ricognizioni hanno prodotto tavole; due voci che io stesso avevo giudicato le più facili sono rimaste ineseguite finché non le ho eseguite. La scala è uno strumento per descrivere ciò che manca, non un sostituto del cercarlo.</w:t>
      </w:r>
    </w:p>
    <w:p>
      <w:pPr>
        <w:spacing w:after="120" w:line="276"/>
        <w:jc w:val="both"/>
      </w:pPr>
      <w:r>
        <w:rPr>
          <w:rFonts w:ascii="Barlow Semi Condensed" w:cs="Barlow Semi Condensed" w:eastAsia="Barlow Semi Condensed" w:hAnsi="Barlow Semi Condensed"/>
          <w:b/>
          <w:bCs/>
          <w:sz w:val="24"/>
          <w:szCs w:val="24"/>
        </w:rPr>
        <w:t xml:space="preserve">Blocco mirato numero 2801 — Sintesi del dato nuovo acquisito. Il presente registro ha sottoposto a prova di tenuta la scala degli Stati Zero, accresciuta nella sessione da 8 a 11 gradi senza verifica. La prova è stata condotta con 2 test — di appartenenza e di distinzione — e applicata contro i gradi anziché a loro favore. Il nono grado, atto atipico, supera entrambi i test e si conferma, con la proprietà distintiva di immunizzare il ricercatore dall'inferenza sbagliata che un archivio vuoto autorizzerebbe, e con l'avvertenza che esso non è falsificabile e va perciò impiegato soltanto esibendo il quadro normativo che lo fonda. Il decimo grado, barriera macchinica, supera entrambi i test e si conferma, con la proprietà distintiva di essere il solo grado che prescriva al ricercatore di cessare di essere ciò che è, poiché si scioglie soltanto uscendo dal metodo che lo ha incontrato. Il grado undicesimo, fatto trasferito, fallisce il primo test e viene ritirato, poiché non descrive un'assenza ma un'alterazione di cornice a fronte di un dato pienamente disponibile; esso è ricollocato nell'Indice di Contaminazione con definizione emendata quale contaminazione per trasferimento di cornice, e con la proprietà — enunciabile soltanto nella nuova sede — di resistere a ogni verifica condotta sul dato, poiché la cornice non è nel dato e gli strumenti ordinari di riscontro le sono strutturalmente ciechi. La scala emendata conta dunque 10 gradi, e il registro ne enuncia 5 proprietà trasversali mai prima formulate: la ripartizione per rimediabilità in 3 classi, con la prescrizione che le tavole siano ordinate per classe prima che per rendimento atteso e con conseguente emendazione dei 3 registri anteriori su questo punto; la ripartizione per falsificabilità, con l'avvertenza sui 2 gradi non falsificabili; la ripartizione per visibilità, con la prescrizione che ogni acquisizione fondata su scheda catalografica anziché su testo sia dichiarata come tale; la non esclusività dei gradi, il teatro australe presentandone 4 contemporaneamente; e infine il mutamento di natura della scala, divenuta tassonomia dei limiti della conoscenza documentale anziché tassonomia archivistica. Il registro si chiude con l'avvertenza che tale raffinamento accresce il rischio di qualificare elegantemente un'assenza anziché scioglierla, e che la scala è strumento per descrivere ciò che manca, non sostituto del cercarlo.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XXIII · Quarto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XXIII: 3.442 parole in 9 sezioni; la più ampia è §9 Altre sezioni, con 2.880.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XXIII: 55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XXIV — Quinto Registro Analitico</w:t>
      </w:r>
    </w:p>
    <w:p>
      <w:pPr>
        <w:pStyle w:val="Heading1"/>
        <w:spacing w:after="120" w:before="240"/>
      </w:pPr>
      <w:r>
        <w:rPr>
          <w:rFonts w:ascii="Barlow Semi Condensed" w:cs="Barlow Semi Condensed" w:eastAsia="Barlow Semi Condensed" w:hAnsi="Barlow Semi Condensed"/>
          <w:sz w:val="24"/>
          <w:szCs w:val="24"/>
        </w:rPr>
        <w:t xml:space="preserve">QUINTO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Tavola Unica delle Acquisizioni Non Conseguite</w:t>
      </w:r>
    </w:p>
    <w:p>
      <w:pPr>
        <w:pStyle w:val="Heading2"/>
        <w:spacing w:after="100" w:before="200"/>
      </w:pPr>
      <w:r>
        <w:rPr>
          <w:rFonts w:ascii="Barlow Semi Condensed" w:cs="Barlow Semi Condensed" w:eastAsia="Barlow Semi Condensed" w:hAnsi="Barlow Semi Condensed"/>
          <w:sz w:val="24"/>
          <w:szCs w:val="24"/>
        </w:rPr>
        <w:t xml:space="preserve">Esecuzione della prescrizione del blocco 2703</w:t>
      </w:r>
    </w:p>
    <w:p>
      <w:pPr>
        <w:pStyle w:val="Heading2"/>
        <w:spacing w:after="100" w:before="200"/>
      </w:pPr>
      <w:r>
        <w:rPr>
          <w:rFonts w:ascii="Barlow Semi Condensed" w:cs="Barlow Semi Condensed" w:eastAsia="Barlow Semi Condensed" w:hAnsi="Barlow Semi Condensed"/>
          <w:sz w:val="24"/>
          <w:szCs w:val="24"/>
        </w:rPr>
        <w:t xml:space="preserve">Blocchi 2901-3301 — 28 voci — 19 in classe prima, 7 in seconda, 2 in terza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QUINTO REGISTRO ANALITICO</w:t>
      </w:r>
    </w:p>
    <w:p>
      <w:pPr>
        <w:pStyle w:val="Heading2"/>
        <w:spacing w:after="100" w:before="200"/>
      </w:pPr>
      <w:r>
        <w:rPr>
          <w:rFonts w:ascii="Barlow Semi Condensed" w:cs="Barlow Semi Condensed" w:eastAsia="Barlow Semi Condensed" w:hAnsi="Barlow Semi Condensed"/>
          <w:sz w:val="24"/>
          <w:szCs w:val="24"/>
        </w:rPr>
        <w:t xml:space="preserve">Tavola Unica delle Acquisizioni Non Conseguite. Esecuzione della prescrizione del blocco 2703</w:t>
      </w:r>
    </w:p>
    <w:p>
      <w:pPr>
        <w:spacing w:after="120" w:line="276"/>
        <w:jc w:val="both"/>
      </w:pPr>
      <w:r>
        <w:rPr>
          <w:rFonts w:ascii="Barlow Semi Condensed" w:cs="Barlow Semi Condensed" w:eastAsia="Barlow Semi Condensed" w:hAnsi="Barlow Semi Condensed"/>
          <w:b/>
          <w:bCs/>
          <w:sz w:val="24"/>
          <w:szCs w:val="24"/>
        </w:rPr>
        <w:t xml:space="preserve">Blocco mirato numero 2901 — Oggetto. Il Quarto Registro ha prescritto, al blocco 2703, che le tavole di acquisizioni non conseguite siano ordinate per classe di rimediabilità prima che per rendimento atteso, ed ha emendato su questo punto i 3 registri anteriori. La prescrizione è stata emessa e non eseguita. Il presente registro la esegue.</w:t>
      </w:r>
    </w:p>
    <w:p>
      <w:pPr>
        <w:spacing w:after="120" w:line="276"/>
        <w:jc w:val="both"/>
      </w:pPr>
      <w:r>
        <w:rPr>
          <w:rFonts w:ascii="Barlow Semi Condensed" w:cs="Barlow Semi Condensed" w:eastAsia="Barlow Semi Condensed" w:hAnsi="Barlow Semi Condensed"/>
          <w:b/>
          <w:bCs/>
          <w:sz w:val="24"/>
          <w:szCs w:val="24"/>
        </w:rPr>
        <w:t xml:space="preserve">Blocco mirato numero 2902 — Ragione dell'urgenza. La diciottesima ricognizione aveva accertato che 2 voci giudicate dall'autore le più facili dell'intera serie erano rimaste ineseguite per 5 ricognizioni. Emettere una prescrizione e non applicarla nel documento successivo riprodurrebbe il vizio nella forma più netta possibile, poiché il vizio è stato diagnosticato nella medesima sessione.</w:t>
      </w:r>
    </w:p>
    <w:p>
      <w:pPr>
        <w:spacing w:after="120" w:line="276"/>
        <w:jc w:val="both"/>
      </w:pPr>
      <w:r>
        <w:rPr>
          <w:rFonts w:ascii="Barlow Semi Condensed" w:cs="Barlow Semi Condensed" w:eastAsia="Barlow Semi Condensed" w:hAnsi="Barlow Semi Condensed"/>
          <w:b/>
          <w:bCs/>
          <w:sz w:val="24"/>
          <w:szCs w:val="24"/>
        </w:rPr>
        <w:t xml:space="preserve">Blocco mirato numero 2903 — Che cosa il registro consolida. Le voci di tavola prodotte nella sessione da 5 ricognizioni e 4 registri: calibrazione libica, canale Aermacchi, confronto namibiano, Santa Sede e Democrazia Cristiana, fonti primarie alle Nazioni Unite; Primo, Secondo, Terzo e Quarto Registro. Le voci sono deduplicate, poiché numerose ricorrono in 3 o 4 documenti con formulazione variata.</w:t>
      </w:r>
    </w:p>
    <w:p>
      <w:pPr>
        <w:spacing w:after="120" w:line="276"/>
        <w:jc w:val="both"/>
      </w:pPr>
      <w:r>
        <w:rPr>
          <w:rFonts w:ascii="Barlow Semi Condensed" w:cs="Barlow Semi Condensed" w:eastAsia="Barlow Semi Condensed" w:hAnsi="Barlow Semi Condensed"/>
          <w:b/>
          <w:bCs/>
          <w:sz w:val="24"/>
          <w:szCs w:val="24"/>
        </w:rPr>
        <w:t xml:space="preserve">Blocco mirato numero 2904 — Le 3 classi, richiamate. Classe prima: rimediabili dal ricercatore — basta andare, o lavorare di più con lo strumento disponibile. Classe seconda: rimediabili soltanto da terzi — occorre che qualcuno apra, desecreti o consenta. Classe terza: non rimediabili — non vi è nulla da rimediare, o l'ostacolo è normativo e indipendente da qualunque volontà attuale.</w:t>
      </w:r>
    </w:p>
    <w:p>
      <w:pPr>
        <w:spacing w:after="120" w:line="276"/>
        <w:jc w:val="both"/>
      </w:pPr>
      <w:r>
        <w:rPr>
          <w:rFonts w:ascii="Barlow Semi Condensed" w:cs="Barlow Semi Condensed" w:eastAsia="Barlow Semi Condensed" w:hAnsi="Barlow Semi Condensed"/>
          <w:b/>
          <w:bCs/>
          <w:sz w:val="24"/>
          <w:szCs w:val="24"/>
        </w:rPr>
        <w:t xml:space="preserve">Blocco mirato numero 2905 — Il dato quantitativo, anticipato perché è esso il risultato.\\ Le voci deduplicate sono \\28\\. Di queste, \\19 appartengono alla classe prima, 7 alla classe seconda, 2 alla classe terza.</w:t>
      </w:r>
    </w:p>
    <w:p>
      <w:pPr>
        <w:spacing w:after="120" w:line="276"/>
        <w:jc w:val="both"/>
      </w:pPr>
      <w:r>
        <w:rPr>
          <w:rFonts w:ascii="Barlow Semi Condensed" w:cs="Barlow Semi Condensed" w:eastAsia="Barlow Semi Condensed" w:hAnsi="Barlow Semi Condensed"/>
          <w:b/>
          <w:bCs/>
          <w:sz w:val="24"/>
          <w:szCs w:val="24"/>
        </w:rPr>
        <w:t xml:space="preserve">Blocco mirato numero 2906 — La lettura del dato, ed è la sola che il registro proponga. Ventisette voci su 28 sono in principio conseguibili, e 19 lo sono per iniziativa del solo ricercatore. Ne discende che l'ostacolo prevalente dell'intera sessione non è il segreto né la norma: è che nessuno sia andato.</w:t>
      </w:r>
    </w:p>
    <w:p>
      <w:pPr>
        <w:spacing w:after="120" w:line="276"/>
        <w:jc w:val="both"/>
      </w:pPr>
      <w:r>
        <w:rPr>
          <w:rFonts w:ascii="Barlow Semi Condensed" w:cs="Barlow Semi Condensed" w:eastAsia="Barlow Semi Condensed" w:hAnsi="Barlow Semi Condensed"/>
          <w:b/>
          <w:bCs/>
          <w:sz w:val="24"/>
          <w:szCs w:val="24"/>
        </w:rPr>
        <w:t xml:space="preserve">Blocco mirato numero 2907 — Per ciascuna voce si indicano 4 elementi. Il grado secondo la scala emendata a 10 voci; la sede; la condizione di chiusura; e il rendimento atteso, che ordina all'interno della classe e non fra le classi.</w:t>
      </w:r>
    </w:p>
    <w:p>
      <w:pPr>
        <w:spacing w:after="120" w:line="276"/>
        <w:jc w:val="both"/>
      </w:pPr>
      <w:r>
        <w:rPr>
          <w:rFonts w:ascii="Barlow Semi Condensed" w:cs="Barlow Semi Condensed" w:eastAsia="Barlow Semi Condensed" w:hAnsi="Barlow Semi Condensed"/>
          <w:b/>
          <w:bCs/>
          <w:sz w:val="24"/>
          <w:szCs w:val="24"/>
        </w:rPr>
        <w:t xml:space="preserve">Blocco mirato numero 2908 — Numerazione dei blocchi. Riprende dal 2901, il Quarto Registro essendosi chiuso al 2801.</w:t>
      </w:r>
    </w:p>
    <w:p>
      <w:pPr>
        <w:pStyle w:val="Heading2"/>
        <w:spacing w:after="100" w:before="200"/>
      </w:pPr>
      <w:r>
        <w:rPr>
          <w:rFonts w:ascii="Barlow Semi Condensed" w:cs="Barlow Semi Condensed" w:eastAsia="Barlow Semi Condensed" w:hAnsi="Barlow Semi Condensed"/>
          <w:sz w:val="24"/>
          <w:szCs w:val="24"/>
        </w:rPr>
        <w:t xml:space="preserve">CLASSE PRIMA — RIMEDIABILI DAL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3001 — Voce 1. Lo spoglio delle serie Affari Politici dell'Archivio Storico Diplomatico per i 6 perimetri del ministero Moro, 1969-1974, e per la serie Sudafrica 1969-1976. Grado terzo, deposito inesplorato. Sede: l'archivio, previa richiesta dell'elenco dei faldoni. Condizione: consultazione in sede, con verifica preventiva di disponibilità per la documentazione dal 1949. Rendimento: massimo della classe. È la sola operazione che trasformi il silenzio presunto dei 6 perimetri in esito accertato.</w:t>
      </w:r>
    </w:p>
    <w:p>
      <w:pPr>
        <w:spacing w:after="120" w:line="276"/>
        <w:jc w:val="both"/>
      </w:pPr>
      <w:r>
        <w:rPr>
          <w:rFonts w:ascii="Barlow Semi Condensed" w:cs="Barlow Semi Condensed" w:eastAsia="Barlow Semi Condensed" w:hAnsi="Barlow Semi Condensed"/>
          <w:b/>
          <w:bCs/>
          <w:sz w:val="24"/>
          <w:szCs w:val="24"/>
        </w:rPr>
        <w:t xml:space="preserve">Blocco mirato numero 3002 — Voce 2. La verifica dei canali paralleli alla Farnesina presso i ministeri competenti per materia, per ciascun perimetro. Grado terzo. Sede: archivi dei ministeri competenti. Condizione: individuazione del ministero per materia. Rendimento: altissimo, e la voce è nuova, nata dal precedente di Osimo e mai cercata da alcuna ricognizione anteriore.</w:t>
      </w:r>
    </w:p>
    <w:p>
      <w:pPr>
        <w:spacing w:after="120" w:line="276"/>
        <w:jc w:val="both"/>
      </w:pPr>
      <w:r>
        <w:rPr>
          <w:rFonts w:ascii="Barlow Semi Condensed" w:cs="Barlow Semi Condensed" w:eastAsia="Barlow Semi Condensed" w:hAnsi="Barlow Semi Condensed"/>
          <w:b/>
          <w:bCs/>
          <w:sz w:val="24"/>
          <w:szCs w:val="24"/>
        </w:rPr>
        <w:t xml:space="preserve">Blocco mirato numero 3003 — Voce 3. Lo spoglio integrale del Fondo Moro oltre la busta 139, con verifica diretta della struttura inventariale. Grado terzo. Sede: Archivio Centrale dello Stato e Archivio storico del Senato. Condizione: consultazione. Rendimento: alto, il fondo constando di 218 buste con inventario analitico e parziale digitalizzazione, e l'avvertenza sulla decorrenza da novembre 1974 essendo risultata inesatta.</w:t>
      </w:r>
    </w:p>
    <w:p>
      <w:pPr>
        <w:spacing w:after="120" w:line="276"/>
        <w:jc w:val="both"/>
      </w:pPr>
      <w:r>
        <w:rPr>
          <w:rFonts w:ascii="Barlow Semi Condensed" w:cs="Barlow Semi Condensed" w:eastAsia="Barlow Semi Condensed" w:hAnsi="Barlow Semi Condensed"/>
          <w:b/>
          <w:bCs/>
          <w:sz w:val="24"/>
          <w:szCs w:val="24"/>
        </w:rPr>
        <w:t xml:space="preserve">Blocco mirato numero 3004 — Voce 4. I Documenti Diplomatici Italiani, Settima serie, per il periodo 1969-1976. Grado terzo. Sede: la collana. Condizione: verifica della copertura effettiva, l'ultimo volume pubblicato dell'undicesima serie fermandosi al 1951-1952. Rendimento: alto.</w:t>
      </w:r>
    </w:p>
    <w:p>
      <w:pPr>
        <w:spacing w:after="120" w:line="276"/>
        <w:jc w:val="both"/>
      </w:pPr>
      <w:r>
        <w:rPr>
          <w:rFonts w:ascii="Barlow Semi Condensed" w:cs="Barlow Semi Condensed" w:eastAsia="Barlow Semi Condensed" w:hAnsi="Barlow Semi Condensed"/>
          <w:b/>
          <w:bCs/>
          <w:sz w:val="24"/>
          <w:szCs w:val="24"/>
        </w:rPr>
        <w:t xml:space="preserve">Blocco mirato numero 3005 — Voce 5. Il voto italiano sulla risoluzione 2775 della ventiseiesima sessione, del 29 novembre 1971, intitolata Arms embargo, e sulla serie apartheid della ventinovesima sessione. Grado secondo, limite di strumento: le schede esistono e la lista per Paese è troncata nelle risorse consultate. Sede: scheda di voting data del singolo documento. Condizione: meramente tecnica. Rendimento: alto, essendo la risoluzione la più direttamente pertinente al perimetro dell'intera serie.</w:t>
      </w:r>
    </w:p>
    <w:p>
      <w:pPr>
        <w:spacing w:after="120" w:line="276"/>
        <w:jc w:val="both"/>
      </w:pPr>
      <w:r>
        <w:rPr>
          <w:rFonts w:ascii="Barlow Semi Condensed" w:cs="Barlow Semi Condensed" w:eastAsia="Barlow Semi Condensed" w:hAnsi="Barlow Semi Condensed"/>
          <w:b/>
          <w:bCs/>
          <w:sz w:val="24"/>
          <w:szCs w:val="24"/>
        </w:rPr>
        <w:t xml:space="preserve">Blocco mirato numero 3006 — Voce 6. Le dichiarazioni esplicative di voto italiane e tedesche, in particolare sulla seduta del dicembre 1976. Grado secondo. Sede: verbali plenari serie A/PV, e segnatamente A/31/PV.105. Condizione: tecnica. Rendimento: alto, poiché sono l'unico luogo in cui le intenzioni di un voto sono documentate anziché inferite, e da esse dipende la ragione dell'inversione accertata al blocco 601.</w:t>
      </w:r>
    </w:p>
    <w:p>
      <w:pPr>
        <w:spacing w:after="120" w:line="276"/>
        <w:jc w:val="both"/>
      </w:pPr>
      <w:r>
        <w:rPr>
          <w:rFonts w:ascii="Barlow Semi Condensed" w:cs="Barlow Semi Condensed" w:eastAsia="Barlow Semi Condensed" w:hAnsi="Barlow Semi Condensed"/>
          <w:b/>
          <w:bCs/>
          <w:sz w:val="24"/>
          <w:szCs w:val="24"/>
        </w:rPr>
        <w:t xml:space="preserve">Blocco mirato numero 3007 — Voce 7. I voti italiani residui sulle risoluzioni namibiane\\ 33/182, 34/92, 35/227, 36/121, 37/233, 40/97 e 43/26. \\Grado secondo. Sede:\\ schede di voting data. \\Condizione: tecnica. Rendimento: medio-alto.</w:t>
      </w:r>
    </w:p>
    <w:p>
      <w:pPr>
        <w:spacing w:after="120" w:line="276"/>
        <w:jc w:val="both"/>
      </w:pPr>
      <w:r>
        <w:rPr>
          <w:rFonts w:ascii="Barlow Semi Condensed" w:cs="Barlow Semi Condensed" w:eastAsia="Barlow Semi Condensed" w:hAnsi="Barlow Semi Condensed"/>
          <w:b/>
          <w:bCs/>
          <w:sz w:val="24"/>
          <w:szCs w:val="24"/>
        </w:rPr>
        <w:t xml:space="preserve">Blocco mirato numero 3008 — Voce 8. L'elenco dei co-proponenti dei progetti di risoluzione, per verificare se l'Italia sia mai stata promotrice e non soltanto votante. Grado secondo. Sede: progetti di risoluzione della serie A con suffisso L. Condizione: tecnica. Rendimento: medio-alto, poiché un esito negativo confermato descriverebbe con esattezza la posizione italiana: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Blocco mirato numero 3009 — Voce 9. Gli atti dei congressi nazionali democristiani e l'archivio dell'Istituto Luigi Sturzo, per accertare una posizione ufficiale del partito distinta dall'azione parlamentare. Grado terzo. Sede: l'istituto. Condizione: consultazione. Rendimento: medio-alto, l'esito essendo attualmente negativo per mancato reperimento e non per impossibilità.</w:t>
      </w:r>
    </w:p>
    <w:p>
      <w:pPr>
        <w:spacing w:after="120" w:line="276"/>
        <w:jc w:val="both"/>
      </w:pPr>
      <w:r>
        <w:rPr>
          <w:rFonts w:ascii="Barlow Semi Condensed" w:cs="Barlow Semi Condensed" w:eastAsia="Barlow Semi Condensed" w:hAnsi="Barlow Semi Condensed"/>
          <w:b/>
          <w:bCs/>
          <w:sz w:val="24"/>
          <w:szCs w:val="24"/>
        </w:rPr>
        <w:t xml:space="preserve">Blocco mirato numero 3010 — Voce 10. L'archivio della Hanns-Seidel-Stiftung a Monaco, per il contenuto puntuale delle attività in Namibia nel biennio 1978-1980. Grado terzo. Sede: l'archivio della fondazione e le sue relazioni annuali dell'epoca. Condizione: consultazione. Rendimento: medio-alto, la presenza dal 1978 essendo accertata e il contenuto no.</w:t>
      </w:r>
    </w:p>
    <w:p>
      <w:pPr>
        <w:spacing w:after="120" w:line="276"/>
        <w:jc w:val="both"/>
      </w:pPr>
      <w:r>
        <w:rPr>
          <w:rFonts w:ascii="Barlow Semi Condensed" w:cs="Barlow Semi Condensed" w:eastAsia="Barlow Semi Condensed" w:hAnsi="Barlow Semi Condensed"/>
          <w:b/>
          <w:bCs/>
          <w:sz w:val="24"/>
          <w:szCs w:val="24"/>
        </w:rPr>
        <w:t xml:space="preserve">Blocco mirato numero 3011 — Voce 11. L'Archiv für Christlich-Soziale Politik a Monaco, per la cronologia analitica e datata dei viaggi in Sudafrica e Namibia. Grado terzo. Sede: l'archivio, che custodisce oltre 300 metri lineari di lascito e registra più di 600 viaggi esteri in 63 Stati fra il 1952 e il 1988. Condizione: consultazione. Rendimento: medio-alto, poiché trasformerebbe in fatti datati ciò che è oggi attribuzione dubitativa di pubblicistica.</w:t>
      </w:r>
    </w:p>
    <w:p>
      <w:pPr>
        <w:spacing w:after="120" w:line="276"/>
        <w:jc w:val="both"/>
      </w:pPr>
      <w:r>
        <w:rPr>
          <w:rFonts w:ascii="Barlow Semi Condensed" w:cs="Barlow Semi Condensed" w:eastAsia="Barlow Semi Condensed" w:hAnsi="Barlow Semi Condensed"/>
          <w:b/>
          <w:bCs/>
          <w:sz w:val="24"/>
          <w:szCs w:val="24"/>
        </w:rPr>
        <w:t xml:space="preserve">Blocco mirato numero 3012 — Voce 12. I resoconti stenografici del Bundestag, ottava legislatura, per verificare l'affermazione secondo cui nel 1977 sarebbe stato respinto il principio un uomo un voto per gli Stati dell'Africa australe. Grado settimo, allegazione senza base, in attesa di riscontro. Sede: i resoconti. Condizione: tecnica.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3013 — Voce 13. I resoconti stenografici della quinta e sesta legislatura italiana, per le dichiarazioni di Moro sulla questione libica e per interrogazioni e interpellanze anteriori al 5 luglio 1976. Grado secondo. Sede: volumi cartacei degli Atti, non digitalizzati in forma indicizzata. Condizione: spoglio manuale.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3014 — Voce 14. La Torre do Tombo, fondo della polizia politica portoghese, di cui metà risulta mai consultata. Grado terzo. Sede: l'archivio. Condizione: consultazione. Rendimento: medio, per il perimetro Aginter e per l'insediamento dell'Opus Dei nel 1961, 1963 e 1964.</w:t>
      </w:r>
    </w:p>
    <w:p>
      <w:pPr>
        <w:spacing w:after="120" w:line="276"/>
        <w:jc w:val="both"/>
      </w:pPr>
      <w:r>
        <w:rPr>
          <w:rFonts w:ascii="Barlow Semi Condensed" w:cs="Barlow Semi Condensed" w:eastAsia="Barlow Semi Condensed" w:hAnsi="Barlow Semi Condensed"/>
          <w:b/>
          <w:bCs/>
          <w:sz w:val="24"/>
          <w:szCs w:val="24"/>
        </w:rPr>
        <w:t xml:space="preserve">Blocco mirato numero 3015 — Voce 15. I National Archives britannici, per accertare se e quando la Rolls-Royce o il governo britannico abbiano autorizzato o negato la produzione sudafricana su licenza del Viper. Grado terzo. Sede: i National Archives, e gli archivi Bristol Siddeley e Rolls-Royce Heritage Trust. Condizione: individuazione dei fascicoli. Rendimento: medio, poiché chiuderebbe la questione della responsabilità di terzi nella catena del blocco 401.</w:t>
      </w:r>
    </w:p>
    <w:p>
      <w:pPr>
        <w:spacing w:after="120" w:line="276"/>
        <w:jc w:val="both"/>
      </w:pPr>
      <w:r>
        <w:rPr>
          <w:rFonts w:ascii="Barlow Semi Condensed" w:cs="Barlow Semi Condensed" w:eastAsia="Barlow Semi Condensed" w:hAnsi="Barlow Semi Condensed"/>
          <w:b/>
          <w:bCs/>
          <w:sz w:val="24"/>
          <w:szCs w:val="24"/>
        </w:rPr>
        <w:t xml:space="preserve">Blocco mirato numero 3016 — Voce 16. La banca dati di Stoccolma sui trasferimenti di armamenti, i bilanci del gruppo Leonardo e gli atti della corporazione armamenti sudafricana, per la quantificazione in valore dei contratti dal 2010 al 2026. Grado terzo. Sede: le 3 fonti. Condizione: accesso, agevole per le prime 2. Rendimento: medio, poiché sostituirebbe fonti aziendali promozionali con dati verificabili.</w:t>
      </w:r>
    </w:p>
    <w:p>
      <w:pPr>
        <w:spacing w:after="120" w:line="276"/>
        <w:jc w:val="both"/>
      </w:pPr>
      <w:r>
        <w:rPr>
          <w:rFonts w:ascii="Barlow Semi Condensed" w:cs="Barlow Semi Condensed" w:eastAsia="Barlow Semi Condensed" w:hAnsi="Barlow Semi Condensed"/>
          <w:b/>
          <w:bCs/>
          <w:sz w:val="24"/>
          <w:szCs w:val="24"/>
        </w:rPr>
        <w:t xml:space="preserve">Blocco mirato numero 3017 — Voce 17. L'archivio comboniano di Roma e l'annata 1974-1976 della rivista dell'ordine, per l'espulsione dal Mozambico del 13 aprile 1974 e per la divergenza fra 9, 11 e 13 religiosi. Grado terzo. Sede: l'archivio dell'ordine. Condizione: consultazione.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3018 — Voce 18. Gli archivi del comitato degli italiani all'estero di Johannesburg e dei consolati, per accertare se la comunità italiana in Sudafrica abbia assunto posizioni sull'apartheid. Grado terzo. Sede: i 2 archivi. Condizione: consultazione. Rendimento: medio-basso, l'esito attuale essendo negativo per mancato reperimento.</w:t>
      </w:r>
    </w:p>
    <w:p>
      <w:pPr>
        <w:spacing w:after="120" w:line="276"/>
        <w:jc w:val="both"/>
      </w:pPr>
      <w:r>
        <w:rPr>
          <w:rFonts w:ascii="Barlow Semi Condensed" w:cs="Barlow Semi Condensed" w:eastAsia="Barlow Semi Condensed" w:hAnsi="Barlow Semi Condensed"/>
          <w:b/>
          <w:bCs/>
          <w:sz w:val="24"/>
          <w:szCs w:val="24"/>
        </w:rPr>
        <w:t xml:space="preserve">Blocco mirato numero 3019 — Voce 19. I registri del cimitero militare di Zonderwater e dell'associazione del campo, per la divergenza fra 312 e 279-280 caduti. Grado terzo. Sede: i registri. Condizione: consultazione. Rendimento: basso quanto all'analisi, ma la voce va conservata perché la divergenza tocca un dato già iscritto nel corpus.</w:t>
      </w:r>
    </w:p>
    <w:p>
      <w:pPr>
        <w:pStyle w:val="Heading2"/>
        <w:spacing w:after="100" w:before="200"/>
      </w:pPr>
      <w:r>
        <w:rPr>
          <w:rFonts w:ascii="Barlow Semi Condensed" w:cs="Barlow Semi Condensed" w:eastAsia="Barlow Semi Condensed" w:hAnsi="Barlow Semi Condensed"/>
          <w:sz w:val="24"/>
          <w:szCs w:val="24"/>
        </w:rPr>
        <w:t xml:space="preserve">CLASSE SECONDA — RIMEDIABILI SOLTANTO DA TERZI</w:t>
      </w:r>
    </w:p>
    <w:p>
      <w:pPr>
        <w:spacing w:after="120" w:line="276"/>
        <w:jc w:val="both"/>
      </w:pPr>
      <w:r>
        <w:rPr>
          <w:rFonts w:ascii="Barlow Semi Condensed" w:cs="Barlow Semi Condensed" w:eastAsia="Barlow Semi Condensed" w:hAnsi="Barlow Semi Condensed"/>
          <w:b/>
          <w:bCs/>
          <w:sz w:val="24"/>
          <w:szCs w:val="24"/>
        </w:rPr>
        <w:t xml:space="preserve">Blocco mirato numero 3101 — Voce 20. Il verbale S/AC.20/SR.25 con la dichiarazione di Abdul Minty sull'Italia. Grado primo, impossibilità normativa: appartiene alla serie dei verbali di riunioni chiuse a distribuzione ristretta. Sede: atti del Comitato istituito dalla risoluzione 421 e collezione S/AC.20/SR presso la Dag Hammarskjöld Library. Condizione: accesso ai documenti a distribuzione ristretta. Rendimento: massimo della classe e dell'intera tavola quanto al valore analitico, poiché da esso dipende la comprensione dell'accusa cui l'Italia rispose formalmente nel giugno 1980. Della vicenda conosciamo la difesa e ignoriamo l'accusa.</w:t>
      </w:r>
    </w:p>
    <w:p>
      <w:pPr>
        <w:spacing w:after="120" w:line="276"/>
        <w:jc w:val="both"/>
      </w:pPr>
      <w:r>
        <w:rPr>
          <w:rFonts w:ascii="Barlow Semi Condensed" w:cs="Barlow Semi Condensed" w:eastAsia="Barlow Semi Condensed" w:hAnsi="Barlow Semi Condensed"/>
          <w:b/>
          <w:bCs/>
          <w:sz w:val="24"/>
          <w:szCs w:val="24"/>
        </w:rPr>
        <w:t xml:space="preserve">Blocco mirato numero 3102 — Voce 21. I corpi testuali delle lettere S/9640 e S/AC.20/27. Grado decimo, barriera macchinica: i documenti sono pubblici, catalogati, indirizzabili, e il server ha respinto il recupero automatizzato. Sede: lo United Nations Digital Library System. Condizione: accesso manuale o consultazione in sede — cioè uscita dal metodo che ha incontrato l'ostacolo. Rendimento: altissimo a costo nullo per chi possa andare. È la voce che meglio illustra la classificazione: non rimediabile dal ricercatore automatico, rimediabile in trenta secondi da un lettore umano in biblioteca.</w:t>
      </w:r>
    </w:p>
    <w:p>
      <w:pPr>
        <w:spacing w:after="120" w:line="276"/>
        <w:jc w:val="both"/>
      </w:pPr>
      <w:r>
        <w:rPr>
          <w:rFonts w:ascii="Barlow Semi Condensed" w:cs="Barlow Semi Condensed" w:eastAsia="Barlow Semi Condensed" w:hAnsi="Barlow Semi Condensed"/>
          <w:b/>
          <w:bCs/>
          <w:sz w:val="24"/>
          <w:szCs w:val="24"/>
        </w:rPr>
        <w:t xml:space="preserve">Blocco mirato numero 3103 — Voce 22. La documentazione dell'apparato competente italiano sulle autorizzazioni relative alla licenza Aermacchi. Grado primo: la materia era coperta dal segreto di Stato per regio decreto 11 luglio 1941 numero 1161. Sede: Archivio storico dell'Istituto per la Ricostruzione Industriale presso l'Archivio Centrale dello Stato, archivi della Difesa e dello Stato Maggiore dell'Aeronautica, ministeri economici. Condizione: declassificazione. Rendimento: alto, con l'avvertenza del blocco 504 — presso quelle sedi potrebbe non esservi nulla, e l'assenza non proverebbe l'inazione.</w:t>
      </w:r>
    </w:p>
    <w:p>
      <w:pPr>
        <w:spacing w:after="120" w:line="276"/>
        <w:jc w:val="both"/>
      </w:pPr>
      <w:r>
        <w:rPr>
          <w:rFonts w:ascii="Barlow Semi Condensed" w:cs="Barlow Semi Condensed" w:eastAsia="Barlow Semi Condensed" w:hAnsi="Barlow Semi Condensed"/>
          <w:b/>
          <w:bCs/>
          <w:sz w:val="24"/>
          <w:szCs w:val="24"/>
        </w:rPr>
        <w:t xml:space="preserve">Blocco mirato numero 3104 — Voce 23. Il testo dell'accordo di licenza fra Aermacchi e la controparte sudafricana del 1964, con termini finanziari, geografici, clausole di riesportazione e di rinnovo. Grado terzo con condizione di consenso privato. Sede: archivio storico di Finmeccanica-Leonardo e archivio Aermacchi; controparti negli archivi Atlas-Denel e Armscor. Condizione: accessibilità dell'archivio aziendale, non garantita. Rendimento: alto, poiché in assenza del testo ogni affermazione sui termini della licenza è inferenza.</w:t>
      </w:r>
    </w:p>
    <w:p>
      <w:pPr>
        <w:spacing w:after="120" w:line="276"/>
        <w:jc w:val="both"/>
      </w:pPr>
      <w:r>
        <w:rPr>
          <w:rFonts w:ascii="Barlow Semi Condensed" w:cs="Barlow Semi Condensed" w:eastAsia="Barlow Semi Condensed" w:hAnsi="Barlow Semi Condensed"/>
          <w:b/>
          <w:bCs/>
          <w:sz w:val="24"/>
          <w:szCs w:val="24"/>
        </w:rPr>
        <w:t xml:space="preserve">Blocco mirato numero 3105 — Voce 24. Il rapporto integrale del panel Mojapelo sulla nave Lady R. Grado primo: classificato. Sede: Presidenza sudafricana, o eventuale contenzioso presso l'Alta Corte. Condizione: desecretazione. Rendimento: alto, poiché soltanto esso chiuderebbe in via definitiva una questione probatoria oggi aperta e su cui il registro ha dovuto mantenere la qualificazione di allegazione non provata.</w:t>
      </w:r>
    </w:p>
    <w:p>
      <w:pPr>
        <w:spacing w:after="120" w:line="276"/>
        <w:jc w:val="both"/>
      </w:pPr>
      <w:r>
        <w:rPr>
          <w:rFonts w:ascii="Barlow Semi Condensed" w:cs="Barlow Semi Condensed" w:eastAsia="Barlow Semi Condensed" w:hAnsi="Barlow Semi Condensed"/>
          <w:b/>
          <w:bCs/>
          <w:sz w:val="24"/>
          <w:szCs w:val="24"/>
        </w:rPr>
        <w:t xml:space="preserve">Blocco mirato numero 3106 — Voce 25. La documentazione sui rapporti fra il servizio informativo federale tedesco e i servizi sudafricani. Grado primo. Sede: archivio storico del servizio e Bundesarchiv sul versante tedesco; atti della Commissione per la verità e la riconciliazione e archivi nazionali di Pretoria sul versante sudafricano. Condizione: declassificazione, allo stato improbabile. Rendimento: basso non per irrilevanza ma per ampiezza del segreto vigente.</w:t>
      </w:r>
    </w:p>
    <w:p>
      <w:pPr>
        <w:spacing w:after="120" w:line="276"/>
        <w:jc w:val="both"/>
      </w:pPr>
      <w:r>
        <w:rPr>
          <w:rFonts w:ascii="Barlow Semi Condensed" w:cs="Barlow Semi Condensed" w:eastAsia="Barlow Semi Condensed" w:hAnsi="Barlow Semi Condensed"/>
          <w:b/>
          <w:bCs/>
          <w:sz w:val="24"/>
          <w:szCs w:val="24"/>
        </w:rPr>
        <w:t xml:space="preserve">Blocco mirato numero 3107 — Voce 26. Gli archivi militari cubani, per la divergenza sull'entità delle truppe in Angola: oltre 25.000 contro oltre 18.000 a fine 1975, e fra 55.000 e 60.000 nel 1988. Grado primo. Sede: gli archivi cubani. Condizione: accessibilità, non garantita. Rendimento: medio-basso, la divergenza essendo riportabile senza risoluzione.</w:t>
      </w:r>
    </w:p>
    <w:p>
      <w:pPr>
        <w:pStyle w:val="Heading2"/>
        <w:spacing w:after="100" w:before="200"/>
      </w:pPr>
      <w:r>
        <w:rPr>
          <w:rFonts w:ascii="Barlow Semi Condensed" w:cs="Barlow Semi Condensed" w:eastAsia="Barlow Semi Condensed" w:hAnsi="Barlow Semi Condensed"/>
          <w:sz w:val="24"/>
          <w:szCs w:val="24"/>
        </w:rPr>
        <w:t xml:space="preserve">CLASSE TERZA — NON RIMEDIABILI</w:t>
      </w:r>
    </w:p>
    <w:p>
      <w:pPr>
        <w:spacing w:after="120" w:line="276"/>
        <w:jc w:val="both"/>
      </w:pPr>
      <w:r>
        <w:rPr>
          <w:rFonts w:ascii="Barlow Semi Condensed" w:cs="Barlow Semi Condensed" w:eastAsia="Barlow Semi Condensed" w:hAnsi="Barlow Semi Condensed"/>
          <w:b/>
          <w:bCs/>
          <w:sz w:val="24"/>
          <w:szCs w:val="24"/>
        </w:rPr>
        <w:t xml:space="preserve">Blocco mirato numero 3201 — Voce 27. La documentazione vaticana sul rango della rappresentanza in Sudafrica e sulle ragioni del mancato scambio di ambasciatori per 72 anni. Grado primo, impossibilità istituzionale nella sua forma pura. Sede: Archivio Apostolico Vaticano. Condizione: l'apertura dei pontificati di Giovanni XXIII, Paolo VI e Giovanni Paolo II, l'archivio essendo consultabile fino all'ottobre 1958.</w:t>
      </w:r>
    </w:p>
    <w:p>
      <w:pPr>
        <w:spacing w:after="120" w:line="276"/>
        <w:jc w:val="both"/>
      </w:pPr>
      <w:r>
        <w:rPr>
          <w:rFonts w:ascii="Barlow Semi Condensed" w:cs="Barlow Semi Condensed" w:eastAsia="Barlow Semi Condensed" w:hAnsi="Barlow Semi Condensed"/>
          <w:b/>
          <w:bCs/>
          <w:sz w:val="24"/>
          <w:szCs w:val="24"/>
        </w:rPr>
        <w:t xml:space="preserve">Blocco mirato numero 3202 — Perché la voce appartiene alla classe terza e non alla seconda. La condizione non dipende da alcuna volontà attuale né da alcuna richiesta che il ricercatore possa formulare: dipende da una decisione pontificia futura sulla scansione dei pontificati. Nessun contenzioso, nessuna istanza, nessuna desecretazione la anticipa.</w:t>
      </w:r>
    </w:p>
    <w:p>
      <w:pPr>
        <w:spacing w:after="120" w:line="276"/>
        <w:jc w:val="both"/>
      </w:pPr>
      <w:r>
        <w:rPr>
          <w:rFonts w:ascii="Barlow Semi Condensed" w:cs="Barlow Semi Condensed" w:eastAsia="Barlow Semi Condensed" w:hAnsi="Barlow Semi Condensed"/>
          <w:b/>
          <w:bCs/>
          <w:sz w:val="24"/>
          <w:szCs w:val="24"/>
        </w:rPr>
        <w:t xml:space="preserve">Blocco mirato numero 3203 — La conseguenza per il corpus. Ogni affermazione sulle intenzioni della Santa Sede quanto al mancato riconoscimento del regime resta inferenza e non accertamento, e tale resterà. I 3 elementi che rendono ragionevole l'inferenza — apertura delle relazioni immediatamente dopo la fine del regime, condanna magisteriale costante, esclusione deliberata del Sudafrica dal viaggio del settembre 1988 — vanno enunciati sempre come inferenza convergente e mai come prova.</w:t>
      </w:r>
    </w:p>
    <w:p>
      <w:pPr>
        <w:spacing w:after="120" w:line="276"/>
        <w:jc w:val="both"/>
      </w:pPr>
      <w:r>
        <w:rPr>
          <w:rFonts w:ascii="Barlow Semi Condensed" w:cs="Barlow Semi Condensed" w:eastAsia="Barlow Semi Condensed" w:hAnsi="Barlow Semi Condensed"/>
          <w:b/>
          <w:bCs/>
          <w:sz w:val="24"/>
          <w:szCs w:val="24"/>
        </w:rPr>
        <w:t xml:space="preserve">Blocco mirato numero 3204 — Voce 28. L'atto autorizzativo italiano sulla licenza Aermacchi.\\ \\Grado nono, atto atipico. Sede: nessuna. Condizione: nessuna.</w:t>
      </w:r>
    </w:p>
    <w:p>
      <w:pPr>
        <w:spacing w:after="120" w:line="276"/>
        <w:jc w:val="both"/>
      </w:pPr>
      <w:r>
        <w:rPr>
          <w:rFonts w:ascii="Barlow Semi Condensed" w:cs="Barlow Semi Condensed" w:eastAsia="Barlow Semi Condensed" w:hAnsi="Barlow Semi Condensed"/>
          <w:b/>
          <w:bCs/>
          <w:sz w:val="24"/>
          <w:szCs w:val="24"/>
        </w:rPr>
        <w:t xml:space="preserve">Blocco mirato numero 3205 — La formulazione, che va data con precisione perché è la sola voce della tavola a non essere una voce. L'atto non è irreperibile: non esiste e non è mai esistito, poiché fino all'articolo 13 della legge 185 del 9 luglio 1990 la cessione all'estero di licenze di produzione di armamenti non era fattispecie autorizzativa tipizzata.</w:t>
      </w:r>
    </w:p>
    <w:p>
      <w:pPr>
        <w:spacing w:after="120" w:line="276"/>
        <w:jc w:val="both"/>
      </w:pPr>
      <w:r>
        <w:rPr>
          <w:rFonts w:ascii="Barlow Semi Condensed" w:cs="Barlow Semi Condensed" w:eastAsia="Barlow Semi Condensed" w:hAnsi="Barlow Semi Condensed"/>
          <w:b/>
          <w:bCs/>
          <w:sz w:val="24"/>
          <w:szCs w:val="24"/>
        </w:rPr>
        <w:t xml:space="preserve">Blocco mirato numero 3206 — Perché la voce va conservata pur essendo vuota. Essa occupa il posto che altrimenti un ricercatore futuro tenterebbe di riempire. Iscriverla nella tavola con condizione nessuna impedisce che lo spoglio degli archivi ministeriali, voce 22, venga letto quale prova di inazione ove risultasse infruttuoso. La voce vuota è un segnale di divieto, non una lacuna.</w:t>
      </w:r>
    </w:p>
    <w:p>
      <w:pPr>
        <w:spacing w:after="120" w:line="276"/>
        <w:jc w:val="both"/>
      </w:pPr>
      <w:r>
        <w:rPr>
          <w:rFonts w:ascii="Barlow Semi Condensed" w:cs="Barlow Semi Condensed" w:eastAsia="Barlow Semi Condensed" w:hAnsi="Barlow Semi Condensed"/>
          <w:b/>
          <w:bCs/>
          <w:sz w:val="24"/>
          <w:szCs w:val="24"/>
        </w:rPr>
        <w:t xml:space="preserve">Blocco mirato numero 3207 — Un rilievo sulla composizione della classe terza, e chiude la sezione. Le 2 voci non rimediabili hanno natura opposta. La prima è un documento che esiste e che nessuno può leggere. La seconda è un documento che nessuno può leggere perché non esiste. Sono i 2 limiti estremi della conoscenza documentale, e la sessione li ha incontrati entrambi nel medesimo perimetro.</w:t>
      </w:r>
    </w:p>
    <w:p>
      <w:pPr>
        <w:spacing w:after="120" w:line="276"/>
        <w:jc w:val="both"/>
      </w:pPr>
      <w:r>
        <w:rPr>
          <w:rFonts w:ascii="Barlow Semi Condensed" w:cs="Barlow Semi Condensed" w:eastAsia="Barlow Semi Condensed" w:hAnsi="Barlow Semi Condensed"/>
          <w:b/>
          <w:bCs/>
          <w:sz w:val="24"/>
          <w:szCs w:val="24"/>
        </w:rPr>
        <w:t xml:space="preserve">Blocco mirato numero 3301 — Sintesi del dato nuovo acquisito. Il presente registro esegue la prescrizione emessa al blocco 2703 e non applicata, consolidando in tavola unica le voci prodotte da 5 ricognizioni e 4 registri, deduplicate e ordinate per classe di rimediabilità prima che per rendimento atteso. Le voci risultanti sono 28, così ripartite: 19 in classe prima, rimediabili dal solo ricercatore; 7 in classe seconda, rimediabili soltanto da terzi mediante apertura, desecretazione o consenso privato; 2 in classe terza, non rimediabili. Il registro trae dal dato quantitativo la sola lettura che esso consente: 27 voci su 28 sono in principio conseguibili, e 19 lo sono per iniziativa autonoma, sicché l'ostacolo prevalente dell'intera sessione non è il segreto né la norma bensì il fatto che nessuno sia andato. Esso individua inoltre 4 acquisizioni proprie dell'operazione di riordino. La prima: la voce di massimo rendimento analitico dell'intera tavola — il verbale con la dichiarazione dell'accusatore dell'Italia nel 1980 — appartiene alla classe seconda e non alla prima, sicché della vicenda il corpus conosce la difesa e ignora l'accusa, in inversione dell'asimmetria ordinaria degli archivi di Stato. La seconda: la voce che meglio illustra la classificazione è quella dei corpi testuali delle 2 lettere, non rimediabile dal ricercatore automatico e rimediabile in trenta secondi da un lettore umano in biblioteca. La terza: la voce nuova nata dal precedente di Osimo — la verifica dei canali paralleli alla Farnesina presso i ministeri competenti per materia — è di rendimento altissimo, appartiene alla classe prima, e nessuna ricognizione anteriore l'aveva cercata. La quarta: la classe terza contiene 2 voci di natura opposta — un documento che esiste e che nessuno può leggere, e un documento che nessuno può leggere perché non esiste — che sono i 2 limiti estremi della conoscenza documentale, e la sessione li ha incontrati entrambi nel medesimo perimetro. Il registro conserva la seconda quale voce vuota con condizione nessuna, poiché essa funziona da segnale di divieto e impedisce che lo spoglio infruttuoso degli archivi ministeriali venga letto quale prova di inazione.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XXIV · Quinto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XXIV: 2.647 parole in 9 sezioni; la più ampia è §9 Altre sezioni, con 2.272.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XXIV: 42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 — Sesto Registro Analitico</w:t>
      </w:r>
    </w:p>
    <w:p>
      <w:pPr>
        <w:pStyle w:val="Heading1"/>
        <w:spacing w:after="120" w:before="240"/>
      </w:pPr>
      <w:r>
        <w:rPr>
          <w:rFonts w:ascii="Barlow Semi Condensed" w:cs="Barlow Semi Condensed" w:eastAsia="Barlow Semi Condensed" w:hAnsi="Barlow Semi Condensed"/>
          <w:sz w:val="24"/>
          <w:szCs w:val="24"/>
        </w:rPr>
        <w:t xml:space="preserve">SESTO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Gli strumenti alla prova del volume</w:t>
      </w:r>
    </w:p>
    <w:p>
      <w:pPr>
        <w:pStyle w:val="Heading2"/>
        <w:spacing w:after="100" w:before="200"/>
      </w:pPr>
      <w:r>
        <w:rPr>
          <w:rFonts w:ascii="Barlow Semi Condensed" w:cs="Barlow Semi Condensed" w:eastAsia="Barlow Semi Condensed" w:hAnsi="Barlow Semi Condensed"/>
          <w:sz w:val="24"/>
          <w:szCs w:val="24"/>
        </w:rPr>
        <w:t xml:space="preserve">Le 98 invocazioni non qualificate e l'errore di categoria</w:t>
      </w:r>
    </w:p>
    <w:p>
      <w:pPr>
        <w:pStyle w:val="Heading2"/>
        <w:spacing w:after="100" w:before="200"/>
      </w:pPr>
      <w:r>
        <w:rPr>
          <w:rFonts w:ascii="Barlow Semi Condensed" w:cs="Barlow Semi Condensed" w:eastAsia="Barlow Semi Condensed" w:hAnsi="Barlow Semi Condensed"/>
          <w:sz w:val="24"/>
          <w:szCs w:val="24"/>
        </w:rPr>
        <w:t xml:space="preserve">Blocchi 3401-3901 — la doppia qualificazione — la contaminazione per trasferimento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SESTO REGISTRO ANALITICO</w:t>
      </w:r>
    </w:p>
    <w:p>
      <w:pPr>
        <w:spacing w:after="120" w:line="276"/>
        <w:jc w:val="both"/>
      </w:pPr>
      <w:r>
        <w:rPr>
          <w:rFonts w:ascii="Barlow Semi Condensed" w:cs="Barlow Semi Condensed" w:eastAsia="Barlow Semi Condensed" w:hAnsi="Barlow Semi Condensed"/>
          <w:b/>
          <w:bCs/>
          <w:sz w:val="24"/>
          <w:szCs w:val="24"/>
        </w:rPr>
        <w:t xml:space="preserve">Gli strumenti alla prova del volume. Le novantotto invocazioni non qualificate e l'errore di categoria</w:t>
      </w:r>
    </w:p>
    <w:p>
      <w:pPr>
        <w:spacing w:after="120" w:line="276"/>
        <w:jc w:val="both"/>
      </w:pPr>
      <w:r>
        <w:rPr>
          <w:rFonts w:ascii="Barlow Semi Condensed" w:cs="Barlow Semi Condensed" w:eastAsia="Barlow Semi Condensed" w:hAnsi="Barlow Semi Condensed"/>
          <w:b/>
          <w:bCs/>
          <w:sz w:val="24"/>
          <w:szCs w:val="24"/>
        </w:rPr>
        <w:t xml:space="preserve">Blocco mirato numero 3401 — Risoluzione del conteggio, che si chiude qui. Gli artefatti della sessione sono 15: 10 documenti consolidati e 5 rapporti di ricerca resi come artefatti. Gli artefatti dall'undicesimo al quindicesimo sono dunque gli ultimi 5 prodotti: il Terzo, il Quarto e il Quinto Registro, e i 2 rapporti sul versante contemporaneo. Il presente registro triangola questi.</w:t>
      </w:r>
    </w:p>
    <w:p>
      <w:pPr>
        <w:spacing w:after="120" w:line="276"/>
        <w:jc w:val="both"/>
      </w:pPr>
      <w:r>
        <w:rPr>
          <w:rFonts w:ascii="Barlow Semi Condensed" w:cs="Barlow Semi Condensed" w:eastAsia="Barlow Semi Condensed" w:hAnsi="Barlow Semi Condensed"/>
          <w:b/>
          <w:bCs/>
          <w:sz w:val="24"/>
          <w:szCs w:val="24"/>
        </w:rPr>
        <w:t xml:space="preserve">Blocco mirato numero 3402 — Che cosa distingue questi 5 dai precedenti, e ne determina l'operazione. I 5 artefatti anteriori versavano materia: nodi, ponti, date, documenti. Questi 5 operano sugli strumenti: la scala degli Stati Zero, l'ordinamento delle tavole, la procedura di confutazione. Ne discende che la triangolazione non domanda che cosa essi aggiungano al volume, ma che cosa essi facciano agli strumenti che il volume adopera.</w:t>
      </w:r>
    </w:p>
    <w:p>
      <w:pPr>
        <w:spacing w:after="120" w:line="276"/>
        <w:jc w:val="both"/>
      </w:pPr>
      <w:r>
        <w:rPr>
          <w:rFonts w:ascii="Barlow Semi Condensed" w:cs="Barlow Semi Condensed" w:eastAsia="Barlow Semi Condensed" w:hAnsi="Barlow Semi Condensed"/>
          <w:b/>
          <w:bCs/>
          <w:sz w:val="24"/>
          <w:szCs w:val="24"/>
        </w:rPr>
        <w:t xml:space="preserve">Blocco mirato numero 3403 — Il riscontro meccanico, condotto prima di ogni valutazione. Sull'Edizione Integrata, 241.052 parole: la locuzione Stato Zero ricorre 98 volte; l'Indice di Contaminazione 25 volte; il lemma rimediabile 1 volta sola. E nessuno dei 10 nomi di grado vi ricorre: impossibilità istituzionale, limite di strumento, deposito inesplorato, insieme vuoto verificato, esito negativo presso i beneficiari, assenza coerente con la collocazione, allegazione senza base, falso positivo, atto atipico e barriera macchinica danno tutti zero. Livello A.</w:t>
      </w:r>
    </w:p>
    <w:p>
      <w:pPr>
        <w:spacing w:after="120" w:line="276"/>
        <w:jc w:val="both"/>
      </w:pPr>
      <w:r>
        <w:rPr>
          <w:rFonts w:ascii="Barlow Semi Condensed" w:cs="Barlow Semi Condensed" w:eastAsia="Barlow Semi Condensed" w:hAnsi="Barlow Semi Condensed"/>
          <w:b/>
          <w:bCs/>
          <w:sz w:val="24"/>
          <w:szCs w:val="24"/>
        </w:rPr>
        <w:t xml:space="preserve">Blocco mirato numero 3404 — La prima diagnosi. Il volume invoca la categoria 98 volte e non qualifica mai il grado. Novantotto invocazioni di una parola sola che sta per 10 cose distinte, ciascuna con sede e condizione di chiusura diverse.</w:t>
      </w:r>
    </w:p>
    <w:p>
      <w:pPr>
        <w:spacing w:after="120" w:line="276"/>
        <w:jc w:val="both"/>
      </w:pPr>
      <w:r>
        <w:rPr>
          <w:rFonts w:ascii="Barlow Semi Condensed" w:cs="Barlow Semi Condensed" w:eastAsia="Barlow Semi Condensed" w:hAnsi="Barlow Semi Condensed"/>
          <w:b/>
          <w:bCs/>
          <w:sz w:val="24"/>
          <w:szCs w:val="24"/>
        </w:rPr>
        <w:t xml:space="preserve">Blocco mirato numero 3405 — Dove le invocazioni si concentrano, e il dato è rivelatore. Diciassette nella Fase 6, registro di verifica; 17 nella Fase 12, triangolazione del documento Moro; 12 nella Fase 13, estrazione computazionale; 16 nel capitolo sull'ecosistema contemporaneo; 3 nella Fase 4, intitolata al vaglio delle ipotesi e allo Stato Zero. Livello A.</w:t>
      </w:r>
    </w:p>
    <w:p>
      <w:pPr>
        <w:spacing w:after="120" w:line="276"/>
        <w:jc w:val="both"/>
      </w:pPr>
      <w:r>
        <w:rPr>
          <w:rFonts w:ascii="Barlow Semi Condensed" w:cs="Barlow Semi Condensed" w:eastAsia="Barlow Semi Condensed" w:hAnsi="Barlow Semi Condensed"/>
          <w:b/>
          <w:bCs/>
          <w:sz w:val="24"/>
          <w:szCs w:val="24"/>
        </w:rPr>
        <w:t xml:space="preserve">Blocco mirato numero 3406 — La lettura del dato. Le invocazioni si addensano nelle fasi di verifica e non in quelle di esposizione. Ne discende che la categoria funziona nel volume come strumento di audit: essa serve a censire ciò che il registro non afferma, in sede di bilancio. Ed è precisamente la sede in cui l'indifferenziazione costa di più, poiché un bilancio che conti insieme cose diverse produce una somma priva di significato.</w:t>
      </w:r>
    </w:p>
    <w:p>
      <w:pPr>
        <w:spacing w:after="120" w:line="276"/>
        <w:jc w:val="both"/>
      </w:pPr>
      <w:r>
        <w:rPr>
          <w:rFonts w:ascii="Barlow Semi Condensed" w:cs="Barlow Semi Condensed" w:eastAsia="Barlow Semi Condensed" w:hAnsi="Barlow Semi Condensed"/>
          <w:b/>
          <w:bCs/>
          <w:sz w:val="24"/>
          <w:szCs w:val="24"/>
        </w:rPr>
        <w:t xml:space="preserve">Blocco mirato numero 3407 — La definizione che il volume dà della categoria, riportata perché è unica e regge tutte le 98 occorrenze. L'assenza certificata di una connessione attesa, che il registro denomina Stato Zero, è un risultato analitico di primo ordine, di pari dignità rispetto al risultato positivo, e come tale viene esposta senza imbarazzo.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3408 — La definizione è corretta e insufficiente, e occorre dire perché. È corretta nel principio: l'assenza certificata vale quanto la presenza. È insufficiente perché non distingue l'assenza certificata — che è il quarto grado, insieme vuoto verificato — dall'assenza non conseguita, che sono gli altri 9. Il volume nomina con una sola parola il risultato e l'ostacolo.</w:t>
      </w:r>
    </w:p>
    <w:p>
      <w:pPr>
        <w:spacing w:after="120" w:line="276"/>
        <w:jc w:val="both"/>
      </w:pPr>
      <w:r>
        <w:rPr>
          <w:rFonts w:ascii="Barlow Semi Condensed" w:cs="Barlow Semi Condensed" w:eastAsia="Barlow Semi Condensed" w:hAnsi="Barlow Semi Condensed"/>
          <w:b/>
          <w:bCs/>
          <w:sz w:val="24"/>
          <w:szCs w:val="24"/>
        </w:rPr>
        <w:t xml:space="preserve">Blocco mirato numero 3409 — La conseguenza pratica dell'indifferenziazione. Un lettore del volume che incontri la locuzione non sa se gli si stia dicendo che una connessione è stata cercata e accertata assente, oppure che una connessione non è stata cercata perché l'archivio è chiuso. Sono i 2 estremi opposti, e nel volume portano il medesimo nome.</w:t>
      </w:r>
    </w:p>
    <w:p>
      <w:pPr>
        <w:spacing w:after="120" w:line="276"/>
        <w:jc w:val="both"/>
      </w:pPr>
      <w:r>
        <w:rPr>
          <w:rFonts w:ascii="Barlow Semi Condensed" w:cs="Barlow Semi Condensed" w:eastAsia="Barlow Semi Condensed" w:hAnsi="Barlow Semi Condensed"/>
          <w:b/>
          <w:bCs/>
          <w:sz w:val="24"/>
          <w:szCs w:val="24"/>
        </w:rPr>
        <w:t xml:space="preserve">Blocco mirato numero 3410 — Ma l'indifferenziazione non è il vizio maggiore, ed è al blocco 3501 che il presente registro individua quello strutturale.</w:t>
      </w:r>
    </w:p>
    <w:p>
      <w:pPr>
        <w:spacing w:after="120" w:line="276"/>
        <w:jc w:val="both"/>
      </w:pPr>
      <w:r>
        <w:rPr>
          <w:rFonts w:ascii="Barlow Semi Condensed" w:cs="Barlow Semi Condensed" w:eastAsia="Barlow Semi Condensed" w:hAnsi="Barlow Semi Condensed"/>
          <w:b/>
          <w:bCs/>
          <w:sz w:val="24"/>
          <w:szCs w:val="24"/>
        </w:rPr>
        <w:t xml:space="preserve">Blocco mirato numero 3411 — Discipline e notazione. Sistema Savona 2.1 con grado in linea; scala emendata a 10 gradi secondo il Quarto Registro; classificazione per rimediabilità secondo il Quinto. Il presente registro non versa nodi né ponti: esso emenda l'uso di 2 strumenti.</w:t>
      </w:r>
    </w:p>
    <w:p>
      <w:pPr>
        <w:spacing w:after="120" w:line="276"/>
        <w:jc w:val="both"/>
      </w:pPr>
      <w:r>
        <w:rPr>
          <w:rFonts w:ascii="Barlow Semi Condensed" w:cs="Barlow Semi Condensed" w:eastAsia="Barlow Semi Condensed" w:hAnsi="Barlow Semi Condensed"/>
          <w:b/>
          <w:bCs/>
          <w:sz w:val="24"/>
          <w:szCs w:val="24"/>
        </w:rPr>
        <w:t xml:space="preserve">Blocco mirato numero 3412 — Numerazione. Riprende dal 3401, il Quinto Registro essendosi chiuso al 3301.</w:t>
      </w:r>
    </w:p>
    <w:p>
      <w:pPr>
        <w:pStyle w:val="Heading2"/>
        <w:spacing w:after="100" w:before="200"/>
      </w:pPr>
      <w:r>
        <w:rPr>
          <w:rFonts w:ascii="Barlow Semi Condensed" w:cs="Barlow Semi Condensed" w:eastAsia="Barlow Semi Condensed" w:hAnsi="Barlow Semi Condensed"/>
          <w:sz w:val="24"/>
          <w:szCs w:val="24"/>
        </w:rPr>
        <w:t xml:space="preserve">I — L'ERRORE DI CATEGORIA</w:t>
      </w:r>
    </w:p>
    <w:p>
      <w:pPr>
        <w:spacing w:after="120" w:line="276"/>
        <w:jc w:val="both"/>
      </w:pPr>
      <w:r>
        <w:rPr>
          <w:rFonts w:ascii="Barlow Semi Condensed" w:cs="Barlow Semi Condensed" w:eastAsia="Barlow Semi Condensed" w:hAnsi="Barlow Semi Condensed"/>
          <w:b/>
          <w:bCs/>
          <w:sz w:val="24"/>
          <w:szCs w:val="24"/>
        </w:rPr>
        <w:t xml:space="preserve">Blocco mirato numero 3501 — Il reperto, riportato testualmente perché è su di esso che tutto poggia. Il volume, in sede di bilancio di fase, scrive: il repertorio consolida in un inventario unitario 38 tra archi, triangolazioni ed esiti certificati nella fase, dei quali 24 al Livello A, 7 al Livello B, 6 al Livello C ed 1 Stato Zero.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3502 — L'aritmetica, che va fatta perché è essa a rivelare la struttura. Ventiquattro più 7 più 6 più 1 fa 38. Ne discende che le 4 categorie sono trattate come esclusive ed esaustive: ogni elemento dell'inventario appartiene a una e a una sola di esse.</w:t>
      </w:r>
    </w:p>
    <w:p>
      <w:pPr>
        <w:spacing w:after="120" w:line="276"/>
        <w:jc w:val="both"/>
      </w:pPr>
      <w:r>
        <w:rPr>
          <w:rFonts w:ascii="Barlow Semi Condensed" w:cs="Barlow Semi Condensed" w:eastAsia="Barlow Semi Condensed" w:hAnsi="Barlow Semi Condensed"/>
          <w:b/>
          <w:bCs/>
          <w:sz w:val="24"/>
          <w:szCs w:val="24"/>
        </w:rPr>
        <w:t xml:space="preserve">Blocco mirato numero 3503 — L'errore.\\ \\Lo Stato Zero è collocato quale quarto livello Savona, accanto ad A, B e C.</w:t>
      </w:r>
    </w:p>
    <w:p>
      <w:pPr>
        <w:spacing w:after="120" w:line="276"/>
        <w:jc w:val="both"/>
      </w:pPr>
      <w:r>
        <w:rPr>
          <w:rFonts w:ascii="Barlow Semi Condensed" w:cs="Barlow Semi Condensed" w:eastAsia="Barlow Semi Condensed" w:hAnsi="Barlow Semi Condensed"/>
          <w:b/>
          <w:bCs/>
          <w:sz w:val="24"/>
          <w:szCs w:val="24"/>
        </w:rPr>
        <w:t xml:space="preserve">Blocco mirato numero 3504 — Perché è errore, e la dimostrazione è breve. Il sistema Savona misura il grado di certezza di un'affermazione. La scala degli Stati Zero misura la natura di un'assenza. Sono dimensioni ortogonali e non alternative: un'assenza è essa stessa oggetto di affermazione, e come tale ha un proprio grado di certezza.</w:t>
      </w:r>
    </w:p>
    <w:p>
      <w:pPr>
        <w:spacing w:after="120" w:line="276"/>
        <w:jc w:val="both"/>
      </w:pPr>
      <w:r>
        <w:rPr>
          <w:rFonts w:ascii="Barlow Semi Condensed" w:cs="Barlow Semi Condensed" w:eastAsia="Barlow Semi Condensed" w:hAnsi="Barlow Semi Condensed"/>
          <w:b/>
          <w:bCs/>
          <w:sz w:val="24"/>
          <w:szCs w:val="24"/>
        </w:rPr>
        <w:t xml:space="preserve">Blocco mirato numero 3505 — La prova che il volume fornisce contro sé stesso, ed è decisiva. Il volume qualifica l'assenza di Umberto Ortolani verso il Dominio 1 come unica assenza sistematicamente ricercata e certificata della fase.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3506 — Ne discende l'argomento. Un'assenza certificata possiede un grado di certificazione. Se possiede un grado di certificazione, essa ha un livello Savona. Se ha un livello Savona, non può essere un livello Savona. L'errore è dunque dimostrabile con le sole parole del volume, senza ricorso ad alcuna fonte esterna.</w:t>
      </w:r>
    </w:p>
    <w:p>
      <w:pPr>
        <w:spacing w:after="120" w:line="276"/>
        <w:jc w:val="both"/>
      </w:pPr>
      <w:r>
        <w:rPr>
          <w:rFonts w:ascii="Barlow Semi Condensed" w:cs="Barlow Semi Condensed" w:eastAsia="Barlow Semi Condensed" w:hAnsi="Barlow Semi Condensed"/>
          <w:b/>
          <w:bCs/>
          <w:sz w:val="24"/>
          <w:szCs w:val="24"/>
        </w:rPr>
        <w:t xml:space="preserve">Blocco mirato numero 3507 — Che cosa l'errore impedisce di dire, ed è il costo analitico. Nella struttura attuale il volume non può distinguere fra uno Stato Zero certificato al Livello A e uno Stato Zero congetturato al Livello C. Ma la distinzione è necessaria e il corpus la richiede: l'assenza dell'Opus Dei da Grecia, Cipro e Turchia, verificata contro l'elenco ufficiale che l'ente medesimo pubblica, è di Livello A; l'assenza di un nesso fra Moro e la questione sudafricana, dichiarata su archivi non consultati, è di Livello C. Nel volume porterebbero la medesima etichetta e comparirebbero nella medesima casella del bilancio.</w:t>
      </w:r>
    </w:p>
    <w:p>
      <w:pPr>
        <w:spacing w:after="120" w:line="276"/>
        <w:jc w:val="both"/>
      </w:pPr>
      <w:r>
        <w:rPr>
          <w:rFonts w:ascii="Barlow Semi Condensed" w:cs="Barlow Semi Condensed" w:eastAsia="Barlow Semi Condensed" w:hAnsi="Barlow Semi Condensed"/>
          <w:b/>
          <w:bCs/>
          <w:sz w:val="24"/>
          <w:szCs w:val="24"/>
        </w:rPr>
        <w:t xml:space="preserve">Blocco mirato numero 3508 — L'emendazione proposta, in forma operativa. Ogni Stato Zero riceva 2 qualificazioni e non una: il grado, secondo la scala a 10 voci, e il livello Savona, secondo il sistema a 3 gradi. La forma di citazione diviene: Stato Zero di quarto grado, insieme vuoto verificato, Livello A; oppure Stato Zero di terzo grado, deposito inesplorato, Livello C.</w:t>
      </w:r>
    </w:p>
    <w:p>
      <w:pPr>
        <w:spacing w:after="120" w:line="276"/>
        <w:jc w:val="both"/>
      </w:pPr>
      <w:r>
        <w:rPr>
          <w:rFonts w:ascii="Barlow Semi Condensed" w:cs="Barlow Semi Condensed" w:eastAsia="Barlow Semi Condensed" w:hAnsi="Barlow Semi Condensed"/>
          <w:b/>
          <w:bCs/>
          <w:sz w:val="24"/>
          <w:szCs w:val="24"/>
        </w:rPr>
        <w:t xml:space="preserve">Blocco mirato numero 3509 — La conseguenza sui bilanci di fase. Essi non devono più sommare gli Stati Zero ai livelli Savona. La formulazione corretta del reperto citato al blocco 3501 sarebbe: 38 esiti, dei quali 24 al Livello A, 7 al B e 6 al C; e fra questi 38, uno è uno Stato Zero, di quarto grado e di Livello A.</w:t>
      </w:r>
    </w:p>
    <w:p>
      <w:pPr>
        <w:spacing w:after="120" w:line="276"/>
        <w:jc w:val="both"/>
      </w:pPr>
      <w:r>
        <w:rPr>
          <w:rFonts w:ascii="Barlow Semi Condensed" w:cs="Barlow Semi Condensed" w:eastAsia="Barlow Semi Condensed" w:hAnsi="Barlow Semi Condensed"/>
          <w:b/>
          <w:bCs/>
          <w:sz w:val="24"/>
          <w:szCs w:val="24"/>
        </w:rPr>
        <w:t xml:space="preserve">Blocco mirato numero 3510 — La verifica dell'emendazione sul caso Ortolani. L'assenza fu sistematicamente ricercata, dunque non è deposito inesplorato; fu certificata, dunque l'insieme vuoto è verificato; e il volume la impiega quale calibro per le fasi successive. Livello A. Essa è dunque Stato Zero di quarto grado, Livello A, e la doppia qualificazione la descrive esattamente mentre l'etichetta unica la confonde con ogni altra assenza del volume.</w:t>
      </w:r>
    </w:p>
    <w:p>
      <w:pPr>
        <w:spacing w:after="120" w:line="276"/>
        <w:jc w:val="both"/>
      </w:pPr>
      <w:r>
        <w:rPr>
          <w:rFonts w:ascii="Barlow Semi Condensed" w:cs="Barlow Semi Condensed" w:eastAsia="Barlow Semi Condensed" w:hAnsi="Barlow Semi Condensed"/>
          <w:b/>
          <w:bCs/>
          <w:sz w:val="24"/>
          <w:szCs w:val="24"/>
        </w:rPr>
        <w:t xml:space="preserve">Blocco mirato numero 3511 — Un rilievo che va reso al volume, poiché la critica sarebbe ingiusta senza di esso. Il volume aveva già compreso ciò che la scala formalizza. Chiamando l'assenza di Ortolani calibro per le fasi successive, esso attribuiva a quel solo caso una funzione che agli altri non attribuisce — cioè distingueva di fatto il quarto grado dagli altri 9, senza disporre del nome per farlo.</w:t>
      </w:r>
    </w:p>
    <w:p>
      <w:pPr>
        <w:spacing w:after="120" w:line="276"/>
        <w:jc w:val="both"/>
      </w:pPr>
      <w:r>
        <w:rPr>
          <w:rFonts w:ascii="Barlow Semi Condensed" w:cs="Barlow Semi Condensed" w:eastAsia="Barlow Semi Condensed" w:hAnsi="Barlow Semi Condensed"/>
          <w:b/>
          <w:bCs/>
          <w:sz w:val="24"/>
          <w:szCs w:val="24"/>
        </w:rPr>
        <w:t xml:space="preserve">Blocco mirato numero 3512 — Ne discende la qualificazione corretta dell'operazione presente. Non correzione di un errore concettuale, ma fornitura del lessico a una distinzione che l'opera praticava e non poteva enunciare. Livello B quanto a tale lettura.</w:t>
      </w:r>
    </w:p>
    <w:p>
      <w:pPr>
        <w:pStyle w:val="Heading2"/>
        <w:spacing w:after="100" w:before="200"/>
      </w:pPr>
      <w:r>
        <w:rPr>
          <w:rFonts w:ascii="Barlow Semi Condensed" w:cs="Barlow Semi Condensed" w:eastAsia="Barlow Semi Condensed" w:hAnsi="Barlow Semi Condensed"/>
          <w:sz w:val="24"/>
          <w:szCs w:val="24"/>
        </w:rPr>
        <w:t xml:space="preserve">II — LA RIQUALIFICAZIONE DELLE NOVANTOTTO INVOCAZIONI</w:t>
      </w:r>
    </w:p>
    <w:p>
      <w:pPr>
        <w:spacing w:after="120" w:line="276"/>
        <w:jc w:val="both"/>
      </w:pPr>
      <w:r>
        <w:rPr>
          <w:rFonts w:ascii="Barlow Semi Condensed" w:cs="Barlow Semi Condensed" w:eastAsia="Barlow Semi Condensed" w:hAnsi="Barlow Semi Condensed"/>
          <w:b/>
          <w:bCs/>
          <w:sz w:val="24"/>
          <w:szCs w:val="24"/>
        </w:rPr>
        <w:t xml:space="preserve">Blocco mirato numero 3601 — Il compito. Le 98 invocazioni vanno riqualificate ciascuna con grado e livello. Il presente registro non lo esegue voce per voce, non disponendo del testo integrale di ciascun contesto; fornisce il criterio di riqualificazione e lo applica ai casi che il riscontro ha isolato.</w:t>
      </w:r>
    </w:p>
    <w:p>
      <w:pPr>
        <w:spacing w:after="120" w:line="276"/>
        <w:jc w:val="both"/>
      </w:pPr>
      <w:r>
        <w:rPr>
          <w:rFonts w:ascii="Barlow Semi Condensed" w:cs="Barlow Semi Condensed" w:eastAsia="Barlow Semi Condensed" w:hAnsi="Barlow Semi Condensed"/>
          <w:b/>
          <w:bCs/>
          <w:sz w:val="24"/>
          <w:szCs w:val="24"/>
        </w:rPr>
        <w:t xml:space="preserve">Blocco mirato numero 3602 — Il criterio, in 3 domande ordinate. Prima: l'assenza è stata cercata? Se no, il grado è secondo o terzo. Seconda: se è stata cercata, la ricerca ha potuto concludersi? Se no, il grado è primo, ottavo o decimo. Terza: se si è conclusa, contro quale registro l'assenza è stata verificata? Se contro un registro che il soggetto pubblica, il grado è quarto e il livello è A.</w:t>
      </w:r>
    </w:p>
    <w:p>
      <w:pPr>
        <w:spacing w:after="120" w:line="276"/>
        <w:jc w:val="both"/>
      </w:pPr>
      <w:r>
        <w:rPr>
          <w:rFonts w:ascii="Barlow Semi Condensed" w:cs="Barlow Semi Condensed" w:eastAsia="Barlow Semi Condensed" w:hAnsi="Barlow Semi Condensed"/>
          <w:b/>
          <w:bCs/>
          <w:sz w:val="24"/>
          <w:szCs w:val="24"/>
        </w:rPr>
        <w:t xml:space="preserve">Blocco mirato numero 3603 — L'applicazione ai casi isolati dal riscontro. Primo caso: l'assenza di Ortolani verso il Dominio 1. Quarto grado, Livello A, per le ragioni del blocco 3510.</w:t>
      </w:r>
    </w:p>
    <w:p>
      <w:pPr>
        <w:spacing w:after="120" w:line="276"/>
        <w:jc w:val="both"/>
      </w:pPr>
      <w:r>
        <w:rPr>
          <w:rFonts w:ascii="Barlow Semi Condensed" w:cs="Barlow Semi Condensed" w:eastAsia="Barlow Semi Condensed" w:hAnsi="Barlow Semi Condensed"/>
          <w:b/>
          <w:bCs/>
          <w:sz w:val="24"/>
          <w:szCs w:val="24"/>
        </w:rPr>
        <w:t xml:space="preserve">Blocco mirato numero 3604 — Secondo caso: il capitolo intitolato all'empirica degli archivi, alla regolarità delle aperture e al lampione. Le 3 invocazioni ivi contenute riguardano la disponibilità delle fonti e non connessioni: esse sono di primo, secondo o terzo grado secondo il caso, e non di quarto. Il volume vi impiega la medesima parola che impiega per Ortolani, e le 2 cose non sono la medesima.</w:t>
      </w:r>
    </w:p>
    <w:p>
      <w:pPr>
        <w:spacing w:after="120" w:line="276"/>
        <w:jc w:val="both"/>
      </w:pPr>
      <w:r>
        <w:rPr>
          <w:rFonts w:ascii="Barlow Semi Condensed" w:cs="Barlow Semi Condensed" w:eastAsia="Barlow Semi Condensed" w:hAnsi="Barlow Semi Condensed"/>
          <w:b/>
          <w:bCs/>
          <w:sz w:val="24"/>
          <w:szCs w:val="24"/>
        </w:rPr>
        <w:t xml:space="preserve">Blocco mirato numero 3605 — Terzo caso: le 2 invocazioni nel capitolo sull'archivio catturato di Aginter Press. Un archivio catturato e non versato è deposito inesplorato con condizione di accesso, dunque terzo grado; non è insieme vuoto verificato. Livello C quanto a ogni affermazione fondata su ciò che esso conterrebbe.</w:t>
      </w:r>
    </w:p>
    <w:p>
      <w:pPr>
        <w:spacing w:after="120" w:line="276"/>
        <w:jc w:val="both"/>
      </w:pPr>
      <w:r>
        <w:rPr>
          <w:rFonts w:ascii="Barlow Semi Condensed" w:cs="Barlow Semi Condensed" w:eastAsia="Barlow Semi Condensed" w:hAnsi="Barlow Semi Condensed"/>
          <w:b/>
          <w:bCs/>
          <w:sz w:val="24"/>
          <w:szCs w:val="24"/>
        </w:rPr>
        <w:t xml:space="preserve">Blocco mirato numero 3606 — Quarto caso: le 2 invocazioni nel capitolo sull'Est, gli archivi trasferiti e il caso bulgaro. Archivi trasferiti significa primo grado, impossibilità istituzionale, ove il trasferimento ne abbia mutato il regime di consultabilità; o terzo grado ove siano soltanto non consultati. La distinzione è necessaria e il volume non la compie.</w:t>
      </w:r>
    </w:p>
    <w:p>
      <w:pPr>
        <w:spacing w:after="120" w:line="276"/>
        <w:jc w:val="both"/>
      </w:pPr>
      <w:r>
        <w:rPr>
          <w:rFonts w:ascii="Barlow Semi Condensed" w:cs="Barlow Semi Condensed" w:eastAsia="Barlow Semi Condensed" w:hAnsi="Barlow Semi Condensed"/>
          <w:b/>
          <w:bCs/>
          <w:sz w:val="24"/>
          <w:szCs w:val="24"/>
        </w:rPr>
        <w:t xml:space="preserve">Blocco mirato numero 3607 — Le 46 invocazioni delle Fasi 6, 12 e 13, che sono la massa maggiore. Esse ricorrono in sede di verifica, triangolazione ed estrazione computazionale. Ne discende un rilievo di procedura: una estrazione computazionale che censisca Stati Zero senza distinguerne il grado produce un conteggio e non un'analisi, poiché somma assenze accertate e ricerche non compiute.</w:t>
      </w:r>
    </w:p>
    <w:p>
      <w:pPr>
        <w:spacing w:after="120" w:line="276"/>
        <w:jc w:val="both"/>
      </w:pPr>
      <w:r>
        <w:rPr>
          <w:rFonts w:ascii="Barlow Semi Condensed" w:cs="Barlow Semi Condensed" w:eastAsia="Barlow Semi Condensed" w:hAnsi="Barlow Semi Condensed"/>
          <w:b/>
          <w:bCs/>
          <w:sz w:val="24"/>
          <w:szCs w:val="24"/>
        </w:rPr>
        <w:t xml:space="preserve">Blocco mirato numero 3608 — La prescrizione che ne deriva per la Fase 13.\\ \\Ogni estrazione automatica della categoria deve estrarre insieme il grado e il livello, o dichiararsi conteggio grezzo.</w:t>
      </w:r>
    </w:p>
    <w:p>
      <w:pPr>
        <w:spacing w:after="120" w:line="276"/>
        <w:jc w:val="both"/>
      </w:pPr>
      <w:r>
        <w:rPr>
          <w:rFonts w:ascii="Barlow Semi Condensed" w:cs="Barlow Semi Condensed" w:eastAsia="Barlow Semi Condensed" w:hAnsi="Barlow Semi Condensed"/>
          <w:b/>
          <w:bCs/>
          <w:sz w:val="24"/>
          <w:szCs w:val="24"/>
        </w:rPr>
        <w:t xml:space="preserve">Blocco mirato numero 3609 — Il caso della Fase 5, capitolo 3, che tocca direttamente il perimetro della sessione. Il volume vi qualifica il Sudafrica Stato Zero esemplare, con 5 invocazioni. Il Primo Registro ha già emendato tale qualificazione, distinguendo il canale industriale — documentato per triplice via — dall'atto di governo — non documentato per atipicità dell'ordinamento. Sotto la scala emendata: il canale non è Stato Zero di alcun grado; l'atto è Stato Zero di nono grado, e il suo livello è A, il quadro normativo che lo fonda essendo accertato.</w:t>
      </w:r>
    </w:p>
    <w:p>
      <w:pPr>
        <w:spacing w:after="120" w:line="276"/>
        <w:jc w:val="both"/>
      </w:pPr>
      <w:r>
        <w:rPr>
          <w:rFonts w:ascii="Barlow Semi Condensed" w:cs="Barlow Semi Condensed" w:eastAsia="Barlow Semi Condensed" w:hAnsi="Barlow Semi Condensed"/>
          <w:b/>
          <w:bCs/>
          <w:sz w:val="24"/>
          <w:szCs w:val="24"/>
        </w:rPr>
        <w:t xml:space="preserve">Blocco mirato numero 3610 — Sintesi della sezione. Delle invocazioni esaminate, una sola corrisponde alla definizione che il volume dà della categoria — l'assenza certificata di una connessione attesa — e tutte le altre designano ostacoli anziché risultati. Ne discende che la definizione del volume descrive il quarto grado e viene applicata a tutti e 10.</w:t>
      </w:r>
    </w:p>
    <w:p>
      <w:pPr>
        <w:pStyle w:val="Heading2"/>
        <w:spacing w:after="100" w:before="200"/>
      </w:pPr>
      <w:r>
        <w:rPr>
          <w:rFonts w:ascii="Barlow Semi Condensed" w:cs="Barlow Semi Condensed" w:eastAsia="Barlow Semi Condensed" w:hAnsi="Barlow Semi Condensed"/>
          <w:sz w:val="24"/>
          <w:szCs w:val="24"/>
        </w:rPr>
        <w:t xml:space="preserve">III — L'INDICE DI CONTAMINAZIONE E IL GRADO RICOLLOCATO</w:t>
      </w:r>
    </w:p>
    <w:p>
      <w:pPr>
        <w:spacing w:after="120" w:line="276"/>
        <w:jc w:val="both"/>
      </w:pPr>
      <w:r>
        <w:rPr>
          <w:rFonts w:ascii="Barlow Semi Condensed" w:cs="Barlow Semi Condensed" w:eastAsia="Barlow Semi Condensed" w:hAnsi="Barlow Semi Condensed"/>
          <w:b/>
          <w:bCs/>
          <w:sz w:val="24"/>
          <w:szCs w:val="24"/>
        </w:rPr>
        <w:t xml:space="preserve">Blocco mirato numero 3701 — Il secondo strumento.\\ Il volume impiega l'\\Indice di Contaminazione 25 volte. Livello A.\\ Esso misura non la disponibilità di un'informazione ma \\la sua indipendenza genealogica.</w:t>
      </w:r>
    </w:p>
    <w:p>
      <w:pPr>
        <w:spacing w:after="120" w:line="276"/>
        <w:jc w:val="both"/>
      </w:pPr>
      <w:r>
        <w:rPr>
          <w:rFonts w:ascii="Barlow Semi Condensed" w:cs="Barlow Semi Condensed" w:eastAsia="Barlow Semi Condensed" w:hAnsi="Barlow Semi Condensed"/>
          <w:b/>
          <w:bCs/>
          <w:sz w:val="24"/>
          <w:szCs w:val="24"/>
        </w:rPr>
        <w:t xml:space="preserve">Blocco mirato numero 3702 — Il versamento del Quarto Registro a tale strumento. Il grado proposto nel Terzo Registro quale fatto trasferito è stato ritirato dalla scala degli Stati Zero per fallimento del test di appartenenza — non descrivendo un'assenza — e ricollocato nell'Indice con la denominazione emendata di contaminazione per trasferimento di cornice.</w:t>
      </w:r>
    </w:p>
    <w:p>
      <w:pPr>
        <w:spacing w:after="120" w:line="276"/>
        <w:jc w:val="both"/>
      </w:pPr>
      <w:r>
        <w:rPr>
          <w:rFonts w:ascii="Barlow Semi Condensed" w:cs="Barlow Semi Condensed" w:eastAsia="Barlow Semi Condensed" w:hAnsi="Barlow Semi Condensed"/>
          <w:b/>
          <w:bCs/>
          <w:sz w:val="24"/>
          <w:szCs w:val="24"/>
        </w:rPr>
        <w:t xml:space="preserve">Blocco mirato numero 3703 — La definizione, per la nuova sede. Un dato genealogicamente autentico viene riprodotto con attribuzione geografica, politica o cronologica modificata, sicché le riproduzioni successive ereditano la cornice nuova insieme al dato vero.</w:t>
      </w:r>
    </w:p>
    <w:p>
      <w:pPr>
        <w:spacing w:after="120" w:line="276"/>
        <w:jc w:val="both"/>
      </w:pPr>
      <w:r>
        <w:rPr>
          <w:rFonts w:ascii="Barlow Semi Condensed" w:cs="Barlow Semi Condensed" w:eastAsia="Barlow Semi Condensed" w:hAnsi="Barlow Semi Condensed"/>
          <w:b/>
          <w:bCs/>
          <w:sz w:val="24"/>
          <w:szCs w:val="24"/>
        </w:rPr>
        <w:t xml:space="preserve">Blocco mirato numero 3704 — La proprietà che ne giustifica la conservazione, e che nella scala degli Stati Zero non avrebbe potuto essere enunciata. Essa resiste a ogni verifica condotta sul dato. Chi verifichi il dato lo trova confermato; la cornice non è nel dato e non viene verificata insieme ad esso. Ne discende che gli strumenti ordinari di riscontro — che confermano o smentiscono fatti — le sono strutturalmente ciechi.</w:t>
      </w:r>
    </w:p>
    <w:p>
      <w:pPr>
        <w:spacing w:after="120" w:line="276"/>
        <w:jc w:val="both"/>
      </w:pPr>
      <w:r>
        <w:rPr>
          <w:rFonts w:ascii="Barlow Semi Condensed" w:cs="Barlow Semi Condensed" w:eastAsia="Barlow Semi Condensed" w:hAnsi="Barlow Semi Condensed"/>
          <w:b/>
          <w:bCs/>
          <w:sz w:val="24"/>
          <w:szCs w:val="24"/>
        </w:rPr>
        <w:t xml:space="preserve">Blocco mirato numero 3705 — Il caso esemplare, richiamato. L'addestramento dei quadri sudafricani in territorio oggi ucraino, fatto vero e verificabile, invocato nel discorso contemporaneo quale titolo di gratitudine verso Mosca, mentre le repubbliche in cui avvenne sono oggi indipendenti e invase. Livello A quanto al fatto e alla sua invocazione.</w:t>
      </w:r>
    </w:p>
    <w:p>
      <w:pPr>
        <w:spacing w:after="120" w:line="276"/>
        <w:jc w:val="both"/>
      </w:pPr>
      <w:r>
        <w:rPr>
          <w:rFonts w:ascii="Barlow Semi Condensed" w:cs="Barlow Semi Condensed" w:eastAsia="Barlow Semi Condensed" w:hAnsi="Barlow Semi Condensed"/>
          <w:b/>
          <w:bCs/>
          <w:sz w:val="24"/>
          <w:szCs w:val="24"/>
        </w:rPr>
        <w:t xml:space="preserve">Blocco mirato numero 3706 — La distinzione dall'ottavo grado, che va mantenuta perché sono confinanti. Il falso positivo richiede un apparato che detiene la qualificazione vera e ne diffonde una falsa: presuppone conoscenza e intenzione. La contaminazione per trasferimento non le richiede: può prodursi per riproduzioni successive, e nessuno dei riproduttori deve sapere di trasferire. Il primo è dolo, la seconda può essere sedimentazione.</w:t>
      </w:r>
    </w:p>
    <w:p>
      <w:pPr>
        <w:spacing w:after="120" w:line="276"/>
        <w:jc w:val="both"/>
      </w:pPr>
      <w:r>
        <w:rPr>
          <w:rFonts w:ascii="Barlow Semi Condensed" w:cs="Barlow Semi Condensed" w:eastAsia="Barlow Semi Condensed" w:hAnsi="Barlow Semi Condensed"/>
          <w:b/>
          <w:bCs/>
          <w:sz w:val="24"/>
          <w:szCs w:val="24"/>
        </w:rPr>
        <w:t xml:space="preserve">Blocco mirato numero 3707 — La conseguenza per l'Indice, che ne accresce la portata. L'Indice era stato costruito per misurare quante volte un dato è stato riprodotto e attraverso quali passaggi. La fattispecie versata gli aggiunge una dimensione: non soltanto quante volte, ma con quale cornice, poiché un dato riprodotto una volta sola con cornice mutata è più contaminato di un dato riprodotto dieci volte con cornice intatta.</w:t>
      </w:r>
    </w:p>
    <w:p>
      <w:pPr>
        <w:spacing w:after="120" w:line="276"/>
        <w:jc w:val="both"/>
      </w:pPr>
      <w:r>
        <w:rPr>
          <w:rFonts w:ascii="Barlow Semi Condensed" w:cs="Barlow Semi Condensed" w:eastAsia="Barlow Semi Condensed" w:hAnsi="Barlow Semi Condensed"/>
          <w:b/>
          <w:bCs/>
          <w:sz w:val="24"/>
          <w:szCs w:val="24"/>
        </w:rPr>
        <w:t xml:space="preserve">Blocco mirato numero 3708 — Il criterio operativo che ne discende. Nel calcolo dell'indice, il mutamento di cornice va pesato indipendentemente dal numero delle riproduzioni, e va rilevato confrontando non i dati fra loro ma le cornici entro cui i medesimi dati sono collocati nelle diverse fonti.</w:t>
      </w:r>
    </w:p>
    <w:p>
      <w:pPr>
        <w:pStyle w:val="Heading2"/>
        <w:spacing w:after="100" w:before="200"/>
      </w:pPr>
      <w:r>
        <w:rPr>
          <w:rFonts w:ascii="Barlow Semi Condensed" w:cs="Barlow Semi Condensed" w:eastAsia="Barlow Semi Condensed" w:hAnsi="Barlow Semi Condensed"/>
          <w:sz w:val="24"/>
          <w:szCs w:val="24"/>
        </w:rPr>
        <w:t xml:space="preserve">IV — LA CLASSIFICAZIONE PER RIMEDIABILITÀ APPLICATA AL VOLUME</w:t>
      </w:r>
    </w:p>
    <w:p>
      <w:pPr>
        <w:spacing w:after="120" w:line="276"/>
        <w:jc w:val="both"/>
      </w:pPr>
      <w:r>
        <w:rPr>
          <w:rFonts w:ascii="Barlow Semi Condensed" w:cs="Barlow Semi Condensed" w:eastAsia="Barlow Semi Condensed" w:hAnsi="Barlow Semi Condensed"/>
          <w:b/>
          <w:bCs/>
          <w:sz w:val="24"/>
          <w:szCs w:val="24"/>
        </w:rPr>
        <w:t xml:space="preserve">Blocco mirato numero 3801 — Il terzo versamento, dal Quinto Registro. Esso ha prescritto che le tavole di acquisizioni non conseguite siano ordinate per classe di rimediabilità prima che per rendimento atteso, e ha ripartito le voci in 3 classi: rimediabili dal ricercatore; rimediabili soltanto da terzi; non rimediabili.</w:t>
      </w:r>
    </w:p>
    <w:p>
      <w:pPr>
        <w:spacing w:after="120" w:line="276"/>
        <w:jc w:val="both"/>
      </w:pPr>
      <w:r>
        <w:rPr>
          <w:rFonts w:ascii="Barlow Semi Condensed" w:cs="Barlow Semi Condensed" w:eastAsia="Barlow Semi Condensed" w:hAnsi="Barlow Semi Condensed"/>
          <w:b/>
          <w:bCs/>
          <w:sz w:val="24"/>
          <w:szCs w:val="24"/>
        </w:rPr>
        <w:t xml:space="preserve">Blocco mirato numero 3802 — Il riscontro sul volume.\\ Il lemma \\rimediabile ricorre 1 volta sola\\ in 241.052 parole; il lemma \\tavola ricorre 8 volte. Livello A.</w:t>
      </w:r>
    </w:p>
    <w:p>
      <w:pPr>
        <w:spacing w:after="120" w:line="276"/>
        <w:jc w:val="both"/>
      </w:pPr>
      <w:r>
        <w:rPr>
          <w:rFonts w:ascii="Barlow Semi Condensed" w:cs="Barlow Semi Condensed" w:eastAsia="Barlow Semi Condensed" w:hAnsi="Barlow Semi Condensed"/>
          <w:b/>
          <w:bCs/>
          <w:sz w:val="24"/>
          <w:szCs w:val="24"/>
        </w:rPr>
        <w:t xml:space="preserve">Blocco mirato numero 3803 — La diagnosi. Il volume possiede tavole e non possiede il criterio per ordinarle. Ne discende che le sue 8 tavole sono ordinate per rendimento atteso o per successione espositiva, e che una voce di rendimento massimo e di classe terza vi può precedere una voce di rendimento medio e di classe prima, il che è precisamente l'ordinamento che spreca il lavoro del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3804 — L'esemplificazione tratta dalla sessione, che rende concreto il rilievo. Nella Tavola Unica, la voce di massimo valore analitico — il verbale con la dichiarazione dell'accusatore dell'Italia nel 1980 — appartiene alla classe seconda, e nessuna iniziativa del ricercatore la scioglie. La voce che invece scioglie il maggior numero di questioni — lo spoglio delle serie Affari Politici dell'Archivio Storico Diplomatico — appartiene alla classe prima, e dipende soltanto dall'andare. Un ordinamento per solo rendimento le collocherebbe nell'ordine inverso a quello utile.</w:t>
      </w:r>
    </w:p>
    <w:p>
      <w:pPr>
        <w:spacing w:after="120" w:line="276"/>
        <w:jc w:val="both"/>
      </w:pPr>
      <w:r>
        <w:rPr>
          <w:rFonts w:ascii="Barlow Semi Condensed" w:cs="Barlow Semi Condensed" w:eastAsia="Barlow Semi Condensed" w:hAnsi="Barlow Semi Condensed"/>
          <w:b/>
          <w:bCs/>
          <w:sz w:val="24"/>
          <w:szCs w:val="24"/>
        </w:rPr>
        <w:t xml:space="preserve">Blocco mirato numero 3805 — Il dato quantitativo della Tavola Unica, offerto al volume quale metro. Delle 28 voci deduplicate della sessione, 19 sono in classe prima, 7 in seconda, 2 in terza. Ventisette su 28 sono in principio conseguibili. Ne discende la lettura già enunciata: l'ostacolo prevalente non è il segreto né la norma, ma che nessuno sia andato.</w:t>
      </w:r>
    </w:p>
    <w:p>
      <w:pPr>
        <w:spacing w:after="120" w:line="276"/>
        <w:jc w:val="both"/>
      </w:pPr>
      <w:r>
        <w:rPr>
          <w:rFonts w:ascii="Barlow Semi Condensed" w:cs="Barlow Semi Condensed" w:eastAsia="Barlow Semi Condensed" w:hAnsi="Barlow Semi Condensed"/>
          <w:b/>
          <w:bCs/>
          <w:sz w:val="24"/>
          <w:szCs w:val="24"/>
        </w:rPr>
        <w:t xml:space="preserve">Blocco mirato numero 3806 — La prescrizione, in forma applicabile alle 8 tavole del volume. Ciascuna voce riceva classe e grado, e la tavola sia ordinata per classe crescente, e all'interno di ciascuna classe per rendimento decrescente. La classe terza sia collocata in coda e recata con la condizione dichiarata nessuna, affinché il ricercatore futuro non vi si applichi.</w:t>
      </w:r>
    </w:p>
    <w:p>
      <w:pPr>
        <w:spacing w:after="120" w:line="276"/>
        <w:jc w:val="both"/>
      </w:pPr>
      <w:r>
        <w:rPr>
          <w:rFonts w:ascii="Barlow Semi Condensed" w:cs="Barlow Semi Condensed" w:eastAsia="Barlow Semi Condensed" w:hAnsi="Barlow Semi Condensed"/>
          <w:b/>
          <w:bCs/>
          <w:sz w:val="24"/>
          <w:szCs w:val="24"/>
        </w:rPr>
        <w:t xml:space="preserve">Blocco mirato numero 3901 — Sintesi del dato nuovo acquisito. Il presente registro triangola con i 2 volumi conferiti i 5 artefatti conclusivi della sessione, che si distinguono dai precedenti per operare sugli strumenti anziché sulla materia, e ne verifica l'effetto sull'opera. Il riscontro meccanico accerta che l'Edizione Integrata invoca la categoria dello Stato Zero 98 volte senza qualificare mai il grado, nessuno dei 10 nomi ricorrendovi, e che le invocazioni si addensano nelle fasi di verifica, cioè nella sede in cui l'indifferenziazione costa di più. Il registro individua inoltre un errore di categoria strutturale: il volume, nei bilanci di fase, conta gli Stati Zero accanto ai livelli Savona come quarta categoria esclusiva, laddove il sistema Savona misura la certezza di un'affermazione e la scala misura la natura di un'assenza, dimensioni ortogonali e non alternative. L'errore è dimostrabile con le sole parole del volume, il quale qualifica l'assenza di Ortolani sistematicamente ricercata e certificata: poiché un'assenza certificata possiede un grado di certificazione, essa ha un livello Savona, e dunque non può essere un livello Savona. L'emendazione proposta è la doppia qualificazione: ogni Stato Zero rechi il grado secondo la scala a 10 voci e il livello secondo il sistema a 3, sicché la forma di citazione divenga Stato Zero di quarto grado, insieme vuoto verificato, Livello A. Il registro rende peraltro al volume ciò che gli è dovuto: esso aveva già compreso la distinzione senza disporre del nome, chiamando l'assenza di Ortolani calibro per le fasi successive e attribuendo così a quel solo caso una funzione che agli altri non attribuisce; l'operazione presente non corregge un errore concettuale ma fornisce il lessico a una distinzione già praticata. Il registro versa infine 2 acquisizioni ulteriori: la contaminazione per trasferimento di cornice, ricollocata dall'Indice di Contaminazione con la proprietà di resistere a ogni verifica condotta sul dato, e il criterio operativo per cui il mutamento di cornice va pesato indipendentemente dal numero delle riproduzioni; e la classificazione per rimediabilità applicata alle 8 tavole del volume, che possiede tavole e non possiede il criterio per ordinarle, il lemma rimediabile ricorrendovi una volta sola in 241.052 parole.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 · Sesto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 3.029 parole in 9 sezioni; la più ampia è §9 Altre sezioni, con 1.685.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 50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 — Settimo Registro Analitico</w:t>
      </w:r>
    </w:p>
    <w:p>
      <w:pPr>
        <w:pStyle w:val="Heading1"/>
        <w:spacing w:after="120" w:before="240"/>
      </w:pPr>
      <w:r>
        <w:rPr>
          <w:rFonts w:ascii="Barlow Semi Condensed" w:cs="Barlow Semi Condensed" w:eastAsia="Barlow Semi Condensed" w:hAnsi="Barlow Semi Condensed"/>
          <w:sz w:val="24"/>
          <w:szCs w:val="24"/>
        </w:rPr>
        <w:t xml:space="preserve">SETTIMO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La riqualificazione eseguita</w:t>
      </w:r>
    </w:p>
    <w:p>
      <w:pPr>
        <w:pStyle w:val="Heading2"/>
        <w:spacing w:after="100" w:before="200"/>
      </w:pPr>
      <w:r>
        <w:rPr>
          <w:rFonts w:ascii="Barlow Semi Condensed" w:cs="Barlow Semi Condensed" w:eastAsia="Barlow Semi Condensed" w:hAnsi="Barlow Semi Condensed"/>
          <w:sz w:val="24"/>
          <w:szCs w:val="24"/>
        </w:rPr>
        <w:t xml:space="preserve">122 occorrenze — la sottodistinzione del quarto grado — l'undicesimo grado</w:t>
      </w:r>
    </w:p>
    <w:p>
      <w:pPr>
        <w:pStyle w:val="Heading2"/>
        <w:spacing w:after="100" w:before="200"/>
      </w:pPr>
      <w:r>
        <w:rPr>
          <w:rFonts w:ascii="Barlow Semi Condensed" w:cs="Barlow Semi Condensed" w:eastAsia="Barlow Semi Condensed" w:hAnsi="Barlow Semi Condensed"/>
          <w:sz w:val="24"/>
          <w:szCs w:val="24"/>
        </w:rPr>
        <w:t xml:space="preserve">Blocchi 4001-4401 — istanze e menzioni — esito parziale dichiarato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SETTIMO REGISTRO ANALITICO</w:t>
      </w:r>
    </w:p>
    <w:p>
      <w:pPr>
        <w:pStyle w:val="Heading2"/>
        <w:spacing w:after="100" w:before="200"/>
      </w:pPr>
      <w:r>
        <w:rPr>
          <w:rFonts w:ascii="Barlow Semi Condensed" w:cs="Barlow Semi Condensed" w:eastAsia="Barlow Semi Condensed" w:hAnsi="Barlow Semi Condensed"/>
          <w:sz w:val="24"/>
          <w:szCs w:val="24"/>
        </w:rPr>
        <w:t xml:space="preserve">La riqualificazione eseguita. Centoventidue occorrenze, due reperti non previsti</w:t>
      </w:r>
    </w:p>
    <w:p>
      <w:pPr>
        <w:spacing w:after="120" w:line="276"/>
        <w:jc w:val="both"/>
      </w:pPr>
      <w:r>
        <w:rPr>
          <w:rFonts w:ascii="Barlow Semi Condensed" w:cs="Barlow Semi Condensed" w:eastAsia="Barlow Semi Condensed" w:hAnsi="Barlow Semi Condensed"/>
          <w:b/>
          <w:bCs/>
          <w:sz w:val="24"/>
          <w:szCs w:val="24"/>
        </w:rPr>
        <w:t xml:space="preserve">Blocco mirato numero 4001 — Oggetto, e il debito che salda. Il Sesto Registro, al blocco 3601, ha dichiarato: il presente registro non esegue la riqualificazione voce per voce, non disponendo del testo integrale di ciascun contesto. Il testo è disponibile. Il presente registro la esegue.</w:t>
      </w:r>
    </w:p>
    <w:p>
      <w:pPr>
        <w:spacing w:after="120" w:line="276"/>
        <w:jc w:val="both"/>
      </w:pPr>
      <w:r>
        <w:rPr>
          <w:rFonts w:ascii="Barlow Semi Condensed" w:cs="Barlow Semi Condensed" w:eastAsia="Barlow Semi Condensed" w:hAnsi="Barlow Semi Condensed"/>
          <w:b/>
          <w:bCs/>
          <w:sz w:val="24"/>
          <w:szCs w:val="24"/>
        </w:rPr>
        <w:t xml:space="preserve">Blocco mirato numero 4002 — Prima emendazione, e colpisce il Sesto Registro medesimo. Esso contava 98 invocazioni della categoria. Il conteggio era parziale: comprendeva il solo singolare. Il riscontro sul singolare e sul plurale insieme dà 122 occorrenze: 98 al singolare e 24 al plurale. Livello A.</w:t>
      </w:r>
    </w:p>
    <w:p>
      <w:pPr>
        <w:spacing w:after="120" w:line="276"/>
        <w:jc w:val="both"/>
      </w:pPr>
      <w:r>
        <w:rPr>
          <w:rFonts w:ascii="Barlow Semi Condensed" w:cs="Barlow Semi Condensed" w:eastAsia="Barlow Semi Condensed" w:hAnsi="Barlow Semi Condensed"/>
          <w:b/>
          <w:bCs/>
          <w:sz w:val="24"/>
          <w:szCs w:val="24"/>
        </w:rPr>
        <w:t xml:space="preserve">Blocco mirato numero 4003 — Perché l'errore è istruttivo e non soltanto aritmetico. Le 24 occorrenze al plurale sono precisamente quelle dei bilanci di fase, ove il volume censisce gli Stati Zero in gruppo. Contando il solo singolare, il Sesto Registro aveva escluso dalla misura proprio la sede in cui l'indifferenziazione produce il danno maggiore. Ne discende una regola: quando si misura l'uso di una categoria, si misurino tutte le sue flessioni, poiché il plurale segnala l'aggregazione e l'aggregazione è dove le distinzioni si perdono.</w:t>
      </w:r>
    </w:p>
    <w:p>
      <w:pPr>
        <w:spacing w:after="120" w:line="276"/>
        <w:jc w:val="both"/>
      </w:pPr>
      <w:r>
        <w:rPr>
          <w:rFonts w:ascii="Barlow Semi Condensed" w:cs="Barlow Semi Condensed" w:eastAsia="Barlow Semi Condensed" w:hAnsi="Barlow Semi Condensed"/>
          <w:b/>
          <w:bCs/>
          <w:sz w:val="24"/>
          <w:szCs w:val="24"/>
        </w:rPr>
        <w:t xml:space="preserve">Blocco mirato numero 4004 — La procedura di riqualificazione, in 3 passi. Estrazione di ciascuna occorrenza con 400 caratteri di contesto; classificazione per natura dell'ostacolo o del risultato che il contesto descrive; assegnazione del grado secondo la scala emendata e del livello secondo il sistema Savona, in applicazione della doppia qualificazione prescritta al blocco 3508.</w:t>
      </w:r>
    </w:p>
    <w:p>
      <w:pPr>
        <w:spacing w:after="120" w:line="276"/>
        <w:jc w:val="both"/>
      </w:pPr>
      <w:r>
        <w:rPr>
          <w:rFonts w:ascii="Barlow Semi Condensed" w:cs="Barlow Semi Condensed" w:eastAsia="Barlow Semi Condensed" w:hAnsi="Barlow Semi Condensed"/>
          <w:b/>
          <w:bCs/>
          <w:sz w:val="24"/>
          <w:szCs w:val="24"/>
        </w:rPr>
        <w:t xml:space="preserve">Blocco mirato numero 4005 — La ripartizione risultante, per natura del contesto. Quarantasei occorrenze in contesto di certificazione o verifica; 49 in contesto altro, esaminato al blocco 4301; 17 in contesto archivistico; 10 in contesto di ricerca condotta senza esito dichiarato. Livello A quanto al conteggio.</w:t>
      </w:r>
    </w:p>
    <w:p>
      <w:pPr>
        <w:spacing w:after="120" w:line="276"/>
        <w:jc w:val="both"/>
      </w:pPr>
      <w:r>
        <w:rPr>
          <w:rFonts w:ascii="Barlow Semi Condensed" w:cs="Barlow Semi Condensed" w:eastAsia="Barlow Semi Condensed" w:hAnsi="Barlow Semi Condensed"/>
          <w:b/>
          <w:bCs/>
          <w:sz w:val="24"/>
          <w:szCs w:val="24"/>
        </w:rPr>
        <w:t xml:space="preserve">Blocco mirato numero 4006 — Notazione della doppia qualificazione.\\ Ciascun caso si cita nella forma: \\Stato Zero di grado N, denominazione, Livello X.</w:t>
      </w:r>
    </w:p>
    <w:p>
      <w:pPr>
        <w:spacing w:after="120" w:line="276"/>
        <w:jc w:val="both"/>
      </w:pPr>
      <w:r>
        <w:rPr>
          <w:rFonts w:ascii="Barlow Semi Condensed" w:cs="Barlow Semi Condensed" w:eastAsia="Barlow Semi Condensed" w:hAnsi="Barlow Semi Condensed"/>
          <w:b/>
          <w:bCs/>
          <w:sz w:val="24"/>
          <w:szCs w:val="24"/>
        </w:rPr>
        <w:t xml:space="preserve">Blocco mirato numero 4007 — Numerazione. Riprende dal 4001, il Sesto Registro essendosi chiuso al 3901.</w:t>
      </w:r>
    </w:p>
    <w:p>
      <w:pPr>
        <w:pStyle w:val="Heading2"/>
        <w:spacing w:after="100" w:before="200"/>
      </w:pPr>
      <w:r>
        <w:rPr>
          <w:rFonts w:ascii="Barlow Semi Condensed" w:cs="Barlow Semi Condensed" w:eastAsia="Barlow Semi Condensed" w:hAnsi="Barlow Semi Condensed"/>
          <w:sz w:val="24"/>
          <w:szCs w:val="24"/>
        </w:rPr>
        <w:t xml:space="preserve">I — LE QUARANTASEI OCCORRENZE DI CERTIFICAZIONE, E LA SOTTODISTINZIONE CHE IMPONGONO</w:t>
      </w:r>
    </w:p>
    <w:p>
      <w:pPr>
        <w:spacing w:after="120" w:line="276"/>
        <w:jc w:val="both"/>
      </w:pPr>
      <w:r>
        <w:rPr>
          <w:rFonts w:ascii="Barlow Semi Condensed" w:cs="Barlow Semi Condensed" w:eastAsia="Barlow Semi Condensed" w:hAnsi="Barlow Semi Condensed"/>
          <w:b/>
          <w:bCs/>
          <w:sz w:val="24"/>
          <w:szCs w:val="24"/>
        </w:rPr>
        <w:t xml:space="preserve">Blocco mirato numero 4101 — Il caso paradigmatico, riportato testualmente. Lo Stato Zero di Umberto Ortolani verso il Dominio 1, unica assenza sistematicamente ricercata e certificata della fase, che vale quale reperto negativo di prima classe e quale calibro per le fasi successive.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4102 — La qualificazione.\\ \\Stato Zero di quarto grado, insieme vuoto verificato,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4103 — Ma un secondo caso obbliga a distinguere entro il quarto grado, e il volume lo fornisce. Nel capitolo sul Sudafrica esso registra lo Stato Zero del riscontro contemporaneo elevato a esemplare della categoria, la connessione cercata su tutto il corpus e non trovata.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4104 — La differenza fra i 2 casi, che non è di grado ma di fondamento. Il caso dell'Opus Dei assente da Grecia, Cipro e Turchia fu verificato contro l'elenco ufficiale dei Paesi che l'ente medesimo pubblica. Il caso della connessione cercata su tutto il corpus fu verificato contro l'esaurimento del corpus stesso.</w:t>
      </w:r>
    </w:p>
    <w:p>
      <w:pPr>
        <w:spacing w:after="120" w:line="276"/>
        <w:jc w:val="both"/>
      </w:pPr>
      <w:r>
        <w:rPr>
          <w:rFonts w:ascii="Barlow Semi Condensed" w:cs="Barlow Semi Condensed" w:eastAsia="Barlow Semi Condensed" w:hAnsi="Barlow Semi Condensed"/>
          <w:b/>
          <w:bCs/>
          <w:sz w:val="24"/>
          <w:szCs w:val="24"/>
        </w:rPr>
        <w:t xml:space="preserve">Blocco mirato numero 4105 — Perché la differenza conta, ed è questione di falsificabilità. Il primo tipo è confutabile da chiunque esibisca una voce nel registro del soggetto. Il secondo è confutabile soltanto esibendo una fonte esterna al corpus — e poiché il corpus è definito da chi lo compila, l'assenza verificata contro di esso è tanto più forte quanto più il corpus è ampio, e tanto meno controllabile dall'esterno.</w:t>
      </w:r>
    </w:p>
    <w:p>
      <w:pPr>
        <w:spacing w:after="120" w:line="276"/>
        <w:jc w:val="both"/>
      </w:pPr>
      <w:r>
        <w:rPr>
          <w:rFonts w:ascii="Barlow Semi Condensed" w:cs="Barlow Semi Condensed" w:eastAsia="Barlow Semi Condensed" w:hAnsi="Barlow Semi Condensed"/>
          <w:b/>
          <w:bCs/>
          <w:sz w:val="24"/>
          <w:szCs w:val="24"/>
        </w:rPr>
        <w:t xml:space="preserve">Blocco mirato numero 4106 — La sottodistinzione proposta entro il quarto grado. Quarto grado di specie prima, verifica esogena: l'assenza è accertata contro un registro che il soggetto pubblica o che un terzo indipendente mantiene. Quarto grado di specie seconda, verifica endogena: l'assenza è accertata contro l'esaurimento del corpus del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4107 — La prescrizione che ne discende. Ogni Stato Zero di quarto grado dichiari la specie, e la specie seconda dichiari altresì l'estensione del corpus contro cui la verifica fu condotta, poiché senza tale indicazione l'affermazione non è controllabile.</w:t>
      </w:r>
    </w:p>
    <w:p>
      <w:pPr>
        <w:spacing w:after="120" w:line="276"/>
        <w:jc w:val="both"/>
      </w:pPr>
      <w:r>
        <w:rPr>
          <w:rFonts w:ascii="Barlow Semi Condensed" w:cs="Barlow Semi Condensed" w:eastAsia="Barlow Semi Condensed" w:hAnsi="Barlow Semi Condensed"/>
          <w:b/>
          <w:bCs/>
          <w:sz w:val="24"/>
          <w:szCs w:val="24"/>
        </w:rPr>
        <w:t xml:space="preserve">Blocco mirato numero 4108 — Un secondo caso di specie seconda, tratto dal volume. Il capitolo su Aginter Press registra lo stress-test documentale della connessione con i vertici della diplomazia atlantica dell'epoca, il cui esito è uno Stato Zero pieno, nessun documento, nessun atto, nessuna convergenza che sostenga il collegamento. Livello A quanto alla formulazione. Qualificazione: quarto grado di specie seconda, Livello A, con l'avvertenza che il corpus contro cui la verifica fu condotta va dichiarato.</w:t>
      </w:r>
    </w:p>
    <w:p>
      <w:pPr>
        <w:spacing w:after="120" w:line="276"/>
        <w:jc w:val="both"/>
      </w:pPr>
      <w:r>
        <w:rPr>
          <w:rFonts w:ascii="Barlow Semi Condensed" w:cs="Barlow Semi Condensed" w:eastAsia="Barlow Semi Condensed" w:hAnsi="Barlow Semi Condensed"/>
          <w:b/>
          <w:bCs/>
          <w:sz w:val="24"/>
          <w:szCs w:val="24"/>
        </w:rPr>
        <w:t xml:space="preserve">Blocco mirato numero 4109 — Un caso che il volume chiama Stato Zero e che sotto la scala non lo è. Il capitolo su Gladio registra quale Stato Zero più singolare del capitolo il fatto che la rete clandestina mantenne il proprio segreto per 4 decenni attraverso centinaia di reclutati civili.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4110 — Perché non è uno Stato Zero. Non vi è alcuna connessione attesa e non trovata: vi è un fatto positivo, la tenuta del segreto, che il volume trova sorprendente. L'assenza è quella delle rivelazioni, cioè di eventi che nessuno ha cercato in archivio. Qualificazione corretta: non Stato Zero, ma reperto positivo di natura sociologica. Il volume vi impiega la categoria in senso figurato, e la figura va sciolta.</w:t>
      </w:r>
    </w:p>
    <w:p>
      <w:pPr>
        <w:pStyle w:val="Heading2"/>
        <w:spacing w:after="100" w:before="200"/>
      </w:pPr>
      <w:r>
        <w:rPr>
          <w:rFonts w:ascii="Barlow Semi Condensed" w:cs="Barlow Semi Condensed" w:eastAsia="Barlow Semi Condensed" w:hAnsi="Barlow Semi Condensed"/>
          <w:sz w:val="24"/>
          <w:szCs w:val="24"/>
        </w:rPr>
        <w:t xml:space="preserve">II — LE DICIASSETTE OCCORRENZE ARCHIVISTICHE, E L'UNDICESIMO GRADO</w:t>
      </w:r>
    </w:p>
    <w:p>
      <w:pPr>
        <w:spacing w:after="120" w:line="276"/>
        <w:jc w:val="both"/>
      </w:pPr>
      <w:r>
        <w:rPr>
          <w:rFonts w:ascii="Barlow Semi Condensed" w:cs="Barlow Semi Condensed" w:eastAsia="Barlow Semi Condensed" w:hAnsi="Barlow Semi Condensed"/>
          <w:b/>
          <w:bCs/>
          <w:sz w:val="24"/>
          <w:szCs w:val="24"/>
        </w:rPr>
        <w:t xml:space="preserve">Blocco mirato numero 4201 — Il caso che apre il problema, riportato testualmente. Il capitolo su Hyperion registra un reperto e insieme il suo limite strutturale, giacché un'istruttoria italiana non poteva forzare gli archivi stranieri.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4202 — La verifica sui 10 gradi, condotta per esclusione. Non è primo grado, impossibilità istituzionale: nessuna norma chiude quell'archivio, che è aperto alle autorità del proprio Stato. Non è terzo grado, deposito inesplorato: non si tratta di un archivio ove nessuno sia andato, bensì di uno ove chi vada può essere respinto. Non è decimo grado, barriera macchinica: l'ostacolo è normativo e non tecnico, e colpisce il lettore umano esattamente quanto quello automatico.</w:t>
      </w:r>
    </w:p>
    <w:p>
      <w:pPr>
        <w:spacing w:after="120" w:line="276"/>
        <w:jc w:val="both"/>
      </w:pPr>
      <w:r>
        <w:rPr>
          <w:rFonts w:ascii="Barlow Semi Condensed" w:cs="Barlow Semi Condensed" w:eastAsia="Barlow Semi Condensed" w:hAnsi="Barlow Semi Condensed"/>
          <w:b/>
          <w:bCs/>
          <w:sz w:val="24"/>
          <w:szCs w:val="24"/>
        </w:rPr>
        <w:t xml:space="preserve">Blocco mirato numero 4203 — L'undicesimo grado proposto, e la sua provenienza va dichiarata perché ne accresce il valore. Esso non è proposto dall'analista ma estratto dal volume, che ne descriveva la fattispecie senza nominarla.</w:t>
      </w:r>
    </w:p>
    <w:p>
      <w:pPr>
        <w:spacing w:after="120" w:line="276"/>
        <w:jc w:val="both"/>
      </w:pPr>
      <w:r>
        <w:rPr>
          <w:rFonts w:ascii="Barlow Semi Condensed" w:cs="Barlow Semi Condensed" w:eastAsia="Barlow Semi Condensed" w:hAnsi="Barlow Semi Condensed"/>
          <w:b/>
          <w:bCs/>
          <w:sz w:val="24"/>
          <w:szCs w:val="24"/>
        </w:rPr>
        <w:t xml:space="preserve">Blocco mirato numero 4204 — Definizione. Limite di giurisdizione: l'informazione esiste, è conservata, è accessibile alle autorità dello Stato che la detiene, e resta inattingibile a un'autorità straniera per mancanza di uno strumento che ne imponga la produzione.</w:t>
      </w:r>
    </w:p>
    <w:p>
      <w:pPr>
        <w:spacing w:after="120" w:line="276"/>
        <w:jc w:val="both"/>
      </w:pPr>
      <w:r>
        <w:rPr>
          <w:rFonts w:ascii="Barlow Semi Condensed" w:cs="Barlow Semi Condensed" w:eastAsia="Barlow Semi Condensed" w:hAnsi="Barlow Semi Condensed"/>
          <w:b/>
          <w:bCs/>
          <w:sz w:val="24"/>
          <w:szCs w:val="24"/>
        </w:rPr>
        <w:t xml:space="preserve">Blocco mirato numero 4205 — Primo test, di appartenenza. Descrive un'assenza?\\ \\Sì: assenza di acquisizione, a fronte di un documento esistente, conservato e accessibile ad altri. Superato.</w:t>
      </w:r>
    </w:p>
    <w:p>
      <w:pPr>
        <w:spacing w:after="120" w:line="276"/>
        <w:jc w:val="both"/>
      </w:pPr>
      <w:r>
        <w:rPr>
          <w:rFonts w:ascii="Barlow Semi Condensed" w:cs="Barlow Semi Condensed" w:eastAsia="Barlow Semi Condensed" w:hAnsi="Barlow Semi Condensed"/>
          <w:b/>
          <w:bCs/>
          <w:sz w:val="24"/>
          <w:szCs w:val="24"/>
        </w:rPr>
        <w:t xml:space="preserve">Blocco mirato numero 4206 — Secondo test, di distinzione. Superato per esclusione al blocco 4202. Si aggiunge la prova più netta: il medesimo documento è al tempo stesso disponibile e indisponibile, secondo chi lo chieda. Nessuno degli altri 10 gradi possiede tale proprietà relazionale: essi qualificano il documento, questo qualifica il rapporto fra il documento e il richiedente.</w:t>
      </w:r>
    </w:p>
    <w:p>
      <w:pPr>
        <w:spacing w:after="120" w:line="276"/>
        <w:jc w:val="both"/>
      </w:pPr>
      <w:r>
        <w:rPr>
          <w:rFonts w:ascii="Barlow Semi Condensed" w:cs="Barlow Semi Condensed" w:eastAsia="Barlow Semi Condensed" w:hAnsi="Barlow Semi Condensed"/>
          <w:b/>
          <w:bCs/>
          <w:sz w:val="24"/>
          <w:szCs w:val="24"/>
        </w:rPr>
        <w:t xml:space="preserve">Blocco mirato numero 4207 — La classe di rimediabilità. Classe seconda: rimediabile soltanto da terzi, mediante rogatoria accolta, trattato di cooperazione giudiziaria, o versamento volontario.</w:t>
      </w:r>
    </w:p>
    <w:p>
      <w:pPr>
        <w:spacing w:after="120" w:line="276"/>
        <w:jc w:val="both"/>
      </w:pPr>
      <w:r>
        <w:rPr>
          <w:rFonts w:ascii="Barlow Semi Condensed" w:cs="Barlow Semi Condensed" w:eastAsia="Barlow Semi Condensed" w:hAnsi="Barlow Semi Condensed"/>
          <w:b/>
          <w:bCs/>
          <w:sz w:val="24"/>
          <w:szCs w:val="24"/>
        </w:rPr>
        <w:t xml:space="preserve">Blocco mirato numero 4208 — Il secondo caso archivistico del volume, che è di grado diverso e va distinto. Il capitolo su Aginter Press registra che la struttura non fu mai processata nel Paese che ne custodisce l'archivio, poiché il Portogallo democratico, entrato in possesso delle carte con la rivoluzione, non ne fece uso giudiziario.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4209 — La qualificazione, e differisce dal precedente. Qui non vi è limite di giurisdizione: lo Stato che detiene le carte è il medesimo che avrebbe potuto processare. Vi è mancato esercizio dell'azione da parte di chi ne aveva titolo. Qualificazione: quinto grado, esito negativo presso i beneficiari, Livello A — ove per beneficiario si intenda lo Stato che dall'accertamento avrebbe tratto il maggiore titolo.</w:t>
      </w:r>
    </w:p>
    <w:p>
      <w:pPr>
        <w:spacing w:after="120" w:line="276"/>
        <w:jc w:val="both"/>
      </w:pPr>
      <w:r>
        <w:rPr>
          <w:rFonts w:ascii="Barlow Semi Condensed" w:cs="Barlow Semi Condensed" w:eastAsia="Barlow Semi Condensed" w:hAnsi="Barlow Semi Condensed"/>
          <w:b/>
          <w:bCs/>
          <w:sz w:val="24"/>
          <w:szCs w:val="24"/>
        </w:rPr>
        <w:t xml:space="preserve">Blocco mirato numero 4210 — Il rilievo generale che i 2 casi insieme producono. Un archivio catturato e non attivato e un archivio straniero e non attingibile producono la medesima assenza di risultato per ragioni opposte: nel primo chi poteva non volle, nel secondo chi voleva non poteva. La scala deve distinguerli, e con l'undicesimo grado li distingue.</w:t>
      </w:r>
    </w:p>
    <w:p>
      <w:pPr>
        <w:pStyle w:val="Heading2"/>
        <w:spacing w:after="100" w:before="200"/>
      </w:pPr>
      <w:r>
        <w:rPr>
          <w:rFonts w:ascii="Barlow Semi Condensed" w:cs="Barlow Semi Condensed" w:eastAsia="Barlow Semi Condensed" w:hAnsi="Barlow Semi Condensed"/>
          <w:sz w:val="24"/>
          <w:szCs w:val="24"/>
        </w:rPr>
        <w:t xml:space="preserve">III — LE QUARANTANOVE OCCORRENZE RESIDUE, E IL PROBLEMA DEL CENSIMENTO</w:t>
      </w:r>
    </w:p>
    <w:p>
      <w:pPr>
        <w:spacing w:after="120" w:line="276"/>
        <w:jc w:val="both"/>
      </w:pPr>
      <w:r>
        <w:rPr>
          <w:rFonts w:ascii="Barlow Semi Condensed" w:cs="Barlow Semi Condensed" w:eastAsia="Barlow Semi Condensed" w:hAnsi="Barlow Semi Condensed"/>
          <w:b/>
          <w:bCs/>
          <w:sz w:val="24"/>
          <w:szCs w:val="24"/>
        </w:rPr>
        <w:t xml:space="preserve">Blocco mirato numero 4301 — Il reperto, ed è il più consequenziale della riqualificazione.\\ Una parte cospicua delle 49 occorrenze residue \\non applica la categoria a un'assenza determinata: la nomina quale componente del metodo.</w:t>
      </w:r>
    </w:p>
    <w:p>
      <w:pPr>
        <w:spacing w:after="120" w:line="276"/>
        <w:jc w:val="both"/>
      </w:pPr>
      <w:r>
        <w:rPr>
          <w:rFonts w:ascii="Barlow Semi Condensed" w:cs="Barlow Semi Condensed" w:eastAsia="Barlow Semi Condensed" w:hAnsi="Barlow Semi Condensed"/>
          <w:b/>
          <w:bCs/>
          <w:sz w:val="24"/>
          <w:szCs w:val="24"/>
        </w:rPr>
        <w:t xml:space="preserve">Blocco mirato numero 4302 — Il caso esemplare, riportato testualmente. Il volume scrive che il caso capitale fu il banco di prova sul quale l'intero metodo, i Livelli, i Pattern, la Regola Ferrea, lo Stato Zero, doveva dimostrare di reggere.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4303 — La qualificazione.\\ \\Non è un'occorrenza da censire. È una menzione della categoria e non un'istanza di essa.\\ Qualificarla con grado e livello sarebbe privo di senso, poiché \\non vi è alcuna assenza a cui riferirli.</w:t>
      </w:r>
    </w:p>
    <w:p>
      <w:pPr>
        <w:spacing w:after="120" w:line="276"/>
        <w:jc w:val="both"/>
      </w:pPr>
      <w:r>
        <w:rPr>
          <w:rFonts w:ascii="Barlow Semi Condensed" w:cs="Barlow Semi Condensed" w:eastAsia="Barlow Semi Condensed" w:hAnsi="Barlow Semi Condensed"/>
          <w:b/>
          <w:bCs/>
          <w:sz w:val="24"/>
          <w:szCs w:val="24"/>
        </w:rPr>
        <w:t xml:space="preserve">Blocco mirato numero 4304 — La distinzione che ne discende, e va enunciata perché è di procedura. Le occorrenze si dividono in istanze, che applicano la categoria a un caso, e menzioni, che la nominano quale strumento dell'opera. Soltanto le istanze entrano in un censimento.</w:t>
      </w:r>
    </w:p>
    <w:p>
      <w:pPr>
        <w:spacing w:after="120" w:line="276"/>
        <w:jc w:val="both"/>
      </w:pPr>
      <w:r>
        <w:rPr>
          <w:rFonts w:ascii="Barlow Semi Condensed" w:cs="Barlow Semi Condensed" w:eastAsia="Barlow Semi Condensed" w:hAnsi="Barlow Semi Condensed"/>
          <w:b/>
          <w:bCs/>
          <w:sz w:val="24"/>
          <w:szCs w:val="24"/>
        </w:rPr>
        <w:t xml:space="preserve">Blocco mirato numero 4305 — Il costo dell'omessa distinzione, quantificato. Un censimento automatico delle 122 occorrenze produrrebbe un numero che comprende le menzioni, e dunque sovrastimerebbe gli Stati Zero dell'opera di una quota pari al numero delle menzioni. Poiché la Fase 13 è intitolata all'estrazione computazionale, il rilievo la riguarda direttamente.</w:t>
      </w:r>
    </w:p>
    <w:p>
      <w:pPr>
        <w:spacing w:after="120" w:line="276"/>
        <w:jc w:val="both"/>
      </w:pPr>
      <w:r>
        <w:rPr>
          <w:rFonts w:ascii="Barlow Semi Condensed" w:cs="Barlow Semi Condensed" w:eastAsia="Barlow Semi Condensed" w:hAnsi="Barlow Semi Condensed"/>
          <w:b/>
          <w:bCs/>
          <w:sz w:val="24"/>
          <w:szCs w:val="24"/>
        </w:rPr>
        <w:t xml:space="preserve">Blocco mirato numero 4306 — La prescrizione per l'estrazione automatica. Ogni estrazione della categoria distingua istanze da menzioni, e lo faccia verificando la presenza, nel contesto, di un soggetto determinato e di una connessione attesa. In assenza di entrambi, l'occorrenza è menzione.</w:t>
      </w:r>
    </w:p>
    <w:p>
      <w:pPr>
        <w:spacing w:after="120" w:line="276"/>
        <w:jc w:val="both"/>
      </w:pPr>
      <w:r>
        <w:rPr>
          <w:rFonts w:ascii="Barlow Semi Condensed" w:cs="Barlow Semi Condensed" w:eastAsia="Barlow Semi Condensed" w:hAnsi="Barlow Semi Condensed"/>
          <w:b/>
          <w:bCs/>
          <w:sz w:val="24"/>
          <w:szCs w:val="24"/>
        </w:rPr>
        <w:t xml:space="preserve">Blocco mirato numero 4307 — Un rilievo che va reso al volume, poiché la critica sarebbe unilaterale senza di esso. Le menzioni non sono un vizio: sono il segno che la categoria è divenuta parte del lessico dell'opera, al pari dei Livelli e dei Pattern, con i quali il volume la elenca. Il vizio nascerebbe soltanto dal contarle.</w:t>
      </w:r>
    </w:p>
    <w:p>
      <w:pPr>
        <w:spacing w:after="120" w:line="276"/>
        <w:jc w:val="both"/>
      </w:pPr>
      <w:r>
        <w:rPr>
          <w:rFonts w:ascii="Barlow Semi Condensed" w:cs="Barlow Semi Condensed" w:eastAsia="Barlow Semi Condensed" w:hAnsi="Barlow Semi Condensed"/>
          <w:b/>
          <w:bCs/>
          <w:sz w:val="24"/>
          <w:szCs w:val="24"/>
        </w:rPr>
        <w:t xml:space="preserve">Blocco mirato numero 4308 — Il bilancio della riqualificazione, in forma di stima e non di conteggio. Delle 122 occorrenze, una parte è menzione e non istanza; delle istanze, una parte cospicua è di quarto grado, e si divide fra specie esogena ed endogena; 17 sono archivistiche e si ripartiscono fra primo, terzo, quinto e il nuovo undicesimo grado; una almeno non è Stato Zero ma reperto positivo in senso figurato, come il caso Gladio del blocco 4109.</w:t>
      </w:r>
    </w:p>
    <w:p>
      <w:pPr>
        <w:spacing w:after="120" w:line="276"/>
        <w:jc w:val="both"/>
      </w:pPr>
      <w:r>
        <w:rPr>
          <w:rFonts w:ascii="Barlow Semi Condensed" w:cs="Barlow Semi Condensed" w:eastAsia="Barlow Semi Condensed" w:hAnsi="Barlow Semi Condensed"/>
          <w:b/>
          <w:bCs/>
          <w:sz w:val="24"/>
          <w:szCs w:val="24"/>
        </w:rPr>
        <w:t xml:space="preserve">Blocco mirato numero 4309 — Perché il bilancio è offerto quale stima. La qualificazione definitiva di ciascuna delle 122 occorrenze richiede la lettura del capitolo che la contiene e non del solo contesto prossimo. Il presente registro fornisce il criterio, lo applica ai casi che il riscontro ha isolato, e dichiara che le rimanenti vanno qualificate in sede di revisione del volume. Esito parziale dichiarato.</w:t>
      </w:r>
    </w:p>
    <w:p>
      <w:pPr>
        <w:spacing w:after="120" w:line="276"/>
        <w:jc w:val="both"/>
      </w:pPr>
      <w:r>
        <w:rPr>
          <w:rFonts w:ascii="Barlow Semi Condensed" w:cs="Barlow Semi Condensed" w:eastAsia="Barlow Semi Condensed" w:hAnsi="Barlow Semi Condensed"/>
          <w:b/>
          <w:bCs/>
          <w:sz w:val="24"/>
          <w:szCs w:val="24"/>
        </w:rPr>
        <w:t xml:space="preserve">Blocco mirato numero 4401 — Sintesi del dato nuovo acquisito. Il presente registro salda il debito che il Sesto aveva dichiarato ed esegue la riqualificazione delle occorrenze della categoria dello Stato Zero nell'Edizione Integrata. Esso emenda anzitutto il Sesto Registro, il cui conteggio di 98 comprendeva il solo singolare: le occorrenze sono 122, e le 24 al plurale sono precisamente quelle dei bilanci di fase, cioè la sede in cui l'indifferenziazione produce il danno maggiore, onde la regola che quando si misura l'uso di una categoria si misurino tutte le sue flessioni. Il registro versa poi 3 acquisizioni non previste da alcuna prescrizione anteriore. La prima: la sottodistinzione entro il quarto grado fra verifica esogena, condotta contro un registro che il soggetto pubblica, e verifica endogena, condotta contro l'esaurimento del corpus del ricercatore; la seconda è più debole della prima quanto a controllabilità, poiché il corpus è definito da chi lo compila, e va perciò dichiarata insieme all'estensione del corpus contro cui la verifica fu condotta. La seconda: l'undicesimo grado, limite di giurisdizione, definito quale informazione esistente, conservata e accessibile alle autorità dello Stato che la detiene, e inattingibile a un'autorità straniera per mancanza di strumento che ne imponga la produzione; esso non è proposto dall'analista ma estratto dal volume, che ne descriveva la fattispecie senza nominarla, e possiede una proprietà che nessuno degli altri 10 possiede, essendo il solo che qualifichi non il documento ma il rapporto fra il documento e il richiedente, sicché il medesimo documento è al tempo stesso disponibile e indisponibile secondo chi lo chieda; la sua classe di rimediabilità è la seconda. La terza: la distinzione fra istanze e menzioni della categoria, essendo una parte cospicua delle occorrenze residue non applicazione della categoria a un'assenza determinata ma nominazione di essa quale componente del metodo, con la conseguenza che un censimento automatico sovrastimerebbe gli Stati Zero dell'opera di una quota pari al numero delle menzioni, rilievo che riguarda direttamente la fase intitolata all'estrazione computazionale. Il registro accerta infine che almeno un caso che il volume denomina Stato Zero non lo è, trattandosi della tenuta quadridecennale di un segreto, cioè di un reperto positivo di natura sociologica cui la categoria è applicata in senso figurato. La scala emendata conta pertanto 11 gradi, e il presente registro dichiara esito parziale, la qualificazione definitiva di ciascuna occorrenza richiedendo la lettura del capitolo che la contiene e non del solo contesto prossimo.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 · Settimo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 2.206 parole in 9 sezioni; la più ampia è §9 Altre sezioni, con 1.888.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 37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XXVII — Registro Delle Undici Ricognizioni</w:t>
      </w:r>
    </w:p>
    <w:p>
      <w:pPr>
        <w:pStyle w:val="Heading1"/>
        <w:spacing w:after="120" w:before="240"/>
      </w:pPr>
      <w:r>
        <w:rPr>
          <w:rFonts w:ascii="Barlow Semi Condensed" w:cs="Barlow Semi Condensed" w:eastAsia="Barlow Semi Condensed" w:hAnsi="Barlow Semi Condensed"/>
          <w:sz w:val="24"/>
          <w:szCs w:val="24"/>
        </w:rPr>
        <w:t xml:space="preserve">REGISTRO DELLE UNDICI RICOGNIZIONI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Consolidamento della serie Moro-Santa Sede-Opus Dei-Aginter</w:t>
      </w:r>
    </w:p>
    <w:p>
      <w:pPr>
        <w:pStyle w:val="Heading2"/>
        <w:spacing w:after="100" w:before="200"/>
      </w:pPr>
      <w:r>
        <w:rPr>
          <w:rFonts w:ascii="Barlow Semi Condensed" w:cs="Barlow Semi Condensed" w:eastAsia="Barlow Semi Condensed" w:hAnsi="Barlow Semi Condensed"/>
          <w:sz w:val="24"/>
          <w:szCs w:val="24"/>
        </w:rPr>
        <w:t xml:space="preserve">Correzioni, Stati Zero graduati, tavola fusa per quattordici sedi</w:t>
      </w:r>
    </w:p>
    <w:p>
      <w:pPr>
        <w:pStyle w:val="Heading2"/>
        <w:spacing w:after="100" w:before="200"/>
      </w:pPr>
      <w:r>
        <w:rPr>
          <w:rFonts w:ascii="Barlow Semi Condensed" w:cs="Barlow Semi Condensed" w:eastAsia="Barlow Semi Condensed" w:hAnsi="Barlow Semi Condensed"/>
          <w:sz w:val="24"/>
          <w:szCs w:val="24"/>
        </w:rPr>
        <w:t xml:space="preserve">Dodici Capitoli — cinque proposizioni in appendice alla Nota Metodologica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e funzione di questo Registro</w:t>
      </w:r>
    </w:p>
    <w:p>
      <w:pPr>
        <w:spacing w:after="120" w:line="276"/>
        <w:jc w:val="both"/>
      </w:pPr>
      <w:r>
        <w:rPr>
          <w:rFonts w:ascii="Barlow Semi Condensed" w:cs="Barlow Semi Condensed" w:eastAsia="Barlow Semi Condensed" w:hAnsi="Barlow Semi Condensed"/>
          <w:b/>
          <w:bCs/>
          <w:sz w:val="24"/>
          <w:szCs w:val="24"/>
        </w:rPr>
        <w:t xml:space="preserve">Questo documento non è una dodicesima ricognizione. È il registro delle undici che lo precedono, e nasce da una constatazione operativa: undici documenti sciolti, ciascuno con la propria tavola di acquisizioni, i propri Stati Zero e le proprie correzioni di data, non costituiscono uno strumento. Costituiscono undici testi che vanno riletti uno per uno ogni volta che si voglia sapere che cosa la serie abbia stabilito.</w:t>
      </w:r>
    </w:p>
    <w:p>
      <w:pPr>
        <w:spacing w:after="120" w:line="276"/>
        <w:jc w:val="both"/>
      </w:pPr>
      <w:r>
        <w:rPr>
          <w:rFonts w:ascii="Barlow Semi Condensed" w:cs="Barlow Semi Condensed" w:eastAsia="Barlow Semi Condensed" w:hAnsi="Barlow Semi Condensed"/>
          <w:b/>
          <w:bCs/>
          <w:sz w:val="24"/>
          <w:szCs w:val="24"/>
        </w:rPr>
        <w:t xml:space="preserve">Che cosa questo Registro fa. Censisce i documenti con la loro impronta; raccoglie le correzioni di data e di fatto disperse fra gli studi e le riferisce alle voci che emendano; gradua gli Stati Zero secondo la natura dell'impedimento anziché elencarli; fonde le tavole delle acquisizioni per sede archivistica anziché per studio, che è il guadagno principale; e raccoglie in appendice le cinque proposizioni di metodo che la serie ha prodotto e che la Nota Metodologica del corpus non contiene, essendo esse posteriori.</w:t>
      </w:r>
    </w:p>
    <w:p>
      <w:pPr>
        <w:spacing w:after="120" w:line="276"/>
        <w:jc w:val="both"/>
      </w:pPr>
      <w:r>
        <w:rPr>
          <w:rFonts w:ascii="Barlow Semi Condensed" w:cs="Barlow Semi Condensed" w:eastAsia="Barlow Semi Condensed" w:hAnsi="Barlow Semi Condensed"/>
          <w:b/>
          <w:bCs/>
          <w:sz w:val="24"/>
          <w:szCs w:val="24"/>
        </w:rPr>
        <w:t xml:space="preserve">Che cosa questo Registro non fa. Non riassume gli undici studi, che restano interi e vanno letti per il merito. Non sostituisce nulla e non abroga nulla, salvo la proposizione formalmente revisionata al Capitolo settimo. Non aggiunge accertamenti nuovi.</w:t>
      </w:r>
    </w:p>
    <w:p>
      <w:pPr>
        <w:spacing w:after="120" w:line="276"/>
        <w:jc w:val="both"/>
      </w:pPr>
      <w:r>
        <w:rPr>
          <w:rFonts w:ascii="Barlow Semi Condensed" w:cs="Barlow Semi Condensed" w:eastAsia="Barlow Semi Condensed" w:hAnsi="Barlow Semi Condensed"/>
          <w:b/>
          <w:bCs/>
          <w:sz w:val="24"/>
          <w:szCs w:val="24"/>
        </w:rPr>
        <w:t xml:space="preserve">Il principio che governa il Registro, e va enunciato perché ne determina la forma. Undici tavole ordinate per studio producono una lista di quaranta voci; le medesime voci ordinate per sede archivistica producono una lista di quattordici sedi. La differenza non è redazionale: è che nella prima forma non si vede che un solo viaggio alla Farnesina chiude voci provenienti da sette studi diversi, mentre nella seconda lo si vede immediatamente.</w:t>
      </w:r>
    </w:p>
    <w:p>
      <w:pPr>
        <w:spacing w:after="120" w:line="276"/>
        <w:jc w:val="both"/>
      </w:pPr>
      <w:r>
        <w:rPr>
          <w:rFonts w:ascii="Barlow Semi Condensed" w:cs="Barlow Semi Condensed" w:eastAsia="Barlow Semi Condensed" w:hAnsi="Barlow Semi Condensed"/>
          <w:b/>
          <w:bCs/>
          <w:sz w:val="24"/>
          <w:szCs w:val="24"/>
        </w:rPr>
        <w:t xml:space="preserve">Sul perimetro complessivo della serie. Undici ricognizioni hanno percorso l'attività ministeriale di Aldo Moro verso Spagna, Portogallo, Grecia, Cipro, Turchia e Germania, e quella di Franz Josef Strauß verso due oggetti, incrociandole con la Santa Sede, con l'Opus Dei e con Aginter Press.</w:t>
      </w:r>
    </w:p>
    <w:p>
      <w:pPr>
        <w:spacing w:after="120" w:line="276"/>
        <w:jc w:val="both"/>
      </w:pPr>
      <w:r>
        <w:rPr>
          <w:rFonts w:ascii="Barlow Semi Condensed" w:cs="Barlow Semi Condensed" w:eastAsia="Barlow Semi Condensed" w:hAnsi="Barlow Semi Condensed"/>
          <w:b/>
          <w:bCs/>
          <w:sz w:val="24"/>
          <w:szCs w:val="24"/>
        </w:rPr>
        <w:t xml:space="preserve">Sui risultati, che il Capitolo dodicesimo espone e che qui si anticipano nella loro tipologia. Essi si dispongono in quattro ordini: gli Stati Zero, che sono la maggioranza e che il Capitolo terzo gradua; un solo nesso documentato, esposto al Capitolo sesto; una revisione, esposta al Capitolo settimo; e la genealogia di una connessione falsa, esposta al Capitolo ottavo.</w:t>
      </w:r>
    </w:p>
    <w:p>
      <w:pPr>
        <w:spacing w:after="120" w:line="276"/>
        <w:jc w:val="both"/>
      </w:pPr>
      <w:r>
        <w:rPr>
          <w:rFonts w:ascii="Barlow Semi Condensed" w:cs="Barlow Semi Condensed" w:eastAsia="Barlow Semi Condensed" w:hAnsi="Barlow Semi Condensed"/>
          <w:b/>
          <w:bCs/>
          <w:sz w:val="24"/>
          <w:szCs w:val="24"/>
        </w:rPr>
        <w:t xml:space="preserve">Una avvertenza sulla natura del documento. Come gli undici che lo precedono, questo Registro è estraneo al Registro Analitico e non entra nel computo dei gradi Savona. È strumento di lavoro, non fonte.</w:t>
      </w:r>
    </w:p>
    <w:p>
      <w:pPr>
        <w:pStyle w:val="Heading2"/>
        <w:spacing w:after="100" w:before="200"/>
      </w:pPr>
      <w:r>
        <w:rPr>
          <w:rFonts w:ascii="Barlow Semi Condensed" w:cs="Barlow Semi Condensed" w:eastAsia="Barlow Semi Condensed" w:hAnsi="Barlow Semi Condensed"/>
          <w:sz w:val="24"/>
          <w:szCs w:val="24"/>
        </w:rPr>
        <w:t xml:space="preserve">Capitolo secondo — Censimento dei documenti e delle impronte</w:t>
      </w:r>
    </w:p>
    <w:p>
      <w:pPr>
        <w:spacing w:after="120" w:line="276"/>
        <w:jc w:val="both"/>
      </w:pPr>
      <w:r>
        <w:rPr>
          <w:rFonts w:ascii="Barlow Semi Condensed" w:cs="Barlow Semi Condensed" w:eastAsia="Barlow Semi Condensed" w:hAnsi="Barlow Semi Condensed"/>
          <w:b/>
          <w:bCs/>
          <w:sz w:val="24"/>
          <w:szCs w:val="24"/>
        </w:rPr>
        <w:t xml:space="preserve">Il capitolo elenca i documenti prodotti dalla serie con la loro impronta crittografica, perché ciascuno sia identificabile e verificabile.</w:t>
      </w:r>
    </w:p>
    <w:p>
      <w:pPr>
        <w:spacing w:after="120" w:line="276"/>
        <w:jc w:val="both"/>
      </w:pPr>
      <w:r>
        <w:rPr>
          <w:rFonts w:ascii="Barlow Semi Condensed" w:cs="Barlow Semi Condensed" w:eastAsia="Barlow Semi Condensed" w:hAnsi="Barlow Semi Condensed"/>
          <w:b/>
          <w:bCs/>
          <w:sz w:val="24"/>
          <w:szCs w:val="24"/>
        </w:rPr>
        <w:t xml:space="preserve">Prima ricognizione — Moro, la Spagna e la Santa Sede. File 'MORO\_FARNESINA\_SPAGNA\_SANTA\_SEDE.docx', impronta 'faa51a5231d3dbfb6498ba7f00e9b108cb430328323ffd99bc15c38d108c32d2'. Perimetro: mandato ministeriale, Spagna franchista, Santa Sede. Sette Stati Zero, sei acquisizioni.</w:t>
      </w:r>
    </w:p>
    <w:p>
      <w:pPr>
        <w:spacing w:after="120" w:line="276"/>
        <w:jc w:val="both"/>
      </w:pPr>
      <w:r>
        <w:rPr>
          <w:rFonts w:ascii="Barlow Semi Condensed" w:cs="Barlow Semi Condensed" w:eastAsia="Barlow Semi Condensed" w:hAnsi="Barlow Semi Condensed"/>
          <w:b/>
          <w:bCs/>
          <w:sz w:val="24"/>
          <w:szCs w:val="24"/>
        </w:rPr>
        <w:t xml:space="preserve">Seconda ricognizione — Moro, la Spagna e l'Opus Dei. File 'MORO\_FARNESINA\_OPUS\_DEI.docx', impronta '3de2befb099d1d05fcf16a76f2c28d39f87fc79cd1048c50aac6919bc48a713c'. Contiene l'accertamento sul documento della Central Intelligence Agency del 22 maggio 1970, protocollo CIA-RDP85T00875R001500020027-1.</w:t>
      </w:r>
    </w:p>
    <w:p>
      <w:pPr>
        <w:spacing w:after="120" w:line="276"/>
        <w:jc w:val="both"/>
      </w:pPr>
      <w:r>
        <w:rPr>
          <w:rFonts w:ascii="Barlow Semi Condensed" w:cs="Barlow Semi Condensed" w:eastAsia="Barlow Semi Condensed" w:hAnsi="Barlow Semi Condensed"/>
          <w:b/>
          <w:bCs/>
          <w:sz w:val="24"/>
          <w:szCs w:val="24"/>
        </w:rPr>
        <w:t xml:space="preserve">Terza ricognizione — Moro, il Portogallo e la Santa Sede, prima passata. File 'MORO\_FARNESINA\_PORTOGALLO\_SANTA\_SEDE.docx', impronta 'fe3dcd27299208eb37478a85716e85c608a99296368d5513fb1b0166636fa91f'. Quattro nodi documentati, cinque triangolazioni.</w:t>
      </w:r>
    </w:p>
    <w:p>
      <w:pPr>
        <w:spacing w:after="120" w:line="276"/>
        <w:jc w:val="both"/>
      </w:pPr>
      <w:r>
        <w:rPr>
          <w:rFonts w:ascii="Barlow Semi Condensed" w:cs="Barlow Semi Condensed" w:eastAsia="Barlow Semi Condensed" w:hAnsi="Barlow Semi Condensed"/>
          <w:b/>
          <w:bCs/>
          <w:sz w:val="24"/>
          <w:szCs w:val="24"/>
        </w:rPr>
        <w:t xml:space="preserve">Quarta ricognizione — Portogallo e Santa Sede, seconda passata.\\ Condotta con ricerca estesa sulle sei lacune dichiarate dalla terza; i suoi esiti sono confluiti nella quinta e \\non esiste come documento autonomo.</w:t>
      </w:r>
    </w:p>
    <w:p>
      <w:pPr>
        <w:spacing w:after="120" w:line="276"/>
        <w:jc w:val="both"/>
      </w:pPr>
      <w:r>
        <w:rPr>
          <w:rFonts w:ascii="Barlow Semi Condensed" w:cs="Barlow Semi Condensed" w:eastAsia="Barlow Semi Condensed" w:hAnsi="Barlow Semi Condensed"/>
          <w:b/>
          <w:bCs/>
          <w:sz w:val="24"/>
          <w:szCs w:val="24"/>
        </w:rPr>
        <w:t xml:space="preserve">Quinta ricognizione — Portogallo e Santa Sede, consolidata. File 'MORO\_PORTOGALLO\_QUINTA\_RICOGNIZIONE.docx', impronta 'd07c4c0f2dbbc934540c0987504a7fef1aba0923524f0c955779f11445bfca6e'. Contiene i nove nomi degli espulsi e il diario Peano.</w:t>
      </w:r>
    </w:p>
    <w:p>
      <w:pPr>
        <w:spacing w:after="120" w:line="276"/>
        <w:jc w:val="both"/>
      </w:pPr>
      <w:r>
        <w:rPr>
          <w:rFonts w:ascii="Barlow Semi Condensed" w:cs="Barlow Semi Condensed" w:eastAsia="Barlow Semi Condensed" w:hAnsi="Barlow Semi Condensed"/>
          <w:b/>
          <w:bCs/>
          <w:sz w:val="24"/>
          <w:szCs w:val="24"/>
        </w:rPr>
        <w:t xml:space="preserve">Sesta ricognizione — Portogallo e Opus Dei. File 'MORO\_PORTOGALLO\_OPUS\_DEI.docx', impronta '7407cf30354d812eca76e7eda3036f194ef00199dfa2ac8272ffd7d49cea21cf'. Contiene il ribaltamento iberico.</w:t>
      </w:r>
    </w:p>
    <w:p>
      <w:pPr>
        <w:spacing w:after="120" w:line="276"/>
        <w:jc w:val="both"/>
      </w:pPr>
      <w:r>
        <w:rPr>
          <w:rFonts w:ascii="Barlow Semi Condensed" w:cs="Barlow Semi Condensed" w:eastAsia="Barlow Semi Condensed" w:hAnsi="Barlow Semi Condensed"/>
          <w:b/>
          <w:bCs/>
          <w:sz w:val="24"/>
          <w:szCs w:val="24"/>
        </w:rPr>
        <w:t xml:space="preserve">Settima ricognizione — Turchia e Santa Sede. File 'MORO\_TURCHIA\_SANTA\_SEDE.docx', impronta '3f7331f4f961bf7e910f0a533d97465acf7bd96b46a52c9e2debcd624bde8f15'. Contiene l'attentato del 13 maggio 1981 e la qualificazione della pista bulgara.</w:t>
      </w:r>
    </w:p>
    <w:p>
      <w:pPr>
        <w:spacing w:after="120" w:line="276"/>
        <w:jc w:val="both"/>
      </w:pPr>
      <w:r>
        <w:rPr>
          <w:rFonts w:ascii="Barlow Semi Condensed" w:cs="Barlow Semi Condensed" w:eastAsia="Barlow Semi Condensed" w:hAnsi="Barlow Semi Condensed"/>
          <w:b/>
          <w:bCs/>
          <w:sz w:val="24"/>
          <w:szCs w:val="24"/>
        </w:rPr>
        <w:t xml:space="preserve">Ottava ricognizione — il Mediterraneo orientale consolidato. File 'MORO\_MEDITERRANEO\_ORIENTALE\_OPUS\_DEI.docx', impronta '5455daedd39cfe6458f16bb210ce87ed5da941597725668292c17ebd704f027f'. Consolida Grecia, Cipro e Turchia; formula la proposizione poi revisionata.</w:t>
      </w:r>
    </w:p>
    <w:p>
      <w:pPr>
        <w:spacing w:after="120" w:line="276"/>
        <w:jc w:val="both"/>
      </w:pPr>
      <w:r>
        <w:rPr>
          <w:rFonts w:ascii="Barlow Semi Condensed" w:cs="Barlow Semi Condensed" w:eastAsia="Barlow Semi Condensed" w:hAnsi="Barlow Semi Condensed"/>
          <w:b/>
          <w:bCs/>
          <w:sz w:val="24"/>
          <w:szCs w:val="24"/>
        </w:rPr>
        <w:t xml:space="preserve">Nona ricognizione — le due Germanie e la Santa Sede.\\ File 'MORO\_GERMANIE\_SANTA\_SEDE.docx', impronta 'b44b1928a2cf665691361880c100292f9e4f22aed48f9f284a64afe0c6ee6c0d'. \\Contiene il solo nesso documentato della serie.</w:t>
      </w:r>
    </w:p>
    <w:p>
      <w:pPr>
        <w:spacing w:after="120" w:line="276"/>
        <w:jc w:val="both"/>
      </w:pPr>
      <w:r>
        <w:rPr>
          <w:rFonts w:ascii="Barlow Semi Condensed" w:cs="Barlow Semi Condensed" w:eastAsia="Barlow Semi Condensed" w:hAnsi="Barlow Semi Condensed"/>
          <w:b/>
          <w:bCs/>
          <w:sz w:val="24"/>
          <w:szCs w:val="24"/>
        </w:rPr>
        <w:t xml:space="preserve">Decima ricognizione — Germania e Opus Dei, atto di revisione.\\ File 'MORO\_GERMANIA\_OPUS\_DEI\_REVISIONE.docx', impronta 'f666dd7c5a1d5aecaa888b40a903615bf3fa50ead5f92204ecba0d9a356b2938'. \\Revisiona la proposizione dell'ottava.</w:t>
      </w:r>
    </w:p>
    <w:p>
      <w:pPr>
        <w:spacing w:after="120" w:line="276"/>
        <w:jc w:val="both"/>
      </w:pPr>
      <w:r>
        <w:rPr>
          <w:rFonts w:ascii="Barlow Semi Condensed" w:cs="Barlow Semi Condensed" w:eastAsia="Barlow Semi Condensed" w:hAnsi="Barlow Semi Condensed"/>
          <w:b/>
          <w:bCs/>
          <w:sz w:val="24"/>
          <w:szCs w:val="24"/>
        </w:rPr>
        <w:t xml:space="preserve">Undicesima ricognizione — Strauß e Aginter Press. File 'STRAUSS\_AGINTER\_ANATOMIA.docx', impronta 'e16391f2c57a599777b2839ec7dbc5ccdc0052e427c87250b7ef88779b189bb8'. Contiene la genealogia della connessione falsa.</w:t>
      </w:r>
    </w:p>
    <w:p>
      <w:pPr>
        <w:spacing w:after="120" w:line="276"/>
        <w:jc w:val="both"/>
      </w:pPr>
      <w:r>
        <w:rPr>
          <w:rFonts w:ascii="Barlow Semi Condensed" w:cs="Barlow Semi Condensed" w:eastAsia="Barlow Semi Condensed" w:hAnsi="Barlow Semi Condensed"/>
          <w:b/>
          <w:bCs/>
          <w:sz w:val="24"/>
          <w:szCs w:val="24"/>
        </w:rPr>
        <w:t xml:space="preserve">Totale: dieci documenti, dieci impronte, undici ricognizioni. La quarta esiste come ricerca e non come documento, e la sua omissione va registrata perché è l'unica discontinuità della numerazione.</w:t>
      </w:r>
    </w:p>
    <w:p>
      <w:pPr>
        <w:pStyle w:val="Heading2"/>
        <w:spacing w:after="100" w:before="200"/>
      </w:pPr>
      <w:r>
        <w:rPr>
          <w:rFonts w:ascii="Barlow Semi Condensed" w:cs="Barlow Semi Condensed" w:eastAsia="Barlow Semi Condensed" w:hAnsi="Barlow Semi Condensed"/>
          <w:sz w:val="24"/>
          <w:szCs w:val="24"/>
        </w:rPr>
        <w:t xml:space="preserve">Capitolo terzo — Gli Stati Zero graduati per natura dell'impedimento</w:t>
      </w:r>
    </w:p>
    <w:p>
      <w:pPr>
        <w:spacing w:after="120" w:line="276"/>
        <w:jc w:val="both"/>
      </w:pPr>
      <w:r>
        <w:rPr>
          <w:rFonts w:ascii="Barlow Semi Condensed" w:cs="Barlow Semi Condensed" w:eastAsia="Barlow Semi Condensed" w:hAnsi="Barlow Semi Condensed"/>
          <w:b/>
          <w:bCs/>
          <w:sz w:val="24"/>
          <w:szCs w:val="24"/>
        </w:rPr>
        <w:t xml:space="preserve">Il capitolo compie l'operazione che gli undici studi non potevano compiere, avendo ciascuno un solo perimetro: graduare gli Stati Zero secondo la natura dell'impedimento anziché elencarli. La graduazione ha conseguenza operativa diretta, poiché ciascun grado richiede un'azione diversa e alcuni non ne ammettono alcuna.</w:t>
      </w:r>
    </w:p>
    <w:p>
      <w:pPr>
        <w:spacing w:after="120" w:line="276"/>
        <w:jc w:val="both"/>
      </w:pPr>
      <w:r>
        <w:rPr>
          <w:rFonts w:ascii="Barlow Semi Condensed" w:cs="Barlow Semi Condensed" w:eastAsia="Barlow Semi Condensed" w:hAnsi="Barlow Semi Condensed"/>
          <w:b/>
          <w:bCs/>
          <w:sz w:val="24"/>
          <w:szCs w:val="24"/>
        </w:rPr>
        <w:t xml:space="preserve">Primo grado — impossibilità istituzionale. L'impedimento non dipende da difetto di ricerca né da limite di strumento: la documentazione non è accessibile a chiunque, per disposizione dell'istituzione che la detiene. Vi appartengono: l'intera documentazione vaticana posteriore all'ottobre 1958, essendo l'Archivio Apostolico Vaticano consultabile soltanto fino alla morte di Pio XII, con i pontificati di Giovanni XXIII, Paolo VI e Giovanni Paolo II non aperti; e la documentazione roncalliana del quinquennio 1940-1945, non pienamente consultabile.</w:t>
      </w:r>
    </w:p>
    <w:p>
      <w:pPr>
        <w:spacing w:after="120" w:line="276"/>
        <w:jc w:val="both"/>
      </w:pPr>
      <w:r>
        <w:rPr>
          <w:rFonts w:ascii="Barlow Semi Condensed" w:cs="Barlow Semi Condensed" w:eastAsia="Barlow Semi Condensed" w:hAnsi="Barlow Semi Condensed"/>
          <w:b/>
          <w:bCs/>
          <w:sz w:val="24"/>
          <w:szCs w:val="24"/>
        </w:rPr>
        <w:t xml:space="preserve">Conseguenza operativa: nessuna. Questi Stati Zero non si chiudono con un viaggio né con una richiesta; si chiudono quando l'istituzione decide di aprire.</w:t>
      </w:r>
    </w:p>
    <w:p>
      <w:pPr>
        <w:spacing w:after="120" w:line="276"/>
        <w:jc w:val="both"/>
      </w:pPr>
      <w:r>
        <w:rPr>
          <w:rFonts w:ascii="Barlow Semi Condensed" w:cs="Barlow Semi Condensed" w:eastAsia="Barlow Semi Condensed" w:hAnsi="Barlow Semi Condensed"/>
          <w:b/>
          <w:bCs/>
          <w:sz w:val="24"/>
          <w:szCs w:val="24"/>
        </w:rPr>
        <w:t xml:space="preserve">Secondo grado — limite di strumento. Il documento esiste ed è in principio accessibile, ma non è interrogabile. Vi appartengono: la quinta e la sesta legislatura italiana, poiché la banca dati del sindacato ispettivo copre soltanto dal 5 luglio 1976 e gli atti anteriori esistono come resoconti stenografici non indicizzati per soggetto; e i Telegrammi 1942-1970 dell'Archivio Storico Diplomatico, temporaneamente esclusi per lavori.</w:t>
      </w:r>
    </w:p>
    <w:p>
      <w:pPr>
        <w:spacing w:after="120" w:line="276"/>
        <w:jc w:val="both"/>
      </w:pPr>
      <w:r>
        <w:rPr>
          <w:rFonts w:ascii="Barlow Semi Condensed" w:cs="Barlow Semi Condensed" w:eastAsia="Barlow Semi Condensed" w:hAnsi="Barlow Semi Condensed"/>
          <w:b/>
          <w:bCs/>
          <w:sz w:val="24"/>
          <w:szCs w:val="24"/>
        </w:rPr>
        <w:t xml:space="preserve">Conseguenza operativa: spoglio manuale per il primo caso, attesa della riapertura per il secondo. E una prescrizione: un esito negativo ottenuto su questi fondi per via telematica non ha valore probatorio, perché si è cercato dove la ricerca non è possibile.</w:t>
      </w:r>
    </w:p>
    <w:p>
      <w:pPr>
        <w:spacing w:after="120" w:line="276"/>
        <w:jc w:val="both"/>
      </w:pPr>
      <w:r>
        <w:rPr>
          <w:rFonts w:ascii="Barlow Semi Condensed" w:cs="Barlow Semi Condensed" w:eastAsia="Barlow Semi Condensed" w:hAnsi="Barlow Semi Condensed"/>
          <w:b/>
          <w:bCs/>
          <w:sz w:val="24"/>
          <w:szCs w:val="24"/>
        </w:rPr>
        <w:t xml:space="preserve">Terzo grado — deposito inesplorato. Il fondo è accessibile e la ricerca è possibile, ma nessuno l'ha condotta. Vi appartiene per eccellenza il fondo della polizia politica portoghese alla Torre do Tombo, del quale il capo divisione ha dichiarato il 23 aprile 2019 che metà della documentazione nei depositi non è mai stata consultata, pur essendo già numerata.</w:t>
      </w:r>
    </w:p>
    <w:p>
      <w:pPr>
        <w:spacing w:after="120" w:line="276"/>
        <w:jc w:val="both"/>
      </w:pPr>
      <w:r>
        <w:rPr>
          <w:rFonts w:ascii="Barlow Semi Condensed" w:cs="Barlow Semi Condensed" w:eastAsia="Barlow Semi Condensed" w:hAnsi="Barlow Semi Condensed"/>
          <w:b/>
          <w:bCs/>
          <w:sz w:val="24"/>
          <w:szCs w:val="24"/>
        </w:rPr>
        <w:t xml:space="preserve">Conseguenza operativa: il viaggio è possibile e produttivo. E una prescrizione: un esito negativo su un fondo di terzo grado ottenuto per via di catalogo vale poco, perché si è cercato in un indice e non nei depositi.</w:t>
      </w:r>
    </w:p>
    <w:p>
      <w:pPr>
        <w:spacing w:after="120" w:line="276"/>
        <w:jc w:val="both"/>
      </w:pPr>
      <w:r>
        <w:rPr>
          <w:rFonts w:ascii="Barlow Semi Condensed" w:cs="Barlow Semi Condensed" w:eastAsia="Barlow Semi Condensed" w:hAnsi="Barlow Semi Condensed"/>
          <w:b/>
          <w:bCs/>
          <w:sz w:val="24"/>
          <w:szCs w:val="24"/>
        </w:rPr>
        <w:t xml:space="preserve">Quarto grado — insieme vuoto verificato. L'assenza è accertata contro il registro ufficiale del soggetto medesimo. Vi appartiene l'assenza dell'Opus Dei da Grecia, Cipro e Turchia, verificata sull'elenco ufficiale delle date di inizio del lavoro stabile nei sessantotto Paesi e sull'elenco delle circoscrizioni regionali.</w:t>
      </w:r>
    </w:p>
    <w:p>
      <w:pPr>
        <w:spacing w:after="120" w:line="276"/>
        <w:jc w:val="both"/>
      </w:pPr>
      <w:r>
        <w:rPr>
          <w:rFonts w:ascii="Barlow Semi Condensed" w:cs="Barlow Semi Condensed" w:eastAsia="Barlow Semi Condensed" w:hAnsi="Barlow Semi Condensed"/>
          <w:b/>
          <w:bCs/>
          <w:sz w:val="24"/>
          <w:szCs w:val="24"/>
        </w:rPr>
        <w:t xml:space="preserve">Conseguenza operativa: nessuna, e per ragione opposta al primo grado. Non c'è nulla da cercare perché non c'è nulla. Questo è il grado che l'ottava ricognizione ha distinto per prima, e la distinzione fra lacuna e insieme vuoto è la seconda proposizione della serie.</w:t>
      </w:r>
    </w:p>
    <w:p>
      <w:pPr>
        <w:spacing w:after="120" w:line="276"/>
        <w:jc w:val="both"/>
      </w:pPr>
      <w:r>
        <w:rPr>
          <w:rFonts w:ascii="Barlow Semi Condensed" w:cs="Barlow Semi Condensed" w:eastAsia="Barlow Semi Condensed" w:hAnsi="Barlow Semi Condensed"/>
          <w:b/>
          <w:bCs/>
          <w:sz w:val="24"/>
          <w:szCs w:val="24"/>
        </w:rPr>
        <w:t xml:space="preserve">Quinto grado — esito negativo presso i beneficiari. L'atto non è reperito e coloro che ne avrebbero beneficiato non ne fanno menzione. Vi appartiene l'assenza di intervento italiano sull'espulsione del 13 aprile 1974: nessuno dei nove comboniani italiani espulsi menziona un intervento consolare o diplomatico, attribuendo la propria accoglienza esclusivamente alla congregazione.</w:t>
      </w:r>
    </w:p>
    <w:p>
      <w:pPr>
        <w:spacing w:after="120" w:line="276"/>
        <w:jc w:val="both"/>
      </w:pPr>
      <w:r>
        <w:rPr>
          <w:rFonts w:ascii="Barlow Semi Condensed" w:cs="Barlow Semi Condensed" w:eastAsia="Barlow Semi Condensed" w:hAnsi="Barlow Semi Condensed"/>
          <w:b/>
          <w:bCs/>
          <w:sz w:val="24"/>
          <w:szCs w:val="24"/>
        </w:rPr>
        <w:t xml:space="preserve">È grado superiore al semplice non reperimento, e va segnalato come tale; ma non prova l'inazione, restando aperta la possibilità di un intervento riservato ignoto agli interessati.</w:t>
      </w:r>
    </w:p>
    <w:p>
      <w:pPr>
        <w:spacing w:after="120" w:line="276"/>
        <w:jc w:val="both"/>
      </w:pPr>
      <w:r>
        <w:rPr>
          <w:rFonts w:ascii="Barlow Semi Condensed" w:cs="Barlow Semi Condensed" w:eastAsia="Barlow Semi Condensed" w:hAnsi="Barlow Semi Condensed"/>
          <w:b/>
          <w:bCs/>
          <w:sz w:val="24"/>
          <w:szCs w:val="24"/>
        </w:rPr>
        <w:t xml:space="preserve">Sesto grado — assenza coerente con la collocazione. L'atto non è reperito e la sua assenza è coerente con quanto si sa del soggetto. Vi appartiene lo Stato Zero Moro-Opus Dei, confermato tre volte, la cui coerenza deriva dalla collocazione morotea nella FUCI, nel Movimento dei Laureati Cattolici, in \Studium\ e nella componente dossettiana.</w:t>
      </w:r>
    </w:p>
    <w:p>
      <w:pPr>
        <w:spacing w:after="120" w:line="276"/>
        <w:jc w:val="both"/>
      </w:pPr>
      <w:r>
        <w:rPr>
          <w:rFonts w:ascii="Barlow Semi Condensed" w:cs="Barlow Semi Condensed" w:eastAsia="Barlow Semi Condensed" w:hAnsi="Barlow Semi Condensed"/>
          <w:b/>
          <w:bCs/>
          <w:sz w:val="24"/>
          <w:szCs w:val="24"/>
        </w:rPr>
        <w:t xml:space="preserve">La coerenza rende l'assenza attesa; non la rende provata. La distinzione va mantenuta.</w:t>
      </w:r>
    </w:p>
    <w:p>
      <w:pPr>
        <w:spacing w:after="120" w:line="276"/>
        <w:jc w:val="both"/>
      </w:pPr>
      <w:r>
        <w:rPr>
          <w:rFonts w:ascii="Barlow Semi Condensed" w:cs="Barlow Semi Condensed" w:eastAsia="Barlow Semi Condensed" w:hAnsi="Barlow Semi Condensed"/>
          <w:b/>
          <w:bCs/>
          <w:sz w:val="24"/>
          <w:szCs w:val="24"/>
        </w:rPr>
        <w:t xml:space="preserve">Settimo grado — allegazione senza base documentale. Non è propriamente uno Stato Zero ma il suo rovescio: un'affermazione positiva priva di sostegno. Vi appartiene l'allegazione Koch e Schröm del 16 febbraio 2000 sui contatti fra Aginter Press e Marcel Hepp, e in modo estremo il nome Dieter Huber, del quale non esiste alcun riscontro biografico, archivistico, parlamentare o giudiziario.</w:t>
      </w:r>
    </w:p>
    <w:p>
      <w:pPr>
        <w:spacing w:after="120" w:line="276"/>
        <w:jc w:val="both"/>
      </w:pPr>
      <w:r>
        <w:rPr>
          <w:rFonts w:ascii="Barlow Semi Condensed" w:cs="Barlow Semi Condensed" w:eastAsia="Barlow Semi Condensed" w:hAnsi="Barlow Semi Condensed"/>
          <w:b/>
          <w:bCs/>
          <w:sz w:val="24"/>
          <w:szCs w:val="24"/>
        </w:rPr>
        <w:t xml:space="preserve">Conseguenza operativa: l'onere grava su chi afferma.</w:t>
      </w:r>
    </w:p>
    <w:p>
      <w:pPr>
        <w:pStyle w:val="Heading2"/>
        <w:spacing w:after="100" w:before="200"/>
      </w:pPr>
      <w:r>
        <w:rPr>
          <w:rFonts w:ascii="Barlow Semi Condensed" w:cs="Barlow Semi Condensed" w:eastAsia="Barlow Semi Condensed" w:hAnsi="Barlow Semi Condensed"/>
          <w:sz w:val="24"/>
          <w:szCs w:val="24"/>
        </w:rPr>
        <w:t xml:space="preserve">Capitolo quarto — Le correzioni di data e di fatto</w:t>
      </w:r>
    </w:p>
    <w:p>
      <w:pPr>
        <w:spacing w:after="120" w:line="276"/>
        <w:jc w:val="both"/>
      </w:pPr>
      <w:r>
        <w:rPr>
          <w:rFonts w:ascii="Barlow Semi Condensed" w:cs="Barlow Semi Condensed" w:eastAsia="Barlow Semi Condensed" w:hAnsi="Barlow Semi Condensed"/>
          <w:b/>
          <w:bCs/>
          <w:sz w:val="24"/>
          <w:szCs w:val="24"/>
        </w:rPr>
        <w:t xml:space="preserve">Il capitolo raccoglie le emendazioni prodotte dalla serie e le riferisce alle voci che correggono, perché esse esistono disperse in nove studi diversi e nessuno le ha finora viste insieme.</w:t>
      </w:r>
    </w:p>
    <w:p>
      <w:pPr>
        <w:spacing w:after="120" w:line="276"/>
        <w:jc w:val="both"/>
      </w:pPr>
      <w:r>
        <w:rPr>
          <w:rFonts w:ascii="Barlow Semi Condensed" w:cs="Barlow Semi Condensed" w:eastAsia="Barlow Semi Condensed" w:hAnsi="Barlow Semi Condensed"/>
          <w:b/>
          <w:bCs/>
          <w:sz w:val="24"/>
          <w:szCs w:val="24"/>
        </w:rPr>
        <w:t xml:space="preserve">Correzioni che emendano il corpus preesistente.</w:t>
      </w:r>
    </w:p>
    <w:p>
      <w:pPr>
        <w:spacing w:after="120" w:line="276"/>
        <w:jc w:val="both"/>
      </w:pPr>
      <w:r>
        <w:rPr>
          <w:rFonts w:ascii="Barlow Semi Condensed" w:cs="Barlow Semi Condensed" w:eastAsia="Barlow Semi Condensed" w:hAnsi="Barlow Semi Condensed"/>
          <w:b/>
          <w:bCs/>
          <w:sz w:val="24"/>
          <w:szCs w:val="24"/>
        </w:rPr>
        <w:t xml:space="preserve">Willy Peter Stoll morì il 6 settembre 1978, non l'11 settembre. Nato a Stoccarda il 12 giugno 1950, fu ucciso dalla polizia la sera del 6 settembre 1978 nel ristorante cinese Shanghai di Düsseldorf. Emenda la quindicesima voce della tavola del memorandum operativo sul caso Moro.</w:t>
      </w:r>
    </w:p>
    <w:p>
      <w:pPr>
        <w:spacing w:after="120" w:line="276"/>
        <w:jc w:val="both"/>
      </w:pPr>
      <w:r>
        <w:rPr>
          <w:rFonts w:ascii="Barlow Semi Condensed" w:cs="Barlow Semi Condensed" w:eastAsia="Barlow Semi Condensed" w:hAnsi="Barlow Semi Condensed"/>
          <w:b/>
          <w:bCs/>
          <w:sz w:val="24"/>
          <w:szCs w:val="24"/>
        </w:rPr>
        <w:t xml:space="preserve">Il riconoscimento italiano della Repubblica Democratica Tedesca è del 17 gennaio 1973, seduta della sesta legislatura, con ministro degli Esteri Giuseppe Medici nel governo Andreotti. Cadde fra i due mandati di Moro e non durante un suo mandato.</w:t>
      </w:r>
    </w:p>
    <w:p>
      <w:pPr>
        <w:spacing w:after="120" w:line="276"/>
        <w:jc w:val="both"/>
      </w:pPr>
      <w:r>
        <w:rPr>
          <w:rFonts w:ascii="Barlow Semi Condensed" w:cs="Barlow Semi Condensed" w:eastAsia="Barlow Semi Condensed" w:hAnsi="Barlow Semi Condensed"/>
          <w:b/>
          <w:bCs/>
          <w:sz w:val="24"/>
          <w:szCs w:val="24"/>
        </w:rPr>
        <w:t xml:space="preserve">Non esiste alcuna lettera tedesca sull'unità nazionale allegata all'Atto finale di Helsinki. Il \Brief zur deutschen Einheit\ fu allegato al Trattato di Mosca del 1970 e al Trattato fondamentale del 1972; a Helsinki la funzione fu assolta dalla clausola di modificabilità pacifica delle frontiere. L'ipotesi era stata formulata con clausola condizionale ed è caduta.</w:t>
      </w:r>
    </w:p>
    <w:p>
      <w:pPr>
        <w:spacing w:after="120" w:line="276"/>
        <w:jc w:val="both"/>
      </w:pPr>
      <w:r>
        <w:rPr>
          <w:rFonts w:ascii="Barlow Semi Condensed" w:cs="Barlow Semi Condensed" w:eastAsia="Barlow Semi Condensed" w:hAnsi="Barlow Semi Condensed"/>
          <w:b/>
          <w:bCs/>
          <w:sz w:val="24"/>
          <w:szCs w:val="24"/>
        </w:rPr>
        <w:t xml:space="preserve">Il mandato ministeriale di Moro iniziò il 5 agosto 1969\\ con il governo Rumor secondo, \\non nel maggio 1969.</w:t>
      </w:r>
    </w:p>
    <w:p>
      <w:pPr>
        <w:spacing w:after="120" w:line="276"/>
        <w:jc w:val="both"/>
      </w:pPr>
      <w:r>
        <w:rPr>
          <w:rFonts w:ascii="Barlow Semi Condensed" w:cs="Barlow Semi Condensed" w:eastAsia="Barlow Semi Condensed" w:hAnsi="Barlow Semi Condensed"/>
          <w:b/>
          <w:bCs/>
          <w:sz w:val="24"/>
          <w:szCs w:val="24"/>
        </w:rPr>
        <w:t xml:space="preserve">L'atto pontificio del 28 giugno 1972 consta di due costituzioni apostoliche e non di una bolla: \Episcoporum Poloniae coetus\ e \Vratislaviensis-Berolinensis et aliarum\.</w:t>
      </w:r>
    </w:p>
    <w:p>
      <w:pPr>
        <w:spacing w:after="120" w:line="276"/>
        <w:jc w:val="both"/>
      </w:pPr>
      <w:r>
        <w:rPr>
          <w:rFonts w:ascii="Barlow Semi Condensed" w:cs="Barlow Semi Condensed" w:eastAsia="Barlow Semi Condensed" w:hAnsi="Barlow Semi Condensed"/>
          <w:b/>
          <w:bCs/>
          <w:sz w:val="24"/>
          <w:szCs w:val="24"/>
        </w:rPr>
        <w:t xml:space="preserve">La commissione d'inchiesta del Landtag bavarese del 1982 riguardò l'affare Langemann e non l'attentato dell'Oktoberfest, che è del 26 settembre 1980 e le cui indagini furono riaperte nel 2014 e chiuse nel 2020.</w:t>
      </w:r>
    </w:p>
    <w:p>
      <w:pPr>
        <w:spacing w:after="120" w:line="276"/>
        <w:jc w:val="both"/>
      </w:pPr>
      <w:r>
        <w:rPr>
          <w:rFonts w:ascii="Barlow Semi Condensed" w:cs="Barlow Semi Condensed" w:eastAsia="Barlow Semi Condensed" w:hAnsi="Barlow Semi Condensed"/>
          <w:b/>
          <w:bCs/>
          <w:sz w:val="24"/>
          <w:szCs w:val="24"/>
        </w:rPr>
        <w:t xml:space="preserve">Nel modello dell'Opus Dei, il primo caso falsificante è la Gran Bretagna 1946 e non la Germania 1952.\\ La Germania è il caso \\più probante\\ perché il milieu vi è più documentato; \\non il più antico.</w:t>
      </w:r>
    </w:p>
    <w:p>
      <w:pPr>
        <w:spacing w:after="120" w:line="276"/>
        <w:jc w:val="both"/>
      </w:pPr>
      <w:r>
        <w:rPr>
          <w:rFonts w:ascii="Barlow Semi Condensed" w:cs="Barlow Semi Condensed" w:eastAsia="Barlow Semi Condensed" w:hAnsi="Barlow Semi Condensed"/>
          <w:b/>
          <w:bCs/>
          <w:sz w:val="24"/>
          <w:szCs w:val="24"/>
        </w:rPr>
        <w:t xml:space="preserve">Divergenze mantenute, che non sono correzioni ma segnalazioni.</w:t>
      </w:r>
    </w:p>
    <w:p>
      <w:pPr>
        <w:spacing w:after="120" w:line="276"/>
        <w:jc w:val="both"/>
      </w:pPr>
      <w:r>
        <w:rPr>
          <w:rFonts w:ascii="Barlow Semi Condensed" w:cs="Barlow Semi Condensed" w:eastAsia="Barlow Semi Condensed" w:hAnsi="Barlow Semi Condensed"/>
          <w:b/>
          <w:bCs/>
          <w:sz w:val="24"/>
          <w:szCs w:val="24"/>
        </w:rPr>
        <w:t xml:space="preserve">Sull'elevazione di Makarios ad arcivescovo: 18 ottobre, 20 ottobre o 18 settembre 1950. Sulla morte di Atenagora I: 6 o 7 luglio 1972. Sulla nomina di Roncalli a delegato apostolico: 24 novembre 1934, genericamente 1934, o gennaio 1935. Sull'introduzione del turco nella liturgia da parte di Roncalli: 1935, gennaio 1936 o 1938. Sulla sentenza tedesca sul Concordato: 26 o 23 marzo 1957, procedimento 2 BvG 1/55. Sulle dimissioni di Strauß dalla Difesa: 30 novembre 1962, con l'indicazione del 5 dicembre non confermata dalle fonti primarie. Sulla domanda greca di adesione comunitaria: 12 giugno o 12 luglio 1975. Sulla data dell'atto pontificio: 28 giugno secondo il testo primario, 27 giugno secondo alcune voci enciclopediche, 26 giugno per errore di un sito diocesano. Sull'insediamento dell'Opus Dei in Olanda: 1959 o 1960. Sulla residenza portoghese dell'ente: 1952 o 1953, ove la discrepanza distingue l'arrivo dei membri dall'apertura formale.</w:t>
      </w:r>
    </w:p>
    <w:p>
      <w:pPr>
        <w:spacing w:after="120" w:line="276"/>
        <w:jc w:val="both"/>
      </w:pPr>
      <w:r>
        <w:rPr>
          <w:rFonts w:ascii="Barlow Semi Condensed" w:cs="Barlow Semi Condensed" w:eastAsia="Barlow Semi Condensed" w:hAnsi="Barlow Semi Condensed"/>
          <w:b/>
          <w:bCs/>
          <w:sz w:val="24"/>
          <w:szCs w:val="24"/>
        </w:rPr>
        <w:t xml:space="preserve">Precisazioni numeriche. Referendum greco dell'8 dicembre 1974: sessantanove virgola diciotto per cento per la repubblica, con affluenza del settantacinque virgola cinquantotto. Vittime di Wiriyamu: forbice 150-400 da mantenere non risolta, poiché la fonte più precisa quanto al metodo è anche quella che indica la cifra più alta. Starfighter: novecentosedici acquistati secondo le fonti impiegate, novecentodiciassette secondo altre; duecentonovantadue precipitati; centosedici piloti morti.</w:t>
      </w:r>
    </w:p>
    <w:p>
      <w:pPr>
        <w:pStyle w:val="Heading2"/>
        <w:spacing w:after="100" w:before="200"/>
      </w:pPr>
      <w:r>
        <w:rPr>
          <w:rFonts w:ascii="Barlow Semi Condensed" w:cs="Barlow Semi Condensed" w:eastAsia="Barlow Semi Condensed" w:hAnsi="Barlow Semi Condensed"/>
          <w:sz w:val="24"/>
          <w:szCs w:val="24"/>
        </w:rPr>
        <w:t xml:space="preserve">Capitolo quinto — La tavola fusa per sede archivistica</w:t>
      </w:r>
    </w:p>
    <w:p>
      <w:pPr>
        <w:spacing w:after="120" w:line="276"/>
        <w:jc w:val="both"/>
      </w:pPr>
      <w:r>
        <w:rPr>
          <w:rFonts w:ascii="Barlow Semi Condensed" w:cs="Barlow Semi Condensed" w:eastAsia="Barlow Semi Condensed" w:hAnsi="Barlow Semi Condensed"/>
          <w:b/>
          <w:bCs/>
          <w:sz w:val="24"/>
          <w:szCs w:val="24"/>
        </w:rPr>
        <w:t xml:space="preserve">Il capitolo compie l'operazione che è la ragione principale di questo Registro: fondere le undici tavole ordinandole per sede anziché per studio, e deduplicare.</w:t>
      </w:r>
    </w:p>
    <w:p>
      <w:pPr>
        <w:spacing w:after="120" w:line="276"/>
        <w:jc w:val="both"/>
      </w:pPr>
      <w:r>
        <w:rPr>
          <w:rFonts w:ascii="Barlow Semi Condensed" w:cs="Barlow Semi Condensed" w:eastAsia="Barlow Semi Condensed" w:hAnsi="Barlow Semi Condensed"/>
          <w:b/>
          <w:bCs/>
          <w:sz w:val="24"/>
          <w:szCs w:val="24"/>
        </w:rPr>
        <w:t xml:space="preserve">Prima sede — Archivio Storico Diplomatico del Ministero degli Affari Esteri, Roma. È la sede che ricorre in sette studi su undici, e un solo accesso ne chiude le voci corrispondenti. Serie da spogliare: Spagna 1969-1974; Portogallo e Mozambico 1974, per gli atti sull'espulsione del 13 aprile e sugli interrogatori del dicembre 1973-febbraio 1974; Grecia e Cipro 1969-1975; Turchia e Santa Sede 1969-1975; Germania 1969-1975; Comunità europee per il semestre di presidenza italiana del 1971. Registri consolari di Lourenço Marques e dell'ambasciata di Lisbona.</w:t>
      </w:r>
    </w:p>
    <w:p>
      <w:pPr>
        <w:spacing w:after="120" w:line="276"/>
        <w:jc w:val="both"/>
      </w:pPr>
      <w:r>
        <w:rPr>
          <w:rFonts w:ascii="Barlow Semi Condensed" w:cs="Barlow Semi Condensed" w:eastAsia="Barlow Semi Condensed" w:hAnsi="Barlow Semi Condensed"/>
          <w:b/>
          <w:bCs/>
          <w:sz w:val="24"/>
          <w:szCs w:val="24"/>
        </w:rPr>
        <w:t xml:space="preserve">Avvertenza comune a tutte le serie, e va ripetuta perché vale per l'intero accesso: i Telegrammi 1942-1970 risultavano esclusi per lavori di ristrutturazione. La riapertura di quella serie è la condizione singola di maggior rendimento dell'intera tavola.</w:t>
      </w:r>
    </w:p>
    <w:p>
      <w:pPr>
        <w:spacing w:after="120" w:line="276"/>
        <w:jc w:val="both"/>
      </w:pPr>
      <w:r>
        <w:rPr>
          <w:rFonts w:ascii="Barlow Semi Condensed" w:cs="Barlow Semi Condensed" w:eastAsia="Barlow Semi Condensed" w:hAnsi="Barlow Semi Condensed"/>
          <w:b/>
          <w:bCs/>
          <w:sz w:val="24"/>
          <w:szCs w:val="24"/>
        </w:rPr>
        <w:t xml:space="preserve">Seconda sede — Archivio Apostolico Vaticano e Segreteria di Stato, sezione Rapporti con gli Stati. Ricorre in quattro studi. Voci: la comunicazione vaticana del 28 giugno 1972, prima voce assoluta per rendimento; la posizione sulla condizione delle minoranze cristiane in Turchia e sull'esclusione dei cattolici latini da Losanna; l'eventuale reazione alla chiusura di Halki del 1971; la verifica definitiva sull'assenza di tappa romana nell'esilio di Makarios; la documentazione roncalliana 1940-1945.</w:t>
      </w:r>
    </w:p>
    <w:p>
      <w:pPr>
        <w:spacing w:after="120" w:line="276"/>
        <w:jc w:val="both"/>
      </w:pPr>
      <w:r>
        <w:rPr>
          <w:rFonts w:ascii="Barlow Semi Condensed" w:cs="Barlow Semi Condensed" w:eastAsia="Barlow Semi Condensed" w:hAnsi="Barlow Semi Condensed"/>
          <w:b/>
          <w:bCs/>
          <w:sz w:val="24"/>
          <w:szCs w:val="24"/>
        </w:rPr>
        <w:t xml:space="preserve">Condizione unica: l'apertura del pontificato di Paolo VI, non disposta. Un solo atto istituzionale sblocca quattro studi.</w:t>
      </w:r>
    </w:p>
    <w:p>
      <w:pPr>
        <w:spacing w:after="120" w:line="276"/>
        <w:jc w:val="both"/>
      </w:pPr>
      <w:r>
        <w:rPr>
          <w:rFonts w:ascii="Barlow Semi Condensed" w:cs="Barlow Semi Condensed" w:eastAsia="Barlow Semi Condensed" w:hAnsi="Barlow Semi Condensed"/>
          <w:b/>
          <w:bCs/>
          <w:sz w:val="24"/>
          <w:szCs w:val="24"/>
        </w:rPr>
        <w:t xml:space="preserve">Terza sede — Arquivo Nacional da Torre do Tombo, fondo PIDE-DGS, Lisbona. Ricorre in tre studi. Voci: gli archivi sequestrati di Aginter Press, con verifica dell'eventuale lista \Industry\ e dei nominativi tedeschi; i fascicoli originali sull'Opus Dei — nota del 1961, rapporti del settembre 1963 e del gennaio 1964 — per verificare le citazioni della pubblicistica contro il testo primario; il documento che dispose il richiamo dell'ambasciatore portoghese presso la Santa Sede nel luglio 1970.</w:t>
      </w:r>
    </w:p>
    <w:p>
      <w:pPr>
        <w:spacing w:after="120" w:line="276"/>
        <w:jc w:val="both"/>
      </w:pPr>
      <w:r>
        <w:rPr>
          <w:rFonts w:ascii="Barlow Semi Condensed" w:cs="Barlow Semi Condensed" w:eastAsia="Barlow Semi Condensed" w:hAnsi="Barlow Semi Condensed"/>
          <w:b/>
          <w:bCs/>
          <w:sz w:val="24"/>
          <w:szCs w:val="24"/>
        </w:rPr>
        <w:t xml:space="preserve">Condizione: richiesta al servizio di riferimento e vaglio del regolamento speciale. Avvertenza di terzo grado: metà del fondo non è mai stata consultata.</w:t>
      </w:r>
    </w:p>
    <w:p>
      <w:pPr>
        <w:spacing w:after="120" w:line="276"/>
        <w:jc w:val="both"/>
      </w:pPr>
      <w:r>
        <w:rPr>
          <w:rFonts w:ascii="Barlow Semi Condensed" w:cs="Barlow Semi Condensed" w:eastAsia="Barlow Semi Condensed" w:hAnsi="Barlow Semi Condensed"/>
          <w:b/>
          <w:bCs/>
          <w:sz w:val="24"/>
          <w:szCs w:val="24"/>
        </w:rPr>
        <w:t xml:space="preserve">Quarta sede — resoconti stenografici della quinta e sesta legislatura italiana. Ricorre in tre studi. Voci: atti sul Portogallo aprile-luglio 1974; dichiarazioni su Cipro luglio-novembre 1974; ratifica del pacchetto CEE-Turchia 1972-1973. Condizione: spoglio manuale, non surrogabile dalla banca dati.</w:t>
      </w:r>
    </w:p>
    <w:p>
      <w:pPr>
        <w:spacing w:after="120" w:line="276"/>
        <w:jc w:val="both"/>
      </w:pPr>
      <w:r>
        <w:rPr>
          <w:rFonts w:ascii="Barlow Semi Condensed" w:cs="Barlow Semi Condensed" w:eastAsia="Barlow Semi Condensed" w:hAnsi="Barlow Semi Condensed"/>
          <w:b/>
          <w:bCs/>
          <w:sz w:val="24"/>
          <w:szCs w:val="24"/>
        </w:rPr>
        <w:t xml:space="preserve">Quinta sede — Archivio storico del Senato e Archivio Centrale dello Stato. Voci: Fondo Moro, con l'avvertenza che l'inventario per la titolarità degli Esteri comincia dal quarto governo Moro, cioè da novembre 1974, posteriore a gran parte del perimetro; fondo Mancini, vuoto fra febbraio e settembre 1983; fondo Zagari, con il fascicolo \Colonie Portoghesi\; atti della Commissione Moro; fascicoli processuali dell'attentato del 1981.</w:t>
      </w:r>
    </w:p>
    <w:p>
      <w:pPr>
        <w:spacing w:after="120" w:line="276"/>
        <w:jc w:val="both"/>
      </w:pPr>
      <w:r>
        <w:rPr>
          <w:rFonts w:ascii="Barlow Semi Condensed" w:cs="Barlow Semi Condensed" w:eastAsia="Barlow Semi Condensed" w:hAnsi="Barlow Semi Condensed"/>
          <w:b/>
          <w:bCs/>
          <w:sz w:val="24"/>
          <w:szCs w:val="24"/>
        </w:rPr>
        <w:t xml:space="preserve">Sesta sede — Archiv für Christlich-Soziale Politik, Monaco. Voci: fascicoli di corrispondenza estera del lascito Strauß, per la verifica diretta dell'assenza che la biografia Möller lascia presumere; posizione dei partiti dell'Unione verso l'Opus Dei.</w:t>
      </w:r>
    </w:p>
    <w:p>
      <w:pPr>
        <w:spacing w:after="120" w:line="276"/>
        <w:jc w:val="both"/>
      </w:pPr>
      <w:r>
        <w:rPr>
          <w:rFonts w:ascii="Barlow Semi Condensed" w:cs="Barlow Semi Condensed" w:eastAsia="Barlow Semi Condensed" w:hAnsi="Barlow Semi Condensed"/>
          <w:b/>
          <w:bCs/>
          <w:sz w:val="24"/>
          <w:szCs w:val="24"/>
        </w:rPr>
        <w:t xml:space="preserve">Settima sede — Archiv des Bayerischen Landtags. Voce unica: verbali delle commissioni d'inchiesta del 1982, affare Langemann e attentato, non digitalizzati.</w:t>
      </w:r>
    </w:p>
    <w:p>
      <w:pPr>
        <w:spacing w:after="120" w:line="276"/>
        <w:jc w:val="both"/>
      </w:pPr>
      <w:r>
        <w:rPr>
          <w:rFonts w:ascii="Barlow Semi Condensed" w:cs="Barlow Semi Condensed" w:eastAsia="Barlow Semi Condensed" w:hAnsi="Barlow Semi Condensed"/>
          <w:b/>
          <w:bCs/>
          <w:sz w:val="24"/>
          <w:szCs w:val="24"/>
        </w:rPr>
        <w:t xml:space="preserve">Ottava sede — Politisches Archiv des Auswärtigen Amts e serie Akten zur Auswärtigen Politik. Voci: posizione italiana sui cinque atti della Ostpolitik; incontri Moro-Scheel e Moro-Brandt con data e sede; documenti 409, 410, 415 e 419 del 1962 sull'affare Spiegel.</w:t>
      </w:r>
    </w:p>
    <w:p>
      <w:pPr>
        <w:spacing w:after="120" w:line="276"/>
        <w:jc w:val="both"/>
      </w:pPr>
      <w:r>
        <w:rPr>
          <w:rFonts w:ascii="Barlow Semi Condensed" w:cs="Barlow Semi Condensed" w:eastAsia="Barlow Semi Condensed" w:hAnsi="Barlow Semi Condensed"/>
          <w:b/>
          <w:bCs/>
          <w:sz w:val="24"/>
          <w:szCs w:val="24"/>
        </w:rPr>
        <w:t xml:space="preserve">Nona sede — Archivio Comboniano di Roma e annate 1974-1976 di Nigrizia. Voce unica ma segnalata come la maggior resa fra quelle conseguibili senza accesso ad archivi di Stato: l'articolo di Eugenio Enea in \Lusitania Sacra\ numero cinquantuno del 2025 e le riflessioni comboniane sull'espulsione.</w:t>
      </w:r>
    </w:p>
    <w:p>
      <w:pPr>
        <w:spacing w:after="120" w:line="276"/>
        <w:jc w:val="both"/>
      </w:pPr>
      <w:r>
        <w:rPr>
          <w:rFonts w:ascii="Barlow Semi Condensed" w:cs="Barlow Semi Condensed" w:eastAsia="Barlow Semi Condensed" w:hAnsi="Barlow Semi Condensed"/>
          <w:b/>
          <w:bCs/>
          <w:sz w:val="24"/>
          <w:szCs w:val="24"/>
        </w:rPr>
        <w:t xml:space="preserve">Decima sede — Archivio Generale della Prelatura, Roma, e Centro Studi dell'Università di Navarra. Voci: consistenza numerica storica dell'insediamento tedesco 1952-1985; posizione dell'ente sulle guerre coloniali portoghesi; verifica integrale del prospetto delle date di inizio.</w:t>
      </w:r>
    </w:p>
    <w:p>
      <w:pPr>
        <w:spacing w:after="120" w:line="276"/>
        <w:jc w:val="both"/>
      </w:pPr>
      <w:r>
        <w:rPr>
          <w:rFonts w:ascii="Barlow Semi Condensed" w:cs="Barlow Semi Condensed" w:eastAsia="Barlow Semi Condensed" w:hAnsi="Barlow Semi Condensed"/>
          <w:b/>
          <w:bCs/>
          <w:sz w:val="24"/>
          <w:szCs w:val="24"/>
        </w:rPr>
        <w:t xml:space="preserve">Undicesima sede — Arquivo Histórico-Diplomático, Lisbona. Voce: serie italiana del portale ministeriale sulla rivoluzione, che contiene documenti sulla reazione italiana al 25 aprile 1974 e va consultata manualmente essendo bloccato l'accesso automatizzato.</w:t>
      </w:r>
    </w:p>
    <w:p>
      <w:pPr>
        <w:spacing w:after="120" w:line="276"/>
        <w:jc w:val="both"/>
      </w:pPr>
      <w:r>
        <w:rPr>
          <w:rFonts w:ascii="Barlow Semi Condensed" w:cs="Barlow Semi Condensed" w:eastAsia="Barlow Semi Condensed" w:hAnsi="Barlow Semi Condensed"/>
          <w:b/>
          <w:bCs/>
          <w:sz w:val="24"/>
          <w:szCs w:val="24"/>
        </w:rPr>
        <w:t xml:space="preserve">Dodicesima sede — CIA FOIA Electronic Reading Room. Voci: porzioni non desecretate dei documenti 370 e 376 sull'attentato del 1981, sola acquisizione che potrebbe mutare il quadro probatorio sulla pista bulgara; verifiche a esito atteso negativo su Opus Dei e Germania, Opus Dei e Cipro, Aginter e Germania.</w:t>
      </w:r>
    </w:p>
    <w:p>
      <w:pPr>
        <w:spacing w:after="120" w:line="276"/>
        <w:jc w:val="both"/>
      </w:pPr>
      <w:r>
        <w:rPr>
          <w:rFonts w:ascii="Barlow Semi Condensed" w:cs="Barlow Semi Condensed" w:eastAsia="Barlow Semi Condensed" w:hAnsi="Barlow Semi Condensed"/>
          <w:b/>
          <w:bCs/>
          <w:sz w:val="24"/>
          <w:szCs w:val="24"/>
        </w:rPr>
        <w:t xml:space="preserve">Tredicesima sede — Archivo General de la Administración, Alcalá de Henares. Voce: catena esecutiva spagnola dell'arresto di Ahlers dell'ottobre 1962.</w:t>
      </w:r>
    </w:p>
    <w:p>
      <w:pPr>
        <w:spacing w:after="120" w:line="276"/>
        <w:jc w:val="both"/>
      </w:pPr>
      <w:r>
        <w:rPr>
          <w:rFonts w:ascii="Barlow Semi Condensed" w:cs="Barlow Semi Condensed" w:eastAsia="Barlow Semi Condensed" w:hAnsi="Barlow Semi Condensed"/>
          <w:b/>
          <w:bCs/>
          <w:sz w:val="24"/>
          <w:szCs w:val="24"/>
        </w:rPr>
        <w:t xml:space="preserve">Quattordicesima sede — Archivio audiovisivo del movimento operaio e democratico. Voce: riprese della Conferenza romana del giugno 1970 e conferenza stampa di Agostino Neto. È la sola fonte primaria italiana individuata su quella settimana, ed è consultabile senza condizioni.</w:t>
      </w:r>
    </w:p>
    <w:p>
      <w:pPr>
        <w:spacing w:after="120" w:line="276"/>
        <w:jc w:val="both"/>
      </w:pPr>
      <w:r>
        <w:rPr>
          <w:rFonts w:ascii="Barlow Semi Condensed" w:cs="Barlow Semi Condensed" w:eastAsia="Barlow Semi Condensed" w:hAnsi="Barlow Semi Condensed"/>
          <w:b/>
          <w:bCs/>
          <w:sz w:val="24"/>
          <w:szCs w:val="24"/>
        </w:rPr>
        <w:t xml:space="preserve">Il bilancio della fusione va enunciato perché è il guadagno. Quaranta voci ordinate per studio diventano quattordici sedi. Di queste, tre non richiedono viaggio; una richiede soltanto una richiesta bibliotecaria; e una sola condizione istituzionale — l'apertura del pontificato di Paolo VI — sblocca quattro studi insieme.</w:t>
      </w:r>
    </w:p>
    <w:p>
      <w:pPr>
        <w:pStyle w:val="Heading2"/>
        <w:spacing w:after="100" w:before="200"/>
      </w:pPr>
      <w:r>
        <w:rPr>
          <w:rFonts w:ascii="Barlow Semi Condensed" w:cs="Barlow Semi Condensed" w:eastAsia="Barlow Semi Condensed" w:hAnsi="Barlow Semi Condensed"/>
          <w:sz w:val="24"/>
          <w:szCs w:val="24"/>
        </w:rPr>
        <w:t xml:space="preserve">Capitolo sesto — Il nesso documentato, isolato</w:t>
      </w:r>
    </w:p>
    <w:p>
      <w:pPr>
        <w:spacing w:after="120" w:line="276"/>
        <w:jc w:val="both"/>
      </w:pPr>
      <w:r>
        <w:rPr>
          <w:rFonts w:ascii="Barlow Semi Condensed" w:cs="Barlow Semi Condensed" w:eastAsia="Barlow Semi Condensed" w:hAnsi="Barlow Semi Condensed"/>
          <w:b/>
          <w:bCs/>
          <w:sz w:val="24"/>
          <w:szCs w:val="24"/>
        </w:rPr>
        <w:t xml:space="preserve">Il capitolo isola il solo risultato positivo della serie, perché esso sta in un solo studio e rischia di essere sepolto negli altri dieci.</w:t>
      </w:r>
    </w:p>
    <w:p>
      <w:pPr>
        <w:spacing w:after="120" w:line="276"/>
        <w:jc w:val="both"/>
      </w:pPr>
      <w:r>
        <w:rPr>
          <w:rFonts w:ascii="Barlow Semi Condensed" w:cs="Barlow Semi Condensed" w:eastAsia="Barlow Semi Condensed" w:hAnsi="Barlow Semi Condensed"/>
          <w:b/>
          <w:bCs/>
          <w:sz w:val="24"/>
          <w:szCs w:val="24"/>
        </w:rPr>
        <w:t xml:space="preserve">Il fatto.\\ \\La Santa Sede attese la ratifica del Trattato di Varsavia prima di erigere le diocesi permanenti a oriente della linea Oder-Neisse.</w:t>
      </w:r>
    </w:p>
    <w:p>
      <w:pPr>
        <w:spacing w:after="120" w:line="276"/>
        <w:jc w:val="both"/>
      </w:pPr>
      <w:r>
        <w:rPr>
          <w:rFonts w:ascii="Barlow Semi Condensed" w:cs="Barlow Semi Condensed" w:eastAsia="Barlow Semi Condensed" w:hAnsi="Barlow Semi Condensed"/>
          <w:b/>
          <w:bCs/>
          <w:sz w:val="24"/>
          <w:szCs w:val="24"/>
        </w:rPr>
        <w:t xml:space="preserve">La sequenza, per date. Trattato di Varsavia firmato il 7 dicembre 1970; ratificato dal Bundestag il 17 maggio 1972; entrato in vigore per scambio degli strumenti il 3 giugno 1972; costituzioni apostoliche del 28 giugno 1972. Venticinque giorni fra entrata in vigore e atto; quarantadue fra ratifica e atto.</w:t>
      </w:r>
    </w:p>
    <w:p>
      <w:pPr>
        <w:spacing w:after="120" w:line="276"/>
        <w:jc w:val="both"/>
      </w:pPr>
      <w:r>
        <w:rPr>
          <w:rFonts w:ascii="Barlow Semi Condensed" w:cs="Barlow Semi Condensed" w:eastAsia="Barlow Semi Condensed" w:hAnsi="Barlow Semi Condensed"/>
          <w:b/>
          <w:bCs/>
          <w:sz w:val="24"/>
          <w:szCs w:val="24"/>
        </w:rPr>
        <w:t xml:space="preserve">Perché è nesso e non contemporaneità, e va ripetuto perché è l'unica volta nella serie. Tre elementi vanno oltre la successione. Primo: la Santa Sede aveva una consuetudine dichiarata di non mutare lo status delle diocesi prima di un trattato di pace, comunicata al governo di Bonn dal cardinale Döpfner dopo consultazione a Roma. Secondo: la comunicazione vaticana del 28 giugno 1972 si riferì espressamente al trattato tedesco-polacco. Terzo: Roma reagì entro tre settimane.</w:t>
      </w:r>
    </w:p>
    <w:p>
      <w:pPr>
        <w:spacing w:after="120" w:line="276"/>
        <w:jc w:val="both"/>
      </w:pPr>
      <w:r>
        <w:rPr>
          <w:rFonts w:ascii="Barlow Semi Condensed" w:cs="Barlow Semi Condensed" w:eastAsia="Barlow Semi Condensed" w:hAnsi="Barlow Semi Condensed"/>
          <w:b/>
          <w:bCs/>
          <w:sz w:val="24"/>
          <w:szCs w:val="24"/>
        </w:rPr>
        <w:t xml:space="preserve">La fonte va dichiarata perché ne determina il peso. Karl-Joseph Hummel, allora direttore della Forschungsstelle della Kommission für Zeitgeschichte di Bonn, in \OST-WEST Europäische Perspektiven\, fascicolo quarto del 2005. Storiografia scientifica di istituto tedesco, non fonte di parte.</w:t>
      </w:r>
    </w:p>
    <w:p>
      <w:pPr>
        <w:spacing w:after="120" w:line="276"/>
        <w:jc w:val="both"/>
      </w:pPr>
      <w:r>
        <w:rPr>
          <w:rFonts w:ascii="Barlow Semi Condensed" w:cs="Barlow Semi Condensed" w:eastAsia="Barlow Semi Condensed" w:hAnsi="Barlow Semi Condensed"/>
          <w:b/>
          <w:bCs/>
          <w:sz w:val="24"/>
          <w:szCs w:val="24"/>
        </w:rPr>
        <w:t xml:space="preserve">E la qualificazione più fine, che va conservata perché è ciò che separa l'accertamento dall'affermazione. Il testo canonico non dice questo. Le due costituzioni adducono una ragione pastorale — reggere più adattamente e da vicino il popolo cristiano — e la richiesta dell'episcopato polacco. Nel dispositivo non compaiono la parola trattato, la linea Oder-Neisse, la Repubblica Federale.</w:t>
      </w:r>
    </w:p>
    <w:p>
      <w:pPr>
        <w:spacing w:after="120" w:line="276"/>
        <w:jc w:val="both"/>
      </w:pPr>
      <w:r>
        <w:rPr>
          <w:rFonts w:ascii="Barlow Semi Condensed" w:cs="Barlow Semi Condensed" w:eastAsia="Barlow Semi Condensed" w:hAnsi="Barlow Semi Condensed"/>
          <w:b/>
          <w:bCs/>
          <w:sz w:val="24"/>
          <w:szCs w:val="24"/>
        </w:rPr>
        <w:t xml:space="preserve">Il nesso è attestato dalla comunicazione di accompagnamento e non dalla bolla.</w:t>
      </w:r>
    </w:p>
    <w:p>
      <w:pPr>
        <w:spacing w:after="120" w:line="276"/>
        <w:jc w:val="both"/>
      </w:pPr>
      <w:r>
        <w:rPr>
          <w:rFonts w:ascii="Barlow Semi Condensed" w:cs="Barlow Semi Condensed" w:eastAsia="Barlow Semi Condensed" w:hAnsi="Barlow Semi Condensed"/>
          <w:b/>
          <w:bCs/>
          <w:sz w:val="24"/>
          <w:szCs w:val="24"/>
        </w:rPr>
        <w:t xml:space="preserve">La conferma per via opposta. Nella Repubblica Democratica Tedesca, il 23 luglio 1973, la Santa Sede non eresse diocesi: si fermò agli uffici vescovili con sospensione, non soppressione, della giurisdizione occidentale — perché nessun trattato aveva chiuso la questione dell'unità. Le diocesi orientali arrivarono soltanto il 27 giugno 1994, dopo la riunificazione.</w:t>
      </w:r>
    </w:p>
    <w:p>
      <w:pPr>
        <w:spacing w:after="120" w:line="276"/>
        <w:jc w:val="both"/>
      </w:pPr>
      <w:r>
        <w:rPr>
          <w:rFonts w:ascii="Barlow Semi Condensed" w:cs="Barlow Semi Condensed" w:eastAsia="Barlow Semi Condensed" w:hAnsi="Barlow Semi Condensed"/>
          <w:b/>
          <w:bCs/>
          <w:sz w:val="24"/>
          <w:szCs w:val="24"/>
        </w:rPr>
        <w:t xml:space="preserve">Il medesimo criterio applicato in due direzioni opposte, e in entrambe fatto dipendere dall'esistenza di un atto politico.</w:t>
      </w:r>
    </w:p>
    <w:p>
      <w:pPr>
        <w:spacing w:after="120" w:line="276"/>
        <w:jc w:val="both"/>
      </w:pPr>
      <w:r>
        <w:rPr>
          <w:rFonts w:ascii="Barlow Semi Condensed" w:cs="Barlow Semi Condensed" w:eastAsia="Barlow Semi Condensed" w:hAnsi="Barlow Semi Condensed"/>
          <w:b/>
          <w:bCs/>
          <w:sz w:val="24"/>
          <w:szCs w:val="24"/>
        </w:rPr>
        <w:t xml:space="preserve">Il residuo, ed è la prima voce assoluta della tavola. Il testo integrale della comunicazione del 28 giugno 1972 è noto per citazione storiografica e non per lettura diretta. Una ricerca mirata ha accertato che nel saggio di Hummel la frase è priva di nota, di segnatura archivistica e di rinvio bibliografico, e che essa è internamente contraddetta dalla frase successiva del medesimo paragrafo, che riconduce la motivazione a necessità pastorali.</w:t>
      </w:r>
    </w:p>
    <w:p>
      <w:pPr>
        <w:spacing w:after="120" w:line="276"/>
        <w:jc w:val="both"/>
      </w:pPr>
      <w:r>
        <w:rPr>
          <w:rFonts w:ascii="Barlow Semi Condensed" w:cs="Barlow Semi Condensed" w:eastAsia="Barlow Semi Condensed" w:hAnsi="Barlow Semi Condensed"/>
          <w:b/>
          <w:bCs/>
          <w:sz w:val="24"/>
          <w:szCs w:val="24"/>
        </w:rPr>
        <w:t xml:space="preserve">Ne discende che il nesso, pur essendo il migliore della serie, poggia su una citazione priva di apparato, e che la sua verifica definitiva richiede L'Osservatore Romano del 29 e 30 giugno 1972, digitalizzato ma ad accesso riservato.</w:t>
      </w:r>
    </w:p>
    <w:p>
      <w:pPr>
        <w:spacing w:after="120" w:line="276"/>
        <w:jc w:val="both"/>
      </w:pPr>
      <w:r>
        <w:rPr>
          <w:rFonts w:ascii="Barlow Semi Condensed" w:cs="Barlow Semi Condensed" w:eastAsia="Barlow Semi Condensed" w:hAnsi="Barlow Semi Condensed"/>
          <w:b/>
          <w:bCs/>
          <w:sz w:val="24"/>
          <w:szCs w:val="24"/>
        </w:rPr>
        <w:t xml:space="preserve">Questa è la sola voce della tavola che possa mutare un accertamento anziché aggiungerne uno.</w:t>
      </w:r>
    </w:p>
    <w:p>
      <w:pPr>
        <w:pStyle w:val="Heading2"/>
        <w:spacing w:after="100" w:before="200"/>
      </w:pPr>
      <w:r>
        <w:rPr>
          <w:rFonts w:ascii="Barlow Semi Condensed" w:cs="Barlow Semi Condensed" w:eastAsia="Barlow Semi Condensed" w:hAnsi="Barlow Semi Condensed"/>
          <w:sz w:val="24"/>
          <w:szCs w:val="24"/>
        </w:rPr>
        <w:t xml:space="preserve">Capitolo settimo — La revisione, e lo stato attuale della proposizione</w:t>
      </w:r>
    </w:p>
    <w:p>
      <w:pPr>
        <w:spacing w:after="120" w:line="276"/>
        <w:jc w:val="both"/>
      </w:pPr>
      <w:r>
        <w:rPr>
          <w:rFonts w:ascii="Barlow Semi Condensed" w:cs="Barlow Semi Condensed" w:eastAsia="Barlow Semi Condensed" w:hAnsi="Barlow Semi Condensed"/>
          <w:b/>
          <w:bCs/>
          <w:sz w:val="24"/>
          <w:szCs w:val="24"/>
        </w:rPr>
        <w:t xml:space="preserve">Il capitolo registra formalmente l'unica proposizione della serie che sia stata formulata, confutata e revisionata, e ne fissa lo stato corrente perché essa non resti nel corpus nella forma superata.</w:t>
      </w:r>
    </w:p>
    <w:p>
      <w:pPr>
        <w:spacing w:after="120" w:line="276"/>
        <w:jc w:val="both"/>
      </w:pPr>
      <w:r>
        <w:rPr>
          <w:rFonts w:ascii="Barlow Semi Condensed" w:cs="Barlow Semi Condensed" w:eastAsia="Barlow Semi Condensed" w:hAnsi="Barlow Semi Condensed"/>
          <w:b/>
          <w:bCs/>
          <w:sz w:val="24"/>
          <w:szCs w:val="24"/>
        </w:rPr>
        <w:t xml:space="preserve">La proposizione originaria, ottava ricognizione. L'insediamento dell'Opus Dei richiede la compresenza di due condizioni: maggioranza cattolica della popolazione, e ceto universitario e professionale cattolico autoctono.</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dichiarata contestualmente. Un insediamento stabile in un Paese a maggioranza non cattolica e privo di ceto cattolico autoctono. Furono elencati per nome i casi non esaminati: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La confutazione, decima ricognizione. La prima condizione è falsificata da tre casi: Gran Bretagna 1946, Germania 1952, Svezia 1984, tutti Paesi a maggioranza protestante in cui l'ente si insediò. Nella Repubblica Federale i protestanti erano il cinquanta virgola sei per cento e i cattolici il quarantacinque virgola otto nel 1950, e i cattolici uscirono dalla minoranza soltanto nel 1976.</w:t>
      </w:r>
    </w:p>
    <w:p>
      <w:pPr>
        <w:spacing w:after="120" w:line="276"/>
        <w:jc w:val="both"/>
      </w:pPr>
      <w:r>
        <w:rPr>
          <w:rFonts w:ascii="Barlow Semi Condensed" w:cs="Barlow Semi Condensed" w:eastAsia="Barlow Semi Condensed" w:hAnsi="Barlow Semi Condensed"/>
          <w:b/>
          <w:bCs/>
          <w:sz w:val="24"/>
          <w:szCs w:val="24"/>
        </w:rPr>
        <w:t xml:space="preserve">Lo stato attuale della proposizione, in due parti.</w:t>
      </w:r>
    </w:p>
    <w:p>
      <w:pPr>
        <w:spacing w:after="120" w:line="276"/>
        <w:jc w:val="both"/>
      </w:pPr>
      <w:r>
        <w:rPr>
          <w:rFonts w:ascii="Barlow Semi Condensed" w:cs="Barlow Semi Condensed" w:eastAsia="Barlow Semi Condensed" w:hAnsi="Barlow Semi Condensed"/>
          <w:b/>
          <w:bCs/>
          <w:sz w:val="24"/>
          <w:szCs w:val="24"/>
        </w:rPr>
        <w:t xml:space="preserve">Prima: dove esiste un ceto cattolico professionale autoctono, l'ente si radica su di esso, indipendentemente dalla confessione maggioritaria del Paese.</w:t>
      </w:r>
    </w:p>
    <w:p>
      <w:pPr>
        <w:spacing w:after="120" w:line="276"/>
        <w:jc w:val="both"/>
      </w:pPr>
      <w:r>
        <w:rPr>
          <w:rFonts w:ascii="Barlow Semi Condensed" w:cs="Barlow Semi Condensed" w:eastAsia="Barlow Semi Condensed" w:hAnsi="Barlow Semi Condensed"/>
          <w:b/>
          <w:bCs/>
          <w:sz w:val="24"/>
          <w:szCs w:val="24"/>
        </w:rPr>
        <w:t xml:space="preserve">Seconda: dove tale ceto manca, l'ente si insedia per trapianto e non si radica — come mostra il caso svedese, dove la grande maggioranza dei numerari è di provenienza spagnola, e come mostrano per analogia Ungheria e Russia.</w:t>
      </w:r>
    </w:p>
    <w:p>
      <w:pPr>
        <w:spacing w:after="120" w:line="276"/>
        <w:jc w:val="both"/>
      </w:pPr>
      <w:r>
        <w:rPr>
          <w:rFonts w:ascii="Barlow Semi Condensed" w:cs="Barlow Semi Condensed" w:eastAsia="Barlow Semi Condensed" w:hAnsi="Barlow Semi Condensed"/>
          <w:b/>
          <w:bCs/>
          <w:sz w:val="24"/>
          <w:szCs w:val="24"/>
        </w:rPr>
        <w:t xml:space="preserve">Il guadagno retroattivo, che è la ragione per cui la revisione è miglioramento e non ritirata. Il modello rivisto spiega meglio i tre casi orientali. Cipro cessa di essere anomalo: aveva cattolici — duemilasettecentocinquantadue maroniti nel censimento del 1960 in quattro villaggi, e quattro parrocchie latine — ma non un ceto universitario e professionale. Il modello rivisto ha meno condizioni e spiega più casi.</w:t>
      </w:r>
    </w:p>
    <w:p>
      <w:pPr>
        <w:spacing w:after="120" w:line="276"/>
        <w:jc w:val="both"/>
      </w:pPr>
      <w:r>
        <w:rPr>
          <w:rFonts w:ascii="Barlow Semi Condensed" w:cs="Barlow Semi Condensed" w:eastAsia="Barlow Semi Condensed" w:hAnsi="Barlow Semi Condensed"/>
          <w:b/>
          <w:bCs/>
          <w:sz w:val="24"/>
          <w:szCs w:val="24"/>
        </w:rPr>
        <w:t xml:space="preserve">Che cosa resta non dimostrato, e va conservato nel registro.\\ \\Che la seconda condizione sia necessaria non è dimostrato\\, e occorrerebbe un caso in cui essa sussista e l'ente sia comunque assente.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condizione di falsificazione attuale. Il modello rivisto sarebbe falsificato dal reperimento di un radicamento — non per trapianto — in un Paese privo di ceto cattolico professionale autoctono. I casi restano quelli elencati e mai studiati.</w:t>
      </w:r>
    </w:p>
    <w:p>
      <w:pPr>
        <w:spacing w:after="120" w:line="276"/>
        <w:jc w:val="both"/>
      </w:pPr>
      <w:r>
        <w:rPr>
          <w:rFonts w:ascii="Barlow Semi Condensed" w:cs="Barlow Semi Condensed" w:eastAsia="Barlow Semi Condensed" w:hAnsi="Barlow Semi Condensed"/>
          <w:b/>
          <w:bCs/>
          <w:sz w:val="24"/>
          <w:szCs w:val="24"/>
        </w:rPr>
        <w:t xml:space="preserve">Una prescrizione operativa discende dalla seconda parte del modello e va registrata perché ha uso pratico. La presenza di un Paese nell'elenco ufficiale dell'ente non dice di quale delle due nature l'insediamento sia, e per accertarlo occorre guardare alla provenienza dei numerari.</w:t>
      </w:r>
    </w:p>
    <w:p>
      <w:pPr>
        <w:pStyle w:val="Heading2"/>
        <w:spacing w:after="100" w:before="200"/>
      </w:pPr>
      <w:r>
        <w:rPr>
          <w:rFonts w:ascii="Barlow Semi Condensed" w:cs="Barlow Semi Condensed" w:eastAsia="Barlow Semi Condensed" w:hAnsi="Barlow Semi Condensed"/>
          <w:sz w:val="24"/>
          <w:szCs w:val="24"/>
        </w:rPr>
        <w:t xml:space="preserve">Capitolo ottavo — La connessione falsa e i tre criteri per riconoscerla</w:t>
      </w:r>
    </w:p>
    <w:p>
      <w:pPr>
        <w:spacing w:after="120" w:line="276"/>
        <w:jc w:val="both"/>
      </w:pPr>
      <w:r>
        <w:rPr>
          <w:rFonts w:ascii="Barlow Semi Condensed" w:cs="Barlow Semi Condensed" w:eastAsia="Barlow Semi Condensed" w:hAnsi="Barlow Semi Condensed"/>
          <w:b/>
          <w:bCs/>
          <w:sz w:val="24"/>
          <w:szCs w:val="24"/>
        </w:rPr>
        <w:t xml:space="preserve">Il capitolo estrae dall'undicesima ricognizione ciò che in essa ha valore generale, perché vi è sepolto sotto il caso particolare.</w:t>
      </w:r>
    </w:p>
    <w:p>
      <w:pPr>
        <w:spacing w:after="120" w:line="276"/>
        <w:jc w:val="both"/>
      </w:pPr>
      <w:r>
        <w:rPr>
          <w:rFonts w:ascii="Barlow Semi Condensed" w:cs="Barlow Semi Condensed" w:eastAsia="Barlow Semi Condensed" w:hAnsi="Barlow Semi Condensed"/>
          <w:b/>
          <w:bCs/>
          <w:sz w:val="24"/>
          <w:szCs w:val="24"/>
        </w:rPr>
        <w:t xml:space="preserve">Il caso, in una riga. Ogni affermazione circolante di un nesso fra Franz Josef Strauß e Aginter Press risale a un documentario televisivo del 16 febbraio 2000, i cui documenti sono descritti come \portati alla luce\ — formula giornalistica e non collocazione archivistica.</w:t>
      </w:r>
    </w:p>
    <w:p>
      <w:pPr>
        <w:spacing w:after="120" w:line="276"/>
        <w:jc w:val="both"/>
      </w:pPr>
      <w:r>
        <w:rPr>
          <w:rFonts w:ascii="Barlow Semi Condensed" w:cs="Barlow Semi Condensed" w:eastAsia="Barlow Semi Condensed" w:hAnsi="Barlow Semi Condensed"/>
          <w:b/>
          <w:bCs/>
          <w:sz w:val="24"/>
          <w:szCs w:val="24"/>
        </w:rPr>
        <w:t xml:space="preserve">Il meccanismo, denominato. Contaminazione per prossimità. L'opera più citata su Aginter non contiene l'allegazione; ma chi la riporta la accosta a fatti documentati — i rapporti con la polizia politica portoghese, la relazione parlamentare, l'istruttoria giudiziaria. L'asserzione debole prende in prestito il credito di quelle forti che le stanno accanto. Non è falsificazione né citazione errata: è collocazione.</w:t>
      </w:r>
    </w:p>
    <w:p>
      <w:pPr>
        <w:spacing w:after="120" w:line="276"/>
        <w:jc w:val="both"/>
      </w:pPr>
      <w:r>
        <w:rPr>
          <w:rFonts w:ascii="Barlow Semi Condensed" w:cs="Barlow Semi Condensed" w:eastAsia="Barlow Semi Condensed" w:hAnsi="Barlow Semi Condensed"/>
          <w:b/>
          <w:bCs/>
          <w:sz w:val="24"/>
          <w:szCs w:val="24"/>
        </w:rPr>
        <w:t xml:space="preserve">Primo criterio generale — il conteggio dei soggetti disinteressati.\\ \\Una connessione reale lascia tracce presso soggetti che non avevano interesse a produrle.</w:t>
      </w:r>
    </w:p>
    <w:p>
      <w:pPr>
        <w:spacing w:after="120" w:line="276"/>
        <w:jc w:val="both"/>
      </w:pPr>
      <w:r>
        <w:rPr>
          <w:rFonts w:ascii="Barlow Semi Condensed" w:cs="Barlow Semi Condensed" w:eastAsia="Barlow Semi Condensed" w:hAnsi="Barlow Semi Condensed"/>
          <w:b/>
          <w:bCs/>
          <w:sz w:val="24"/>
          <w:szCs w:val="24"/>
        </w:rPr>
        <w:t xml:space="preserve">La verifica sul termine di controllo. L'affare Spiegel dell'ottobre 1962 è documentato perché la polizia dovette verbalizzare, il Parlamento dovette interrogare, la procura dovette qualificare, la Corte costituzionale dovette decidere — e nessuno di questi soggetti voleva documentare l'imbarazzo di un ministro in carica. La documentazione esiste contro l'interesse di chi la produsse.</w:t>
      </w:r>
    </w:p>
    <w:p>
      <w:pPr>
        <w:spacing w:after="120" w:line="276"/>
        <w:jc w:val="both"/>
      </w:pPr>
      <w:r>
        <w:rPr>
          <w:rFonts w:ascii="Barlow Semi Condensed" w:cs="Barlow Semi Condensed" w:eastAsia="Barlow Semi Condensed" w:hAnsi="Barlow Semi Condensed"/>
          <w:b/>
          <w:bCs/>
          <w:sz w:val="24"/>
          <w:szCs w:val="24"/>
        </w:rPr>
        <w:t xml:space="preserve">La regola operativa: si conti quanti soggetti indipendenti e disinteressati abbiano lasciato traccia. Se il numero è zero, l'affermazione non è confutata ma non è utilizzabile.</w:t>
      </w:r>
    </w:p>
    <w:p>
      <w:pPr>
        <w:spacing w:after="120" w:line="276"/>
        <w:jc w:val="both"/>
      </w:pPr>
      <w:r>
        <w:rPr>
          <w:rFonts w:ascii="Barlow Semi Condensed" w:cs="Barlow Semi Condensed" w:eastAsia="Barlow Semi Condensed" w:hAnsi="Barlow Semi Condensed"/>
          <w:b/>
          <w:bCs/>
          <w:sz w:val="24"/>
          <w:szCs w:val="24"/>
        </w:rPr>
        <w:t xml:space="preserve">Secondo criterio — la valutazione separata degli elenchi. Un'asserzione non documentata collocata dentro un elenco di fatti documentati ne acquisisce il credito senza averne il fondamento. La neutralizzazione consiste nel valutare ciascuna voce dell'elenco separatamente, chiedendo per ognuna quale fonte la sostenga.</w:t>
      </w:r>
    </w:p>
    <w:p>
      <w:pPr>
        <w:spacing w:after="120" w:line="276"/>
        <w:jc w:val="both"/>
      </w:pPr>
      <w:r>
        <w:rPr>
          <w:rFonts w:ascii="Barlow Semi Condensed" w:cs="Barlow Semi Condensed" w:eastAsia="Barlow Semi Condensed" w:hAnsi="Barlow Semi Condensed"/>
          <w:b/>
          <w:bCs/>
          <w:sz w:val="24"/>
          <w:szCs w:val="24"/>
        </w:rPr>
        <w:t xml:space="preserve">Terzo criterio — l'asimmetria fra nome verificabile e nome operativo. Si distingua fra i nomi verificabili di un'affermazione e i nomi che ne portano il peso operativo. Nel caso esaminato: Marcel Hepp è verificabile — referente di Strauß dall'autunno 1965, caporedattore del \Bayernkurier\ dal maggio 1967 — ma non gli si attribuisce condotta operativa; Dieter Huber porta il peso operativo — il trasporto di denaro contante — e non esiste in alcuna fonte.</w:t>
      </w:r>
    </w:p>
    <w:p>
      <w:pPr>
        <w:spacing w:after="120" w:line="276"/>
        <w:jc w:val="both"/>
      </w:pPr>
      <w:r>
        <w:rPr>
          <w:rFonts w:ascii="Barlow Semi Condensed" w:cs="Barlow Semi Condensed" w:eastAsia="Barlow Semi Condensed" w:hAnsi="Barlow Semi Condensed"/>
          <w:b/>
          <w:bCs/>
          <w:sz w:val="24"/>
          <w:szCs w:val="24"/>
        </w:rPr>
        <w:t xml:space="preserve">Quando il nome verificabile e il nome operativo non coincidono, l'affermazione è costruita in modo da non essere verificabile nella parte che conta.</w:t>
      </w:r>
    </w:p>
    <w:p>
      <w:pPr>
        <w:spacing w:after="120" w:line="276"/>
        <w:jc w:val="both"/>
      </w:pPr>
      <w:r>
        <w:rPr>
          <w:rFonts w:ascii="Barlow Semi Condensed" w:cs="Barlow Semi Condensed" w:eastAsia="Barlow Semi Condensed" w:hAnsi="Barlow Semi Condensed"/>
          <w:b/>
          <w:bCs/>
          <w:sz w:val="24"/>
          <w:szCs w:val="24"/>
        </w:rPr>
        <w:t xml:space="preserve">Una avvertenza chiude il capitolo e va conservata con i criteri. Nessuno dei tre criteri prova la falsità di alcunché. Essi stabiliscono l'inutilizzabilità di un'affermazione come prova, non la sua falsità come enunciato. La distinzione fra non dimostrato e falso è il confine che la serie non valica.</w:t>
      </w:r>
    </w:p>
    <w:p>
      <w:pPr>
        <w:pStyle w:val="Heading2"/>
        <w:spacing w:after="100" w:before="200"/>
      </w:pPr>
      <w:r>
        <w:rPr>
          <w:rFonts w:ascii="Barlow Semi Condensed" w:cs="Barlow Semi Condensed" w:eastAsia="Barlow Semi Condensed" w:hAnsi="Barlow Semi Condensed"/>
          <w:sz w:val="24"/>
          <w:szCs w:val="24"/>
        </w:rPr>
        <w:t xml:space="preserve">Capitolo nono — Le regolarità empiriche stabilite dalla serie</w:t>
      </w:r>
    </w:p>
    <w:p>
      <w:pPr>
        <w:spacing w:after="120" w:line="276"/>
        <w:jc w:val="both"/>
      </w:pPr>
      <w:r>
        <w:rPr>
          <w:rFonts w:ascii="Barlow Semi Condensed" w:cs="Barlow Semi Condensed" w:eastAsia="Barlow Semi Condensed" w:hAnsi="Barlow Semi Condensed"/>
          <w:b/>
          <w:bCs/>
          <w:sz w:val="24"/>
          <w:szCs w:val="24"/>
        </w:rPr>
        <w:t xml:space="preserve">Il capitolo raccoglie le regolarità che gli undici studi hanno prodotto e che valgono oltre i loro perimetri.</w:t>
      </w:r>
    </w:p>
    <w:p>
      <w:pPr>
        <w:spacing w:after="120" w:line="276"/>
        <w:jc w:val="both"/>
      </w:pPr>
      <w:r>
        <w:rPr>
          <w:rFonts w:ascii="Barlow Semi Condensed" w:cs="Barlow Semi Condensed" w:eastAsia="Barlow Semi Condensed" w:hAnsi="Barlow Semi Condensed"/>
          <w:b/>
          <w:bCs/>
          <w:sz w:val="24"/>
          <w:szCs w:val="24"/>
        </w:rPr>
        <w:t xml:space="preserve">Prima regolarità — l'assenza dello Stato italiano. Il governo italiano non compare come attore documentato in nessuno dei sei perimetri. Verso Madrid: nessuna iniziativa. Verso Lisbona: nessun atto reperito nemmeno sull'espulsione di nove propri cittadini. Verso Atene: un solo atto forte, la seduta del Consiglio d'Europa del dicembre 1969, e per il resto assorbimento nelle sedi multilaterali. Verso Nicosia: esclusione dalle potenze garanti, dal Consiglio di Sicurezza nel 1974 e dai contributori della forza di pace. Verso Ankara: presenza comunitaria documentata e assenza confessionale. Verso Bonn: posizione sui cinque atti della Ostpolitik non reperita.</w:t>
      </w:r>
    </w:p>
    <w:p>
      <w:pPr>
        <w:spacing w:after="120" w:line="276"/>
        <w:jc w:val="both"/>
      </w:pPr>
      <w:r>
        <w:rPr>
          <w:rFonts w:ascii="Barlow Semi Condensed" w:cs="Barlow Semi Condensed" w:eastAsia="Barlow Semi Condensed" w:hAnsi="Barlow Semi Condensed"/>
          <w:b/>
          <w:bCs/>
          <w:sz w:val="24"/>
          <w:szCs w:val="24"/>
        </w:rPr>
        <w:t xml:space="preserve">La spiegazione storiografica reperita, e proviene da fonte scientifica. La dialettica fra una visione internazionalista implicita in certe municipalità di sinistra e la fedeltà atlantica dei governi a maggioranza democristiana. Essa spiega tre cose insieme: perché sulla Grecia l'atto forte sia venuto in sede multilaterale; perché su Cipro l'Italia sia rimasta al margine consultivo; perché sulla Turchia la posizione sia comunitaria e non confessionale.</w:t>
      </w:r>
    </w:p>
    <w:p>
      <w:pPr>
        <w:spacing w:after="120" w:line="276"/>
        <w:jc w:val="both"/>
      </w:pPr>
      <w:r>
        <w:rPr>
          <w:rFonts w:ascii="Barlow Semi Condensed" w:cs="Barlow Semi Condensed" w:eastAsia="Barlow Semi Condensed" w:hAnsi="Barlow Semi Condensed"/>
          <w:b/>
          <w:bCs/>
          <w:sz w:val="24"/>
          <w:szCs w:val="24"/>
        </w:rPr>
        <w:t xml:space="preserve">Seconda regolarità — chi tiene archivio lascia traccia. Dove agiscono soggetti che tengono archivio e che pubblicano — congregazioni religiose, riviste missionarie, cancellerie ecclesiastiche, apparati di polizia, magistrature —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La verifica più netta. Il perimetro portoghese ha prodotto quattro nodi documentati contro uno spagnolo, e la ragione non è che l'Italia agisse più verso Lisbona: è che la materia coloniale portoghese mise in movimento istituzioni che tengono archivio — congregazioni che conservano i diari dei propri superiori con le ore e i minuti degli interrogatori, vescovi che firmano documenti, riviste che stampano, quotidiani che aprono la prima pagina.</w:t>
      </w:r>
    </w:p>
    <w:p>
      <w:pPr>
        <w:spacing w:after="120" w:line="276"/>
        <w:jc w:val="both"/>
      </w:pPr>
      <w:r>
        <w:rPr>
          <w:rFonts w:ascii="Barlow Semi Condensed" w:cs="Barlow Semi Condensed" w:eastAsia="Barlow Semi Condensed" w:hAnsi="Barlow Semi Condensed"/>
          <w:b/>
          <w:bCs/>
          <w:sz w:val="24"/>
          <w:szCs w:val="24"/>
        </w:rPr>
        <w:t xml:space="preserve">Terza regolarità — l'apertura degli archivi di sicurezza. Nessun archivio di apparato di sicurezza si è mai aperto volontariamente; tutte le aperture sono conseguite a pressione esterna. Il caso portoghese ne è l'esempio più netto: il fondo della polizia politica si aprì perché il potere che lo custodiva cessò di esistere.</w:t>
      </w:r>
    </w:p>
    <w:p>
      <w:pPr>
        <w:spacing w:after="120" w:line="276"/>
        <w:jc w:val="both"/>
      </w:pPr>
      <w:r>
        <w:rPr>
          <w:rFonts w:ascii="Barlow Semi Condensed" w:cs="Barlow Semi Condensed" w:eastAsia="Barlow Semi Condensed" w:hAnsi="Barlow Semi Condensed"/>
          <w:b/>
          <w:bCs/>
          <w:sz w:val="24"/>
          <w:szCs w:val="24"/>
        </w:rPr>
        <w:t xml:space="preserve">Un corollario che la serie aggiunge, e che è nuovo.\\ \\L'apertura di un archivio non equivale alla sua lettura.\\ Metà del fondo portoghese non è mai stata consultata \\dopo cinquant'anni dall'apertura.</w:t>
      </w:r>
    </w:p>
    <w:p>
      <w:pPr>
        <w:spacing w:after="120" w:line="276"/>
        <w:jc w:val="both"/>
      </w:pPr>
      <w:r>
        <w:rPr>
          <w:rFonts w:ascii="Barlow Semi Condensed" w:cs="Barlow Semi Condensed" w:eastAsia="Barlow Semi Condensed" w:hAnsi="Barlow Semi Condensed"/>
          <w:b/>
          <w:bCs/>
          <w:sz w:val="24"/>
          <w:szCs w:val="24"/>
        </w:rPr>
        <w:t xml:space="preserve">Quarta regolarità — la diplomazia scrive due volte. Un atto può tacere deliberatamente la propria ragione politica e affidarla alla comunicazione che lo accompagna. Chi legge la sola costituzione apostolica del 28 giugno 1972 conclude che fu un atto pastorale; chi legge la comunicazione trova il trattato.</w:t>
      </w:r>
    </w:p>
    <w:p>
      <w:pPr>
        <w:spacing w:after="120" w:line="276"/>
        <w:jc w:val="both"/>
      </w:pPr>
      <w:r>
        <w:rPr>
          <w:rFonts w:ascii="Barlow Semi Condensed" w:cs="Barlow Semi Condensed" w:eastAsia="Barlow Semi Condensed" w:hAnsi="Barlow Semi Condensed"/>
          <w:b/>
          <w:bCs/>
          <w:sz w:val="24"/>
          <w:szCs w:val="24"/>
        </w:rPr>
        <w:t xml:space="preserve">La conseguenza operativa: cercare il nesso nel documento principale, e non trovandovelo concludere che non esiste, è errore simmetrico a quello di inferirlo dalla contemporaneità.</w:t>
      </w:r>
    </w:p>
    <w:p>
      <w:pPr>
        <w:spacing w:after="120" w:line="276"/>
        <w:jc w:val="both"/>
      </w:pPr>
      <w:r>
        <w:rPr>
          <w:rFonts w:ascii="Barlow Semi Condensed" w:cs="Barlow Semi Condensed" w:eastAsia="Barlow Semi Condensed" w:hAnsi="Barlow Semi Condensed"/>
          <w:b/>
          <w:bCs/>
          <w:sz w:val="24"/>
          <w:szCs w:val="24"/>
        </w:rPr>
        <w:t xml:space="preserve">Quinta regolarità — la rarità delle triangolazioni. In undici ricognizioni nessuna triangolazione ha coinvolto insieme tre termini. Ogni volta che se ne è cercata una a tre, essa si è ridotta a due o a uno.</w:t>
      </w:r>
    </w:p>
    <w:p>
      <w:pPr>
        <w:spacing w:after="120" w:line="276"/>
        <w:jc w:val="both"/>
      </w:pPr>
      <w:r>
        <w:rPr>
          <w:rFonts w:ascii="Barlow Semi Condensed" w:cs="Barlow Semi Condensed" w:eastAsia="Barlow Semi Condensed" w:hAnsi="Barlow Semi Condensed"/>
          <w:b/>
          <w:bCs/>
          <w:sz w:val="24"/>
          <w:szCs w:val="24"/>
        </w:rPr>
        <w:t xml:space="preserve">La ragione, che è strutturale e non documentale. I tre oggetti — un ministro degli Esteri, una diplomazia pontificia, un ente di apostolato laicale — operano su piani che non si intersecano per costruzione: il primo tratta con governi, la seconda con Stati e Chiese, il terzo con individui e ambienti professionali. L'assenza di triangolazione non è un difetto delle fonti: è una proprietà degli oggetti.</w:t>
      </w:r>
    </w:p>
    <w:p>
      <w:pPr>
        <w:pStyle w:val="Heading2"/>
        <w:spacing w:after="100" w:before="200"/>
      </w:pPr>
      <w:r>
        <w:rPr>
          <w:rFonts w:ascii="Barlow Semi Condensed" w:cs="Barlow Semi Condensed" w:eastAsia="Barlow Semi Condensed" w:hAnsi="Barlow Semi Condensed"/>
          <w:sz w:val="24"/>
          <w:szCs w:val="24"/>
        </w:rPr>
        <w:t xml:space="preserve">Capitolo decimo — Appendice alla Nota Metodologica: le cinque proposizioni</w:t>
      </w:r>
    </w:p>
    <w:p>
      <w:pPr>
        <w:spacing w:after="120" w:line="276"/>
        <w:jc w:val="both"/>
      </w:pPr>
      <w:r>
        <w:rPr>
          <w:rFonts w:ascii="Barlow Semi Condensed" w:cs="Barlow Semi Condensed" w:eastAsia="Barlow Semi Condensed" w:hAnsi="Barlow Semi Condensed"/>
          <w:b/>
          <w:bCs/>
          <w:sz w:val="24"/>
          <w:szCs w:val="24"/>
        </w:rPr>
        <w:t xml:space="preserve">Il capitolo raccoglie le cinque proposizioni di metodo prodotte dalla serie, che esistono disperse in cinque capitoli conclusivi diversi e che la Nota Metodologica del corpus non contiene, essendo esse posteriori alla sua redazione. Si propongono come appendice a quella Nota.</w:t>
      </w:r>
    </w:p>
    <w:p>
      <w:pPr>
        <w:spacing w:after="120" w:line="276"/>
        <w:jc w:val="both"/>
      </w:pPr>
      <w:r>
        <w:rPr>
          <w:rFonts w:ascii="Barlow Semi Condensed" w:cs="Barlow Semi Condensed" w:eastAsia="Barlow Semi Condensed" w:hAnsi="Barlow Semi Condensed"/>
          <w:b/>
          <w:bCs/>
          <w:sz w:val="24"/>
          <w:szCs w:val="24"/>
        </w:rPr>
        <w:t xml:space="preserve">Prima proposizione — l'assenza di traccia non è l'assenza dell'atto. Formulata dalla quinta ricognizione. Un esito negativo può dipendere da un limite dello strumento, dalla chiusura di un archivio o dalla mancata indicizzazione, e in tal caso non dice nulla sulla realtà. Il caso paradigmatico è la banca dati del sindacato ispettivo italiano, che copre soltanto dal 5 luglio 1976: chi ne inferisse l'inerzia parlamentare italiana sul 1974 commetterebbe un errore di attribuzione.</w:t>
      </w:r>
    </w:p>
    <w:p>
      <w:pPr>
        <w:spacing w:after="120" w:line="276"/>
        <w:jc w:val="both"/>
      </w:pPr>
      <w:r>
        <w:rPr>
          <w:rFonts w:ascii="Barlow Semi Condensed" w:cs="Barlow Semi Condensed" w:eastAsia="Barlow Semi Condensed" w:hAnsi="Barlow Semi Condensed"/>
          <w:b/>
          <w:bCs/>
          <w:sz w:val="24"/>
          <w:szCs w:val="24"/>
        </w:rPr>
        <w:t xml:space="preserve">Seconda proposizione — vi sono assenze che non sono lacune. Formulata dall'ottava. Un insieme vuoto verificato contro il registro ufficiale del soggetto medesimo è un accertamento e non un vuoto da colmare. L'assenza dell'Opus Dei da Grecia, Cipro e Turchia non è una lacuna documentale: è una proprietà dell'oggetto, verificata sulla fonte migliore possibile. Distinguere la lacuna dall'insieme vuoto è disciplina distinta dalla prima e non deducibile da essa.</w:t>
      </w:r>
    </w:p>
    <w:p>
      <w:pPr>
        <w:spacing w:after="120" w:line="276"/>
        <w:jc w:val="both"/>
      </w:pPr>
      <w:r>
        <w:rPr>
          <w:rFonts w:ascii="Barlow Semi Condensed" w:cs="Barlow Semi Condensed" w:eastAsia="Barlow Semi Condensed" w:hAnsi="Barlow Semi Condensed"/>
          <w:b/>
          <w:bCs/>
          <w:sz w:val="24"/>
          <w:szCs w:val="24"/>
        </w:rPr>
        <w:t xml:space="preserve">Terza proposizione — vi sono nessi che i documenti principali tacciono deliberatamente. Formulata dalla nona. Un atto può omettere la propria ragione politica per non costituire esso stesso un riconoscimento, affidandola alla comunicazione accessoria. Ne discende che l'assenza del nesso nel documento principale non prova l'assenza del nesso.</w:t>
      </w:r>
    </w:p>
    <w:p>
      <w:pPr>
        <w:spacing w:after="120" w:line="276"/>
        <w:jc w:val="both"/>
      </w:pPr>
      <w:r>
        <w:rPr>
          <w:rFonts w:ascii="Barlow Semi Condensed" w:cs="Barlow Semi Condensed" w:eastAsia="Barlow Semi Condensed" w:hAnsi="Barlow Semi Condensed"/>
          <w:b/>
          <w:bCs/>
          <w:sz w:val="24"/>
          <w:szCs w:val="24"/>
        </w:rPr>
        <w:t xml:space="preserve">Quarta proposizione — una proposizione va formulata con la propria condizione di falsificazione esplicita e con i casi avversi elencati per nome. Formulata dalla decima. Il modello a due condizioni è caduto dopo due ricognizioni, per opera della ricerca indirizzata al caso avverso, e ciò è avvenuto perché la condizione di falsificazione era stata scritta e i casi potenzialmente confutanti erano stati elencati anziché taciuti. Una proposizione che non elenchi i propri casi avversi non può essere confutata, e per ciò stesso non è una proposizione.</w:t>
      </w:r>
    </w:p>
    <w:p>
      <w:pPr>
        <w:spacing w:after="120" w:line="276"/>
        <w:jc w:val="both"/>
      </w:pPr>
      <w:r>
        <w:rPr>
          <w:rFonts w:ascii="Barlow Semi Condensed" w:cs="Barlow Semi Condensed" w:eastAsia="Barlow Semi Condensed" w:hAnsi="Barlow Semi Condensed"/>
          <w:b/>
          <w:bCs/>
          <w:sz w:val="24"/>
          <w:szCs w:val="24"/>
        </w:rPr>
        <w:t xml:space="preserve">Quinta proposizione — una connessione reale lascia tracce presso soggetti che non avevano interesse a produrle. Formulata dall'undicesima. Dove tale traccia manca del tutto, non si è in presenza di un segreto ben custodito: si è in presenza di un'affermazione.</w:t>
      </w:r>
    </w:p>
    <w:p>
      <w:pPr>
        <w:spacing w:after="120" w:line="276"/>
        <w:jc w:val="both"/>
      </w:pPr>
      <w:r>
        <w:rPr>
          <w:rFonts w:ascii="Barlow Semi Condensed" w:cs="Barlow Semi Condensed" w:eastAsia="Barlow Semi Condensed" w:hAnsi="Barlow Semi Condensed"/>
          <w:b/>
          <w:bCs/>
          <w:sz w:val="24"/>
          <w:szCs w:val="24"/>
        </w:rPr>
        <w:t xml:space="preserve">Il rapporto fra le cinque, che va enunciato perché non è di semplice giustapposizione.</w:t>
      </w:r>
    </w:p>
    <w:p>
      <w:pPr>
        <w:spacing w:after="120" w:line="276"/>
        <w:jc w:val="both"/>
      </w:pPr>
      <w:r>
        <w:rPr>
          <w:rFonts w:ascii="Barlow Semi Condensed" w:cs="Barlow Semi Condensed" w:eastAsia="Barlow Semi Condensed" w:hAnsi="Barlow Semi Condensed"/>
          <w:b/>
          <w:bCs/>
          <w:sz w:val="24"/>
          <w:szCs w:val="24"/>
        </w:rPr>
        <w:t xml:space="preserve">La prima e la seconda si oppongono. La prima vieta di inferire dall'assenza; la seconda ammette di accertare per assenza, quando la verifica è condotta contro il registro del soggetto. Chi applicasse la sola prima non accerterebbe mai nulla in negativo; chi applicasse la sola seconda inferirebbe da qualunque silenzio.</w:t>
      </w:r>
    </w:p>
    <w:p>
      <w:pPr>
        <w:spacing w:after="120" w:line="276"/>
        <w:jc w:val="both"/>
      </w:pPr>
      <w:r>
        <w:rPr>
          <w:rFonts w:ascii="Barlow Semi Condensed" w:cs="Barlow Semi Condensed" w:eastAsia="Barlow Semi Condensed" w:hAnsi="Barlow Semi Condensed"/>
          <w:b/>
          <w:bCs/>
          <w:sz w:val="24"/>
          <w:szCs w:val="24"/>
        </w:rPr>
        <w:t xml:space="preserve">La terza e la quinta si oppongono del pari. La terza avverte che un nesso può essere taciuto nel documento principale; la quinta avverte che l'assenza totale di traccia indica un'affermazione e non un segreto. Il confine fra le due è il numero dei soggetti disinteressati: il nesso taciuto dalla bolla del 1972 è documentato dalla comunicazione e dalla storiografia; l'allegazione del 2000 non lo è da nessuno.</w:t>
      </w:r>
    </w:p>
    <w:p>
      <w:pPr>
        <w:spacing w:after="120" w:line="276"/>
        <w:jc w:val="both"/>
      </w:pPr>
      <w:r>
        <w:rPr>
          <w:rFonts w:ascii="Barlow Semi Condensed" w:cs="Barlow Semi Condensed" w:eastAsia="Barlow Semi Condensed" w:hAnsi="Barlow Semi Condensed"/>
          <w:b/>
          <w:bCs/>
          <w:sz w:val="24"/>
          <w:szCs w:val="24"/>
        </w:rPr>
        <w:t xml:space="preserve">La quarta governa le altre quattro, perché riguarda chi scrive anziché le fonti.</w:t>
      </w:r>
    </w:p>
    <w:p>
      <w:pPr>
        <w:spacing w:after="120" w:line="276"/>
        <w:jc w:val="both"/>
      </w:pPr>
      <w:r>
        <w:rPr>
          <w:rFonts w:ascii="Barlow Semi Condensed" w:cs="Barlow Semi Condensed" w:eastAsia="Barlow Semi Condensed" w:hAnsi="Barlow Semi Condensed"/>
          <w:b/>
          <w:bCs/>
          <w:sz w:val="24"/>
          <w:szCs w:val="24"/>
        </w:rPr>
        <w:t xml:space="preserve">Ne discende che le cinque proposizioni non sono un elenco ma un sistema a tensioni, e che l'applicazione dell'una senza le altre produce l'errore che essa sola era destinata a prevenire.</w:t>
      </w:r>
    </w:p>
    <w:p>
      <w:pPr>
        <w:pStyle w:val="Heading2"/>
        <w:spacing w:after="100" w:before="200"/>
      </w:pPr>
      <w:r>
        <w:rPr>
          <w:rFonts w:ascii="Barlow Semi Condensed" w:cs="Barlow Semi Condensed" w:eastAsia="Barlow Semi Condensed" w:hAnsi="Barlow Semi Condensed"/>
          <w:sz w:val="24"/>
          <w:szCs w:val="24"/>
        </w:rPr>
        <w:t xml:space="preserve">Capitolo undicesimo — Che cosa resta aperto, in ordine di eseguibilità</w:t>
      </w:r>
    </w:p>
    <w:p>
      <w:pPr>
        <w:spacing w:after="120" w:line="276"/>
        <w:jc w:val="both"/>
      </w:pPr>
      <w:r>
        <w:rPr>
          <w:rFonts w:ascii="Barlow Semi Condensed" w:cs="Barlow Semi Condensed" w:eastAsia="Barlow Semi Condensed" w:hAnsi="Barlow Semi Condensed"/>
          <w:b/>
          <w:bCs/>
          <w:sz w:val="24"/>
          <w:szCs w:val="24"/>
        </w:rPr>
        <w:t xml:space="preserve">Il capitolo riordina il residuo secondo un criterio diverso da quello del rendimento: secondo che cosa sia effettivamente eseguibile, e da chi.</w:t>
      </w:r>
    </w:p>
    <w:p>
      <w:pPr>
        <w:spacing w:after="120" w:line="276"/>
        <w:jc w:val="both"/>
      </w:pPr>
      <w:r>
        <w:rPr>
          <w:rFonts w:ascii="Barlow Semi Condensed" w:cs="Barlow Semi Condensed" w:eastAsia="Barlow Semi Condensed" w:hAnsi="Barlow Semi Condensed"/>
          <w:b/>
          <w:bCs/>
          <w:sz w:val="24"/>
          <w:szCs w:val="24"/>
        </w:rPr>
        <w:t xml:space="preserve">Primo ordine — eseguibile subito, senza viaggio e senza autorizzazione. L'esame dei casi extraeuropei dell'elenco ufficiale dell'Opus Dei — Giappone 1958, Kenya 1958, Nigeria 1965, India 1993, Kazakhistan 1997, Indonesia 2008, Sri Lanka 2011 — per verificare se l'insediamento fu radicamento o trapianto. È la sola voce che possa falsificare il modello rivisto, e non richiede nulla se non tempo. Vi si aggiunge la consultazione delle riprese della Conferenza romana del giugno 1970 presso l'archivio audiovisivo, sola fonte primaria italiana su quella settimana e consultabile senza condizioni.</w:t>
      </w:r>
    </w:p>
    <w:p>
      <w:pPr>
        <w:spacing w:after="120" w:line="276"/>
        <w:jc w:val="both"/>
      </w:pPr>
      <w:r>
        <w:rPr>
          <w:rFonts w:ascii="Barlow Semi Condensed" w:cs="Barlow Semi Condensed" w:eastAsia="Barlow Semi Condensed" w:hAnsi="Barlow Semi Condensed"/>
          <w:b/>
          <w:bCs/>
          <w:sz w:val="24"/>
          <w:szCs w:val="24"/>
        </w:rPr>
        <w:t xml:space="preserve">Secondo ordine — eseguibile con una richiesta. L'articolo di Eugenio Enea in \Lusitania Sacra\ numero cinquantuno del 2025 e le annate 1974-1976 di \Nigrizia\: la maggior resa fra le voci conseguibili senza accesso ad archivi di Stato. La monografia di Francis Nolan del 2017 sul ritiro dei Padri Bianchi. Le copie digitali de L'Osservatore Romano del 29 e 30 giugno 1972 presso l'archivio editoriale della Santa Sede, che è la prima voce assoluta della tavola e richiede una richiesta e non un viaggio.</w:t>
      </w:r>
    </w:p>
    <w:p>
      <w:pPr>
        <w:spacing w:after="120" w:line="276"/>
        <w:jc w:val="both"/>
      </w:pPr>
      <w:r>
        <w:rPr>
          <w:rFonts w:ascii="Barlow Semi Condensed" w:cs="Barlow Semi Condensed" w:eastAsia="Barlow Semi Condensed" w:hAnsi="Barlow Semi Condensed"/>
          <w:b/>
          <w:bCs/>
          <w:sz w:val="24"/>
          <w:szCs w:val="24"/>
        </w:rPr>
        <w:t xml:space="preserve">Terzo ordine — eseguibile con un viaggio. L'Archivio Storico Diplomatico a Roma, che chiude voci di sette studi in un solo accesso, con la sola avvertenza della serie telegrafica esclusa. L'Archivio storico del Senato e l'Archivio Centrale dello Stato. I resoconti stenografici della quinta e sesta legislatura, per spoglio manuale. L'Archivio Comboniano a Roma.</w:t>
      </w:r>
    </w:p>
    <w:p>
      <w:pPr>
        <w:spacing w:after="120" w:line="276"/>
        <w:jc w:val="both"/>
      </w:pPr>
      <w:r>
        <w:rPr>
          <w:rFonts w:ascii="Barlow Semi Condensed" w:cs="Barlow Semi Condensed" w:eastAsia="Barlow Semi Condensed" w:hAnsi="Barlow Semi Condensed"/>
          <w:b/>
          <w:bCs/>
          <w:sz w:val="24"/>
          <w:szCs w:val="24"/>
        </w:rPr>
        <w:t xml:space="preserve">Quarto ordine — eseguibile con viaggio e autorizzazione. La Torre do Tombo, fondo della polizia politica, soggetto a regolamento proprio. L'Archiv für Christlich-Soziale Politik a Monaco. L'Archiv des Bayerischen Landtags. L'Arquivo Histórico-Diplomático a Lisbona. L'Archivo General de la Administración ad Alcalá de Henares.</w:t>
      </w:r>
    </w:p>
    <w:p>
      <w:pPr>
        <w:spacing w:after="120" w:line="276"/>
        <w:jc w:val="both"/>
      </w:pPr>
      <w:r>
        <w:rPr>
          <w:rFonts w:ascii="Barlow Semi Condensed" w:cs="Barlow Semi Condensed" w:eastAsia="Barlow Semi Condensed" w:hAnsi="Barlow Semi Condensed"/>
          <w:b/>
          <w:bCs/>
          <w:sz w:val="24"/>
          <w:szCs w:val="24"/>
        </w:rPr>
        <w:t xml:space="preserve">Quinto ordine — non eseguibile allo stato, per disposizione altrui. L'Archivio Apostolico Vaticano e la Segreteria di Stato per il pontificato di Paolo VI, che sblocca quattro studi e la cui condizione non dipende da noi. L'Archivio Generale della Prelatura e il Centro Studi di Navarra, ad accesso mediato. Le porzioni non desecretate dei documenti statunitensi sull'attentato del 1981.</w:t>
      </w:r>
    </w:p>
    <w:p>
      <w:pPr>
        <w:spacing w:after="120" w:line="276"/>
        <w:jc w:val="both"/>
      </w:pPr>
      <w:r>
        <w:rPr>
          <w:rFonts w:ascii="Barlow Semi Condensed" w:cs="Barlow Semi Condensed" w:eastAsia="Barlow Semi Condensed" w:hAnsi="Barlow Semi Condensed"/>
          <w:b/>
          <w:bCs/>
          <w:sz w:val="24"/>
          <w:szCs w:val="24"/>
        </w:rPr>
        <w:t xml:space="preserve">Un bilancio va tratto perché muta la percezione del residuo. Delle quattordici sedi, tre non richiedono viaggio e due richiedono soltanto una richiesta. Il residuo della serie non è dunque, come le tavole per studio lasciavano credere, una lista di condizioni impossibili: è una lista di cinque azioni eseguibili subito e nove che richiedono spostamento o autorizzazione.</w:t>
      </w:r>
    </w:p>
    <w:p>
      <w:pPr>
        <w:spacing w:after="120" w:line="276"/>
        <w:jc w:val="both"/>
      </w:pPr>
      <w:r>
        <w:rPr>
          <w:rFonts w:ascii="Barlow Semi Condensed" w:cs="Barlow Semi Condensed" w:eastAsia="Barlow Semi Condensed" w:hAnsi="Barlow Semi Condensed"/>
          <w:b/>
          <w:bCs/>
          <w:sz w:val="24"/>
          <w:szCs w:val="24"/>
        </w:rPr>
        <w:t xml:space="preserve">E fra le cinque eseguibili subito, due possono mutare accertamenti anziché aggiungerne: la verifica dei casi extraeuropei, che può falsificare il modello; e le pagine de L'Osservatore Romano del giugno 1972, che possono confermare o abbattere il solo nesso documentato della serie.</w:t>
      </w:r>
    </w:p>
    <w:p>
      <w:pPr>
        <w:pStyle w:val="Heading2"/>
        <w:spacing w:after="100" w:before="200"/>
      </w:pPr>
      <w:r>
        <w:rPr>
          <w:rFonts w:ascii="Barlow Semi Condensed" w:cs="Barlow Semi Condensed" w:eastAsia="Barlow Semi Condensed" w:hAnsi="Barlow Semi Condensed"/>
          <w:sz w:val="24"/>
          <w:szCs w:val="24"/>
        </w:rPr>
        <w:t xml:space="preserve">Capitolo dodicesimo — Bilancio e stato del corpus</w:t>
      </w:r>
    </w:p>
    <w:p>
      <w:pPr>
        <w:spacing w:after="120" w:line="276"/>
        <w:jc w:val="both"/>
      </w:pPr>
      <w:r>
        <w:rPr>
          <w:rFonts w:ascii="Barlow Semi Condensed" w:cs="Barlow Semi Condensed" w:eastAsia="Barlow Semi Condensed" w:hAnsi="Barlow Semi Condensed"/>
          <w:b/>
          <w:bCs/>
          <w:sz w:val="24"/>
          <w:szCs w:val="24"/>
        </w:rPr>
        <w:t xml:space="preserve">I quattro ordini di risultato, ricapitolati.</w:t>
      </w:r>
    </w:p>
    <w:p>
      <w:pPr>
        <w:spacing w:after="120" w:line="276"/>
        <w:jc w:val="both"/>
      </w:pPr>
      <w:r>
        <w:rPr>
          <w:rFonts w:ascii="Barlow Semi Condensed" w:cs="Barlow Semi Condensed" w:eastAsia="Barlow Semi Condensed" w:hAnsi="Barlow Semi Condensed"/>
          <w:b/>
          <w:bCs/>
          <w:sz w:val="24"/>
          <w:szCs w:val="24"/>
        </w:rPr>
        <w:t xml:space="preserve">Primo ordine — gli Stati Zero, che sono la maggioranza. Il governo italiano non compare come attore documentato in nessuno dei sei perimetri; l'Opus Dei non ha rapporti documentati con Moro, accertato tre volte; l'ente è assente da Grecia, Cipro e Turchia, verificato contro il registro ufficiale; Aginter Press non ha rapporti documentati con la CSU né con Strauß, verificato su cinque fronti; nessuna tappa romana nell'esilio di Makarios, verificato per tre vie indipendenti; nessuna lettera tedesca sull'unità allegata all'Atto finale di Helsinki.</w:t>
      </w:r>
    </w:p>
    <w:p>
      <w:pPr>
        <w:spacing w:after="120" w:line="276"/>
        <w:jc w:val="both"/>
      </w:pPr>
      <w:r>
        <w:rPr>
          <w:rFonts w:ascii="Barlow Semi Condensed" w:cs="Barlow Semi Condensed" w:eastAsia="Barlow Semi Condensed" w:hAnsi="Barlow Semi Condensed"/>
          <w:b/>
          <w:bCs/>
          <w:sz w:val="24"/>
          <w:szCs w:val="24"/>
        </w:rPr>
        <w:t xml:space="preserve">Secondo ordine — il nesso, uno solo.\\ La Santa Sede attese la ratifica del Trattato di Varsavia prima di erigere le diocesi a oriente, e lo disse nella comunicazione di accompagnamento \\mentre il testo canonico taceva.</w:t>
      </w:r>
    </w:p>
    <w:p>
      <w:pPr>
        <w:spacing w:after="120" w:line="276"/>
        <w:jc w:val="both"/>
      </w:pPr>
      <w:r>
        <w:rPr>
          <w:rFonts w:ascii="Barlow Semi Condensed" w:cs="Barlow Semi Condensed" w:eastAsia="Barlow Semi Condensed" w:hAnsi="Barlow Semi Condensed"/>
          <w:b/>
          <w:bCs/>
          <w:sz w:val="24"/>
          <w:szCs w:val="24"/>
        </w:rPr>
        <w:t xml:space="preserve">Terzo ordine — la revisione. Una proposizione formulata dalla serie è stata confutata dalla serie stessa, per opera della ricerca indirizzata al caso avverso; il modello vige ora in forma emendata, con una condizione anziché due e con la distinzione fra radicamento e trapianto.</w:t>
      </w:r>
    </w:p>
    <w:p>
      <w:pPr>
        <w:spacing w:after="120" w:line="276"/>
        <w:jc w:val="both"/>
      </w:pPr>
      <w:r>
        <w:rPr>
          <w:rFonts w:ascii="Barlow Semi Condensed" w:cs="Barlow Semi Condensed" w:eastAsia="Barlow Semi Condensed" w:hAnsi="Barlow Semi Condensed"/>
          <w:b/>
          <w:bCs/>
          <w:sz w:val="24"/>
          <w:szCs w:val="24"/>
        </w:rPr>
        <w:t xml:space="preserve">Quarto ordine — la genealogia di una connessione falsa. Non soltanto l'accertamento che un nesso non esiste, ma la ricostruzione del meccanismo per cui esso appare esistere, con tre criteri generali per riconoscerlo.</w:t>
      </w:r>
    </w:p>
    <w:p>
      <w:pPr>
        <w:spacing w:after="120" w:line="276"/>
        <w:jc w:val="both"/>
      </w:pPr>
      <w:r>
        <w:rPr>
          <w:rFonts w:ascii="Barlow Semi Condensed" w:cs="Barlow Semi Condensed" w:eastAsia="Barlow Semi Condensed" w:hAnsi="Barlow Semi Condensed"/>
          <w:b/>
          <w:bCs/>
          <w:sz w:val="24"/>
          <w:szCs w:val="24"/>
        </w:rPr>
        <w:t xml:space="preserve">Lo stato del corpus dopo questa consolidazione.</w:t>
      </w:r>
    </w:p>
    <w:p>
      <w:pPr>
        <w:spacing w:after="120" w:line="276"/>
        <w:jc w:val="both"/>
      </w:pPr>
      <w:r>
        <w:rPr>
          <w:rFonts w:ascii="Barlow Semi Condensed" w:cs="Barlow Semi Condensed" w:eastAsia="Barlow Semi Condensed" w:hAnsi="Barlow Semi Condensed"/>
          <w:b/>
          <w:bCs/>
          <w:sz w:val="24"/>
          <w:szCs w:val="24"/>
        </w:rPr>
        <w:t xml:space="preserve">Va emendato: la quindicesima voce della tavola del memorandum operativo sul caso Moro, per la data di morte di Willy Peter Stoll.</w:t>
      </w:r>
    </w:p>
    <w:p>
      <w:pPr>
        <w:spacing w:after="120" w:line="276"/>
        <w:jc w:val="both"/>
      </w:pPr>
      <w:r>
        <w:rPr>
          <w:rFonts w:ascii="Barlow Semi Condensed" w:cs="Barlow Semi Condensed" w:eastAsia="Barlow Semi Condensed" w:hAnsi="Barlow Semi Condensed"/>
          <w:b/>
          <w:bCs/>
          <w:sz w:val="24"/>
          <w:szCs w:val="24"/>
        </w:rPr>
        <w:t xml:space="preserve">Va integrato: la Nota Metodologica, con le cinque proposizioni del Capitolo decimo in appendice.</w:t>
      </w:r>
    </w:p>
    <w:p>
      <w:pPr>
        <w:spacing w:after="120" w:line="276"/>
        <w:jc w:val="both"/>
      </w:pPr>
      <w:r>
        <w:rPr>
          <w:rFonts w:ascii="Barlow Semi Condensed" w:cs="Barlow Semi Condensed" w:eastAsia="Barlow Semi Condensed" w:hAnsi="Barlow Semi Condensed"/>
          <w:b/>
          <w:bCs/>
          <w:sz w:val="24"/>
          <w:szCs w:val="24"/>
        </w:rPr>
        <w:t xml:space="preserve">Va sostituito: nulla. Va abrogato: nulla, salvo la prima condizione della proposizione dell'ottava ricognizione, formalmente revisionata dalla decima e qui registrata nel suo stato corrente.</w:t>
      </w:r>
    </w:p>
    <w:p>
      <w:pPr>
        <w:spacing w:after="120" w:line="276"/>
        <w:jc w:val="both"/>
      </w:pPr>
      <w:r>
        <w:rPr>
          <w:rFonts w:ascii="Barlow Semi Condensed" w:cs="Barlow Semi Condensed" w:eastAsia="Barlow Semi Condensed" w:hAnsi="Barlow Semi Condensed"/>
          <w:b/>
          <w:bCs/>
          <w:sz w:val="24"/>
          <w:szCs w:val="24"/>
        </w:rPr>
        <w:t xml:space="preserve">Restano invariati gli undici documenti, che questo Registro indicizza e non riassume.</w:t>
      </w:r>
    </w:p>
    <w:p>
      <w:pPr>
        <w:spacing w:after="120" w:line="276"/>
        <w:jc w:val="both"/>
      </w:pPr>
      <w:r>
        <w:rPr>
          <w:rFonts w:ascii="Barlow Semi Condensed" w:cs="Barlow Semi Condensed" w:eastAsia="Barlow Semi Condensed" w:hAnsi="Barlow Semi Condensed"/>
          <w:b/>
          <w:bCs/>
          <w:sz w:val="24"/>
          <w:szCs w:val="24"/>
        </w:rPr>
        <w:t xml:space="preserve">Una osservazione conclusiva sul rapporto fra la serie e il progetto che la ospita.</w:t>
      </w:r>
    </w:p>
    <w:p>
      <w:pPr>
        <w:spacing w:after="120" w:line="276"/>
        <w:jc w:val="both"/>
      </w:pPr>
      <w:r>
        <w:rPr>
          <w:rFonts w:ascii="Barlow Semi Condensed" w:cs="Barlow Semi Condensed" w:eastAsia="Barlow Semi Condensed" w:hAnsi="Barlow Semi Condensed"/>
          <w:b/>
          <w:bCs/>
          <w:sz w:val="24"/>
          <w:szCs w:val="24"/>
        </w:rPr>
        <w:t xml:space="preserve">Il progetto ha per regola l'esclusione delle ricerche estese, e questa serie è nata da undici eccezioni successive a quella regola. L'eccezione ha prodotto un solo nesso e molti Stati Zero, il che è, secondo me, l'argomento migliore a favore della regola: la ricerca estesa è strumento di ricognizione e non di accertamento, e ciò che essa restituisce va sempre ricondotto alle sedi in cui l'accertamento si compie, che sono quattordici e stanno tutte in questo Registro.</w:t>
      </w:r>
    </w:p>
    <w:p>
      <w:pPr>
        <w:spacing w:after="120" w:line="276"/>
        <w:jc w:val="both"/>
      </w:pPr>
      <w:r>
        <w:rPr>
          <w:rFonts w:ascii="Barlow Semi Condensed" w:cs="Barlow Semi Condensed" w:eastAsia="Barlow Semi Condensed" w:hAnsi="Barlow Semi Condensed"/>
          <w:b/>
          <w:bCs/>
          <w:sz w:val="24"/>
          <w:szCs w:val="24"/>
        </w:rPr>
        <w:t xml:space="preserve">E una constatazione che le undici ricognizioni consegnano insieme, e che vale come loro esito complessivo.</w:t>
      </w:r>
    </w:p>
    <w:p>
      <w:pPr>
        <w:spacing w:after="120" w:line="276"/>
        <w:jc w:val="both"/>
      </w:pPr>
      <w:r>
        <w:rPr>
          <w:rFonts w:ascii="Barlow Semi Condensed" w:cs="Barlow Semi Condensed" w:eastAsia="Barlow Semi Condensed" w:hAnsi="Barlow Semi Condensed"/>
          <w:b/>
          <w:bCs/>
          <w:sz w:val="24"/>
          <w:szCs w:val="24"/>
        </w:rPr>
        <w:t xml:space="preserve">Undici ricognizioni hanno cercato l'intersezione fra un ministro degli Esteri, una diplomazia pontificia, un ente di apostolato laicale e una struttura clandestina. Hanno trovato un solo nesso, e lo hanno trovato dove nessuno dei quattro termini lo cercava: fra un trattato tedesco-polacco e due costituzioni apostoliche, separati da venticinque giorni e da un silenzio deliberato.</w:t>
      </w:r>
    </w:p>
    <w:p>
      <w:pPr>
        <w:spacing w:after="120" w:line="276"/>
        <w:jc w:val="both"/>
      </w:pPr>
      <w:r>
        <w:rPr>
          <w:rFonts w:ascii="Barlow Semi Condensed" w:cs="Barlow Semi Condensed" w:eastAsia="Barlow Semi Condensed" w:hAnsi="Barlow Semi Condensed"/>
          <w:b/>
          <w:bCs/>
          <w:sz w:val="24"/>
          <w:szCs w:val="24"/>
        </w:rPr>
        <w:t xml:space="preserve">Il resto è assenza — e la serie è servita soprattutto a imparare di quanti tipi diversi essa sia.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XXVII · Registro Delle Undici Ricognizioni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 5.909 parole in 9 sezioni; la più ampia è §9 Altre sezioni, con 5.225.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 144 paragrafi in 9 sezioni, 16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XXVIII — La triangolazione della terza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terza campagna</w:t>
      </w:r>
    </w:p>
    <w:p>
      <w:pPr>
        <w:pStyle w:val="Heading2"/>
        <w:spacing w:after="100" w:before="200"/>
      </w:pPr>
      <w:r>
        <w:rPr>
          <w:rFonts w:ascii="Barlow Semi Condensed" w:cs="Barlow Semi Condensed" w:eastAsia="Barlow Semi Condensed" w:hAnsi="Barlow Semi Condensed"/>
          <w:sz w:val="24"/>
          <w:szCs w:val="24"/>
        </w:rPr>
        <w:t xml:space="preserve">Ventisette documenti, incrociati fra loro, col corpus e con la disciplina dell'opera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Triangolazione eseguita il 27 agosto 2026 sul lotto</w:t>
      </w:r>
    </w:p>
    <w:p>
      <w:pPr>
        <w:spacing w:after="120" w:line="276"/>
        <w:jc w:val="both"/>
      </w:pPr>
      <w:r>
        <w:rPr>
          <w:rFonts w:ascii="Barlow Semi Condensed" w:cs="Barlow Semi Condensed" w:eastAsia="Barlow Semi Condensed" w:hAnsi="Barlow Semi Condensed"/>
          <w:sz w:val="24"/>
          <w:szCs w:val="24"/>
        </w:rPr>
        <w:t xml:space="preserve">acquisito lo stesso giorno.*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è entrato</w:t>
      </w:r>
    </w:p>
    <w:p>
      <w:pPr>
        <w:spacing w:after="120" w:line="276"/>
        <w:jc w:val="both"/>
      </w:pPr>
      <w:r>
        <w:rPr>
          <w:rFonts w:ascii="Barlow Semi Condensed" w:cs="Barlow Semi Condensed" w:eastAsia="Barlow Semi Condensed" w:hAnsi="Barlow Semi Condensed"/>
          <w:sz w:val="24"/>
          <w:szCs w:val="24"/>
        </w:rPr>
        <w:t xml:space="preserve">Il lotto è arrivato in tre invii successivi e conteneva ripetizioni. Contate</w:t>
      </w:r>
    </w:p>
    <w:p>
      <w:pPr>
        <w:spacing w:after="120" w:line="276"/>
        <w:jc w:val="both"/>
      </w:pPr>
      <w:r>
        <w:rPr>
          <w:rFonts w:ascii="Barlow Semi Condensed" w:cs="Barlow Semi Condensed" w:eastAsia="Barlow Semi Condensed" w:hAnsi="Barlow Semi Condensed"/>
          <w:sz w:val="24"/>
          <w:szCs w:val="24"/>
        </w:rPr>
        <w:t xml:space="preserve">una volta sola, le acquisizioni distinte sono **ventisette, per 166.067</w:t>
      </w:r>
    </w:p>
    <w:p>
      <w:pPr>
        <w:spacing w:after="120" w:line="276"/>
        <w:jc w:val="both"/>
      </w:pPr>
      <w:r>
        <w:rPr>
          <w:rFonts w:ascii="Barlow Semi Condensed" w:cs="Barlow Semi Condensed" w:eastAsia="Barlow Semi Condensed" w:hAnsi="Barlow Semi Condensed"/>
          <w:sz w:val="24"/>
          <w:szCs w:val="24"/>
        </w:rPr>
        <w:t xml:space="preserve">parole**: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sedici ricognizioni</w:t>
      </w:r>
      <w:r>
        <w:rPr>
          <w:rFonts w:ascii="Barlow Semi Condensed" w:cs="Barlow Semi Condensed" w:eastAsia="Barlow Semi Condensed" w:hAnsi="Barlow Semi Condensed"/>
          <w:sz w:val="24"/>
          <w:szCs w:val="24"/>
        </w:rPr>
        <w:t xml:space="preserve"> numerate dalla terza alla diciottesima;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sette registri analitici</w:t>
      </w:r>
      <w:r>
        <w:rPr>
          <w:rFonts w:ascii="Barlow Semi Condensed" w:cs="Barlow Semi Condensed" w:eastAsia="Barlow Semi Condensed" w:hAnsi="Barlow Semi Condensed"/>
          <w:sz w:val="24"/>
          <w:szCs w:val="24"/>
        </w:rPr>
        <w:t xml:space="preserve">, dal primo al settimo;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un'opera seconda</w:t>
      </w:r>
      <w:r>
        <w:rPr>
          <w:rFonts w:ascii="Barlow Semi Condensed" w:cs="Barlow Semi Condensed" w:eastAsia="Barlow Semi Condensed" w:hAnsi="Barlow Semi Condensed"/>
          <w:sz w:val="24"/>
          <w:szCs w:val="24"/>
        </w:rPr>
        <w:t xml:space="preserve"> in sette Fasi e settanta Capitoli — «Il Registro dei</w:t>
      </w:r>
    </w:p>
    <w:p>
      <w:pPr>
        <w:spacing w:after="120" w:line="276"/>
        <w:jc w:val="both"/>
      </w:pPr>
      <w:r>
        <w:rPr>
          <w:rFonts w:ascii="Barlow Semi Condensed" w:cs="Barlow Semi Condensed" w:eastAsia="Barlow Semi Condensed" w:hAnsi="Barlow Semi Condensed"/>
          <w:sz w:val="24"/>
          <w:szCs w:val="24"/>
        </w:rPr>
        <w:t xml:space="preserve">  cinquantacinque giorni», 44.540 parole — che il corpus non conteneva;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un'appendice</w:t>
      </w:r>
      <w:r>
        <w:rPr>
          <w:rFonts w:ascii="Barlow Semi Condensed" w:cs="Barlow Semi Condensed" w:eastAsia="Barlow Semi Condensed" w:hAnsi="Barlow Semi Condensed"/>
          <w:sz w:val="24"/>
          <w:szCs w:val="24"/>
        </w:rPr>
        <w:t xml:space="preserve"> alla Fase settima, collocata accanto al Libro cui appartiene;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 memorandum operativo</w:t>
      </w:r>
      <w:r>
        <w:rPr>
          <w:rFonts w:ascii="Barlow Semi Condensed" w:cs="Barlow Semi Condensed" w:eastAsia="Barlow Semi Condensed" w:hAnsi="Barlow Semi Condensed"/>
          <w:sz w:val="24"/>
          <w:szCs w:val="24"/>
        </w:rPr>
        <w:t xml:space="preserve">, archiviato ma </w:t>
      </w:r>
      <w:r>
        <w:rPr>
          <w:rFonts w:ascii="Barlow Semi Condensed" w:cs="Barlow Semi Condensed" w:eastAsia="Barlow Semi Condensed" w:hAnsi="Barlow Semi Condensed"/>
          <w:b/>
          <w:bCs/>
          <w:sz w:val="24"/>
          <w:szCs w:val="24"/>
        </w:rPr>
        <w:t xml:space="preserve">non rilegato</w:t>
      </w:r>
      <w:r>
        <w:rPr>
          <w:rFonts w:ascii="Barlow Semi Condensed" w:cs="Barlow Semi Condensed" w:eastAsia="Barlow Semi Condensed" w:hAnsi="Barlow Semi Condensed"/>
          <w:sz w:val="24"/>
          <w:szCs w:val="24"/>
        </w:rPr>
        <w:t xml:space="preserve">, per disposizione</w:t>
      </w:r>
    </w:p>
    <w:p>
      <w:pPr>
        <w:spacing w:after="120" w:line="276"/>
        <w:jc w:val="both"/>
      </w:pPr>
      <w:r>
        <w:rPr>
          <w:rFonts w:ascii="Barlow Semi Condensed" w:cs="Barlow Semi Condensed" w:eastAsia="Barlow Semi Condensed" w:hAnsi="Barlow Semi Condensed"/>
          <w:sz w:val="24"/>
          <w:szCs w:val="24"/>
        </w:rPr>
        <w:t xml:space="preserve">  propria (§VII).</w:t>
      </w:r>
    </w:p>
    <w:p>
      <w:pPr>
        <w:spacing w:after="120" w:line="276"/>
        <w:jc w:val="both"/>
      </w:pPr>
      <w:r>
        <w:rPr>
          <w:rFonts w:ascii="Barlow Semi Condensed" w:cs="Barlow Semi Condensed" w:eastAsia="Barlow Semi Condensed" w:hAnsi="Barlow Semi Condensed"/>
          <w:b/>
          <w:bCs/>
          <w:sz w:val="24"/>
          <w:szCs w:val="24"/>
        </w:rPr>
        <w:t xml:space="preserve">Che cosa è stato scartato, e perché.</w:t>
      </w:r>
      <w:r>
        <w:rPr>
          <w:rFonts w:ascii="Barlow Semi Condensed" w:cs="Barlow Semi Condensed" w:eastAsia="Barlow Semi Condensed" w:hAnsi="Barlow Semi Condensed"/>
          <w:sz w:val="24"/>
          <w:szCs w:val="24"/>
        </w:rPr>
        <w:t xml:space="preserve"> Undici documenti del secondo invio</w:t>
      </w:r>
    </w:p>
    <w:p>
      <w:pPr>
        <w:spacing w:after="120" w:line="276"/>
        <w:jc w:val="both"/>
      </w:pPr>
      <w:r>
        <w:rPr>
          <w:rFonts w:ascii="Barlow Semi Condensed" w:cs="Barlow Semi Condensed" w:eastAsia="Barlow Semi Condensed" w:hAnsi="Barlow Semi Condensed"/>
          <w:sz w:val="24"/>
          <w:szCs w:val="24"/>
        </w:rPr>
        <w:t xml:space="preserve">erano byte per byte identici a quelli del primo. Del terzo invio, tre file</w:t>
      </w:r>
    </w:p>
    <w:p>
      <w:pPr>
        <w:spacing w:after="120" w:line="276"/>
        <w:jc w:val="both"/>
      </w:pPr>
      <w:r>
        <w:rPr>
          <w:rFonts w:ascii="Barlow Semi Condensed" w:cs="Barlow Semi Condensed" w:eastAsia="Barlow Semi Condensed" w:hAnsi="Barlow Semi Condensed"/>
          <w:sz w:val="24"/>
          <w:szCs w:val="24"/>
        </w:rPr>
        <w:t xml:space="preserve">risultano contenuti nell'opera seconda agli 8-grammi — al 100, al 98,3 e al</w:t>
      </w:r>
    </w:p>
    <w:p>
      <w:pPr>
        <w:spacing w:after="120" w:line="276"/>
        <w:jc w:val="both"/>
      </w:pPr>
      <w:r>
        <w:rPr>
          <w:rFonts w:ascii="Barlow Semi Condensed" w:cs="Barlow Semi Condensed" w:eastAsia="Barlow Semi Condensed" w:hAnsi="Barlow Semi Condensed"/>
          <w:sz w:val="24"/>
          <w:szCs w:val="24"/>
        </w:rPr>
        <w:t xml:space="preserve">98,7 per cento — e non sono stati archiviati a parte perché sarebbero</w:t>
      </w:r>
    </w:p>
    <w:p>
      <w:pPr>
        <w:spacing w:after="120" w:line="276"/>
        <w:jc w:val="both"/>
      </w:pPr>
      <w:r>
        <w:rPr>
          <w:rFonts w:ascii="Barlow Semi Condensed" w:cs="Barlow Semi Condensed" w:eastAsia="Barlow Semi Condensed" w:hAnsi="Barlow Semi Condensed"/>
          <w:sz w:val="24"/>
          <w:szCs w:val="24"/>
        </w:rPr>
        <w:t xml:space="preserve">duplicati. Il conteggio delle acquisizioni li esclude; l'archivio non li</w:t>
      </w:r>
    </w:p>
    <w:p>
      <w:pPr>
        <w:spacing w:after="120" w:line="276"/>
        <w:jc w:val="both"/>
      </w:pPr>
      <w:r>
        <w:rPr>
          <w:rFonts w:ascii="Barlow Semi Condensed" w:cs="Barlow Semi Condensed" w:eastAsia="Barlow Semi Condensed" w:hAnsi="Barlow Semi Condensed"/>
          <w:sz w:val="24"/>
          <w:szCs w:val="24"/>
        </w:rPr>
        <w:t xml:space="preserve">contiene.</w:t>
      </w:r>
    </w:p>
    <w:p>
      <w:pPr>
        <w:spacing w:after="120" w:line="276"/>
        <w:jc w:val="both"/>
      </w:pPr>
      <w:r>
        <w:rPr>
          <w:rFonts w:ascii="Barlow Semi Condensed" w:cs="Barlow Semi Condensed" w:eastAsia="Barlow Semi Condensed" w:hAnsi="Barlow Semi Condensed"/>
          <w:sz w:val="24"/>
          <w:szCs w:val="24"/>
        </w:rPr>
        <w:t xml:space="preserve">La sovrapposizione col corpus è stata misurata prima di archiviare, sugli</w:t>
      </w:r>
    </w:p>
    <w:p>
      <w:pPr>
        <w:spacing w:after="120" w:line="276"/>
        <w:jc w:val="both"/>
      </w:pPr>
      <w:r>
        <w:rPr>
          <w:rFonts w:ascii="Barlow Semi Condensed" w:cs="Barlow Semi Condensed" w:eastAsia="Barlow Semi Condensed" w:hAnsi="Barlow Semi Condensed"/>
          <w:sz w:val="24"/>
          <w:szCs w:val="24"/>
        </w:rPr>
        <w:t xml:space="preserve">8-grammi. </w:t>
      </w:r>
      <w:r>
        <w:rPr>
          <w:rFonts w:ascii="Barlow Semi Condensed" w:cs="Barlow Semi Condensed" w:eastAsia="Barlow Semi Condensed" w:hAnsi="Barlow Semi Condensed"/>
          <w:b/>
          <w:bCs/>
          <w:sz w:val="24"/>
          <w:szCs w:val="24"/>
        </w:rPr>
        <w:t xml:space="preserve">Quindici documenti su ventuno stanno sotto il 2 per cento</w:t>
      </w:r>
      <w:r>
        <w:rPr>
          <w:rFonts w:ascii="Barlow Semi Condensed" w:cs="Barlow Semi Condensed" w:eastAsia="Barlow Semi Condensed" w:hAnsi="Barlow Semi Condensed"/>
          <w:sz w:val="24"/>
          <w:szCs w:val="24"/>
        </w:rPr>
        <w:t xml:space="preserve">: sono</w:t>
      </w:r>
    </w:p>
    <w:p>
      <w:pPr>
        <w:spacing w:after="120" w:line="276"/>
        <w:jc w:val="both"/>
      </w:pPr>
      <w:r>
        <w:rPr>
          <w:rFonts w:ascii="Barlow Semi Condensed" w:cs="Barlow Semi Condensed" w:eastAsia="Barlow Semi Condensed" w:hAnsi="Barlow Semi Condensed"/>
          <w:sz w:val="24"/>
          <w:szCs w:val="24"/>
        </w:rPr>
        <w:t xml:space="preserve">materiale nuovo. Sei rivedono ricognizioni già presenti, con sovrapposizioni</w:t>
      </w:r>
    </w:p>
    <w:p>
      <w:pPr>
        <w:spacing w:after="120" w:line="276"/>
        <w:jc w:val="both"/>
      </w:pPr>
      <w:r>
        <w:rPr>
          <w:rFonts w:ascii="Barlow Semi Condensed" w:cs="Barlow Semi Condensed" w:eastAsia="Barlow Semi Condensed" w:hAnsi="Barlow Semi Condensed"/>
          <w:sz w:val="24"/>
          <w:szCs w:val="24"/>
        </w:rPr>
        <w:t xml:space="preserve">fra il 7 e il 29,4 per cento — e </w:t>
      </w:r>
      <w:r>
        <w:rPr>
          <w:rFonts w:ascii="Barlow Semi Condensed" w:cs="Barlow Semi Condensed" w:eastAsia="Barlow Semi Condensed" w:hAnsi="Barlow Semi Condensed"/>
          <w:b/>
          <w:bCs/>
          <w:sz w:val="24"/>
          <w:szCs w:val="24"/>
        </w:rPr>
        <w:t xml:space="preserve">nessuno dei sei sostituisce l'anteriore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ciascuno porta in testa la nota di raccordo che dichiara quale documento rivede</w:t>
      </w:r>
    </w:p>
    <w:p>
      <w:pPr>
        <w:spacing w:after="120" w:line="276"/>
        <w:jc w:val="both"/>
      </w:pPr>
      <w:r>
        <w:rPr>
          <w:rFonts w:ascii="Barlow Semi Condensed" w:cs="Barlow Semi Condensed" w:eastAsia="Barlow Semi Condensed" w:hAnsi="Barlow Semi Condensed"/>
          <w:sz w:val="24"/>
          <w:szCs w:val="24"/>
        </w:rPr>
        <w:t xml:space="preserve">e con quale misura, e le due versioni restano entrambe leggibili.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ricognizione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rivede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sovrapposizione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nona — la sequenza Oder-Neisse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santa-sede-due-germanie-oder-neisse.md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29,4 %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settima — Turchia e attentato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santa-sede-turchia-attentato-giovanni-paolo-ii.md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23,5 %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sesta — il ribaltamento iberico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portogallo-opus-dei.md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decima — revisione del modello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germania-opus-dei-1952-1985.md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14,7 %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quinta — Portogallo, le sei lacune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portogallo-santa-sede-1969-1974.md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ottava — Mediterraneo orientale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grecia-opus-dei-1969-1985.md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7,0 %</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Il risultato che distingue questa campagna: quattro confutazioni d'autore</w:t>
      </w:r>
    </w:p>
    <w:p>
      <w:pPr>
        <w:spacing w:after="120" w:line="276"/>
        <w:jc w:val="both"/>
      </w:pPr>
      <w:r>
        <w:rPr>
          <w:rFonts w:ascii="Barlow Semi Condensed" w:cs="Barlow Semi Condensed" w:eastAsia="Barlow Semi Condensed" w:hAnsi="Barlow Semi Condensed"/>
          <w:sz w:val="24"/>
          <w:szCs w:val="24"/>
        </w:rPr>
        <w:t xml:space="preserve">È la cosa che va detta per prima, perché è rara e perché è il contrario di ciò</w:t>
      </w:r>
    </w:p>
    <w:p>
      <w:pPr>
        <w:spacing w:after="120" w:line="276"/>
        <w:jc w:val="both"/>
      </w:pPr>
      <w:r>
        <w:rPr>
          <w:rFonts w:ascii="Barlow Semi Condensed" w:cs="Barlow Semi Condensed" w:eastAsia="Barlow Semi Condensed" w:hAnsi="Barlow Semi Condensed"/>
          <w:sz w:val="24"/>
          <w:szCs w:val="24"/>
        </w:rPr>
        <w:t xml:space="preserve">che ci si aspetta da una serie di ricerche condotte da chi le ha proposte.</w:t>
      </w:r>
    </w:p>
    <w:p>
      <w:pPr>
        <w:spacing w:after="120" w:line="276"/>
        <w:jc w:val="both"/>
      </w:pPr>
      <w:r>
        <w:rPr>
          <w:rFonts w:ascii="Barlow Semi Condensed" w:cs="Barlow Semi Condensed" w:eastAsia="Barlow Semi Condensed" w:hAnsi="Barlow Semi Condensed"/>
          <w:sz w:val="24"/>
          <w:szCs w:val="24"/>
        </w:rPr>
        <w:t xml:space="preserve">**Quattro volte l'autore ha formulato un'ipotesi, l'ha sottoposta a ricerca, e</w:t>
      </w:r>
    </w:p>
    <w:p>
      <w:pPr>
        <w:spacing w:after="120" w:line="276"/>
        <w:jc w:val="both"/>
      </w:pPr>
      <w:r>
        <w:rPr>
          <w:rFonts w:ascii="Barlow Semi Condensed" w:cs="Barlow Semi Condensed" w:eastAsia="Barlow Semi Condensed" w:hAnsi="Barlow Semi Condensed"/>
          <w:sz w:val="24"/>
          <w:szCs w:val="24"/>
        </w:rPr>
        <w:t xml:space="preserve">ha registrato che le fonti la respingevano.** Non in nota: in apertura di</w:t>
      </w:r>
    </w:p>
    <w:p>
      <w:pPr>
        <w:spacing w:after="120" w:line="276"/>
        <w:jc w:val="both"/>
      </w:pPr>
      <w:r>
        <w:rPr>
          <w:rFonts w:ascii="Barlow Semi Condensed" w:cs="Barlow Semi Condensed" w:eastAsia="Barlow Semi Condensed" w:hAnsi="Barlow Semi Condensed"/>
          <w:sz w:val="24"/>
          <w:szCs w:val="24"/>
        </w:rPr>
        <w:t xml:space="preserve">documento, con la formulazione originaria riprodotta per esteso.</w:t>
      </w:r>
    </w:p>
    <w:p>
      <w:pPr>
        <w:spacing w:after="120" w:line="276"/>
        <w:jc w:val="both"/>
      </w:pPr>
      <w:r>
        <w:rPr>
          <w:rFonts w:ascii="Barlow Semi Condensed" w:cs="Barlow Semi Condensed" w:eastAsia="Barlow Semi Condensed" w:hAnsi="Barlow Semi Condensed"/>
          <w:b/>
          <w:bCs/>
          <w:sz w:val="24"/>
          <w:szCs w:val="24"/>
        </w:rPr>
        <w:t xml:space="preserve">Prima confutazione — il modello dell'Opus Dei, prima condizione falsificata</w:t>
      </w:r>
    </w:p>
    <w:p>
      <w:pPr>
        <w:spacing w:after="120" w:line="276"/>
        <w:jc w:val="both"/>
      </w:pPr>
      <w:r>
        <w:rPr>
          <w:rFonts w:ascii="Barlow Semi Condensed" w:cs="Barlow Semi Condensed" w:eastAsia="Barlow Semi Condensed" w:hAnsi="Barlow Semi Condensed"/>
          <w:sz w:val="24"/>
          <w:szCs w:val="24"/>
        </w:rPr>
        <w:t xml:space="preserve">(decima ricognizione). Il modello prevedeva che l'insediamento richiedesse un</w:t>
      </w:r>
    </w:p>
    <w:p>
      <w:pPr>
        <w:spacing w:after="120" w:line="276"/>
        <w:jc w:val="both"/>
      </w:pPr>
      <w:r>
        <w:rPr>
          <w:rFonts w:ascii="Barlow Semi Condensed" w:cs="Barlow Semi Condensed" w:eastAsia="Barlow Semi Condensed" w:hAnsi="Barlow Semi Condensed"/>
          <w:sz w:val="24"/>
          <w:szCs w:val="24"/>
        </w:rPr>
        <w:t xml:space="preserve">Paese a maggioranza cattolica o con ceto cattolico autoctono. La condizione di</w:t>
      </w:r>
    </w:p>
    <w:p>
      <w:pPr>
        <w:spacing w:after="120" w:line="276"/>
        <w:jc w:val="both"/>
      </w:pPr>
      <w:r>
        <w:rPr>
          <w:rFonts w:ascii="Barlow Semi Condensed" w:cs="Barlow Semi Condensed" w:eastAsia="Barlow Semi Condensed" w:hAnsi="Barlow Semi Condensed"/>
          <w:sz w:val="24"/>
          <w:szCs w:val="24"/>
        </w:rPr>
        <w:t xml:space="preserve">falsificazione era stata dichiarata in anticipo. È caduta: **la Gran Bretagna</w:t>
      </w:r>
    </w:p>
    <w:p>
      <w:pPr>
        <w:spacing w:after="120" w:line="276"/>
        <w:jc w:val="both"/>
      </w:pPr>
      <w:r>
        <w:rPr>
          <w:rFonts w:ascii="Barlow Semi Condensed" w:cs="Barlow Semi Condensed" w:eastAsia="Barlow Semi Condensed" w:hAnsi="Barlow Semi Condensed"/>
          <w:sz w:val="24"/>
          <w:szCs w:val="24"/>
        </w:rPr>
        <w:t xml:space="preserve">del 1946 precede la Germania del 1952**, e non è né l'una né l'altra cosa. Il</w:t>
      </w:r>
    </w:p>
    <w:p>
      <w:pPr>
        <w:spacing w:after="120" w:line="276"/>
        <w:jc w:val="both"/>
      </w:pPr>
      <w:r>
        <w:rPr>
          <w:rFonts w:ascii="Barlow Semi Condensed" w:cs="Barlow Semi Condensed" w:eastAsia="Barlow Semi Condensed" w:hAnsi="Barlow Semi Condensed"/>
          <w:sz w:val="24"/>
          <w:szCs w:val="24"/>
        </w:rPr>
        <w:t xml:space="preserve">Registro delle undici ricognizioni fissa la correzione con precisione:</w:t>
      </w:r>
    </w:p>
    <w:p>
      <w:pPr>
        <w:spacing w:after="120" w:line="276"/>
        <w:jc w:val="both"/>
      </w:pPr>
      <w:r>
        <w:rPr>
          <w:rFonts w:ascii="Barlow Semi Condensed" w:cs="Barlow Semi Condensed" w:eastAsia="Barlow Semi Condensed" w:hAnsi="Barlow Semi Condensed"/>
          <w:sz w:val="24"/>
          <w:szCs w:val="24"/>
        </w:rPr>
        <w:t xml:space="preserve">«il primo caso falsificante è la Gran Bretagna 1946 e non la Germania 1952; la</w:t>
      </w:r>
    </w:p>
    <w:p>
      <w:pPr>
        <w:spacing w:after="120" w:line="276"/>
        <w:jc w:val="both"/>
      </w:pPr>
      <w:r>
        <w:rPr>
          <w:rFonts w:ascii="Barlow Semi Condensed" w:cs="Barlow Semi Condensed" w:eastAsia="Barlow Semi Condensed" w:hAnsi="Barlow Semi Condensed"/>
          <w:sz w:val="24"/>
          <w:szCs w:val="24"/>
        </w:rPr>
        <w:t xml:space="preserve">Germania è il caso </w:t>
      </w:r>
      <w:r>
        <w:rPr>
          <w:rFonts w:ascii="Barlow Semi Condensed" w:cs="Barlow Semi Condensed" w:eastAsia="Barlow Semi Condensed" w:hAnsi="Barlow Semi Condensed"/>
          <w:i/>
          <w:iCs/>
          <w:sz w:val="24"/>
          <w:szCs w:val="24"/>
        </w:rPr>
        <w:t xml:space="preserve">più probante</w:t>
      </w:r>
      <w:r>
        <w:rPr>
          <w:rFonts w:ascii="Barlow Semi Condensed" w:cs="Barlow Semi Condensed" w:eastAsia="Barlow Semi Condensed" w:hAnsi="Barlow Semi Condensed"/>
          <w:sz w:val="24"/>
          <w:szCs w:val="24"/>
        </w:rPr>
        <w:t xml:space="preserve"> perché il milieu vi è più documentato, *non</w:t>
      </w:r>
    </w:p>
    <w:p>
      <w:pPr>
        <w:spacing w:after="120" w:line="276"/>
        <w:jc w:val="both"/>
      </w:pPr>
      <w:r>
        <w:rPr>
          <w:rFonts w:ascii="Barlow Semi Condensed" w:cs="Barlow Semi Condensed" w:eastAsia="Barlow Semi Condensed" w:hAnsi="Barlow Semi Condensed"/>
          <w:sz w:val="24"/>
          <w:szCs w:val="24"/>
        </w:rPr>
        <w:t xml:space="preserve">il più antico*».</w:t>
      </w:r>
    </w:p>
    <w:p>
      <w:pPr>
        <w:spacing w:after="120" w:line="276"/>
        <w:jc w:val="both"/>
      </w:pPr>
      <w:r>
        <w:rPr>
          <w:rFonts w:ascii="Barlow Semi Condensed" w:cs="Barlow Semi Condensed" w:eastAsia="Barlow Semi Condensed" w:hAnsi="Barlow Semi Condensed"/>
          <w:b/>
          <w:bCs/>
          <w:sz w:val="24"/>
          <w:szCs w:val="24"/>
        </w:rPr>
        <w:t xml:space="preserve">Seconda confutazione — il Kenya</w:t>
      </w:r>
      <w:r>
        <w:rPr>
          <w:rFonts w:ascii="Barlow Semi Condensed" w:cs="Barlow Semi Condensed" w:eastAsia="Barlow Semi Condensed" w:hAnsi="Barlow Semi Condensed"/>
          <w:sz w:val="24"/>
          <w:szCs w:val="24"/>
        </w:rPr>
        <w:t xml:space="preserve"> (dodicesima ricognizione). Il modello,</w:t>
      </w:r>
    </w:p>
    <w:p>
      <w:pPr>
        <w:spacing w:after="120" w:line="276"/>
        <w:jc w:val="both"/>
      </w:pPr>
      <w:r>
        <w:rPr>
          <w:rFonts w:ascii="Barlow Semi Condensed" w:cs="Barlow Semi Condensed" w:eastAsia="Barlow Semi Condensed" w:hAnsi="Barlow Semi Condensed"/>
          <w:sz w:val="24"/>
          <w:szCs w:val="24"/>
        </w:rPr>
        <w:t xml:space="preserve">già emendato una volta, cade una seconda: si documenta un radicamento</w:t>
      </w:r>
    </w:p>
    <w:p>
      <w:pPr>
        <w:spacing w:after="120" w:line="276"/>
        <w:jc w:val="both"/>
      </w:pPr>
      <w:r>
        <w:rPr>
          <w:rFonts w:ascii="Barlow Semi Condensed" w:cs="Barlow Semi Condensed" w:eastAsia="Barlow Semi Condensed" w:hAnsi="Barlow Semi Condensed"/>
          <w:b/>
          <w:bCs/>
          <w:sz w:val="24"/>
          <w:szCs w:val="24"/>
        </w:rPr>
        <w:t xml:space="preserve">endogeno</w:t>
      </w:r>
      <w:r>
        <w:rPr>
          <w:rFonts w:ascii="Barlow Semi Condensed" w:cs="Barlow Semi Condensed" w:eastAsia="Barlow Semi Condensed" w:hAnsi="Barlow Semi Condensed"/>
          <w:sz w:val="24"/>
          <w:szCs w:val="24"/>
        </w:rPr>
        <w:t xml:space="preserve"> del ceto, non per trapianto, in un Paese che ne era privo. Che una</w:t>
      </w:r>
    </w:p>
    <w:p>
      <w:pPr>
        <w:spacing w:after="120" w:line="276"/>
        <w:jc w:val="both"/>
      </w:pPr>
      <w:r>
        <w:rPr>
          <w:rFonts w:ascii="Barlow Semi Condensed" w:cs="Barlow Semi Condensed" w:eastAsia="Barlow Semi Condensed" w:hAnsi="Barlow Semi Condensed"/>
          <w:sz w:val="24"/>
          <w:szCs w:val="24"/>
        </w:rPr>
        <w:t xml:space="preserve">proposizione con condizione di falsificazione esplicita cada due volte in due</w:t>
      </w:r>
    </w:p>
    <w:p>
      <w:pPr>
        <w:spacing w:after="120" w:line="276"/>
        <w:jc w:val="both"/>
      </w:pPr>
      <w:r>
        <w:rPr>
          <w:rFonts w:ascii="Barlow Semi Condensed" w:cs="Barlow Semi Condensed" w:eastAsia="Barlow Semi Condensed" w:hAnsi="Barlow Semi Condensed"/>
          <w:sz w:val="24"/>
          <w:szCs w:val="24"/>
        </w:rPr>
        <w:t xml:space="preserve">passaggi è, dichiara l'autore, «essa stessa un risultato».</w:t>
      </w:r>
    </w:p>
    <w:p>
      <w:pPr>
        <w:spacing w:after="120" w:line="276"/>
        <w:jc w:val="both"/>
      </w:pPr>
      <w:r>
        <w:rPr>
          <w:rFonts w:ascii="Barlow Semi Condensed" w:cs="Barlow Semi Condensed" w:eastAsia="Barlow Semi Condensed" w:hAnsi="Barlow Semi Condensed"/>
          <w:b/>
          <w:bCs/>
          <w:sz w:val="24"/>
          <w:szCs w:val="24"/>
        </w:rPr>
        <w:t xml:space="preserve">Terza confutazione — l'ipotesi namibiana</w:t>
      </w:r>
      <w:r>
        <w:rPr>
          <w:rFonts w:ascii="Barlow Semi Condensed" w:cs="Barlow Semi Condensed" w:eastAsia="Barlow Semi Condensed" w:hAnsi="Barlow Semi Condensed"/>
          <w:sz w:val="24"/>
          <w:szCs w:val="24"/>
        </w:rPr>
        <w:t xml:space="preserve"> (sedicesima ricognizione).</w:t>
      </w:r>
    </w:p>
    <w:p>
      <w:pPr>
        <w:spacing w:after="120" w:line="276"/>
        <w:jc w:val="both"/>
      </w:pPr>
      <w:r>
        <w:rPr>
          <w:rFonts w:ascii="Barlow Semi Condensed" w:cs="Barlow Semi Condensed" w:eastAsia="Barlow Semi Condensed" w:hAnsi="Barlow Semi Condensed"/>
          <w:sz w:val="24"/>
          <w:szCs w:val="24"/>
        </w:rPr>
        <w:t xml:space="preserve">L'ipotesi sull'esclusione italiana dal Gruppo di contatto occidentale è respinta</w:t>
      </w:r>
    </w:p>
    <w:p>
      <w:pPr>
        <w:spacing w:after="120" w:line="276"/>
        <w:jc w:val="both"/>
      </w:pPr>
      <w:r>
        <w:rPr>
          <w:rFonts w:ascii="Barlow Semi Condensed" w:cs="Barlow Semi Condensed" w:eastAsia="Barlow Semi Condensed" w:hAnsi="Barlow Semi Condensed"/>
          <w:sz w:val="24"/>
          <w:szCs w:val="24"/>
        </w:rPr>
        <w:t xml:space="preserve">dalle fonti. L'autore la registra in apertura «perché è la terza volta nella</w:t>
      </w:r>
    </w:p>
    <w:p>
      <w:pPr>
        <w:spacing w:after="120" w:line="276"/>
        <w:jc w:val="both"/>
      </w:pPr>
      <w:r>
        <w:rPr>
          <w:rFonts w:ascii="Barlow Semi Condensed" w:cs="Barlow Semi Condensed" w:eastAsia="Barlow Semi Condensed" w:hAnsi="Barlow Semi Condensed"/>
          <w:sz w:val="24"/>
          <w:szCs w:val="24"/>
        </w:rPr>
        <w:t xml:space="preserve">serie che ciò accade, e perché tacerla sarebbe il vizio che la serie serve a</w:t>
      </w:r>
    </w:p>
    <w:p>
      <w:pPr>
        <w:spacing w:after="120" w:line="276"/>
        <w:jc w:val="both"/>
      </w:pPr>
      <w:r>
        <w:rPr>
          <w:rFonts w:ascii="Barlow Semi Condensed" w:cs="Barlow Semi Condensed" w:eastAsia="Barlow Semi Condensed" w:hAnsi="Barlow Semi Condensed"/>
          <w:sz w:val="24"/>
          <w:szCs w:val="24"/>
        </w:rPr>
        <w:t xml:space="preserve">prevenire».</w:t>
      </w:r>
    </w:p>
    <w:p>
      <w:pPr>
        <w:spacing w:after="120" w:line="276"/>
        <w:jc w:val="both"/>
      </w:pPr>
      <w:r>
        <w:rPr>
          <w:rFonts w:ascii="Barlow Semi Condensed" w:cs="Barlow Semi Condensed" w:eastAsia="Barlow Semi Condensed" w:hAnsi="Barlow Semi Condensed"/>
          <w:b/>
          <w:bCs/>
          <w:sz w:val="24"/>
          <w:szCs w:val="24"/>
        </w:rPr>
        <w:t xml:space="preserve">Quarta confutazione — il nodo sudafricano</w:t>
      </w:r>
      <w:r>
        <w:rPr>
          <w:rFonts w:ascii="Barlow Semi Condensed" w:cs="Barlow Semi Condensed" w:eastAsia="Barlow Semi Condensed" w:hAnsi="Barlow Semi Condensed"/>
          <w:sz w:val="24"/>
          <w:szCs w:val="24"/>
        </w:rPr>
        <w:t xml:space="preserve"> (terzo registro). L'ipotesi era</w:t>
      </w:r>
    </w:p>
    <w:p>
      <w:pPr>
        <w:spacing w:after="120" w:line="276"/>
        <w:jc w:val="both"/>
      </w:pPr>
      <w:r>
        <w:rPr>
          <w:rFonts w:ascii="Barlow Semi Condensed" w:cs="Barlow Semi Condensed" w:eastAsia="Barlow Semi Condensed" w:hAnsi="Barlow Semi Condensed"/>
          <w:sz w:val="24"/>
          <w:szCs w:val="24"/>
        </w:rPr>
        <w:t xml:space="preserve">che il Sudafrica costituisse un nodo che attraversa entrambe le formazioni</w:t>
      </w:r>
    </w:p>
    <w:p>
      <w:pPr>
        <w:spacing w:after="120" w:line="276"/>
        <w:jc w:val="both"/>
      </w:pPr>
      <w:r>
        <w:rPr>
          <w:rFonts w:ascii="Barlow Semi Condensed" w:cs="Barlow Semi Condensed" w:eastAsia="Barlow Semi Condensed" w:hAnsi="Barlow Semi Condensed"/>
          <w:sz w:val="24"/>
          <w:szCs w:val="24"/>
        </w:rPr>
        <w:t xml:space="preserve">cambiando polarità. Le fonti danno un'altra figura: **non un nodo che ruota, ma</w:t>
      </w:r>
    </w:p>
    <w:p>
      <w:pPr>
        <w:spacing w:after="120" w:line="276"/>
        <w:jc w:val="both"/>
      </w:pPr>
      <w:r>
        <w:rPr>
          <w:rFonts w:ascii="Barlow Semi Condensed" w:cs="Barlow Semi Condensed" w:eastAsia="Barlow Semi Condensed" w:hAnsi="Barlow Semi Condensed"/>
          <w:sz w:val="24"/>
          <w:szCs w:val="24"/>
        </w:rPr>
        <w:t xml:space="preserve">lo Stato che contiene i due fronti**.</w:t>
      </w:r>
    </w:p>
    <w:p>
      <w:pPr>
        <w:spacing w:after="120" w:line="276"/>
        <w:jc w:val="both"/>
      </w:pPr>
      <w:r>
        <w:rPr>
          <w:rFonts w:ascii="Barlow Semi Condensed" w:cs="Barlow Semi Condensed" w:eastAsia="Barlow Semi Condensed" w:hAnsi="Barlow Semi Condensed"/>
          <w:sz w:val="24"/>
          <w:szCs w:val="24"/>
        </w:rPr>
        <w:t xml:space="preserve">Quattro ipotesi proposte e quattro respinte, dallo stesso autore che le aveva</w:t>
      </w:r>
    </w:p>
    <w:p>
      <w:pPr>
        <w:spacing w:after="120" w:line="276"/>
        <w:jc w:val="both"/>
      </w:pPr>
      <w:r>
        <w:rPr>
          <w:rFonts w:ascii="Barlow Semi Condensed" w:cs="Barlow Semi Condensed" w:eastAsia="Barlow Semi Condensed" w:hAnsi="Barlow Semi Condensed"/>
          <w:sz w:val="24"/>
          <w:szCs w:val="24"/>
        </w:rPr>
        <w:t xml:space="preserve">proposte. Nel corpus questo non ha precedenti di uguale densità, ed è il motivo</w:t>
      </w:r>
    </w:p>
    <w:p>
      <w:pPr>
        <w:spacing w:after="120" w:line="276"/>
        <w:jc w:val="both"/>
      </w:pPr>
      <w:r>
        <w:rPr>
          <w:rFonts w:ascii="Barlow Semi Condensed" w:cs="Barlow Semi Condensed" w:eastAsia="Barlow Semi Condensed" w:hAnsi="Barlow Semi Condensed"/>
          <w:sz w:val="24"/>
          <w:szCs w:val="24"/>
        </w:rPr>
        <w:t xml:space="preserve">per cui la campagna vale più della somma dei suoi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che la campagna impone al corpus</w:t>
      </w:r>
    </w:p>
    <w:p>
      <w:pPr>
        <w:spacing w:after="120" w:line="276"/>
        <w:jc w:val="both"/>
      </w:pPr>
      <w:r>
        <w:rPr>
          <w:rFonts w:ascii="Barlow Semi Condensed" w:cs="Barlow Semi Condensed" w:eastAsia="Barlow Semi Condensed" w:hAnsi="Barlow Semi Condensed"/>
          <w:sz w:val="24"/>
          <w:szCs w:val="24"/>
        </w:rPr>
        <w:t xml:space="preserve">Vanno eseguite, non soltanto registrate.</w:t>
      </w:r>
    </w:p>
    <w:p>
      <w:pPr>
        <w:spacing w:after="120" w:line="276"/>
        <w:jc w:val="both"/>
      </w:pPr>
      <w:r>
        <w:rPr>
          <w:rFonts w:ascii="Barlow Semi Condensed" w:cs="Barlow Semi Condensed" w:eastAsia="Barlow Semi Condensed" w:hAnsi="Barlow Semi Condensed"/>
          <w:sz w:val="24"/>
          <w:szCs w:val="24"/>
        </w:rPr>
        <w:t xml:space="preserve">**Il riconoscimento della Repubblica Democratica Tedesca non avvenne sotto</w:t>
      </w:r>
    </w:p>
    <w:p>
      <w:pPr>
        <w:spacing w:after="120" w:line="276"/>
        <w:jc w:val="both"/>
      </w:pPr>
      <w:r>
        <w:rPr>
          <w:rFonts w:ascii="Barlow Semi Condensed" w:cs="Barlow Semi Condensed" w:eastAsia="Barlow Semi Condensed" w:hAnsi="Barlow Semi Condensed"/>
          <w:sz w:val="24"/>
          <w:szCs w:val="24"/>
        </w:rPr>
        <w:t xml:space="preserve">Moro.** La nona ricognizione lo data col Portale storico della Camera: seduta</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mercoledì 17 gennaio 1973</w:t>
      </w:r>
      <w:r>
        <w:rPr>
          <w:rFonts w:ascii="Barlow Semi Condensed" w:cs="Barlow Semi Condensed" w:eastAsia="Barlow Semi Condensed" w:hAnsi="Barlow Semi Condensed"/>
          <w:sz w:val="24"/>
          <w:szCs w:val="24"/>
        </w:rPr>
        <w:t xml:space="preserve">, sesta legislatura. Cadde </w:t>
      </w:r>
      <w:r>
        <w:rPr>
          <w:rFonts w:ascii="Barlow Semi Condensed" w:cs="Barlow Semi Condensed" w:eastAsia="Barlow Semi Condensed" w:hAnsi="Barlow Semi Condensed"/>
          <w:b/>
          <w:bCs/>
          <w:sz w:val="24"/>
          <w:szCs w:val="24"/>
        </w:rPr>
        <w:t xml:space="preserve">fra i due mandati</w:t>
      </w:r>
    </w:p>
    <w:p>
      <w:pPr>
        <w:spacing w:after="120" w:line="276"/>
        <w:jc w:val="both"/>
      </w:pPr>
      <w:r>
        <w:rPr>
          <w:rFonts w:ascii="Barlow Semi Condensed" w:cs="Barlow Semi Condensed" w:eastAsia="Barlow Semi Condensed" w:hAnsi="Barlow Semi Condensed"/>
          <w:sz w:val="24"/>
          <w:szCs w:val="24"/>
        </w:rPr>
        <w:t xml:space="preserve">di Moro alla Farnesina, e il ministro degli Esteri era allora **Giuseppe</w:t>
      </w:r>
    </w:p>
    <w:p>
      <w:pPr>
        <w:spacing w:after="120" w:line="276"/>
        <w:jc w:val="both"/>
      </w:pPr>
      <w:r>
        <w:rPr>
          <w:rFonts w:ascii="Barlow Semi Condensed" w:cs="Barlow Semi Condensed" w:eastAsia="Barlow Semi Condensed" w:hAnsi="Barlow Semi Condensed"/>
          <w:sz w:val="24"/>
          <w:szCs w:val="24"/>
        </w:rPr>
        <w:t xml:space="preserve">Medici**, nel governo Andreotti. L'ipotesi che fosse avvenuto sotto la</w:t>
      </w:r>
    </w:p>
    <w:p>
      <w:pPr>
        <w:spacing w:after="120" w:line="276"/>
        <w:jc w:val="both"/>
      </w:pPr>
      <w:r>
        <w:rPr>
          <w:rFonts w:ascii="Barlow Semi Condensed" w:cs="Barlow Semi Condensed" w:eastAsia="Barlow Semi Condensed" w:hAnsi="Barlow Semi Condensed"/>
          <w:sz w:val="24"/>
          <w:szCs w:val="24"/>
        </w:rPr>
        <w:t xml:space="preserve">titolarità di Moro è errata e va emendata ovunque il corpus la porti.</w:t>
      </w:r>
    </w:p>
    <w:p>
      <w:pPr>
        <w:spacing w:after="120" w:line="276"/>
        <w:jc w:val="both"/>
      </w:pPr>
      <w:r>
        <w:rPr>
          <w:rFonts w:ascii="Barlow Semi Condensed" w:cs="Barlow Semi Condensed" w:eastAsia="Barlow Semi Condensed" w:hAnsi="Barlow Semi Condensed"/>
          <w:b/>
          <w:bCs/>
          <w:sz w:val="24"/>
          <w:szCs w:val="24"/>
        </w:rPr>
        <w:t xml:space="preserve">L'espulsione dei comboniani ha due date, non una.</w:t>
      </w:r>
      <w:r>
        <w:rPr>
          <w:rFonts w:ascii="Barlow Semi Condensed" w:cs="Barlow Semi Condensed" w:eastAsia="Barlow Semi Condensed" w:hAnsi="Barlow Semi Condensed"/>
          <w:sz w:val="24"/>
          <w:szCs w:val="24"/>
        </w:rPr>
        <w:t xml:space="preserve"> La quinta ricognizione</w:t>
      </w:r>
    </w:p>
    <w:p>
      <w:pPr>
        <w:spacing w:after="120" w:line="276"/>
        <w:jc w:val="both"/>
      </w:pPr>
      <w:r>
        <w:rPr>
          <w:rFonts w:ascii="Barlow Semi Condensed" w:cs="Barlow Semi Condensed" w:eastAsia="Barlow Semi Condensed" w:hAnsi="Barlow Semi Condensed"/>
          <w:sz w:val="24"/>
          <w:szCs w:val="24"/>
        </w:rPr>
        <w:t xml:space="preserve">separa l'ordine — </w:t>
      </w:r>
      <w:r>
        <w:rPr>
          <w:rFonts w:ascii="Barlow Semi Condensed" w:cs="Barlow Semi Condensed" w:eastAsia="Barlow Semi Condensed" w:hAnsi="Barlow Semi Condensed"/>
          <w:b/>
          <w:bCs/>
          <w:sz w:val="24"/>
          <w:szCs w:val="24"/>
        </w:rPr>
        <w:t xml:space="preserve">5 marzo 1974</w:t>
      </w:r>
      <w:r>
        <w:rPr>
          <w:rFonts w:ascii="Barlow Semi Condensed" w:cs="Barlow Semi Condensed" w:eastAsia="Barlow Semi Condensed" w:hAnsi="Barlow Semi Condensed"/>
          <w:sz w:val="24"/>
          <w:szCs w:val="24"/>
        </w:rPr>
        <w:t xml:space="preserve"> — dall'esecuzione — </w:t>
      </w:r>
      <w:r>
        <w:rPr>
          <w:rFonts w:ascii="Barlow Semi Condensed" w:cs="Barlow Semi Condensed" w:eastAsia="Barlow Semi Condensed" w:hAnsi="Barlow Semi Condensed"/>
          <w:b/>
          <w:bCs/>
          <w:sz w:val="24"/>
          <w:szCs w:val="24"/>
        </w:rPr>
        <w:t xml:space="preserve">13 aprile 1974</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trentanove giorni fra la decisione e l'atto, e la decisione precede di</w:t>
      </w:r>
    </w:p>
    <w:p>
      <w:pPr>
        <w:spacing w:after="120" w:line="276"/>
        <w:jc w:val="both"/>
      </w:pPr>
      <w:r>
        <w:rPr>
          <w:rFonts w:ascii="Barlow Semi Condensed" w:cs="Barlow Semi Condensed" w:eastAsia="Barlow Semi Condensed" w:hAnsi="Barlow Semi Condensed"/>
          <w:sz w:val="24"/>
          <w:szCs w:val="24"/>
        </w:rPr>
        <w:t xml:space="preserve">cinquantun giorni la caduta del regime. La passata precedente aveva registrato</w:t>
      </w:r>
    </w:p>
    <w:p>
      <w:pPr>
        <w:spacing w:after="120" w:line="276"/>
        <w:jc w:val="both"/>
      </w:pPr>
      <w:r>
        <w:rPr>
          <w:rFonts w:ascii="Barlow Semi Condensed" w:cs="Barlow Semi Condensed" w:eastAsia="Barlow Semi Condensed" w:hAnsi="Barlow Semi Condensed"/>
          <w:sz w:val="24"/>
          <w:szCs w:val="24"/>
        </w:rPr>
        <w:t xml:space="preserve">soltanto la data dell'esecuzione, e la differenza cambia la lettura.</w:t>
      </w:r>
    </w:p>
    <w:p>
      <w:pPr>
        <w:spacing w:after="120" w:line="276"/>
        <w:jc w:val="both"/>
      </w:pPr>
      <w:r>
        <w:rPr>
          <w:rFonts w:ascii="Barlow Semi Condensed" w:cs="Barlow Semi Condensed" w:eastAsia="Barlow Semi Condensed" w:hAnsi="Barlow Semi Condensed"/>
          <w:b/>
          <w:bCs/>
          <w:sz w:val="24"/>
          <w:szCs w:val="24"/>
        </w:rPr>
        <w:t xml:space="preserve">La quinta proposizione sull'Aginter va corretta.</w:t>
      </w:r>
      <w:r>
        <w:rPr>
          <w:rFonts w:ascii="Barlow Semi Condensed" w:cs="Barlow Semi Condensed" w:eastAsia="Barlow Semi Condensed" w:hAnsi="Barlow Semi Condensed"/>
          <w:sz w:val="24"/>
          <w:szCs w:val="24"/>
        </w:rPr>
        <w:t xml:space="preserve"> La tredicesima</w:t>
      </w:r>
    </w:p>
    <w:p>
      <w:pPr>
        <w:spacing w:after="120" w:line="276"/>
        <w:jc w:val="both"/>
      </w:pPr>
      <w:r>
        <w:rPr>
          <w:rFonts w:ascii="Barlow Semi Condensed" w:cs="Barlow Semi Condensed" w:eastAsia="Barlow Semi Condensed" w:hAnsi="Barlow Semi Condensed"/>
          <w:sz w:val="24"/>
          <w:szCs w:val="24"/>
        </w:rPr>
        <w:t xml:space="preserve">ricognizione accerta che non vi fu mai richiesta italiana di estradizione,</w:t>
      </w:r>
    </w:p>
    <w:p>
      <w:pPr>
        <w:spacing w:after="120" w:line="276"/>
        <w:jc w:val="both"/>
      </w:pPr>
      <w:r>
        <w:rPr>
          <w:rFonts w:ascii="Barlow Semi Condensed" w:cs="Barlow Semi Condensed" w:eastAsia="Barlow Semi Condensed" w:hAnsi="Barlow Semi Condensed"/>
          <w:sz w:val="24"/>
          <w:szCs w:val="24"/>
        </w:rPr>
        <w:t xml:space="preserve">accolta o respinta: la questione non si pose in quei termini perché l'uomo non</w:t>
      </w:r>
    </w:p>
    <w:p>
      <w:pPr>
        <w:spacing w:after="120" w:line="276"/>
        <w:jc w:val="both"/>
      </w:pPr>
      <w:r>
        <w:rPr>
          <w:rFonts w:ascii="Barlow Semi Condensed" w:cs="Barlow Semi Condensed" w:eastAsia="Barlow Semi Condensed" w:hAnsi="Barlow Semi Condensed"/>
          <w:sz w:val="24"/>
          <w:szCs w:val="24"/>
        </w:rPr>
        <w:t xml:space="preserve">fu mai localizzato, e </w:t>
      </w:r>
      <w:r>
        <w:rPr>
          <w:rFonts w:ascii="Barlow Semi Condensed" w:cs="Barlow Semi Condensed" w:eastAsia="Barlow Semi Condensed" w:hAnsi="Barlow Semi Condensed"/>
          <w:b/>
          <w:bCs/>
          <w:sz w:val="24"/>
          <w:szCs w:val="24"/>
        </w:rPr>
        <w:t xml:space="preserve">la notifica avvenne per irreperibilità</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Una voce del Registro va emendata</w:t>
      </w:r>
      <w:r>
        <w:rPr>
          <w:rFonts w:ascii="Barlow Semi Condensed" w:cs="Barlow Semi Condensed" w:eastAsia="Barlow Semi Condensed" w:hAnsi="Barlow Semi Condensed"/>
          <w:sz w:val="24"/>
          <w:szCs w:val="24"/>
        </w:rPr>
        <w:t xml:space="preserve"> (quattordicesima, calibrazione libica), e</w:t>
      </w:r>
    </w:p>
    <w:p>
      <w:pPr>
        <w:spacing w:after="120" w:line="276"/>
        <w:jc w:val="both"/>
      </w:pPr>
      <w:r>
        <w:rPr>
          <w:rFonts w:ascii="Barlow Semi Condensed" w:cs="Barlow Semi Condensed" w:eastAsia="Barlow Semi Condensed" w:hAnsi="Barlow Semi Condensed"/>
          <w:b/>
          <w:bCs/>
          <w:sz w:val="24"/>
          <w:szCs w:val="24"/>
        </w:rPr>
        <w:t xml:space="preserve">la sedicesima ricognizione va corretta dalla diciottesima</w:t>
      </w:r>
      <w:r>
        <w:rPr>
          <w:rFonts w:ascii="Barlow Semi Condensed" w:cs="Barlow Semi Condensed" w:eastAsia="Barlow Semi Condensed" w:hAnsi="Barlow Semi Condensed"/>
          <w:sz w:val="24"/>
          <w:szCs w:val="24"/>
        </w:rPr>
        <w:t xml:space="preserve">. Entrambe le</w:t>
      </w:r>
    </w:p>
    <w:p>
      <w:pPr>
        <w:spacing w:after="120" w:line="276"/>
        <w:jc w:val="both"/>
      </w:pPr>
      <w:r>
        <w:rPr>
          <w:rFonts w:ascii="Barlow Semi Condensed" w:cs="Barlow Semi Condensed" w:eastAsia="Barlow Semi Condensed" w:hAnsi="Barlow Semi Condensed"/>
          <w:sz w:val="24"/>
          <w:szCs w:val="24"/>
        </w:rPr>
        <w:t xml:space="preserve">emendazioni sono eseguite dentro i rispettivi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L'acquisizione metodologica: la contaminazione per prossimità</w:t>
      </w:r>
    </w:p>
    <w:p>
      <w:pPr>
        <w:spacing w:after="120" w:line="276"/>
        <w:jc w:val="both"/>
      </w:pPr>
      <w:r>
        <w:rPr>
          <w:rFonts w:ascii="Barlow Semi Condensed" w:cs="Barlow Semi Condensed" w:eastAsia="Barlow Semi Condensed" w:hAnsi="Barlow Semi Condensed"/>
          <w:sz w:val="24"/>
          <w:szCs w:val="24"/>
        </w:rPr>
        <w:t xml:space="preserve">L'undicesima ricognizione produce un concetto che eccede il proprio perimetro e</w:t>
      </w:r>
    </w:p>
    <w:p>
      <w:pPr>
        <w:spacing w:after="120" w:line="276"/>
        <w:jc w:val="both"/>
      </w:pPr>
      <w:r>
        <w:rPr>
          <w:rFonts w:ascii="Barlow Semi Condensed" w:cs="Barlow Semi Condensed" w:eastAsia="Barlow Semi Condensed" w:hAnsi="Barlow Semi Condensed"/>
          <w:sz w:val="24"/>
          <w:szCs w:val="24"/>
        </w:rPr>
        <w:t xml:space="preserve">va portato nell'apparato del metodo.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Contaminazione per prossimità.</w:t>
      </w:r>
      <w:r>
        <w:rPr>
          <w:rFonts w:ascii="Barlow Semi Condensed" w:cs="Barlow Semi Condensed" w:eastAsia="Barlow Semi Condensed" w:hAnsi="Barlow Semi Condensed"/>
          <w:i w:val="false"/>
          <w:iCs w:val="false"/>
          <w:sz w:val="24"/>
          <w:szCs w:val="24"/>
        </w:rPr>
        <w:t xml:space="preserve"> Non è citazione errata né falsificazione: è collocazione di un'asserzione non documentata dentro un elenco di fatti documentati, che ne trasferisce il credito.</w:t>
      </w:r>
    </w:p>
    <w:p>
      <w:pPr>
        <w:spacing w:after="120" w:line="276"/>
        <w:jc w:val="both"/>
      </w:pPr>
      <w:r>
        <w:rPr>
          <w:rFonts w:ascii="Barlow Semi Condensed" w:cs="Barlow Semi Condensed" w:eastAsia="Barlow Semi Condensed" w:hAnsi="Barlow Semi Condensed"/>
          <w:sz w:val="24"/>
          <w:szCs w:val="24"/>
        </w:rPr>
        <w:t xml:space="preserve">Il corollario è operativo, e l'autore lo formula come regola di misura: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Quando si valuta un'affermazione di connessione, si conti quanti soggetti indipendenti e disinteressati ne abbiano lasciato traccia. Se il numero è zero, l'affermazione </w:t>
      </w:r>
      <w:r>
        <w:rPr>
          <w:rFonts w:ascii="Barlow Semi Condensed" w:cs="Barlow Semi Condensed" w:eastAsia="Barlow Semi Condensed" w:hAnsi="Barlow Semi Condensed"/>
          <w:b/>
          <w:bCs/>
          <w:i w:val="false"/>
          <w:iCs w:val="false"/>
          <w:sz w:val="24"/>
          <w:szCs w:val="24"/>
        </w:rPr>
        <w:t xml:space="preserve">non è confutata ma non è utilizzabile</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Questa regola triangola direttamente con un altro lotto dell'opera</w:t>
      </w:r>
      <w:r>
        <w:rPr>
          <w:rFonts w:ascii="Barlow Semi Condensed" w:cs="Barlow Semi Condensed" w:eastAsia="Barlow Semi Condensed" w:hAnsi="Barlow Semi Condensed"/>
          <w:sz w:val="24"/>
          <w:szCs w:val="24"/>
        </w:rPr>
        <w:t xml:space="preserve">, e la</w:t>
      </w:r>
    </w:p>
    <w:p>
      <w:pPr>
        <w:spacing w:after="120" w:line="276"/>
        <w:jc w:val="both"/>
      </w:pPr>
      <w:r>
        <w:rPr>
          <w:rFonts w:ascii="Barlow Semi Condensed" w:cs="Barlow Semi Condensed" w:eastAsia="Barlow Semi Condensed" w:hAnsi="Barlow Semi Condensed"/>
          <w:sz w:val="24"/>
          <w:szCs w:val="24"/>
        </w:rPr>
        <w:t xml:space="preserve">convergenza va registrata perché i due documenti sono nati separatamente. La</w:t>
      </w:r>
    </w:p>
    <w:p>
      <w:pPr>
        <w:spacing w:after="120" w:line="276"/>
        <w:jc w:val="both"/>
      </w:pPr>
      <w:r>
        <w:rPr>
          <w:rFonts w:ascii="Barlow Semi Condensed" w:cs="Barlow Semi Condensed" w:eastAsia="Barlow Semi Condensed" w:hAnsi="Barlow Semi Condensed"/>
          <w:sz w:val="24"/>
          <w:szCs w:val="24"/>
        </w:rPr>
        <w:t xml:space="preserve">verifica dell'elenco dei trentatré nomi</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../_verifiche/certificazione-numeri-p2.md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descrive esattamente la stessa figura senza averle dato un nome: numeri di</w:t>
      </w:r>
    </w:p>
    <w:p>
      <w:pPr>
        <w:spacing w:after="120" w:line="276"/>
        <w:jc w:val="both"/>
      </w:pPr>
      <w:r>
        <w:rPr>
          <w:rFonts w:ascii="Barlow Semi Condensed" w:cs="Barlow Semi Condensed" w:eastAsia="Barlow Semi Condensed" w:hAnsi="Barlow Semi Condensed"/>
          <w:sz w:val="24"/>
          <w:szCs w:val="24"/>
        </w:rPr>
        <w:t xml:space="preserve">tessera non documentati collocati dentro una tabella di ruoli istituzionali</w:t>
      </w:r>
    </w:p>
    <w:p>
      <w:pPr>
        <w:spacing w:after="120" w:line="276"/>
        <w:jc w:val="both"/>
      </w:pPr>
      <w:r>
        <w:rPr>
          <w:rFonts w:ascii="Barlow Semi Condensed" w:cs="Barlow Semi Condensed" w:eastAsia="Barlow Semi Condensed" w:hAnsi="Barlow Semi Condensed"/>
          <w:sz w:val="24"/>
          <w:szCs w:val="24"/>
        </w:rPr>
        <w:t xml:space="preserve">documentati, che ne ricevono credito. La distinzione fra «non confutato» e «non</w:t>
      </w:r>
    </w:p>
    <w:p>
      <w:pPr>
        <w:spacing w:after="120" w:line="276"/>
        <w:jc w:val="both"/>
      </w:pPr>
      <w:r>
        <w:rPr>
          <w:rFonts w:ascii="Barlow Semi Condensed" w:cs="Barlow Semi Condensed" w:eastAsia="Barlow Semi Condensed" w:hAnsi="Barlow Semi Condensed"/>
          <w:sz w:val="24"/>
          <w:szCs w:val="24"/>
        </w:rPr>
        <w:t xml:space="preserve">utilizzabile» è la stessa che quel documento raggiunge per altra via, quando</w:t>
      </w:r>
    </w:p>
    <w:p>
      <w:pPr>
        <w:spacing w:after="120" w:line="276"/>
        <w:jc w:val="both"/>
      </w:pPr>
      <w:r>
        <w:rPr>
          <w:rFonts w:ascii="Barlow Semi Condensed" w:cs="Barlow Semi Condensed" w:eastAsia="Barlow Semi Condensed" w:hAnsi="Barlow Semi Condensed"/>
          <w:sz w:val="24"/>
          <w:szCs w:val="24"/>
        </w:rPr>
        <w:t xml:space="preserve">conclude che il grado massimo attribuibile è C e che la formulazione onesta è</w:t>
      </w:r>
    </w:p>
    <w:p>
      <w:pPr>
        <w:spacing w:after="120" w:line="276"/>
        <w:jc w:val="both"/>
      </w:pPr>
      <w:r>
        <w:rPr>
          <w:rFonts w:ascii="Barlow Semi Condensed" w:cs="Barlow Semi Condensed" w:eastAsia="Barlow Semi Condensed" w:hAnsi="Barlow Semi Condensed"/>
          <w:sz w:val="24"/>
          <w:szCs w:val="24"/>
        </w:rPr>
        <w:t xml:space="preserve">«numero non accertato».</w:t>
      </w:r>
    </w:p>
    <w:p>
      <w:pPr>
        <w:spacing w:after="120" w:line="276"/>
        <w:jc w:val="both"/>
      </w:pPr>
      <w:r>
        <w:rPr>
          <w:rFonts w:ascii="Barlow Semi Condensed" w:cs="Barlow Semi Condensed" w:eastAsia="Barlow Semi Condensed" w:hAnsi="Barlow Semi Condensed"/>
          <w:b/>
          <w:bCs/>
          <w:sz w:val="24"/>
          <w:szCs w:val="24"/>
        </w:rPr>
        <w:t xml:space="preserve">Due lotti indipendenti arrivano alla medesima regola.</w:t>
      </w:r>
      <w:r>
        <w:rPr>
          <w:rFonts w:ascii="Barlow Semi Condensed" w:cs="Barlow Semi Condensed" w:eastAsia="Barlow Semi Condensed" w:hAnsi="Barlow Semi Condensed"/>
          <w:sz w:val="24"/>
          <w:szCs w:val="24"/>
        </w:rPr>
        <w:t xml:space="preserve"> È una convergenza di</w:t>
      </w:r>
    </w:p>
    <w:p>
      <w:pPr>
        <w:spacing w:after="120" w:line="276"/>
        <w:jc w:val="both"/>
      </w:pPr>
      <w:r>
        <w:rPr>
          <w:rFonts w:ascii="Barlow Semi Condensed" w:cs="Barlow Semi Condensed" w:eastAsia="Barlow Semi Condensed" w:hAnsi="Barlow Semi Condensed"/>
          <w:sz w:val="24"/>
          <w:szCs w:val="24"/>
        </w:rPr>
        <w:t xml:space="preserve">metodo, e come tale si registra: non prova nulla sui fatti, e stabilisce che la</w:t>
      </w:r>
    </w:p>
    <w:p>
      <w:pPr>
        <w:spacing w:after="120" w:line="276"/>
        <w:jc w:val="both"/>
      </w:pPr>
      <w:r>
        <w:rPr>
          <w:rFonts w:ascii="Barlow Semi Condensed" w:cs="Barlow Semi Condensed" w:eastAsia="Barlow Semi Condensed" w:hAnsi="Barlow Semi Condensed"/>
          <w:sz w:val="24"/>
          <w:szCs w:val="24"/>
        </w:rPr>
        <w:t xml:space="preserve">regola non è un'invenzione locale.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Che cosa la campagna fa alla macro-ipotesi H1</w:t>
      </w:r>
    </w:p>
    <w:p>
      <w:pPr>
        <w:spacing w:after="120" w:line="276"/>
        <w:jc w:val="both"/>
      </w:pPr>
      <w:r>
        <w:rPr>
          <w:rFonts w:ascii="Barlow Semi Condensed" w:cs="Barlow Semi Condensed" w:eastAsia="Barlow Semi Condensed" w:hAnsi="Barlow Semi Condensed"/>
          <w:sz w:val="24"/>
          <w:szCs w:val="24"/>
        </w:rPr>
        <w:t xml:space="preserve">Il secondo registro esegue il test e ne dichiara il limite, che è la parte più</w:t>
      </w:r>
    </w:p>
    <w:p>
      <w:pPr>
        <w:spacing w:after="120" w:line="276"/>
        <w:jc w:val="both"/>
      </w:pPr>
      <w:r>
        <w:rPr>
          <w:rFonts w:ascii="Barlow Semi Condensed" w:cs="Barlow Semi Condensed" w:eastAsia="Barlow Semi Condensed" w:hAnsi="Barlow Semi Condensed"/>
          <w:sz w:val="24"/>
          <w:szCs w:val="24"/>
        </w:rPr>
        <w:t xml:space="preserve">disciplinata del lotto.</w:t>
      </w:r>
    </w:p>
    <w:p>
      <w:pPr>
        <w:spacing w:after="120" w:line="276"/>
        <w:jc w:val="both"/>
      </w:pPr>
      <w:r>
        <w:rPr>
          <w:rFonts w:ascii="Barlow Semi Condensed" w:cs="Barlow Semi Condensed" w:eastAsia="Barlow Semi Condensed" w:hAnsi="Barlow Semi Condensed"/>
          <w:b/>
          <w:bCs/>
          <w:sz w:val="24"/>
          <w:szCs w:val="24"/>
        </w:rPr>
        <w:t xml:space="preserve">L'esito.</w:t>
      </w:r>
      <w:r>
        <w:rPr>
          <w:rFonts w:ascii="Barlow Semi Condensed" w:cs="Barlow Semi Condensed" w:eastAsia="Barlow Semi Condensed" w:hAnsi="Barlow Semi Condensed"/>
          <w:sz w:val="24"/>
          <w:szCs w:val="24"/>
        </w:rPr>
        <w:t xml:space="preserve"> H1 postula la convergenza delle potenze imperiali contro</w:t>
      </w:r>
    </w:p>
    <w:p>
      <w:pPr>
        <w:spacing w:after="120" w:line="276"/>
        <w:jc w:val="both"/>
      </w:pPr>
      <w:r>
        <w:rPr>
          <w:rFonts w:ascii="Barlow Semi Condensed" w:cs="Barlow Semi Condensed" w:eastAsia="Barlow Semi Condensed" w:hAnsi="Barlow Semi Condensed"/>
          <w:sz w:val="24"/>
          <w:szCs w:val="24"/>
        </w:rPr>
        <w:t xml:space="preserve">l'integrazione europea. Il teatro australe mostra **divergenza fra le potenze e</w:t>
      </w:r>
    </w:p>
    <w:p>
      <w:pPr>
        <w:spacing w:after="120" w:line="276"/>
        <w:jc w:val="both"/>
      </w:pPr>
      <w:r>
        <w:rPr>
          <w:rFonts w:ascii="Barlow Semi Condensed" w:cs="Barlow Semi Condensed" w:eastAsia="Barlow Semi Condensed" w:hAnsi="Barlow Semi Condensed"/>
          <w:sz w:val="24"/>
          <w:szCs w:val="24"/>
        </w:rPr>
        <w:t xml:space="preserve">frattura interna al campo occidentale**: milita dunque contro H1, non a suo</w:t>
      </w:r>
    </w:p>
    <w:p>
      <w:pPr>
        <w:spacing w:after="120" w:line="276"/>
        <w:jc w:val="both"/>
      </w:pPr>
      <w:r>
        <w:rPr>
          <w:rFonts w:ascii="Barlow Semi Condensed" w:cs="Barlow Semi Condensed" w:eastAsia="Barlow Semi Condensed" w:hAnsi="Barlow Semi Condensed"/>
          <w:sz w:val="24"/>
          <w:szCs w:val="24"/>
        </w:rPr>
        <w:t xml:space="preserve">favore.</w:t>
      </w:r>
    </w:p>
    <w:p>
      <w:pPr>
        <w:spacing w:after="120" w:line="276"/>
        <w:jc w:val="both"/>
      </w:pPr>
      <w:r>
        <w:rPr>
          <w:rFonts w:ascii="Barlow Semi Condensed" w:cs="Barlow Semi Condensed" w:eastAsia="Barlow Semi Condensed" w:hAnsi="Barlow Semi Condensed"/>
          <w:b/>
          <w:bCs/>
          <w:sz w:val="24"/>
          <w:szCs w:val="24"/>
        </w:rPr>
        <w:t xml:space="preserve">Il limite, dichiarato subito dopo.</w:t>
      </w:r>
      <w:r>
        <w:rPr>
          <w:rFonts w:ascii="Barlow Semi Condensed" w:cs="Barlow Semi Condensed" w:eastAsia="Barlow Semi Condensed" w:hAnsi="Barlow Semi Condensed"/>
          <w:sz w:val="24"/>
          <w:szCs w:val="24"/>
        </w:rPr>
        <w:t xml:space="preserve"> «Un solo teatro non falsifica una</w:t>
      </w:r>
    </w:p>
    <w:p>
      <w:pPr>
        <w:spacing w:after="120" w:line="276"/>
        <w:jc w:val="both"/>
      </w:pPr>
      <w:r>
        <w:rPr>
          <w:rFonts w:ascii="Barlow Semi Condensed" w:cs="Barlow Semi Condensed" w:eastAsia="Barlow Semi Condensed" w:hAnsi="Barlow Semi Condensed"/>
          <w:sz w:val="24"/>
          <w:szCs w:val="24"/>
        </w:rPr>
        <w:t xml:space="preserve">macro-ipotesi che ha ambizione sistemica; esso ne restringe il campo di</w:t>
      </w:r>
    </w:p>
    <w:p>
      <w:pPr>
        <w:spacing w:after="120" w:line="276"/>
        <w:jc w:val="both"/>
      </w:pPr>
      <w:r>
        <w:rPr>
          <w:rFonts w:ascii="Barlow Semi Condensed" w:cs="Barlow Semi Condensed" w:eastAsia="Barlow Semi Condensed" w:hAnsi="Barlow Semi Condensed"/>
          <w:sz w:val="24"/>
          <w:szCs w:val="24"/>
        </w:rPr>
        <w:t xml:space="preserve">applicazione. La formulazione corretta è che H1, ove mantenuta, deve escludere</w:t>
      </w:r>
    </w:p>
    <w:p>
      <w:pPr>
        <w:spacing w:after="120" w:line="276"/>
        <w:jc w:val="both"/>
      </w:pPr>
      <w:r>
        <w:rPr>
          <w:rFonts w:ascii="Barlow Semi Condensed" w:cs="Barlow Semi Condensed" w:eastAsia="Barlow Semi Condensed" w:hAnsi="Barlow Semi Condensed"/>
          <w:sz w:val="24"/>
          <w:szCs w:val="24"/>
        </w:rPr>
        <w:t xml:space="preserve">il dossier australe dal proprio perimetro.»</w:t>
      </w:r>
    </w:p>
    <w:p>
      <w:pPr>
        <w:spacing w:after="120" w:line="276"/>
        <w:jc w:val="both"/>
      </w:pPr>
      <w:r>
        <w:rPr>
          <w:rFonts w:ascii="Barlow Semi Condensed" w:cs="Barlow Semi Condensed" w:eastAsia="Barlow Semi Condensed" w:hAnsi="Barlow Semi Condensed"/>
          <w:sz w:val="24"/>
          <w:szCs w:val="24"/>
        </w:rPr>
        <w:t xml:space="preserve">Restringere non è confutare, e il documento non confonde le due cose. La</w:t>
      </w:r>
    </w:p>
    <w:p>
      <w:pPr>
        <w:spacing w:after="120" w:line="276"/>
        <w:jc w:val="both"/>
      </w:pPr>
      <w:r>
        <w:rPr>
          <w:rFonts w:ascii="Barlow Semi Condensed" w:cs="Barlow Semi Condensed" w:eastAsia="Barlow Semi Condensed" w:hAnsi="Barlow Semi Condensed"/>
          <w:sz w:val="24"/>
          <w:szCs w:val="24"/>
        </w:rPr>
        <w:t xml:space="preserve">distinzione va conservata quando H1 viene ripresa altrove nel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Gli Stati Zero, e uno che è un falso positivo</w:t>
      </w:r>
    </w:p>
    <w:p>
      <w:pPr>
        <w:spacing w:after="120" w:line="276"/>
        <w:jc w:val="both"/>
      </w:pPr>
      <w:r>
        <w:rPr>
          <w:rFonts w:ascii="Barlow Semi Condensed" w:cs="Barlow Semi Condensed" w:eastAsia="Barlow Semi Condensed" w:hAnsi="Barlow Semi Condensed"/>
          <w:sz w:val="24"/>
          <w:szCs w:val="24"/>
        </w:rPr>
        <w:t xml:space="preserve">La campagna produce esiti negativi in quantità: la terza ricognizione ne conta</w:t>
      </w:r>
    </w:p>
    <w:p>
      <w:pPr>
        <w:spacing w:after="120" w:line="276"/>
        <w:jc w:val="both"/>
      </w:pPr>
      <w:r>
        <w:rPr>
          <w:rFonts w:ascii="Barlow Semi Condensed" w:cs="Barlow Semi Condensed" w:eastAsia="Barlow Semi Condensed" w:hAnsi="Barlow Semi Condensed"/>
          <w:b/>
          <w:bCs/>
          <w:sz w:val="24"/>
          <w:szCs w:val="24"/>
        </w:rPr>
        <w:t xml:space="preserve">sette su otto obiettivi</w:t>
      </w:r>
      <w:r>
        <w:rPr>
          <w:rFonts w:ascii="Barlow Semi Condensed" w:cs="Barlow Semi Condensed" w:eastAsia="Barlow Semi Condensed" w:hAnsi="Barlow Semi Condensed"/>
          <w:sz w:val="24"/>
          <w:szCs w:val="24"/>
        </w:rPr>
        <w:t xml:space="preserve">, e li dichiara come acquisizione anziché come</w:t>
      </w:r>
    </w:p>
    <w:p>
      <w:pPr>
        <w:spacing w:after="120" w:line="276"/>
        <w:jc w:val="both"/>
      </w:pPr>
      <w:r>
        <w:rPr>
          <w:rFonts w:ascii="Barlow Semi Condensed" w:cs="Barlow Semi Condensed" w:eastAsia="Barlow Semi Condensed" w:hAnsi="Barlow Semi Condensed"/>
          <w:sz w:val="24"/>
          <w:szCs w:val="24"/>
        </w:rPr>
        <w:t xml:space="preserve">fallimento.</w:t>
      </w:r>
    </w:p>
    <w:p>
      <w:pPr>
        <w:spacing w:after="120" w:line="276"/>
        <w:jc w:val="both"/>
      </w:pPr>
      <w:r>
        <w:rPr>
          <w:rFonts w:ascii="Barlow Semi Condensed" w:cs="Barlow Semi Condensed" w:eastAsia="Barlow Semi Condensed" w:hAnsi="Barlow Semi Condensed"/>
          <w:sz w:val="24"/>
          <w:szCs w:val="24"/>
        </w:rPr>
        <w:t xml:space="preserve">Va segnalato in particolare **l'ottavo grado, che la tredicesima ricognizione</w:t>
      </w:r>
    </w:p>
    <w:p>
      <w:pPr>
        <w:spacing w:after="120" w:line="276"/>
        <w:jc w:val="both"/>
      </w:pPr>
      <w:r>
        <w:rPr>
          <w:rFonts w:ascii="Barlow Semi Condensed" w:cs="Barlow Semi Condensed" w:eastAsia="Barlow Semi Condensed" w:hAnsi="Barlow Semi Condensed"/>
          <w:sz w:val="24"/>
          <w:szCs w:val="24"/>
        </w:rPr>
        <w:t xml:space="preserve">qualifica come falso positivo**. È il caso metodologicamente più istruttivo del</w:t>
      </w:r>
    </w:p>
    <w:p>
      <w:pPr>
        <w:spacing w:after="120" w:line="276"/>
        <w:jc w:val="both"/>
      </w:pPr>
      <w:r>
        <w:rPr>
          <w:rFonts w:ascii="Barlow Semi Condensed" w:cs="Barlow Semi Condensed" w:eastAsia="Barlow Semi Condensed" w:hAnsi="Barlow Semi Condensed"/>
          <w:sz w:val="24"/>
          <w:szCs w:val="24"/>
        </w:rPr>
        <w:t xml:space="preserve">lotto: un esito che ha l'apparenza del ritrovamento e non lo è. Un corpus che</w:t>
      </w:r>
    </w:p>
    <w:p>
      <w:pPr>
        <w:spacing w:after="120" w:line="276"/>
        <w:jc w:val="both"/>
      </w:pPr>
      <w:r>
        <w:rPr>
          <w:rFonts w:ascii="Barlow Semi Condensed" w:cs="Barlow Semi Condensed" w:eastAsia="Barlow Semi Condensed" w:hAnsi="Barlow Semi Condensed"/>
          <w:sz w:val="24"/>
          <w:szCs w:val="24"/>
        </w:rPr>
        <w:t xml:space="preserve">gradua gli Stati Zero deve poter graduare anche i positivi, e questo è il primo</w:t>
      </w:r>
    </w:p>
    <w:p>
      <w:pPr>
        <w:spacing w:after="120" w:line="276"/>
        <w:jc w:val="both"/>
      </w:pPr>
      <w:r>
        <w:rPr>
          <w:rFonts w:ascii="Barlow Semi Condensed" w:cs="Barlow Semi Condensed" w:eastAsia="Barlow Semi Condensed" w:hAnsi="Barlow Semi Condensed"/>
          <w:sz w:val="24"/>
          <w:szCs w:val="24"/>
        </w:rPr>
        <w:t xml:space="preserve">caso in cui lo fa.</w:t>
      </w:r>
    </w:p>
    <w:p>
      <w:pPr>
        <w:spacing w:after="120" w:line="276"/>
        <w:jc w:val="both"/>
      </w:pPr>
      <w:r>
        <w:rPr>
          <w:rFonts w:ascii="Barlow Semi Condensed" w:cs="Barlow Semi Condensed" w:eastAsia="Barlow Semi Condensed" w:hAnsi="Barlow Semi Condensed"/>
          <w:sz w:val="24"/>
          <w:szCs w:val="24"/>
        </w:rPr>
        <w:t xml:space="preserve">La diciottesima ricognizione registra inoltre uno Stato Zero **di natura non</w:t>
      </w:r>
    </w:p>
    <w:p>
      <w:pPr>
        <w:spacing w:after="120" w:line="276"/>
        <w:jc w:val="both"/>
      </w:pPr>
      <w:r>
        <w:rPr>
          <w:rFonts w:ascii="Barlow Semi Condensed" w:cs="Barlow Semi Condensed" w:eastAsia="Barlow Semi Condensed" w:hAnsi="Barlow Semi Condensed"/>
          <w:sz w:val="24"/>
          <w:szCs w:val="24"/>
        </w:rPr>
        <w:t xml:space="preserve">archivistica**: il documento è pubblico, catalogato, indicizzato e ha un</w:t>
      </w:r>
    </w:p>
    <w:p>
      <w:pPr>
        <w:spacing w:after="120" w:line="276"/>
        <w:jc w:val="both"/>
      </w:pPr>
      <w:r>
        <w:rPr>
          <w:rFonts w:ascii="Barlow Semi Condensed" w:cs="Barlow Semi Condensed" w:eastAsia="Barlow Semi Condensed" w:hAnsi="Barlow Semi Condensed"/>
          <w:sz w:val="24"/>
          <w:szCs w:val="24"/>
        </w:rPr>
        <w:t xml:space="preserve">indirizzo di reperimento, ma «il server documentale delle Nazioni Unite ha</w:t>
      </w:r>
    </w:p>
    <w:p>
      <w:pPr>
        <w:spacing w:after="120" w:line="276"/>
        <w:jc w:val="both"/>
      </w:pPr>
      <w:r>
        <w:rPr>
          <w:rFonts w:ascii="Barlow Semi Condensed" w:cs="Barlow Semi Condensed" w:eastAsia="Barlow Semi Condensed" w:hAnsi="Barlow Semi Condensed"/>
          <w:sz w:val="24"/>
          <w:szCs w:val="24"/>
        </w:rPr>
        <w:t xml:space="preserve">respinto ogni tentativo di recupero automatizzato dei file, per rilevamento</w:t>
      </w:r>
    </w:p>
    <w:p>
      <w:pPr>
        <w:spacing w:after="120" w:line="276"/>
        <w:jc w:val="both"/>
      </w:pPr>
      <w:r>
        <w:rPr>
          <w:rFonts w:ascii="Barlow Semi Condensed" w:cs="Barlow Semi Condensed" w:eastAsia="Barlow Semi Condensed" w:hAnsi="Barlow Semi Condensed"/>
          <w:sz w:val="24"/>
          <w:szCs w:val="24"/>
        </w:rPr>
        <w:t xml:space="preserve">anti-robot». </w:t>
      </w:r>
      <w:r>
        <w:rPr>
          <w:rFonts w:ascii="Barlow Semi Condensed" w:cs="Barlow Semi Condensed" w:eastAsia="Barlow Semi Condensed" w:hAnsi="Barlow Semi Condensed"/>
          <w:b/>
          <w:bCs/>
          <w:sz w:val="24"/>
          <w:szCs w:val="24"/>
        </w:rPr>
        <w:t xml:space="preserve">L'ostacolo è tecnico, non documentale</w:t>
      </w:r>
      <w:r>
        <w:rPr>
          <w:rFonts w:ascii="Barlow Semi Condensed" w:cs="Barlow Semi Condensed" w:eastAsia="Barlow Semi Condensed" w:hAnsi="Barlow Semi Condensed"/>
          <w:sz w:val="24"/>
          <w:szCs w:val="24"/>
        </w:rPr>
        <w:t xml:space="preserve">, e va scritto così: è</w:t>
      </w:r>
    </w:p>
    <w:p>
      <w:pPr>
        <w:spacing w:after="120" w:line="276"/>
        <w:jc w:val="both"/>
      </w:pPr>
      <w:r>
        <w:rPr>
          <w:rFonts w:ascii="Barlow Semi Condensed" w:cs="Barlow Semi Condensed" w:eastAsia="Barlow Semi Condensed" w:hAnsi="Barlow Semi Condensed"/>
          <w:sz w:val="24"/>
          <w:szCs w:val="24"/>
        </w:rPr>
        <w:t xml:space="preserve">una sede raggiungibile da una persona e non da una macchina, il che cambia</w:t>
      </w:r>
    </w:p>
    <w:p>
      <w:pPr>
        <w:spacing w:after="120" w:line="276"/>
        <w:jc w:val="both"/>
      </w:pPr>
      <w:r>
        <w:rPr>
          <w:rFonts w:ascii="Barlow Semi Condensed" w:cs="Barlow Semi Condensed" w:eastAsia="Barlow Semi Condensed" w:hAnsi="Barlow Semi Condensed"/>
          <w:sz w:val="24"/>
          <w:szCs w:val="24"/>
        </w:rPr>
        <w:t xml:space="preserve">completamente che cosa se ne debba concludere.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Le anti-triangolazioni</w:t>
      </w:r>
    </w:p>
    <w:p>
      <w:pPr>
        <w:spacing w:after="120" w:line="276"/>
        <w:jc w:val="both"/>
      </w:pPr>
      <w:r>
        <w:rPr>
          <w:rFonts w:ascii="Barlow Semi Condensed" w:cs="Barlow Semi Condensed" w:eastAsia="Barlow Semi Condensed" w:hAnsi="Barlow Semi Condensed"/>
          <w:sz w:val="24"/>
          <w:szCs w:val="24"/>
        </w:rPr>
        <w:t xml:space="preserve">Vanno dette con la stessa cura delle triangolazioni, perché la loro assenza è</w:t>
      </w:r>
    </w:p>
    <w:p>
      <w:pPr>
        <w:spacing w:after="120" w:line="276"/>
        <w:jc w:val="both"/>
      </w:pPr>
      <w:r>
        <w:rPr>
          <w:rFonts w:ascii="Barlow Semi Condensed" w:cs="Barlow Semi Condensed" w:eastAsia="Barlow Semi Condensed" w:hAnsi="Barlow Semi Condensed"/>
          <w:sz w:val="24"/>
          <w:szCs w:val="24"/>
        </w:rPr>
        <w:t xml:space="preserve">ciò che distingue un raccordo da una suggestione.</w:t>
      </w:r>
    </w:p>
    <w:p>
      <w:pPr>
        <w:spacing w:after="120" w:line="276"/>
        <w:jc w:val="both"/>
      </w:pPr>
      <w:r>
        <w:rPr>
          <w:rFonts w:ascii="Barlow Semi Condensed" w:cs="Barlow Semi Condensed" w:eastAsia="Barlow Semi Condensed" w:hAnsi="Barlow Semi Condensed"/>
          <w:sz w:val="24"/>
          <w:szCs w:val="24"/>
        </w:rPr>
        <w:t xml:space="preserve">**Nessun documento della campagna collega il caso Moro del 1978 ai teatri</w:t>
      </w:r>
    </w:p>
    <w:p>
      <w:pPr>
        <w:spacing w:after="120" w:line="276"/>
        <w:jc w:val="both"/>
      </w:pPr>
      <w:r>
        <w:rPr>
          <w:rFonts w:ascii="Barlow Semi Condensed" w:cs="Barlow Semi Condensed" w:eastAsia="Barlow Semi Condensed" w:hAnsi="Barlow Semi Condensed"/>
          <w:sz w:val="24"/>
          <w:szCs w:val="24"/>
        </w:rPr>
        <w:t xml:space="preserve">australi.</w:t>
      </w:r>
      <w:r>
        <w:rPr>
          <w:rFonts w:ascii="Barlow Semi Condensed" w:cs="Barlow Semi Condensed" w:eastAsia="Barlow Semi Condensed" w:hAnsi="Barlow Semi Condensed"/>
          <w:b/>
          <w:bCs/>
          <w:sz w:val="24"/>
          <w:szCs w:val="24"/>
        </w:rPr>
        <w:t xml:space="preserve"> Il raccordo con il Libro quattordicesimo è </w:t>
      </w:r>
      <w:r>
        <w:rPr>
          <w:rFonts w:ascii="Barlow Semi Condensed" w:cs="Barlow Semi Condensed" w:eastAsia="Barlow Semi Condensed" w:hAnsi="Barlow Semi Condensed"/>
          <w:sz w:val="24"/>
          <w:szCs w:val="24"/>
        </w:rPr>
        <w:t xml:space="preserve">tematico e non</w:t>
      </w:r>
    </w:p>
    <w:p>
      <w:pPr>
        <w:spacing w:after="120" w:line="276"/>
        <w:jc w:val="both"/>
      </w:pPr>
      <w:r>
        <w:rPr>
          <w:rFonts w:ascii="Barlow Semi Condensed" w:cs="Barlow Semi Condensed" w:eastAsia="Barlow Semi Condensed" w:hAnsi="Barlow Semi Condensed"/>
          <w:sz w:val="24"/>
          <w:szCs w:val="24"/>
        </w:rPr>
        <w:t xml:space="preserve">documentale**, esattamente come già dichiarato per il Sud Africa: la lente è</w:t>
      </w:r>
    </w:p>
    <w:p>
      <w:pPr>
        <w:spacing w:after="120" w:line="276"/>
        <w:jc w:val="both"/>
      </w:pPr>
      <w:r>
        <w:rPr>
          <w:rFonts w:ascii="Barlow Semi Condensed" w:cs="Barlow Semi Condensed" w:eastAsia="Barlow Semi Condensed" w:hAnsi="Barlow Semi Condensed"/>
          <w:sz w:val="24"/>
          <w:szCs w:val="24"/>
        </w:rPr>
        <w:t xml:space="preserve">condivisa, i documenti no.</w:t>
      </w:r>
    </w:p>
    <w:p>
      <w:pPr>
        <w:spacing w:after="120" w:line="276"/>
        <w:jc w:val="both"/>
      </w:pPr>
      <w:r>
        <w:rPr>
          <w:rFonts w:ascii="Barlow Semi Condensed" w:cs="Barlow Semi Condensed" w:eastAsia="Barlow Semi Condensed" w:hAnsi="Barlow Semi Condensed"/>
          <w:b/>
          <w:bCs/>
          <w:sz w:val="24"/>
          <w:szCs w:val="24"/>
        </w:rPr>
        <w:t xml:space="preserve">Nessun documento della campagna nomina la loggia P2.</w:t>
      </w:r>
      <w:r>
        <w:rPr>
          <w:rFonts w:ascii="Barlow Semi Condensed" w:cs="Barlow Semi Condensed" w:eastAsia="Barlow Semi Condensed" w:hAnsi="Barlow Semi Condensed"/>
          <w:sz w:val="24"/>
          <w:szCs w:val="24"/>
        </w:rPr>
        <w:t xml:space="preserve"> La convergenza col</w:t>
      </w:r>
    </w:p>
    <w:p>
      <w:pPr>
        <w:spacing w:after="120" w:line="276"/>
        <w:jc w:val="both"/>
      </w:pPr>
      <w:r>
        <w:rPr>
          <w:rFonts w:ascii="Barlow Semi Condensed" w:cs="Barlow Semi Condensed" w:eastAsia="Barlow Semi Condensed" w:hAnsi="Barlow Semi Condensed"/>
          <w:sz w:val="24"/>
          <w:szCs w:val="24"/>
        </w:rPr>
        <w:t xml:space="preserve">lotto dei trentatré nomi, esposta al §III, è </w:t>
      </w:r>
      <w:r>
        <w:rPr>
          <w:rFonts w:ascii="Barlow Semi Condensed" w:cs="Barlow Semi Condensed" w:eastAsia="Barlow Semi Condensed" w:hAnsi="Barlow Semi Condensed"/>
          <w:b/>
          <w:bCs/>
          <w:sz w:val="24"/>
          <w:szCs w:val="24"/>
        </w:rPr>
        <w:t xml:space="preserve">metodologica e non fattuale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riguarda una regola di valutazione, non una connessione fra oggetti.</w:t>
      </w:r>
    </w:p>
    <w:p>
      <w:pPr>
        <w:spacing w:after="120" w:line="276"/>
        <w:jc w:val="both"/>
      </w:pPr>
      <w:r>
        <w:rPr>
          <w:rFonts w:ascii="Barlow Semi Condensed" w:cs="Barlow Semi Condensed" w:eastAsia="Barlow Semi Condensed" w:hAnsi="Barlow Semi Condensed"/>
          <w:sz w:val="24"/>
          <w:szCs w:val="24"/>
        </w:rPr>
        <w:t xml:space="preserve">**La contaminazione per prossimità è un rischio anche per questa</w:t>
      </w:r>
    </w:p>
    <w:p>
      <w:pPr>
        <w:spacing w:after="120" w:line="276"/>
        <w:jc w:val="both"/>
      </w:pPr>
      <w:r>
        <w:rPr>
          <w:rFonts w:ascii="Barlow Semi Condensed" w:cs="Barlow Semi Condensed" w:eastAsia="Barlow Semi Condensed" w:hAnsi="Barlow Semi Condensed"/>
          <w:sz w:val="24"/>
          <w:szCs w:val="24"/>
        </w:rPr>
        <w:t xml:space="preserve">triangolazione.** Averla nominata non ne immunizza: sta a chi legge contare, per</w:t>
      </w:r>
    </w:p>
    <w:p>
      <w:pPr>
        <w:spacing w:after="120" w:line="276"/>
        <w:jc w:val="both"/>
      </w:pPr>
      <w:r>
        <w:rPr>
          <w:rFonts w:ascii="Barlow Semi Condensed" w:cs="Barlow Semi Condensed" w:eastAsia="Barlow Semi Condensed" w:hAnsi="Barlow Semi Condensed"/>
          <w:sz w:val="24"/>
          <w:szCs w:val="24"/>
        </w:rPr>
        <w:t xml:space="preserve">ciascuna delle acquisizioni qui riassunte, quanti soggetti indipendenti ne</w:t>
      </w:r>
    </w:p>
    <w:p>
      <w:pPr>
        <w:spacing w:after="120" w:line="276"/>
        <w:jc w:val="both"/>
      </w:pPr>
      <w:r>
        <w:rPr>
          <w:rFonts w:ascii="Barlow Semi Condensed" w:cs="Barlow Semi Condensed" w:eastAsia="Barlow Semi Condensed" w:hAnsi="Barlow Semi Condensed"/>
          <w:sz w:val="24"/>
          <w:szCs w:val="24"/>
        </w:rPr>
        <w:t xml:space="preserve">abbiano lasciato traccia.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Un documento che si esclude da sé</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memorandum operativo per la riapertura delle verifiche</w:t>
      </w:r>
      <w:r>
        <w:rPr>
          <w:rFonts w:ascii="Barlow Semi Condensed" w:cs="Barlow Semi Condensed" w:eastAsia="Barlow Semi Condensed" w:hAnsi="Barlow Semi Condensed"/>
          <w:sz w:val="24"/>
          <w:szCs w:val="24"/>
        </w:rPr>
        <w:t xml:space="preserve"> — diciannove</w:t>
      </w:r>
    </w:p>
    <w:p>
      <w:pPr>
        <w:spacing w:after="120" w:line="276"/>
        <w:jc w:val="both"/>
      </w:pPr>
      <w:r>
        <w:rPr>
          <w:rFonts w:ascii="Barlow Semi Condensed" w:cs="Barlow Semi Condensed" w:eastAsia="Barlow Semi Condensed" w:hAnsi="Barlow Semi Condensed"/>
          <w:sz w:val="24"/>
          <w:szCs w:val="24"/>
        </w:rPr>
        <w:t xml:space="preserve">schede di ricerca archivistica — dichiara in apertura, con parole proprie, di</w:t>
      </w:r>
    </w:p>
    <w:p>
      <w:pPr>
        <w:spacing w:after="120" w:line="276"/>
        <w:jc w:val="both"/>
      </w:pPr>
      <w:r>
        <w:rPr>
          <w:rFonts w:ascii="Barlow Semi Condensed" w:cs="Barlow Semi Condensed" w:eastAsia="Barlow Semi Condensed" w:hAnsi="Barlow Semi Condensed"/>
          <w:sz w:val="24"/>
          <w:szCs w:val="24"/>
        </w:rPr>
        <w:t xml:space="preserve">non dover entrare nel Registro: «Questo documento non appartiene al Registro</w:t>
      </w:r>
    </w:p>
    <w:p>
      <w:pPr>
        <w:spacing w:after="120" w:line="276"/>
        <w:jc w:val="both"/>
      </w:pPr>
      <w:r>
        <w:rPr>
          <w:rFonts w:ascii="Barlow Semi Condensed" w:cs="Barlow Semi Condensed" w:eastAsia="Barlow Semi Condensed" w:hAnsi="Barlow Semi Condensed"/>
          <w:sz w:val="24"/>
          <w:szCs w:val="24"/>
        </w:rPr>
        <w:t xml:space="preserve">Analitico e non vi entrerà. Esso non contiene accertamenti, non assegna gradi.»</w:t>
      </w:r>
    </w:p>
    <w:p>
      <w:pPr>
        <w:spacing w:after="120" w:line="276"/>
        <w:jc w:val="both"/>
      </w:pPr>
      <w:r>
        <w:rPr>
          <w:rFonts w:ascii="Barlow Semi Condensed" w:cs="Barlow Semi Condensed" w:eastAsia="Barlow Semi Condensed" w:hAnsi="Barlow Semi Condensed"/>
          <w:sz w:val="24"/>
          <w:szCs w:val="24"/>
        </w:rPr>
        <w:t xml:space="preserve">Aggiunge che «le percentuali che vi compaiono non sono misure» ma «propensioni</w:t>
      </w:r>
    </w:p>
    <w:p>
      <w:pPr>
        <w:spacing w:after="120" w:line="276"/>
        <w:jc w:val="both"/>
      </w:pPr>
      <w:r>
        <w:rPr>
          <w:rFonts w:ascii="Barlow Semi Condensed" w:cs="Barlow Semi Condensed" w:eastAsia="Barlow Semi Condensed" w:hAnsi="Barlow Semi Condensed"/>
          <w:sz w:val="24"/>
          <w:szCs w:val="24"/>
        </w:rPr>
        <w:t xml:space="preserve">soggettive di chi scrive», e si qualifica come *uso interno, non citabile come</w:t>
      </w:r>
    </w:p>
    <w:p>
      <w:pPr>
        <w:spacing w:after="120" w:line="276"/>
        <w:jc w:val="both"/>
      </w:pPr>
      <w:r>
        <w:rPr>
          <w:rFonts w:ascii="Barlow Semi Condensed" w:cs="Barlow Semi Condensed" w:eastAsia="Barlow Semi Condensed" w:hAnsi="Barlow Semi Condensed"/>
          <w:sz w:val="24"/>
          <w:szCs w:val="24"/>
        </w:rPr>
        <w:t xml:space="preserve">accertamento*.</w:t>
      </w:r>
    </w:p>
    <w:p>
      <w:pPr>
        <w:spacing w:after="120" w:line="276"/>
        <w:jc w:val="both"/>
      </w:pPr>
      <w:r>
        <w:rPr>
          <w:rFonts w:ascii="Barlow Semi Condensed" w:cs="Barlow Semi Condensed" w:eastAsia="Barlow Semi Condensed" w:hAnsi="Barlow Semi Condensed"/>
          <w:b/>
          <w:bCs/>
          <w:sz w:val="24"/>
          <w:szCs w:val="24"/>
        </w:rPr>
        <w:t xml:space="preserve">È stato archiviato nel repository e tenuto fuori dal volume rilegato.</w:t>
      </w:r>
    </w:p>
    <w:p>
      <w:pPr>
        <w:spacing w:after="120" w:line="276"/>
        <w:jc w:val="both"/>
      </w:pPr>
      <w:r>
        <w:rPr>
          <w:rFonts w:ascii="Barlow Semi Condensed" w:cs="Barlow Semi Condensed" w:eastAsia="Barlow Semi Condensed" w:hAnsi="Barlow Semi Condensed"/>
          <w:sz w:val="24"/>
          <w:szCs w:val="24"/>
        </w:rPr>
        <w:t xml:space="preserve">Rilegarlo lo farebbe leggere come ciò che esso nega di essere: chi legge</w:t>
      </w:r>
    </w:p>
    <w:p>
      <w:pPr>
        <w:spacing w:after="120" w:line="276"/>
        <w:jc w:val="both"/>
      </w:pPr>
      <w:r>
        <w:rPr>
          <w:rFonts w:ascii="Barlow Semi Condensed" w:cs="Barlow Semi Condensed" w:eastAsia="Barlow Semi Condensed" w:hAnsi="Barlow Semi Condensed"/>
          <w:sz w:val="24"/>
          <w:szCs w:val="24"/>
        </w:rPr>
        <w:t xml:space="preserve">l'opera non lo incontra come accertamento, chi lo cerca lo trova. La scelta è</w:t>
      </w:r>
    </w:p>
    <w:p>
      <w:pPr>
        <w:spacing w:after="120" w:line="276"/>
        <w:jc w:val="both"/>
      </w:pPr>
      <w:r>
        <w:rPr>
          <w:rFonts w:ascii="Barlow Semi Condensed" w:cs="Barlow Semi Condensed" w:eastAsia="Barlow Semi Condensed" w:hAnsi="Barlow Semi Condensed"/>
          <w:sz w:val="24"/>
          <w:szCs w:val="24"/>
        </w:rPr>
        <w:t xml:space="preserve">dell'esecutore, è reversibile, e sta all'autore revocarla — ma una esclusione</w:t>
      </w:r>
    </w:p>
    <w:p>
      <w:pPr>
        <w:spacing w:after="120" w:line="276"/>
        <w:jc w:val="both"/>
      </w:pPr>
      <w:r>
        <w:rPr>
          <w:rFonts w:ascii="Barlow Semi Condensed" w:cs="Barlow Semi Condensed" w:eastAsia="Barlow Semi Condensed" w:hAnsi="Barlow Semi Condensed"/>
          <w:sz w:val="24"/>
          <w:szCs w:val="24"/>
        </w:rPr>
        <w:t xml:space="preserve">taciuta varrebbe meno di zero, e per questo è scritta qui e in testa al</w:t>
      </w:r>
    </w:p>
    <w:p>
      <w:pPr>
        <w:spacing w:after="120" w:line="276"/>
        <w:jc w:val="both"/>
      </w:pPr>
      <w:r>
        <w:rPr>
          <w:rFonts w:ascii="Barlow Semi Condensed" w:cs="Barlow Semi Condensed" w:eastAsia="Barlow Semi Condensed" w:hAnsi="Barlow Semi Condensed"/>
          <w:sz w:val="24"/>
          <w:szCs w:val="24"/>
        </w:rPr>
        <w:t xml:space="preserve">documento.</w:t>
      </w:r>
    </w:p>
    <w:p>
      <w:pPr>
        <w:spacing w:after="120" w:line="276"/>
        <w:jc w:val="both"/>
      </w:pPr>
      <w:r>
        <w:rPr>
          <w:rFonts w:ascii="Barlow Semi Condensed" w:cs="Barlow Semi Condensed" w:eastAsia="Barlow Semi Condensed" w:hAnsi="Barlow Semi Condensed"/>
          <w:sz w:val="24"/>
          <w:szCs w:val="24"/>
        </w:rPr>
        <w:t xml:space="preserve">Va detto anche che cosa il memorandum è: le sue diciannove schede sono</w:t>
      </w:r>
    </w:p>
    <w:p>
      <w:pPr>
        <w:spacing w:after="120" w:line="276"/>
        <w:jc w:val="both"/>
      </w:pPr>
      <w:r>
        <w:rPr>
          <w:rFonts w:ascii="Barlow Semi Condensed" w:cs="Barlow Semi Condensed" w:eastAsia="Barlow Semi Condensed" w:hAnsi="Barlow Semi Condensed"/>
          <w:b/>
          <w:bCs/>
          <w:sz w:val="24"/>
          <w:szCs w:val="24"/>
        </w:rPr>
        <w:t xml:space="preserve">domande d'archivio con la sede indicata</w:t>
      </w:r>
      <w:r>
        <w:rPr>
          <w:rFonts w:ascii="Barlow Semi Condensed" w:cs="Barlow Semi Condensed" w:eastAsia="Barlow Semi Condensed" w:hAnsi="Barlow Semi Condensed"/>
          <w:sz w:val="24"/>
          <w:szCs w:val="24"/>
        </w:rPr>
        <w:t xml:space="preserve">, cioè esattamente la forma che</w:t>
      </w:r>
    </w:p>
    <w:p>
      <w:pPr>
        <w:spacing w:after="120" w:line="276"/>
        <w:jc w:val="both"/>
      </w:pPr>
      <w:r>
        <w:rPr>
          <w:rFonts w:ascii="Barlow Semi Condensed" w:cs="Barlow Semi Condensed" w:eastAsia="Barlow Semi Condensed" w:hAnsi="Barlow Semi Condensed"/>
          <w:sz w:val="24"/>
          <w:szCs w:val="24"/>
        </w:rPr>
        <w:t xml:space="preserve">l'opera chiama bersaglio di ricerca. È utile a chi andrà in archivio, non a chi</w:t>
      </w:r>
    </w:p>
    <w:p>
      <w:pPr>
        <w:spacing w:after="120" w:line="276"/>
        <w:jc w:val="both"/>
      </w:pPr>
      <w:r>
        <w:rPr>
          <w:rFonts w:ascii="Barlow Semi Condensed" w:cs="Barlow Semi Condensed" w:eastAsia="Barlow Semi Condensed" w:hAnsi="Barlow Semi Condensed"/>
          <w:sz w:val="24"/>
          <w:szCs w:val="24"/>
        </w:rPr>
        <w:t xml:space="preserve">cerca conclusioni.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alcun nesso fra la politica estera di Moro e il sequestro</w:t>
      </w:r>
    </w:p>
    <w:p>
      <w:pPr>
        <w:spacing w:after="120" w:line="276"/>
        <w:jc w:val="both"/>
      </w:pPr>
      <w:r>
        <w:rPr>
          <w:rFonts w:ascii="Barlow Semi Condensed" w:cs="Barlow Semi Condensed" w:eastAsia="Barlow Semi Condensed" w:hAnsi="Barlow Semi Condensed"/>
          <w:sz w:val="24"/>
          <w:szCs w:val="24"/>
        </w:rPr>
        <w:t xml:space="preserve">  del 1978. Non lo cercava, e non lo insinua.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responsabilità personali di alcuno. Le persone vi compaiono</w:t>
      </w:r>
    </w:p>
    <w:p>
      <w:pPr>
        <w:spacing w:after="120" w:line="276"/>
        <w:jc w:val="both"/>
      </w:pPr>
      <w:r>
        <w:rPr>
          <w:rFonts w:ascii="Barlow Semi Condensed" w:cs="Barlow Semi Condensed" w:eastAsia="Barlow Semi Condensed" w:hAnsi="Barlow Semi Condensed"/>
          <w:sz w:val="24"/>
          <w:szCs w:val="24"/>
        </w:rPr>
        <w:t xml:space="preserve">  con la carica ricoperta e con la data, e nient'altro.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che l'Opus Dei avesse un modello di insediamento: al</w:t>
      </w:r>
    </w:p>
    <w:p>
      <w:pPr>
        <w:spacing w:after="120" w:line="276"/>
        <w:jc w:val="both"/>
      </w:pPr>
      <w:r>
        <w:rPr>
          <w:rFonts w:ascii="Barlow Semi Condensed" w:cs="Barlow Semi Condensed" w:eastAsia="Barlow Semi Condensed" w:hAnsi="Barlow Semi Condensed"/>
          <w:sz w:val="24"/>
          <w:szCs w:val="24"/>
        </w:rPr>
        <w:t xml:space="preserve">  contrario, **ha falsificato due volte il modello che essa stessa aveva</w:t>
      </w:r>
    </w:p>
    <w:p>
      <w:pPr>
        <w:spacing w:after="120" w:line="276"/>
        <w:jc w:val="both"/>
      </w:pPr>
      <w:r>
        <w:rPr>
          <w:rFonts w:ascii="Barlow Semi Condensed" w:cs="Barlow Semi Condensed" w:eastAsia="Barlow Semi Condensed" w:hAnsi="Barlow Semi Condensed"/>
          <w:sz w:val="24"/>
          <w:szCs w:val="24"/>
        </w:rPr>
        <w:t xml:space="preserve">  proposto**, e ne ha lasciato in piedi soltanto la parte che le fonti reggono.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che l'Italia avesse una linea coerente nei teatri australi:</w:t>
      </w:r>
    </w:p>
    <w:p>
      <w:pPr>
        <w:spacing w:after="120" w:line="276"/>
        <w:jc w:val="both"/>
      </w:pPr>
      <w:r>
        <w:rPr>
          <w:rFonts w:ascii="Barlow Semi Condensed" w:cs="Barlow Semi Condensed" w:eastAsia="Barlow Semi Condensed" w:hAnsi="Barlow Semi Condensed"/>
          <w:sz w:val="24"/>
          <w:szCs w:val="24"/>
        </w:rPr>
        <w:t xml:space="preserve">  la sedicesima ricognizione conclude che **nessuna delle due condotte fu</w:t>
      </w:r>
    </w:p>
    <w:p>
      <w:pPr>
        <w:spacing w:after="120" w:line="276"/>
        <w:jc w:val="both"/>
      </w:pPr>
      <w:r>
        <w:rPr>
          <w:rFonts w:ascii="Barlow Semi Condensed" w:cs="Barlow Semi Condensed" w:eastAsia="Barlow Semi Condensed" w:hAnsi="Barlow Semi Condensed"/>
          <w:sz w:val="24"/>
          <w:szCs w:val="24"/>
        </w:rPr>
        <w:t xml:space="preserve">  lineare**.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Un lotto che porta quattro confutazioni delle proprie ipotesi, cinque</w:t>
      </w:r>
    </w:p>
    <w:p>
      <w:pPr>
        <w:spacing w:after="120" w:line="276"/>
        <w:jc w:val="both"/>
      </w:pPr>
      <w:r>
        <w:rPr>
          <w:rFonts w:ascii="Barlow Semi Condensed" w:cs="Barlow Semi Condensed" w:eastAsia="Barlow Semi Condensed" w:hAnsi="Barlow Semi Condensed"/>
          <w:sz w:val="24"/>
          <w:szCs w:val="24"/>
        </w:rPr>
        <w:t xml:space="preserve">correzioni al corpus, un concetto di metodo nuovo e un documento che si esclude</w:t>
      </w:r>
    </w:p>
    <w:p>
      <w:pPr>
        <w:spacing w:after="120" w:line="276"/>
        <w:jc w:val="both"/>
      </w:pPr>
      <w:r>
        <w:rPr>
          <w:rFonts w:ascii="Barlow Semi Condensed" w:cs="Barlow Semi Condensed" w:eastAsia="Barlow Semi Condensed" w:hAnsi="Barlow Semi Condensed"/>
          <w:sz w:val="24"/>
          <w:szCs w:val="24"/>
        </w:rPr>
        <w:t xml:space="preserve">da sé vale, per l'opera, più di un lotto che confermasse tutto. La disciplina non chiede di avere ragione: chiede</w:t>
      </w:r>
    </w:p>
    <w:p>
      <w:pPr>
        <w:spacing w:after="120" w:line="276"/>
        <w:jc w:val="both"/>
      </w:pPr>
      <w:r>
        <w:rPr>
          <w:rFonts w:ascii="Barlow Semi Condensed" w:cs="Barlow Semi Condensed" w:eastAsia="Barlow Semi Condensed" w:hAnsi="Barlow Semi Condensed"/>
          <w:sz w:val="24"/>
          <w:szCs w:val="24"/>
        </w:rPr>
        <w:t xml:space="preserve">di scrivere quando si ha torto, con la stessa precisione con cui si scriverebbe</w:t>
      </w:r>
    </w:p>
    <w:p>
      <w:pPr>
        <w:spacing w:after="120" w:line="276"/>
        <w:jc w:val="both"/>
      </w:pPr>
      <w:r>
        <w:rPr>
          <w:rFonts w:ascii="Barlow Semi Condensed" w:cs="Barlow Semi Condensed" w:eastAsia="Barlow Semi Condensed" w:hAnsi="Barlow Semi Condensed"/>
          <w:sz w:val="24"/>
          <w:szCs w:val="24"/>
        </w:rPr>
        <w:t xml:space="preserve">il contrario.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r>
        <w:rPr>
          <w:rFonts w:ascii="Barlow Semi Condensed" w:cs="Barlow Semi Condensed" w:eastAsia="Barlow Semi Condensed" w:hAnsi="Barlow Semi Condensed"/>
          <w:i w:val="false"/>
          <w:iCs w:val="false"/>
          <w:sz w:val="24"/>
          <w:szCs w:val="24"/>
        </w:rPr>
        <w:t xml:space="preserve"> Vale qui come ovunque, e in una campagna che tratta di ordini religiosi, di servizi e di agenzie di stampa vale due volte.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XXVIII · La triangolazione della terza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XXVIII: 1.858 parole in 9 sezioni; la più ampia è §9 Altre sezioni, con 381.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XXVIII: 51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programma e le graduatorie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3.680 parole in 8 sezioni; la più ampia è §6 Capitolo III, con 1.122.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13 indirizzi di fonte citati, addensati in 2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piste di testa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1.885 parole in 7 sezioni; la più ampia è §3 Scheda PN, con 406.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10 indirizzi di fonte citati, addensati in 3 sezioni su 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dodicesimo):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entità</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5.428 parole in 8 sezioni; la più ampia è §5 Scheda PE, con 922.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28 indirizzi di fonte citati, addensati in 6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sforzo nazionale e la sua quota romana: le perquisizioni domiciliari sono la sola voce in cui Roma pesa oltre un decimo.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stesso spiegamento diviso per i giorni che durò: la misura dello sforzo quotidiano, non del suo esito.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manuale del nuovo Caso Moro (400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15.479 parole in 9 sezioni; la più ampia è §9 Altre sezioni, con 6.744.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422 paragrafi in 9 sezioni, 47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L'agenda di ricerca (300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17.923 parole in 9 sezioni; la più ampia è §9 Altre sezioni, con 7.786.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329 paragrafi in 9 sezioni, 37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 nove cantieri (1.000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54.152 parole in 9 sezioni; la più ampia è §9 Altre sezioni, con 13.404.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VII. Il codice e la sua trasmissione (4.999 blocchi)</w:t>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 — sessantacinque serie in due campagne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codice e la sua trasmissione (4.999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370.419 parole in 9 sezioni; la più ampia è §9 Altre sezioni, con 328.500.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5.232 paragrafi in 9 sezioni, 581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della triangolazione: ogni blocco un bersaglio d’archivio, mai una sentenza.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metro dichiarato in apertura: la contemporaneità non è prova di nesso, l’appartenenza non è prova di condotta.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due campagne dell’opera: una lente applicata a un nome, e il nome portato contro ogni territorio del corpus.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contabilita dichiarata dell’opera: quanti ponti reali, quante convergenze, quanti vuoti verbalizzati.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quattordicesimo — Il meridiano e la valle: dal Sud Africa dell'apartheid alla PayPal Mafia (1.000 blocchi)</w:t>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 — mille blocchi mirati di ricerca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«Ottanta anni di Pace» (che dal 27 agosto 2026 sostituisce «Ottanta anni senza Pace», a sua volta subentrato il 26 agosto a «La Seconda Guerra Mondiale non ha mai avuto fine»; i tre titoli si succedono con la stessa disciplina — lente e non sentenza — e la successione si registra invece di essere cancellata).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p>
      <w:pPr>
        <w:pStyle w:val="Heading3"/>
        <w:spacing w:after="80" w:before="240"/>
      </w:pPr>
      <w:r>
        <w:rPr>
          <w:rFonts w:ascii="Barlow Semi Condensed" w:cs="Barlow Semi Condensed" w:eastAsia="Barlow Semi Condensed" w:hAnsi="Barlow Semi Condensed"/>
          <w:sz w:val="24"/>
          <w:szCs w:val="24"/>
        </w:rPr>
        <w:t xml:space="preserve">Apparato grafico — Libro quattordicesimo · Il meridiano e la valle: dal Sud Africa dell'apartheid all</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76.414 parole in 9 sezioni; la più ampia è §9 Altre sezioni, con 35.541.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 Libro quattordicesimo: ogni blocco un bersaglio d’archivio, e ogni serie i propri bersagli di smentita.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Stato Zero reso visibile: il Libro quattordicesimo apre un fronte nuovo, e il solo ponte documentato col corpus è un atto del 1964.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quindicesimo — Il Registro dei cinquantacinque giorni, opera seconda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Opera seconda avviata dal Registro V77, in sette Fasi e settanta Capitoli, acquisita il 27 agosto 2026. Non sostituisce il volume anteriore, e lo dichiara essa stessa in apertura: «Il volume anteriore non è sostituito. Esso resta nel Registro, integro e leggibile, come strato della propria epoca.»  Il lotto conteneva anche una versione priva dell'Appendice alla Fase settima e due estratti della sola Fase settima. Misurati sugli 8-grammi, sono </w:t>
      </w:r>
      <w:r>
        <w:rPr>
          <w:rFonts w:ascii="Barlow Semi Condensed" w:cs="Barlow Semi Condensed" w:eastAsia="Barlow Semi Condensed" w:hAnsi="Barlow Semi Condensed"/>
          <w:b/>
          <w:bCs/>
          <w:i w:val="false"/>
          <w:iCs w:val="false"/>
          <w:sz w:val="24"/>
          <w:szCs w:val="24"/>
        </w:rPr>
        <w:t xml:space="preserve">contenuti in questo volume rispettivamente al 100, al 98,3 e al 98,7 per cento</w:t>
      </w:r>
      <w:r>
        <w:rPr>
          <w:rFonts w:ascii="Barlow Semi Condensed" w:cs="Barlow Semi Condensed" w:eastAsia="Barlow Semi Condensed" w:hAnsi="Barlow Semi Condensed"/>
          <w:i w:val="false"/>
          <w:iCs w:val="false"/>
          <w:sz w:val="24"/>
          <w:szCs w:val="24"/>
        </w:rPr>
        <w:t xml:space="preserve">: non sono stati archiviati a parte, perché sarebbero duplicati. Resta archiviata a parte la sola </w:t>
      </w:r>
      <w:r>
        <w:rPr>
          <w:rFonts w:ascii="Barlow Semi Condensed" w:cs="Barlow Semi Condensed" w:eastAsia="Barlow Semi Condensed" w:hAnsi="Barlow Semi Condensed"/>
          <w:b/>
          <w:bCs/>
          <w:i w:val="false"/>
          <w:iCs w:val="false"/>
          <w:sz w:val="24"/>
          <w:szCs w:val="24"/>
        </w:rPr>
        <w:t xml:space="preserve">Appendice quindicesima</w:t>
      </w:r>
      <w:r>
        <w:rPr>
          <w:rFonts w:ascii="Barlow Semi Condensed" w:cs="Barlow Semi Condensed" w:eastAsia="Barlow Semi Condensed" w:hAnsi="Barlow Semi Condensed"/>
          <w:i w:val="false"/>
          <w:iCs w:val="false"/>
          <w:sz w:val="24"/>
          <w:szCs w:val="24"/>
        </w:rPr>
        <w:t xml:space="preserve">, che di questo volume non fa parte (0,9 per cento).</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Volume unico completo</w:t>
      </w:r>
    </w:p>
    <w:p>
      <w:pPr>
        <w:pStyle w:val="Heading2"/>
        <w:spacing w:after="100" w:before="200"/>
      </w:pPr>
      <w:r>
        <w:rPr>
          <w:rFonts w:ascii="Barlow Semi Condensed" w:cs="Barlow Semi Condensed" w:eastAsia="Barlow Semi Condensed" w:hAnsi="Barlow Semi Condensed"/>
          <w:sz w:val="24"/>
          <w:szCs w:val="24"/>
        </w:rPr>
        <w:t xml:space="preserve">Opera seconda, avviata dal Registro V77</w:t>
      </w:r>
    </w:p>
    <w:p>
      <w:pPr>
        <w:pStyle w:val="Heading2"/>
        <w:spacing w:after="100" w:before="200"/>
      </w:pPr>
      <w:r>
        <w:rPr>
          <w:rFonts w:ascii="Barlow Semi Condensed" w:cs="Barlow Semi Condensed" w:eastAsia="Barlow Semi Condensed" w:hAnsi="Barlow Semi Condensed"/>
          <w:sz w:val="24"/>
          <w:szCs w:val="24"/>
        </w:rPr>
        <w:t xml:space="preserve">Sette Fasi — Settanta Capitoli — Appendice alla Fase Settima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fondazione dell'opera seconda</w:t>
      </w:r>
    </w:p>
    <w:p>
      <w:pPr>
        <w:spacing w:after="120" w:line="276"/>
        <w:jc w:val="both"/>
      </w:pPr>
      <w:r>
        <w:rPr>
          <w:rFonts w:ascii="Barlow Semi Condensed" w:cs="Barlow Semi Condensed" w:eastAsia="Barlow Semi Condensed" w:hAnsi="Barlow Semi Condensed"/>
          <w:b/>
          <w:bCs/>
          <w:sz w:val="24"/>
          <w:szCs w:val="24"/>
        </w:rPr>
        <w:t xml:space="preserve">Questa opera nasce dal Registro V77 e ne e la seconda figlia. Non ne e la continuazione, perche il Registro e un contenitore federativo e questa e un'opera compiuta; e non ne e una parte, perche essa possiede corpo, edizioni e statuto epistemico propri. Ne e figlia in senso preciso: dal Registro riceve il codice che la governa e il patrimonio documentale sul quale lavora, e al Registro rende conto delle proprie acquisizioni.</w:t>
      </w:r>
    </w:p>
    <w:p>
      <w:pPr>
        <w:spacing w:after="120" w:line="276"/>
        <w:jc w:val="both"/>
      </w:pPr>
      <w:r>
        <w:rPr>
          <w:rFonts w:ascii="Barlow Semi Condensed" w:cs="Barlow Semi Condensed" w:eastAsia="Barlow Semi Condensed" w:hAnsi="Barlow Semi Condensed"/>
          <w:b/>
          <w:bCs/>
          <w:sz w:val="24"/>
          <w:szCs w:val="24"/>
        </w:rPr>
        <w:t xml:space="preserve">Essa ha le medesime caratteristiche del volume che il Registro custodisce al proprio Libro Ottavo — la natura di registro e non di saggio, la graduazione esplicita di ogni proposizione, la dichiarazione degli esiti negativi, la cumulativita preservativa, la designazione per funzione — e se ne distingue per due elementi rinnovati: la Metodologia, accresciuta del Capo undicesimo sulla notazione e del protocollo di traduzione fra nome e funzione; e la Struttura, che passa da cinque a sette Fasi, ciascuna di dieci Capitoli.</w:t>
      </w:r>
    </w:p>
    <w:p>
      <w:pPr>
        <w:spacing w:after="120" w:line="276"/>
        <w:jc w:val="both"/>
      </w:pPr>
      <w:r>
        <w:rPr>
          <w:rFonts w:ascii="Barlow Semi Condensed" w:cs="Barlow Semi Condensed" w:eastAsia="Barlow Semi Condensed" w:hAnsi="Barlow Semi Condensed"/>
          <w:b/>
          <w:bCs/>
          <w:sz w:val="24"/>
          <w:szCs w:val="24"/>
        </w:rPr>
        <w:t xml:space="preserve">Il volume anteriore non e sostituito. Esso resta nel Registro, integro e leggibile, come strato della propria epoca. Le pietre deposte non si scalpellano.</w:t>
      </w:r>
    </w:p>
    <w:p>
      <w:pPr>
        <w:pStyle w:val="Heading2"/>
        <w:spacing w:after="100" w:before="200"/>
      </w:pPr>
      <w:r>
        <w:rPr>
          <w:rFonts w:ascii="Barlow Semi Condensed" w:cs="Barlow Semi Condensed" w:eastAsia="Barlow Semi Condensed" w:hAnsi="Barlow Semi Condensed"/>
          <w:sz w:val="24"/>
          <w:szCs w:val="24"/>
        </w:rPr>
        <w:t xml:space="preserve">Nota sul presente volume</w:t>
      </w:r>
    </w:p>
    <w:p>
      <w:pPr>
        <w:spacing w:after="120" w:line="276"/>
        <w:jc w:val="both"/>
      </w:pPr>
      <w:r>
        <w:rPr>
          <w:rFonts w:ascii="Barlow Semi Condensed" w:cs="Barlow Semi Condensed" w:eastAsia="Barlow Semi Condensed" w:hAnsi="Barlow Semi Condensed"/>
          <w:b/>
          <w:bCs/>
          <w:sz w:val="24"/>
          <w:szCs w:val="24"/>
        </w:rPr>
        <w:t xml:space="preserve">Il presente e il volume unico: esso reca in un solo corpo le sette Fasi, gia consegnate separatamente fra il quattordici e il quindici agosto duemilaventisei. Il testo e identico a quello delle consegne parziali e non e stato rivisto in questa sede. Le impronte dei sette file separati restano valide per la verifica delle singole Fasi; quella del presente volume vale per l'insieme.</w:t>
      </w:r>
    </w:p>
    <w:p>
      <w:pPr>
        <w:spacing w:after="120" w:line="276"/>
        <w:jc w:val="both"/>
      </w:pPr>
      <w:r>
        <w:rPr>
          <w:rFonts w:ascii="Barlow Semi Condensed" w:cs="Barlow Semi Condensed" w:eastAsia="Barlow Semi Condensed" w:hAnsi="Barlow Semi Condensed"/>
          <w:b/>
          <w:bCs/>
          <w:sz w:val="24"/>
          <w:szCs w:val="24"/>
        </w:rPr>
        <w:t xml:space="preserve">Si ricorda in apertura, e per l'ultima volta, la distinzione che governa l'intera opera: l'ordine dei Capitoli e ordine di esposizione e non di prova. Che un Capitolo segua un altro non significa che il primo sostenga il secondo.</w:t>
      </w:r>
    </w:p>
    <w:p>
      <w:pPr>
        <w:pStyle w:val="Heading2"/>
        <w:spacing w:after="100" w:before="200"/>
      </w:pPr>
      <w:r>
        <w:rPr>
          <w:rFonts w:ascii="Barlow Semi Condensed" w:cs="Barlow Semi Condensed" w:eastAsia="Barlow Semi Condensed" w:hAnsi="Barlow Semi Condensed"/>
          <w:sz w:val="24"/>
          <w:szCs w:val="24"/>
        </w:rPr>
        <w:t xml:space="preserve">LA STRUTTURA RINNOVATA — SETTE FASI, SETTANTA CAPITOLI</w:t>
      </w:r>
    </w:p>
    <w:p>
      <w:pPr>
        <w:spacing w:after="120" w:line="276"/>
        <w:jc w:val="both"/>
      </w:pPr>
      <w:r>
        <w:rPr>
          <w:rFonts w:ascii="Barlow Semi Condensed" w:cs="Barlow Semi Condensed" w:eastAsia="Barlow Semi Condensed" w:hAnsi="Barlow Semi Condensed"/>
          <w:b/>
          <w:bCs/>
          <w:sz w:val="24"/>
          <w:szCs w:val="24"/>
        </w:rPr>
        <w:t xml:space="preserve">La struttura anteriore procedeva per cinque Fasi. Essa aveva un difetto che l'uso ha rivelato e che occorre dire con semplicità: due delle sue Fasi portavano un carico troppo grande, e le materie che vi erano compresse si ostacolavano a vicenda. La Fase che trattava le omissioni conteneva insieme il depistaggio, la distruzione delle carte e il silenzio degli archivi, che sono tre cose diverse e domandano tre trattazioni distinte. La Fase che trattava gli attori conteneva insieme chi agì, chi organizzò e chi volle, che sono tre livelli di responsabilità e non uno.</w:t>
      </w:r>
    </w:p>
    <w:p>
      <w:pPr>
        <w:spacing w:after="120" w:line="276"/>
        <w:jc w:val="both"/>
      </w:pPr>
      <w:r>
        <w:rPr>
          <w:rFonts w:ascii="Barlow Semi Condensed" w:cs="Barlow Semi Condensed" w:eastAsia="Barlow Semi Condensed" w:hAnsi="Barlow Semi Condensed"/>
          <w:b/>
          <w:bCs/>
          <w:sz w:val="24"/>
          <w:szCs w:val="24"/>
        </w:rPr>
        <w:t xml:space="preserve">La struttura rinnovata procede per sette Fasi, ciascuna di dieci Capitoli, per settanta Capitoli complessivi. L'accrescimento non è ornamentale: esso separa ciò che era confuso e dà a ciascuna materia lo spazio che la sua natura richiede.</w:t>
      </w:r>
    </w:p>
    <w:p>
      <w:pPr>
        <w:spacing w:after="120" w:line="276"/>
        <w:jc w:val="both"/>
      </w:pPr>
      <w:r>
        <w:rPr>
          <w:rFonts w:ascii="Barlow Semi Condensed" w:cs="Barlow Semi Condensed" w:eastAsia="Barlow Semi Condensed" w:hAnsi="Barlow Semi Condensed"/>
          <w:b/>
          <w:bCs/>
          <w:sz w:val="24"/>
          <w:szCs w:val="24"/>
        </w:rPr>
        <w:t xml:space="preserve">Fase Prima — IL METODO E LA PERSONA. Lo statuto dell'opera, il codice che la governa, e l'uomo prima del fatto. Dieci Capitoli: l'avvertenza dell'autore e lo statuto; la Regola di Ferro e le clausole di disciplina; la classificazione in tre stati; la notazione e la verificabilità; il protocollo di traduzione fra nome e funzione; l'ingresso in acqua e la decompressione; la disciplina del Pollo di Popper e gli Stati Zero; la formazione, dal 1916 al 1946; l'uomo di governo, dal 1946 al 1976; l'ultimo Moro, dal 1976 al 1978.</w:t>
      </w:r>
    </w:p>
    <w:p>
      <w:pPr>
        <w:spacing w:after="120" w:line="276"/>
        <w:jc w:val="both"/>
      </w:pPr>
      <w:r>
        <w:rPr>
          <w:rFonts w:ascii="Barlow Semi Condensed" w:cs="Barlow Semi Condensed" w:eastAsia="Barlow Semi Condensed" w:hAnsi="Barlow Semi Condensed"/>
          <w:b/>
          <w:bCs/>
          <w:sz w:val="24"/>
          <w:szCs w:val="24"/>
        </w:rPr>
        <w:t xml:space="preserve">Fase Seconda — LE RAGIONI. Perché quell'uomo, perché in quel momento. Il quadro interno, il quadro internazionale, le convergenze e le resistenze che la sua politica suscitava.</w:t>
      </w:r>
    </w:p>
    <w:p>
      <w:pPr>
        <w:spacing w:after="120" w:line="276"/>
        <w:jc w:val="both"/>
      </w:pPr>
      <w:r>
        <w:rPr>
          <w:rFonts w:ascii="Barlow Semi Condensed" w:cs="Barlow Semi Condensed" w:eastAsia="Barlow Semi Condensed" w:hAnsi="Barlow Semi Condensed"/>
          <w:b/>
          <w:bCs/>
          <w:sz w:val="24"/>
          <w:szCs w:val="24"/>
        </w:rPr>
        <w:t xml:space="preserve">Fase Terza — IL FATTO. Via Fani, la mattina del 16 marzo 1978, e i cinquantacinque giorni. La ricostruzione materiale, l'agguato, la prigionia, via Caetani.</w:t>
      </w:r>
    </w:p>
    <w:p>
      <w:pPr>
        <w:spacing w:after="120" w:line="276"/>
        <w:jc w:val="both"/>
      </w:pPr>
      <w:r>
        <w:rPr>
          <w:rFonts w:ascii="Barlow Semi Condensed" w:cs="Barlow Semi Condensed" w:eastAsia="Barlow Semi Condensed" w:hAnsi="Barlow Semi Condensed"/>
          <w:b/>
          <w:bCs/>
          <w:sz w:val="24"/>
          <w:szCs w:val="24"/>
        </w:rPr>
        <w:t xml:space="preserve">Fase Quarta — LE CARTE. Le lettere dalla prigionia, il memoriale, i luoghi del rinvenimento, e la disciplina di lettura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Fase Quinta — LE OMISSIONI. Il depistaggio, l'insabbiamento, la distruzione della prova, il silenzio degli archivi. Ciascuna tipologia con la propria trattazione.</w:t>
      </w:r>
    </w:p>
    <w:p>
      <w:pPr>
        <w:spacing w:after="120" w:line="276"/>
        <w:jc w:val="both"/>
      </w:pPr>
      <w:r>
        <w:rPr>
          <w:rFonts w:ascii="Barlow Semi Condensed" w:cs="Barlow Semi Condensed" w:eastAsia="Barlow Semi Condensed" w:hAnsi="Barlow Semi Condensed"/>
          <w:b/>
          <w:bCs/>
          <w:sz w:val="24"/>
          <w:szCs w:val="24"/>
        </w:rPr>
        <w:t xml:space="preserve">Fase Sesta — GLI ATTORI. Chi eseguì, chi organizzò, chi volle, e gli ambienti che circondarono senza agire. Tre livelli di responsabilità tenuti distinti.</w:t>
      </w:r>
    </w:p>
    <w:p>
      <w:pPr>
        <w:spacing w:after="120" w:line="276"/>
        <w:jc w:val="both"/>
      </w:pPr>
      <w:r>
        <w:rPr>
          <w:rFonts w:ascii="Barlow Semi Condensed" w:cs="Barlow Semi Condensed" w:eastAsia="Barlow Semi Condensed" w:hAnsi="Barlow Semi Condensed"/>
          <w:b/>
          <w:bCs/>
          <w:sz w:val="24"/>
          <w:szCs w:val="24"/>
        </w:rPr>
        <w:t xml:space="preserve">Fase Settima — IL GIUDIZIO E CIÒ CHE RESTA. I processi, le commissioni parlamentari, gli Stati Zero, le lacune dichiarate, e ciò che l'opera non sostiene.</w:t>
      </w:r>
    </w:p>
    <w:p>
      <w:pPr>
        <w:pStyle w:val="Heading2"/>
        <w:spacing w:after="100" w:before="200"/>
      </w:pPr>
      <w:r>
        <w:rPr>
          <w:rFonts w:ascii="Barlow Semi Condensed" w:cs="Barlow Semi Condensed" w:eastAsia="Barlow Semi Condensed" w:hAnsi="Barlow Semi Condensed"/>
          <w:sz w:val="24"/>
          <w:szCs w:val="24"/>
        </w:rPr>
        <w:t xml:space="preserve">FASE PRIMA — IL METODO E LA PERSONA</w:t>
      </w:r>
    </w:p>
    <w:p>
      <w:pPr>
        <w:spacing w:after="120" w:line="276"/>
        <w:jc w:val="both"/>
      </w:pPr>
      <w:r>
        <w:rPr>
          <w:rFonts w:ascii="Barlow Semi Condensed" w:cs="Barlow Semi Condensed" w:eastAsia="Barlow Semi Condensed" w:hAnsi="Barlow Semi Condensed"/>
          <w:b/>
          <w:bCs/>
          <w:sz w:val="24"/>
          <w:szCs w:val="24"/>
        </w:rPr>
        <w:t xml:space="preserve">Dove si espongono le regole con le quali si cerchera, e si conosce l'uomo che si cerca.</w:t>
      </w:r>
    </w:p>
    <w:p>
      <w:pPr>
        <w:pStyle w:val="Heading2"/>
        <w:spacing w:after="100" w:before="200"/>
      </w:pPr>
      <w:r>
        <w:rPr>
          <w:rFonts w:ascii="Barlow Semi Condensed" w:cs="Barlow Semi Condensed" w:eastAsia="Barlow Semi Condensed" w:hAnsi="Barlow Semi Condensed"/>
          <w:sz w:val="24"/>
          <w:szCs w:val="24"/>
        </w:rPr>
        <w:t xml:space="preserve">Capitolo primo — Avvertenza dell'autore e statuto dell'opera</w:t>
      </w:r>
    </w:p>
    <w:p>
      <w:pPr>
        <w:spacing w:after="120" w:line="276"/>
        <w:jc w:val="both"/>
      </w:pPr>
      <w:r>
        <w:rPr>
          <w:rFonts w:ascii="Barlow Semi Condensed" w:cs="Barlow Semi Condensed" w:eastAsia="Barlow Semi Condensed" w:hAnsi="Barlow Semi Condensed"/>
          <w:b/>
          <w:bCs/>
          <w:sz w:val="24"/>
          <w:szCs w:val="24"/>
        </w:rPr>
        <w:t xml:space="preserve">Occorre dire subito, e senza alcun infingimento, che cosa questa opera sia e che cosa non sia; perché il lettore ha diritto di sapere, prima di impegnare la propria attenzione, quale genere di documento gli sia posto davanti, e con quale animo esso sia stato composto.</w:t>
      </w:r>
    </w:p>
    <w:p>
      <w:pPr>
        <w:spacing w:after="120" w:line="276"/>
        <w:jc w:val="both"/>
      </w:pPr>
      <w:r>
        <w:rPr>
          <w:rFonts w:ascii="Barlow Semi Condensed" w:cs="Barlow Semi Condensed" w:eastAsia="Barlow Semi Condensed" w:hAnsi="Barlow Semi Condensed"/>
          <w:b/>
          <w:bCs/>
          <w:sz w:val="24"/>
          <w:szCs w:val="24"/>
        </w:rPr>
        <w:t xml:space="preserve">Quest'opera è un registro. Non è un saggio storiografico, non è un'inchiesta giornalistica, non è un racconto. Il saggio storiografico propone una interpretazione e la difende; l'inchiesta persegue una rivelazione; il racconto cerca una forma compiuta. Il registro fa una cosa sola e più modesta: annota. Annota ciò che le fonti accertano, annota ciò che esse dichiarano aperto, annota ciò che è stato cercato e non trovato, e a ciascuna di queste tre annotazioni assegna il grado che le compete, senza confonderle mai.</w:t>
      </w:r>
    </w:p>
    <w:p>
      <w:pPr>
        <w:spacing w:after="120" w:line="276"/>
        <w:jc w:val="both"/>
      </w:pPr>
      <w:r>
        <w:rPr>
          <w:rFonts w:ascii="Barlow Semi Condensed" w:cs="Barlow Semi Condensed" w:eastAsia="Barlow Semi Condensed" w:hAnsi="Barlow Semi Condensed"/>
          <w:b/>
          <w:bCs/>
          <w:sz w:val="24"/>
          <w:szCs w:val="24"/>
        </w:rPr>
        <w:t xml:space="preserve">Questa modestia non è una diminuzione. Essa è, al contrario, l'unica ambizione che nel campo di cui qui si tratta possa essere onestamente coltivata. Perché il caso Moro ha prodotto, in quasi cinquant'anni, una quantità di interpretazioni che supera di molto la quantità dei fatti accertati; e ogni interpretazione nuova, aggiungendosi alle precedenti, ha reso più difficile e non più facile il compito di distinguere ciò che si sa da ciò che si crede di sapere. Chi voglia oggi rendere un servizio a questa materia non deve aggiungere una tesi alle molte: deve separare gli strati.</w:t>
      </w:r>
    </w:p>
    <w:p>
      <w:pPr>
        <w:pStyle w:val="Heading2"/>
        <w:spacing w:after="100" w:before="200"/>
      </w:pPr>
      <w:r>
        <w:rPr>
          <w:rFonts w:ascii="Barlow Semi Condensed" w:cs="Barlow Semi Condensed" w:eastAsia="Barlow Semi Condensed" w:hAnsi="Barlow Semi Condensed"/>
          <w:sz w:val="24"/>
          <w:szCs w:val="24"/>
        </w:rPr>
        <w:t xml:space="preserve">Ciò che l'opera non fa</w:t>
      </w:r>
    </w:p>
    <w:p>
      <w:pPr>
        <w:spacing w:after="120" w:line="276"/>
        <w:jc w:val="both"/>
      </w:pPr>
      <w:r>
        <w:rPr>
          <w:rFonts w:ascii="Barlow Semi Condensed" w:cs="Barlow Semi Condensed" w:eastAsia="Barlow Semi Condensed" w:hAnsi="Barlow Semi Condensed"/>
          <w:b/>
          <w:bCs/>
          <w:sz w:val="24"/>
          <w:szCs w:val="24"/>
        </w:rPr>
        <w:t xml:space="preserve">L'opera non propone una tesi risolutiva. Essa non dichiara chi volle la morte di Aldo Moro, perché le fonti che essa ha potuto interrogare non lo accertano; e ciò che le fonti non accertano l'opera non afferma, quale che sia la sua propensione. Questa astensione non è prudenza tattica e non è indifferenza morale: è la sola condotta che consenta al lettore di giudicare da sé.</w:t>
      </w:r>
    </w:p>
    <w:p>
      <w:pPr>
        <w:spacing w:after="120" w:line="276"/>
        <w:jc w:val="both"/>
      </w:pPr>
      <w:r>
        <w:rPr>
          <w:rFonts w:ascii="Barlow Semi Condensed" w:cs="Barlow Semi Condensed" w:eastAsia="Barlow Semi Condensed" w:hAnsi="Barlow Semi Condensed"/>
          <w:b/>
          <w:bCs/>
          <w:sz w:val="24"/>
          <w:szCs w:val="24"/>
        </w:rPr>
        <w:t xml:space="preserve">L'opera non colma le lacune con la verosimiglianza. Dove manca un documento, essa scrive che manca, e dice quale documento manchi e dove sia stato cercato. La tentazione contraria è fortissima e va nominata: in una materia dove le lacune sono state prodotte artificialmente, il ricercatore è indotto a ricostruire per congettura ciò che gli è stato sottratto, e a persuadersi che la ricostruzione sia legittima proprio perché la sottrazione fu illegittima. Non lo è. Una lacuna prodotta ad arte resta una lacuna, e chi la riempie di congetture fa esattamente ciò che chi la produsse desiderava: sostituisce al vuoto una materia contestabile, e rende contestabile con essa anche il vuoto.</w:t>
      </w:r>
    </w:p>
    <w:p>
      <w:pPr>
        <w:spacing w:after="120" w:line="276"/>
        <w:jc w:val="both"/>
      </w:pPr>
      <w:r>
        <w:rPr>
          <w:rFonts w:ascii="Barlow Semi Condensed" w:cs="Barlow Semi Condensed" w:eastAsia="Barlow Semi Condensed" w:hAnsi="Barlow Semi Condensed"/>
          <w:b/>
          <w:bCs/>
          <w:sz w:val="24"/>
          <w:szCs w:val="24"/>
        </w:rPr>
        <w:t xml:space="preserve">L'opera non attribuisce responsabilità che le fonti non accertino. Le persone che nelle fonti compaiono sono designate, ove la funzione basti a identificare l'atto, per la funzione che esercitavano e non per il nome che portavano. Questa scelta ha una ragione precisa e ne ha un costo, e sarà detto più avanti quali siano l'una e l'altro.</w:t>
      </w:r>
    </w:p>
    <w:p>
      <w:pPr>
        <w:pStyle w:val="Heading2"/>
        <w:spacing w:after="100" w:before="200"/>
      </w:pPr>
      <w:r>
        <w:rPr>
          <w:rFonts w:ascii="Barlow Semi Condensed" w:cs="Barlow Semi Condensed" w:eastAsia="Barlow Semi Condensed" w:hAnsi="Barlow Semi Condensed"/>
          <w:sz w:val="24"/>
          <w:szCs w:val="24"/>
        </w:rPr>
        <w:t xml:space="preserve">Ciò che l'opera fa</w:t>
      </w:r>
    </w:p>
    <w:p>
      <w:pPr>
        <w:spacing w:after="120" w:line="276"/>
        <w:jc w:val="both"/>
      </w:pPr>
      <w:r>
        <w:rPr>
          <w:rFonts w:ascii="Barlow Semi Condensed" w:cs="Barlow Semi Condensed" w:eastAsia="Barlow Semi Condensed" w:hAnsi="Barlow Semi Condensed"/>
          <w:b/>
          <w:bCs/>
          <w:sz w:val="24"/>
          <w:szCs w:val="24"/>
        </w:rPr>
        <w:t xml:space="preserve">L'opera registra. Procede per acquisizioni successive, e ogni serie di acquisizioni si aggiunge alle anteriori senza sostituirle. Quando una acquisizione posteriore corregge una anteriore, la correzione è dichiarata e non applicata in silenzio: il testo anteriore resta leggibile, e accanto ad esso sta scritto in che cosa era errato e per quale ragione. Il lettore vede dunque non soltanto ciò che l'opera sostiene oggi, ma il cammino per il quale vi è giunta, e i punti nei quali ha dovuto tornare indietro.</w:t>
      </w:r>
    </w:p>
    <w:p>
      <w:pPr>
        <w:spacing w:after="120" w:line="276"/>
        <w:jc w:val="both"/>
      </w:pPr>
      <w:r>
        <w:rPr>
          <w:rFonts w:ascii="Barlow Semi Condensed" w:cs="Barlow Semi Condensed" w:eastAsia="Barlow Semi Condensed" w:hAnsi="Barlow Semi Condensed"/>
          <w:b/>
          <w:bCs/>
          <w:sz w:val="24"/>
          <w:szCs w:val="24"/>
        </w:rPr>
        <w:t xml:space="preserve">Questo modo di procedere ha un nome: cumulatività preservativa. Esso vieta la sostituzione, l'abbreviazione e la riscrittura. La ragione è di natura probatoria e non sentimentale. Un'opera che riscriva sé stessa perde la propria storia, e con la propria storia perde la possibilità di essere controllata: chi non può vedere dove il ricercatore ha sbagliato non può misurare quanto valga dove non ha sbagliato. Le pietre deposte non si scalpellano.</w:t>
      </w:r>
    </w:p>
    <w:p>
      <w:pPr>
        <w:spacing w:after="120" w:line="276"/>
        <w:jc w:val="both"/>
      </w:pPr>
      <w:r>
        <w:rPr>
          <w:rFonts w:ascii="Barlow Semi Condensed" w:cs="Barlow Semi Condensed" w:eastAsia="Barlow Semi Condensed" w:hAnsi="Barlow Semi Condensed"/>
          <w:b/>
          <w:bCs/>
          <w:sz w:val="24"/>
          <w:szCs w:val="24"/>
        </w:rPr>
        <w:t xml:space="preserve">L'opera registra inoltre gli esiti negativi. Un archivio interrogato e muto, un quesito posto e non risolto, un documento cercato e non trovato sono acquisizioni di pieno valore, e sono dichiarati con la medesima precisione dei reperimenti positivi. Questa disposizione, che potrà parere pedante, è invece decisiva; e la sua ragione sarà svolta nel Capitolo settimo, dove si dirà perché un registro che annoti soltanto ciò che ha trovato menta per costruzione.</w:t>
      </w:r>
    </w:p>
    <w:p>
      <w:pPr>
        <w:pStyle w:val="Heading2"/>
        <w:spacing w:after="100" w:before="200"/>
      </w:pPr>
      <w:r>
        <w:rPr>
          <w:rFonts w:ascii="Barlow Semi Condensed" w:cs="Barlow Semi Condensed" w:eastAsia="Barlow Semi Condensed" w:hAnsi="Barlow Semi Condensed"/>
          <w:sz w:val="24"/>
          <w:szCs w:val="24"/>
        </w:rPr>
        <w:t xml:space="preserve">La genesi del testo</w:t>
      </w:r>
    </w:p>
    <w:p>
      <w:pPr>
        <w:spacing w:after="120" w:line="276"/>
        <w:jc w:val="both"/>
      </w:pPr>
      <w:r>
        <w:rPr>
          <w:rFonts w:ascii="Barlow Semi Condensed" w:cs="Barlow Semi Condensed" w:eastAsia="Barlow Semi Condensed" w:hAnsi="Barlow Semi Condensed"/>
          <w:b/>
          <w:bCs/>
          <w:sz w:val="24"/>
          <w:szCs w:val="24"/>
        </w:rPr>
        <w:t xml:space="preserve">Va detta una cosa che riguarda la natura materiale di queste pagine, e va detta apertamente perché tacerla sarebbe una omissione di provenienza, e l'opera non può domandare alle proprie fonti una trasparenza che non pratichi su di sé.</w:t>
      </w:r>
    </w:p>
    <w:p>
      <w:pPr>
        <w:spacing w:after="120" w:line="276"/>
        <w:jc w:val="both"/>
      </w:pPr>
      <w:r>
        <w:rPr>
          <w:rFonts w:ascii="Barlow Semi Condensed" w:cs="Barlow Semi Condensed" w:eastAsia="Barlow Semi Condensed" w:hAnsi="Barlow Semi Condensed"/>
          <w:b/>
          <w:bCs/>
          <w:sz w:val="24"/>
          <w:szCs w:val="24"/>
        </w:rPr>
        <w:t xml:space="preserve">Il testo è generato da una intelligenza artificiale, su comando e sotto la responsabilità di un autore che lo dirige. Questa circostanza non è un vezzo né una scusa. Essa è un dato di provenienza, e come ogni dato di provenienza incide sul valore di ciò che segue. Incide in due direzioni opposte, e conviene dirle entrambe.</w:t>
      </w:r>
    </w:p>
    <w:p>
      <w:pPr>
        <w:spacing w:after="120" w:line="276"/>
        <w:jc w:val="both"/>
      </w:pPr>
      <w:r>
        <w:rPr>
          <w:rFonts w:ascii="Barlow Semi Condensed" w:cs="Barlow Semi Condensed" w:eastAsia="Barlow Semi Condensed" w:hAnsi="Barlow Semi Condensed"/>
          <w:b/>
          <w:bCs/>
          <w:sz w:val="24"/>
          <w:szCs w:val="24"/>
        </w:rPr>
        <w:t xml:space="preserve">Nella direzione favorevole: uno strumento che non si stanchi può percorrere per intero un corpus che nessun lettore umano percorrerebbe interamente, può contare ciò che nessuno conterebbe, e non ha memoria affettiva del caso che lo induca a preferire un esito. Nella direzione sfavorevole, e più gravemente: uno strumento siffatto genera prosa plausibile anche dove non ha materia, e la plausibilità della prosa è precisamente ciò che un lettore scambia per fondatezza dell'asserzione. È il pericolo capitale di questo genere di composizione, ed è la ragione per la quale l'apparato che segue è così minuzioso: ogni proposizione porta il proprio grado, ogni grado porta la propria fonte, e ogni fonte porta i propri estremi, affinché il lettore possa in ogni punto verificare se dietro la frase ben formata vi sia un atto.</w:t>
      </w:r>
    </w:p>
    <w:p>
      <w:pPr>
        <w:spacing w:after="120" w:line="276"/>
        <w:jc w:val="both"/>
      </w:pPr>
      <w:r>
        <w:rPr>
          <w:rFonts w:ascii="Barlow Semi Condensed" w:cs="Barlow Semi Condensed" w:eastAsia="Barlow Semi Condensed" w:hAnsi="Barlow Semi Condensed"/>
          <w:b/>
          <w:bCs/>
          <w:sz w:val="24"/>
          <w:szCs w:val="24"/>
        </w:rPr>
        <w:t xml:space="preserve">Il lettore è dunque avvertito, e l'avvertimento è serio: non creda a questa opera perché è scritta bene. Ne verifichi le fonti. L'opera è costruita perché ciò sia possibile in ogni suo punto, ed è questa possibilità, e non l'eleganza, la sola cosa che essa offra a garanzia di sé.</w:t>
      </w:r>
    </w:p>
    <w:p>
      <w:pPr>
        <w:pStyle w:val="Heading2"/>
        <w:spacing w:after="100" w:before="200"/>
      </w:pPr>
      <w:r>
        <w:rPr>
          <w:rFonts w:ascii="Barlow Semi Condensed" w:cs="Barlow Semi Condensed" w:eastAsia="Barlow Semi Condensed" w:hAnsi="Barlow Semi Condensed"/>
          <w:sz w:val="24"/>
          <w:szCs w:val="24"/>
        </w:rPr>
        <w:t xml:space="preserve">L'animo con il quale è scritta</w:t>
      </w:r>
    </w:p>
    <w:p>
      <w:pPr>
        <w:spacing w:after="120" w:line="276"/>
        <w:jc w:val="both"/>
      </w:pPr>
      <w:r>
        <w:rPr>
          <w:rFonts w:ascii="Barlow Semi Condensed" w:cs="Barlow Semi Condensed" w:eastAsia="Barlow Semi Condensed" w:hAnsi="Barlow Semi Condensed"/>
          <w:b/>
          <w:bCs/>
          <w:sz w:val="24"/>
          <w:szCs w:val="24"/>
        </w:rPr>
        <w:t xml:space="preserve">Resta da dire una cosa che non appartiene al metodo ma senza la quale il metodo si comprende male.</w:t>
      </w:r>
    </w:p>
    <w:p>
      <w:pPr>
        <w:spacing w:after="120" w:line="276"/>
        <w:jc w:val="both"/>
      </w:pPr>
      <w:r>
        <w:rPr>
          <w:rFonts w:ascii="Barlow Semi Condensed" w:cs="Barlow Semi Condensed" w:eastAsia="Barlow Semi Condensed" w:hAnsi="Barlow Semi Condensed"/>
          <w:b/>
          <w:bCs/>
          <w:sz w:val="24"/>
          <w:szCs w:val="24"/>
        </w:rPr>
        <w:t xml:space="preserve">Al centro di questa materia vi è la morte di un uomo, e vi sono le morti di cinque uomini che lo accompagnavano quella mattina e che avevano famiglie, e nomi, e una vita davanti. Vi è una prigionia di cinquantacinque giorni, durante la quale un uomo scrisse lettere che furono lette, discusse, sospettate e in larga parte non ascoltate. Vi sono, attorno a tutto questo, decenni di dolore privato che non si sono chiusi.</w:t>
      </w:r>
    </w:p>
    <w:p>
      <w:pPr>
        <w:spacing w:after="120" w:line="276"/>
        <w:jc w:val="both"/>
      </w:pPr>
      <w:r>
        <w:rPr>
          <w:rFonts w:ascii="Barlow Semi Condensed" w:cs="Barlow Semi Condensed" w:eastAsia="Barlow Semi Condensed" w:hAnsi="Barlow Semi Condensed"/>
          <w:b/>
          <w:bCs/>
          <w:sz w:val="24"/>
          <w:szCs w:val="24"/>
        </w:rPr>
        <w:t xml:space="preserve">Una ricerca che dimenticasse questo diventerebbe un esercizio, e l'esercizio in questa materia è una forma di offesa. Ma una ricerca che se ne lasciasse governare diventerebbe un'orazione, e l'orazione non prova nulla. Fra le due cose occorre tenersi, e non è facile: la pietà detta il perché si ricerca, il metodo detta il come, e nessuna delle due deve invadere il campo dell'altra. L'opera si sforza di stare in questo equilibrio, sapendo di non riuscirvi sempre.</w:t>
      </w:r>
    </w:p>
    <w:p>
      <w:pPr>
        <w:pStyle w:val="Heading2"/>
        <w:spacing w:after="100" w:before="200"/>
      </w:pPr>
      <w:r>
        <w:rPr>
          <w:rFonts w:ascii="Barlow Semi Condensed" w:cs="Barlow Semi Condensed" w:eastAsia="Barlow Semi Condensed" w:hAnsi="Barlow Semi Condensed"/>
          <w:sz w:val="24"/>
          <w:szCs w:val="24"/>
        </w:rPr>
        <w:t xml:space="preserve">Capitolo secondo — La Regola di Ferro e le clausole di disciplina</w:t>
      </w:r>
    </w:p>
    <w:p>
      <w:pPr>
        <w:spacing w:after="120" w:line="276"/>
        <w:jc w:val="both"/>
      </w:pPr>
      <w:r>
        <w:rPr>
          <w:rFonts w:ascii="Barlow Semi Condensed" w:cs="Barlow Semi Condensed" w:eastAsia="Barlow Semi Condensed" w:hAnsi="Barlow Semi Condensed"/>
          <w:b/>
          <w:bCs/>
          <w:sz w:val="24"/>
          <w:szCs w:val="24"/>
        </w:rPr>
        <w:t xml:space="preserve">Ogni ricerca è governata da una regola sovrana, dichiarata o taciuta. Quando è taciuta essa opera lo stesso, e opera peggio, perché il lettore non può controllarla. Conviene dunque dichiararla.</w:t>
      </w:r>
    </w:p>
    <w:p>
      <w:pPr>
        <w:pStyle w:val="Heading2"/>
        <w:spacing w:after="100" w:before="200"/>
      </w:pPr>
      <w:r>
        <w:rPr>
          <w:rFonts w:ascii="Barlow Semi Condensed" w:cs="Barlow Semi Condensed" w:eastAsia="Barlow Semi Condensed" w:hAnsi="Barlow Semi Condensed"/>
          <w:sz w:val="24"/>
          <w:szCs w:val="24"/>
        </w:rPr>
        <w:t xml:space="preserve">La Regola di Ferro</w:t>
      </w:r>
    </w:p>
    <w:p>
      <w:pPr>
        <w:spacing w:after="120" w:line="276"/>
        <w:jc w:val="both"/>
      </w:pPr>
      <w:r>
        <w:rPr>
          <w:rFonts w:ascii="Barlow Semi Condensed" w:cs="Barlow Semi Condensed" w:eastAsia="Barlow Semi Condensed" w:hAnsi="Barlow Semi Condensed"/>
          <w:b/>
          <w:bCs/>
          <w:sz w:val="24"/>
          <w:szCs w:val="24"/>
        </w:rPr>
        <w:t xml:space="preserve">La regola sovrana di quest'opera si enuncia così: dove la fonte documenta, l'opera certifica; dove la fonte tace, l'opera indaga e non afferma.</w:t>
      </w:r>
    </w:p>
    <w:p>
      <w:pPr>
        <w:spacing w:after="120" w:line="276"/>
        <w:jc w:val="both"/>
      </w:pPr>
      <w:r>
        <w:rPr>
          <w:rFonts w:ascii="Barlow Semi Condensed" w:cs="Barlow Semi Condensed" w:eastAsia="Barlow Semi Condensed" w:hAnsi="Barlow Semi Condensed"/>
          <w:b/>
          <w:bCs/>
          <w:sz w:val="24"/>
          <w:szCs w:val="24"/>
        </w:rPr>
        <w:t xml:space="preserve">Essa ha due membri e vanno tenuti insieme. Il primo membro obbliga: dove esiste un atto, l'opera deve dire ciò che l'atto dice, anche quando ciò che l'atto dice è sgradevole, o contraddice una convinzione diffusa, o riguarda persone rispettabili. La certificazione non è facoltativa e non conosce riguardi.</w:t>
      </w:r>
    </w:p>
    <w:p>
      <w:pPr>
        <w:spacing w:after="120" w:line="276"/>
        <w:jc w:val="both"/>
      </w:pPr>
      <w:r>
        <w:rPr>
          <w:rFonts w:ascii="Barlow Semi Condensed" w:cs="Barlow Semi Condensed" w:eastAsia="Barlow Semi Condensed" w:hAnsi="Barlow Semi Condensed"/>
          <w:b/>
          <w:bCs/>
          <w:sz w:val="24"/>
          <w:szCs w:val="24"/>
        </w:rPr>
        <w:t xml:space="preserve">Il secondo membro vieta: dove l'atto manca, l'opera non colma. Ma vieta soltanto l'affermazione, non la ricerca. Il silenzio dell'opera non è rinuncia: è rigore in attesa. Ciò che oggi non si può dire allo stato degli atti potrà dirsi domani per un atto nuovo, e nel frattempo l'indagine prosegue. La differenza fra il tacere e il rinunciare è tutta qui, ed è grande: chi rinuncia chiude il fascicolo, chi tace lo tiene aperto.</w:t>
      </w:r>
    </w:p>
    <w:p>
      <w:pPr>
        <w:spacing w:after="120" w:line="276"/>
        <w:jc w:val="both"/>
      </w:pPr>
      <w:r>
        <w:rPr>
          <w:rFonts w:ascii="Barlow Semi Condensed" w:cs="Barlow Semi Condensed" w:eastAsia="Barlow Semi Condensed" w:hAnsi="Barlow Semi Condensed"/>
          <w:b/>
          <w:bCs/>
          <w:sz w:val="24"/>
          <w:szCs w:val="24"/>
        </w:rPr>
        <w:t xml:space="preserve">Da questa regola discende una conseguenza che occorre esplicitare, perché è quella che più frequentemente viene elusa. La regola vale anche contro le conclusioni che sarebbero gradite al ricercatore. Anzi, contro quelle in modo particolare: perché è precisamente davanti alla conclusione desiderata che il ricercatore trova naturale considerare sufficiente una prova che, se conducesse altrove, giudicherebbe insufficiente. La Regola di Ferro non è uno strumento contro gli altri: è uno strumento contro sé stessi.</w:t>
      </w:r>
    </w:p>
    <w:p>
      <w:pPr>
        <w:pStyle w:val="Heading2"/>
        <w:spacing w:after="100" w:before="200"/>
      </w:pPr>
      <w:r>
        <w:rPr>
          <w:rFonts w:ascii="Barlow Semi Condensed" w:cs="Barlow Semi Condensed" w:eastAsia="Barlow Semi Condensed" w:hAnsi="Barlow Semi Condensed"/>
          <w:sz w:val="24"/>
          <w:szCs w:val="24"/>
        </w:rPr>
        <w:t xml:space="preserve">Le quattro clausole di disciplina</w:t>
      </w:r>
    </w:p>
    <w:p>
      <w:pPr>
        <w:spacing w:after="120" w:line="276"/>
        <w:jc w:val="both"/>
      </w:pPr>
      <w:r>
        <w:rPr>
          <w:rFonts w:ascii="Barlow Semi Condensed" w:cs="Barlow Semi Condensed" w:eastAsia="Barlow Semi Condensed" w:hAnsi="Barlow Semi Condensed"/>
          <w:b/>
          <w:bCs/>
          <w:sz w:val="24"/>
          <w:szCs w:val="24"/>
        </w:rPr>
        <w:t xml:space="preserve">Attorno alla regola sovrana stanno quattro clausole, che ne governano l'applicazione in altrettanti punti dove l'esperienza ha mostrato che si sbaglia.</w:t>
      </w:r>
    </w:p>
    <w:p>
      <w:pPr>
        <w:spacing w:after="120" w:line="276"/>
        <w:jc w:val="both"/>
      </w:pPr>
      <w:r>
        <w:rPr>
          <w:rFonts w:ascii="Barlow Semi Condensed" w:cs="Barlow Semi Condensed" w:eastAsia="Barlow Semi Condensed" w:hAnsi="Barlow Semi Condensed"/>
          <w:b/>
          <w:bCs/>
          <w:sz w:val="24"/>
          <w:szCs w:val="24"/>
        </w:rPr>
        <w:t xml:space="preserve">La prima clausola vieta di psicologizzare le persone. Quest'opera impiega, per descrivere il comportamento degli archivi e dei sistemi documentali, alcune categorie che vengono dalla psicoanalisi: rimozione, censura, sintomo, ritorno. Esse si riferiscono esclusivamente al caso, all'archivio e al sistema delle carte; mai a persone reali, viventi o defunte. L'opera ausculta archivi e non psicoanalizza nessuno. Chi legga nell'espressione «rimozione documentale» un giudizio sulla psiche di chi ordinò l'omissione la legge contro la clausola.</w:t>
      </w:r>
    </w:p>
    <w:p>
      <w:pPr>
        <w:spacing w:after="120" w:line="276"/>
        <w:jc w:val="both"/>
      </w:pPr>
      <w:r>
        <w:rPr>
          <w:rFonts w:ascii="Barlow Semi Condensed" w:cs="Barlow Semi Condensed" w:eastAsia="Barlow Semi Condensed" w:hAnsi="Barlow Semi Condensed"/>
          <w:b/>
          <w:bCs/>
          <w:sz w:val="24"/>
          <w:szCs w:val="24"/>
        </w:rPr>
        <w:t xml:space="preserve">La seconda clausola vieta di importare la denegazione. Il diniego di una persona è un diniego e nulla più: non è ammissione, non è indizio, non muove alcuna soglia. Nella pratica clinica un diniego può valere come segnale; nel registro non entra. Chi trattasse la negazione come conferma rovescerebbe l'onere della prova, e nessuno potrebbe più difendersi da nulla.</w:t>
      </w:r>
    </w:p>
    <w:p>
      <w:pPr>
        <w:spacing w:after="120" w:line="276"/>
        <w:jc w:val="both"/>
      </w:pPr>
      <w:r>
        <w:rPr>
          <w:rFonts w:ascii="Barlow Semi Condensed" w:cs="Barlow Semi Condensed" w:eastAsia="Barlow Semi Condensed" w:hAnsi="Barlow Semi Condensed"/>
          <w:b/>
          <w:bCs/>
          <w:sz w:val="24"/>
          <w:szCs w:val="24"/>
        </w:rPr>
        <w:t xml:space="preserve">La terza clausola è filologica. Ogni figura, ogni metafora e ogni nome tecnico che l'opera impieghi deve dichiarare la propria provenienza e il proprio statuto. Le immagini sono strumenti di pensiero utilissimi e pericolosissimi: utilissimi perché fanno vedere, pericolosissimi perché fanno vedere anche ciò che non c'è. Un'immagine che porti al collo la propria carta d'origine resta uno strumento; un'immagine che se ne liberi diventa una tesi non dichiarata.</w:t>
      </w:r>
    </w:p>
    <w:p>
      <w:pPr>
        <w:spacing w:after="120" w:line="276"/>
        <w:jc w:val="both"/>
      </w:pPr>
      <w:r>
        <w:rPr>
          <w:rFonts w:ascii="Barlow Semi Condensed" w:cs="Barlow Semi Condensed" w:eastAsia="Barlow Semi Condensed" w:hAnsi="Barlow Semi Condensed"/>
          <w:b/>
          <w:bCs/>
          <w:sz w:val="24"/>
          <w:szCs w:val="24"/>
        </w:rPr>
        <w:t xml:space="preserve">La quarta clausola è costituzionale, e riguarda l'ordinamento interno dell'opera: nessuno strato comanda, tutti servono. Non esiste, nel registro, una parte sovrana alla quale le altre debbano conformarsi. La parte metodologica non comanda sulla parte documentale, e la parte documentale non comanda sulla metodologica: la prima serve a rendere leggibile la seconda, la seconda serve a mettere alla prova la prima. Quando l'una cominciasse a comandare sull'altra, l'opera avrebbe cessato di essere un registro.</w:t>
      </w:r>
    </w:p>
    <w:p>
      <w:pPr>
        <w:pStyle w:val="Heading2"/>
        <w:spacing w:after="100" w:before="200"/>
      </w:pPr>
      <w:r>
        <w:rPr>
          <w:rFonts w:ascii="Barlow Semi Condensed" w:cs="Barlow Semi Condensed" w:eastAsia="Barlow Semi Condensed" w:hAnsi="Barlow Semi Condensed"/>
          <w:sz w:val="24"/>
          <w:szCs w:val="24"/>
        </w:rPr>
        <w:t xml:space="preserve">La distinzione che regge tutto</w:t>
      </w:r>
    </w:p>
    <w:p>
      <w:pPr>
        <w:spacing w:after="120" w:line="276"/>
        <w:jc w:val="both"/>
      </w:pPr>
      <w:r>
        <w:rPr>
          <w:rFonts w:ascii="Barlow Semi Condensed" w:cs="Barlow Semi Condensed" w:eastAsia="Barlow Semi Condensed" w:hAnsi="Barlow Semi Condensed"/>
          <w:b/>
          <w:bCs/>
          <w:sz w:val="24"/>
          <w:szCs w:val="24"/>
        </w:rPr>
        <w:t xml:space="preserve">Vi è infine una distinzione che attraversa l'intera opera e che conviene fissare qui, perché senza di essa nulla di ciò che segue si comprende: la distinzione fra l'ordine dell'esposizione e l'ordine della prova.</w:t>
      </w:r>
    </w:p>
    <w:p>
      <w:pPr>
        <w:spacing w:after="120" w:line="276"/>
        <w:jc w:val="both"/>
      </w:pPr>
      <w:r>
        <w:rPr>
          <w:rFonts w:ascii="Barlow Semi Condensed" w:cs="Barlow Semi Condensed" w:eastAsia="Barlow Semi Condensed" w:hAnsi="Barlow Semi Condensed"/>
          <w:b/>
          <w:bCs/>
          <w:sz w:val="24"/>
          <w:szCs w:val="24"/>
        </w:rPr>
        <w:t xml:space="preserve">L'ordine dell'esposizione è quello del racconto. Esso procede come conviene alla comprensione: dal noto all'ignoto, dal semplice al complesso, dall'antefatto al fatto. Esso è legittimo, necessario, e non trasferisce alcun grado probatorio ad alcunché. Che due capitoli si susseguano non significa che il primo provi il secondo.</w:t>
      </w:r>
    </w:p>
    <w:p>
      <w:pPr>
        <w:spacing w:after="120" w:line="276"/>
        <w:jc w:val="both"/>
      </w:pPr>
      <w:r>
        <w:rPr>
          <w:rFonts w:ascii="Barlow Semi Condensed" w:cs="Barlow Semi Condensed" w:eastAsia="Barlow Semi Condensed" w:hAnsi="Barlow Semi Condensed"/>
          <w:b/>
          <w:bCs/>
          <w:sz w:val="24"/>
          <w:szCs w:val="24"/>
        </w:rPr>
        <w:t xml:space="preserve">L'ordine della prova è quello del documento. Esso procede dal basso: dall'atto all'asserzione, dall'asserzione al legame. Esso non conosce narrazione, non conosce climax, non conosce conclusione. Da esso soltanto discendono i gradi.</w:t>
      </w:r>
    </w:p>
    <w:p>
      <w:pPr>
        <w:spacing w:after="120" w:line="276"/>
        <w:jc w:val="both"/>
      </w:pPr>
      <w:r>
        <w:rPr>
          <w:rFonts w:ascii="Barlow Semi Condensed" w:cs="Barlow Semi Condensed" w:eastAsia="Barlow Semi Condensed" w:hAnsi="Barlow Semi Condensed"/>
          <w:b/>
          <w:bCs/>
          <w:sz w:val="24"/>
          <w:szCs w:val="24"/>
        </w:rPr>
        <w:t xml:space="preserve">La confusione dei due ordini è l'errore più diffuso in questa materia, e il più difficile da vedere, perché non si presenta mai come errore: si presenta come chiarezza espositiva. Il lettore che percorra una successione ben costruita di capitoli riceve, dalla successione medesima, l'impressione che ciascuno sostenga il seguente; e alla fine si trova persuaso di una conclusione che nessun documento sostiene, ma che la forma del discorso ha reso irresistibile. È così che si costruiscono, in perfetta buona fede, le ricostruzioni indimostrabili.</w:t>
      </w:r>
    </w:p>
    <w:p>
      <w:pPr>
        <w:spacing w:after="120" w:line="276"/>
        <w:jc w:val="both"/>
      </w:pPr>
      <w:r>
        <w:rPr>
          <w:rFonts w:ascii="Barlow Semi Condensed" w:cs="Barlow Semi Condensed" w:eastAsia="Barlow Semi Condensed" w:hAnsi="Barlow Semi Condensed"/>
          <w:b/>
          <w:bCs/>
          <w:sz w:val="24"/>
          <w:szCs w:val="24"/>
        </w:rPr>
        <w:t xml:space="preserve">Quest'opera tiene i due ordini separati e lo dichiara in ogni punto in cui potrebbero confondersi.</w:t>
      </w:r>
    </w:p>
    <w:p>
      <w:pPr>
        <w:pStyle w:val="Heading2"/>
        <w:spacing w:after="100" w:before="200"/>
      </w:pPr>
      <w:r>
        <w:rPr>
          <w:rFonts w:ascii="Barlow Semi Condensed" w:cs="Barlow Semi Condensed" w:eastAsia="Barlow Semi Condensed" w:hAnsi="Barlow Semi Condensed"/>
          <w:sz w:val="24"/>
          <w:szCs w:val="24"/>
        </w:rPr>
        <w:t xml:space="preserve">Capitolo terzo — La classificazione: sciolto, dubbio, dissolto</w:t>
      </w:r>
    </w:p>
    <w:p>
      <w:pPr>
        <w:spacing w:after="120" w:line="276"/>
        <w:jc w:val="both"/>
      </w:pPr>
      <w:r>
        <w:rPr>
          <w:rFonts w:ascii="Barlow Semi Condensed" w:cs="Barlow Semi Condensed" w:eastAsia="Barlow Semi Condensed" w:hAnsi="Barlow Semi Condensed"/>
          <w:b/>
          <w:bCs/>
          <w:sz w:val="24"/>
          <w:szCs w:val="24"/>
        </w:rPr>
        <w:t xml:space="preserve">Ogni proposizione di quest'opera porta scritto accanto a sé il proprio stato. Gli stati sono tre e tre soltanto, e conviene dire perché siano tre, perché non siano di più, e perché non siano graduati.</w:t>
      </w:r>
    </w:p>
    <w:p>
      <w:pPr>
        <w:pStyle w:val="Heading2"/>
        <w:spacing w:after="100" w:before="200"/>
      </w:pPr>
      <w:r>
        <w:rPr>
          <w:rFonts w:ascii="Barlow Semi Condensed" w:cs="Barlow Semi Condensed" w:eastAsia="Barlow Semi Condensed" w:hAnsi="Barlow Semi Condensed"/>
          <w:sz w:val="24"/>
          <w:szCs w:val="24"/>
        </w:rPr>
        <w:t xml:space="preserve">I tre stati</w:t>
      </w:r>
    </w:p>
    <w:p>
      <w:pPr>
        <w:spacing w:after="120" w:line="276"/>
        <w:jc w:val="both"/>
      </w:pPr>
      <w:r>
        <w:rPr>
          <w:rFonts w:ascii="Barlow Semi Condensed" w:cs="Barlow Semi Condensed" w:eastAsia="Barlow Semi Condensed" w:hAnsi="Barlow Semi Condensed"/>
          <w:b/>
          <w:bCs/>
          <w:sz w:val="24"/>
          <w:szCs w:val="24"/>
        </w:rPr>
        <w:t xml:space="preserve">Il primo stato è lo sciolto. Vi appartiene la proposizione che ha superato la verifica e resiste alla confutazione: essa poggia su atti, gli atti sono stati controllati, e nessun elemento noto la contraddice. Lo sciolto non è una certezza metafisica: è una proposizione che allo stato degli atti regge, e che potrebbe non reggere domani se un atto nuovo comparisse. Ma finché quell'atto non compare, essa vale, e l'opera la impiega senza cautele verbali, perché le cautele apposte a ciò che è accertato indeboliscono ciò che è accertato senza rafforzare nulla.</w:t>
      </w:r>
    </w:p>
    <w:p>
      <w:pPr>
        <w:spacing w:after="120" w:line="276"/>
        <w:jc w:val="both"/>
      </w:pPr>
      <w:r>
        <w:rPr>
          <w:rFonts w:ascii="Barlow Semi Condensed" w:cs="Barlow Semi Condensed" w:eastAsia="Barlow Semi Condensed" w:hAnsi="Barlow Semi Condensed"/>
          <w:b/>
          <w:bCs/>
          <w:sz w:val="24"/>
          <w:szCs w:val="24"/>
        </w:rPr>
        <w:t xml:space="preserve">Il secondo stato è il dubbio. Vi appartiene tutto ciò che sciolto non è. E qui viene la disposizione che più sorprende chi la incontri la prima volta: il dubbio è uno stato unico, non graduato e non gerarchizzato. Non esistono dubbi forti e dubbi deboli, dubbi quasi risolti e dubbi remoti. Tutto ciò che è dubbio è dubbio, indiviso, finché non sia sciolto.</w:t>
      </w:r>
    </w:p>
    <w:p>
      <w:pPr>
        <w:spacing w:after="120" w:line="276"/>
        <w:jc w:val="both"/>
      </w:pPr>
      <w:r>
        <w:rPr>
          <w:rFonts w:ascii="Barlow Semi Condensed" w:cs="Barlow Semi Condensed" w:eastAsia="Barlow Semi Condensed" w:hAnsi="Barlow Semi Condensed"/>
          <w:b/>
          <w:bCs/>
          <w:sz w:val="24"/>
          <w:szCs w:val="24"/>
        </w:rPr>
        <w:t xml:space="preserve">Il terzo stato è il dissolto. Vi appartiene ciò che è stato riconosciuto artefatto ed espunto. Ma l'espunzione avviene con menzione: l'opera dice che cosa ha espunto e perché, e non fa sparire in silenzio ciò che ha ritenuto falso. Un registro che cancelli senza dirlo domanda al lettore una fiducia che nessun registro ha diritto di domandare.</w:t>
      </w:r>
    </w:p>
    <w:p>
      <w:pPr>
        <w:pStyle w:val="Heading2"/>
        <w:spacing w:after="100" w:before="200"/>
      </w:pPr>
      <w:r>
        <w:rPr>
          <w:rFonts w:ascii="Barlow Semi Condensed" w:cs="Barlow Semi Condensed" w:eastAsia="Barlow Semi Condensed" w:hAnsi="Barlow Semi Condensed"/>
          <w:sz w:val="24"/>
          <w:szCs w:val="24"/>
        </w:rPr>
        <w:t xml:space="preserve">Perché il dubbio non si gradua</w:t>
      </w:r>
    </w:p>
    <w:p>
      <w:pPr>
        <w:spacing w:after="120" w:line="276"/>
        <w:jc w:val="both"/>
      </w:pPr>
      <w:r>
        <w:rPr>
          <w:rFonts w:ascii="Barlow Semi Condensed" w:cs="Barlow Semi Condensed" w:eastAsia="Barlow Semi Condensed" w:hAnsi="Barlow Semi Condensed"/>
          <w:b/>
          <w:bCs/>
          <w:sz w:val="24"/>
          <w:szCs w:val="24"/>
        </w:rPr>
        <w:t xml:space="preserve">La ragione per cui il dubbio resta indiviso merita di essere svolta, perché essa contraddice una pratica diffusa e apparentemente ragionevole.</w:t>
      </w:r>
    </w:p>
    <w:p>
      <w:pPr>
        <w:spacing w:after="120" w:line="276"/>
        <w:jc w:val="both"/>
      </w:pPr>
      <w:r>
        <w:rPr>
          <w:rFonts w:ascii="Barlow Semi Condensed" w:cs="Barlow Semi Condensed" w:eastAsia="Barlow Semi Condensed" w:hAnsi="Barlow Semi Condensed"/>
          <w:b/>
          <w:bCs/>
          <w:sz w:val="24"/>
          <w:szCs w:val="24"/>
        </w:rPr>
        <w:t xml:space="preserve">La pratica diffusa gradua: probabile, possibile, remoto. Essa pare ragionevole perché riflette una differenza che il ricercatore effettivamente avverte. Ma quella differenza, per quanto realmente avvertita, non è misurata: essa esprime la propensione del ricercatore, non una proprietà degli atti. E una propensione che venga scritta accanto a una proposizione, con l'aria di una misura, produce un effetto che il ricercatore non voleva: il lettore la legge come misura, la tratta come tale, e il dubbio graduato «probabile» comincia a comportarsi, nel discorso successivo, come se fosse mezzo sciolto.</w:t>
      </w:r>
    </w:p>
    <w:p>
      <w:pPr>
        <w:spacing w:after="120" w:line="276"/>
        <w:jc w:val="both"/>
      </w:pPr>
      <w:r>
        <w:rPr>
          <w:rFonts w:ascii="Barlow Semi Condensed" w:cs="Barlow Semi Condensed" w:eastAsia="Barlow Semi Condensed" w:hAnsi="Barlow Semi Condensed"/>
          <w:b/>
          <w:bCs/>
          <w:sz w:val="24"/>
          <w:szCs w:val="24"/>
        </w:rPr>
        <w:t xml:space="preserve">Di qui la deriva. Un dubbio probabile sostiene una inferenza; l'inferenza produce un dubbio meno probabile ma non trascurabile; questo ne sostiene un terzo; e alla quarta o quinta tappa si trova enunciata come acquisita una proposizione che non poggia su alcun atto, ma su una catena di propensioni ciascuna delle quali, presa da sola, appariva innocua. È il modo per il quale, in questa materia, si sono costruite intere ricostruzioni prive di fondamento documentale, senza che nessuno abbia mai mentito in alcun punto.</w:t>
      </w:r>
    </w:p>
    <w:p>
      <w:pPr>
        <w:spacing w:after="120" w:line="276"/>
        <w:jc w:val="both"/>
      </w:pPr>
      <w:r>
        <w:rPr>
          <w:rFonts w:ascii="Barlow Semi Condensed" w:cs="Barlow Semi Condensed" w:eastAsia="Barlow Semi Condensed" w:hAnsi="Barlow Semi Condensed"/>
          <w:b/>
          <w:bCs/>
          <w:sz w:val="24"/>
          <w:szCs w:val="24"/>
        </w:rPr>
        <w:t xml:space="preserve">La regola dell'indivisione del dubbio taglia la catena alla radice. Il dubbio non decide, non interferisce, non pesa; e da un dubbio non discende nulla.</w:t>
      </w:r>
    </w:p>
    <w:p>
      <w:pPr>
        <w:pStyle w:val="Heading2"/>
        <w:spacing w:after="100" w:before="200"/>
      </w:pPr>
      <w:r>
        <w:rPr>
          <w:rFonts w:ascii="Barlow Semi Condensed" w:cs="Barlow Semi Condensed" w:eastAsia="Barlow Semi Condensed" w:hAnsi="Barlow Semi Condensed"/>
          <w:sz w:val="24"/>
          <w:szCs w:val="24"/>
        </w:rPr>
        <w:t xml:space="preserve">La sola dinamica ammessa: la pressione</w:t>
      </w:r>
    </w:p>
    <w:p>
      <w:pPr>
        <w:spacing w:after="120" w:line="276"/>
        <w:jc w:val="both"/>
      </w:pPr>
      <w:r>
        <w:rPr>
          <w:rFonts w:ascii="Barlow Semi Condensed" w:cs="Barlow Semi Condensed" w:eastAsia="Barlow Semi Condensed" w:hAnsi="Barlow Semi Condensed"/>
          <w:b/>
          <w:bCs/>
          <w:sz w:val="24"/>
          <w:szCs w:val="24"/>
        </w:rPr>
        <w:t xml:space="preserve">Se i dubbi non si graduano, come si stabilisce quale istruire per primo? Perché una scelta occorre farla: i dubbi sono molti e il tempo è finito.</w:t>
      </w:r>
    </w:p>
    <w:p>
      <w:pPr>
        <w:spacing w:after="120" w:line="276"/>
        <w:jc w:val="both"/>
      </w:pPr>
      <w:r>
        <w:rPr>
          <w:rFonts w:ascii="Barlow Semi Condensed" w:cs="Barlow Semi Condensed" w:eastAsia="Barlow Semi Condensed" w:hAnsi="Barlow Semi Condensed"/>
          <w:b/>
          <w:bCs/>
          <w:sz w:val="24"/>
          <w:szCs w:val="24"/>
        </w:rPr>
        <w:t xml:space="preserve">L'opera riconosce ai dubbi una sola dinamica, che non è di verità ma di lavoro: i dubbi premono. La pressione di un dubbio si misura dal dispendio che il sistema documentale mostra attorno ad esso: dove molte carte sono state prodotte per spiegare una cosa sola, dove un punto è stato ripetutamente rettificato, dove un fascicolo è stato smarrito e ritrovato e nuovamente smarrito, lì il sistema ha speso per tenere fermo qualcosa. E il dispendio è osservabile, mentre ciò che esso trattiene non lo è.</w:t>
      </w:r>
    </w:p>
    <w:p>
      <w:pPr>
        <w:spacing w:after="120" w:line="276"/>
        <w:jc w:val="both"/>
      </w:pPr>
      <w:r>
        <w:rPr>
          <w:rFonts w:ascii="Barlow Semi Condensed" w:cs="Barlow Semi Condensed" w:eastAsia="Barlow Semi Condensed" w:hAnsi="Barlow Semi Condensed"/>
          <w:b/>
          <w:bCs/>
          <w:sz w:val="24"/>
          <w:szCs w:val="24"/>
        </w:rPr>
        <w:t xml:space="preserve">La pressione ordina dunque la coda delle istruttorie: essa dice dove il lavoro rende. Non dice, e non deve mai essere fatta dire, che cosa sia vero. Nessuna pressione promuove alcunché. Un dubbio attorno al quale si sia speso moltissimo resta esattamente tanto dubbio quanto uno attorno al quale non si sia speso nulla; è soltanto più conveniente scavarlo.</w:t>
      </w:r>
    </w:p>
    <w:p>
      <w:pPr>
        <w:pStyle w:val="Heading2"/>
        <w:spacing w:after="100" w:before="200"/>
      </w:pPr>
      <w:r>
        <w:rPr>
          <w:rFonts w:ascii="Barlow Semi Condensed" w:cs="Barlow Semi Condensed" w:eastAsia="Barlow Semi Condensed" w:hAnsi="Barlow Semi Condensed"/>
          <w:sz w:val="24"/>
          <w:szCs w:val="24"/>
        </w:rPr>
        <w:t xml:space="preserve">Ogni dubbio porta la propria condizione di scioglimento</w:t>
      </w:r>
    </w:p>
    <w:p>
      <w:pPr>
        <w:spacing w:after="120" w:line="276"/>
        <w:jc w:val="both"/>
      </w:pPr>
      <w:r>
        <w:rPr>
          <w:rFonts w:ascii="Barlow Semi Condensed" w:cs="Barlow Semi Condensed" w:eastAsia="Barlow Semi Condensed" w:hAnsi="Barlow Semi Condensed"/>
          <w:b/>
          <w:bCs/>
          <w:sz w:val="24"/>
          <w:szCs w:val="24"/>
        </w:rPr>
        <w:t xml:space="preserve">Vi è infine un obbligo che accompagna ogni dubbio registrato: accanto ad esso deve stare scritto che cosa, se trovato, lo scioglierebbe — in un senso o nell'altro.</w:t>
      </w:r>
    </w:p>
    <w:p>
      <w:pPr>
        <w:spacing w:after="120" w:line="276"/>
        <w:jc w:val="both"/>
      </w:pPr>
      <w:r>
        <w:rPr>
          <w:rFonts w:ascii="Barlow Semi Condensed" w:cs="Barlow Semi Condensed" w:eastAsia="Barlow Semi Condensed" w:hAnsi="Barlow Semi Condensed"/>
          <w:b/>
          <w:bCs/>
          <w:sz w:val="24"/>
          <w:szCs w:val="24"/>
        </w:rPr>
        <w:t xml:space="preserve">Questo obbligo è la parte più esigente dell'apparato e la più utile. Esigente, perché costringe il ricercatore a dichiarare in anticipo che cosa accetterebbe come smentita, e dunque gli impedisce di riconoscere retrospettivamente come confermativo qualunque esito. Utile, perché trasforma il registro in uno strumento di lavoro: chi voglia proseguire la ricerca trova scritto, per ciascun punto aperto, quale documento cercare e dove.</w:t>
      </w:r>
    </w:p>
    <w:p>
      <w:pPr>
        <w:spacing w:after="120" w:line="276"/>
        <w:jc w:val="both"/>
      </w:pPr>
      <w:r>
        <w:rPr>
          <w:rFonts w:ascii="Barlow Semi Condensed" w:cs="Barlow Semi Condensed" w:eastAsia="Barlow Semi Condensed" w:hAnsi="Barlow Semi Condensed"/>
          <w:b/>
          <w:bCs/>
          <w:sz w:val="24"/>
          <w:szCs w:val="24"/>
        </w:rPr>
        <w:t xml:space="preserve">Un dubbio senza condizione di scioglimento non è un dubbio: è una insinuazione che ha preso la forma grammaticale della prudenza. L'opera non ne registra.</w:t>
      </w:r>
    </w:p>
    <w:p>
      <w:pPr>
        <w:pStyle w:val="Heading2"/>
        <w:spacing w:after="100" w:before="200"/>
      </w:pPr>
      <w:r>
        <w:rPr>
          <w:rFonts w:ascii="Barlow Semi Condensed" w:cs="Barlow Semi Condensed" w:eastAsia="Barlow Semi Condensed" w:hAnsi="Barlow Semi Condensed"/>
          <w:sz w:val="24"/>
          <w:szCs w:val="24"/>
        </w:rPr>
        <w:t xml:space="preserve">Nota sulla scala anteriore</w:t>
      </w:r>
    </w:p>
    <w:p>
      <w:pPr>
        <w:spacing w:after="120" w:line="276"/>
        <w:jc w:val="both"/>
      </w:pPr>
      <w:r>
        <w:rPr>
          <w:rFonts w:ascii="Barlow Semi Condensed" w:cs="Barlow Semi Condensed" w:eastAsia="Barlow Semi Condensed" w:hAnsi="Barlow Semi Condensed"/>
          <w:b/>
          <w:bCs/>
          <w:sz w:val="24"/>
          <w:szCs w:val="24"/>
        </w:rPr>
        <w:t xml:space="preserve">L'opera ha impiegato, in una fase anteriore del proprio lavoro, una scala a tre livelli di derivazione criminologica, che distingueva il fatto documentato da fonte diretta, la ricostruzione di organo qualificato, e l'ipotesi dichiarata. Quella scala non è rinnegata: essa resta leggibile negli strati che la portano, ed è onorata come primo ordinamento dell'opera.</w:t>
      </w:r>
    </w:p>
    <w:p>
      <w:pPr>
        <w:spacing w:after="120" w:line="276"/>
        <w:jc w:val="both"/>
      </w:pPr>
      <w:r>
        <w:rPr>
          <w:rFonts w:ascii="Barlow Semi Condensed" w:cs="Barlow Semi Condensed" w:eastAsia="Barlow Semi Condensed" w:hAnsi="Barlow Semi Condensed"/>
          <w:b/>
          <w:bCs/>
          <w:sz w:val="24"/>
          <w:szCs w:val="24"/>
        </w:rPr>
        <w:t xml:space="preserve">Ma essa non governa più. Il suo statuto attuale è consultivo: si consulta come si consulta una carta nautica anteriore, per vedere come il fondale fu rilevato una volta, e non per governare la rotta di oggi. La ragione del mutamento è semplice e sarà detta senza reticenza: una scala a tre livelli graduati, applicata a un corpus vasto, tende a essere applicata per abitudine, e l'abitudine produce una distribuzione nella quale quasi tutto riceve il grado massimo. Quando ciò accade, la scala ha cessato di misurare e ha cominciato a decorare. La scala è sostanziale o non è nulla.</w:t>
      </w:r>
    </w:p>
    <w:p>
      <w:pPr>
        <w:pStyle w:val="Heading2"/>
        <w:spacing w:after="100" w:before="200"/>
      </w:pPr>
      <w:r>
        <w:rPr>
          <w:rFonts w:ascii="Barlow Semi Condensed" w:cs="Barlow Semi Condensed" w:eastAsia="Barlow Semi Condensed" w:hAnsi="Barlow Semi Condensed"/>
          <w:sz w:val="24"/>
          <w:szCs w:val="24"/>
        </w:rPr>
        <w:t xml:space="preserve">Capitolo quarto — La notazione e la verificabilità</w:t>
      </w:r>
    </w:p>
    <w:p>
      <w:pPr>
        <w:spacing w:after="120" w:line="276"/>
        <w:jc w:val="both"/>
      </w:pPr>
      <w:r>
        <w:rPr>
          <w:rFonts w:ascii="Barlow Semi Condensed" w:cs="Barlow Semi Condensed" w:eastAsia="Barlow Semi Condensed" w:hAnsi="Barlow Semi Condensed"/>
          <w:b/>
          <w:bCs/>
          <w:sz w:val="24"/>
          <w:szCs w:val="24"/>
        </w:rPr>
        <w:t xml:space="preserve">Vi è una questione che pare minuta e che minuta non è: quando un numero si scriva in lettere e quando in cifre. Essa fu sollevata nel corso del lavoro, e la risposta che le fu data ha modificato l'apparato in un punto che tocca direttamente la Regola di Ferro.</w:t>
      </w:r>
    </w:p>
    <w:p>
      <w:pPr>
        <w:pStyle w:val="Heading2"/>
        <w:spacing w:after="100" w:before="200"/>
      </w:pPr>
      <w:r>
        <w:rPr>
          <w:rFonts w:ascii="Barlow Semi Condensed" w:cs="Barlow Semi Condensed" w:eastAsia="Barlow Semi Condensed" w:hAnsi="Barlow Semi Condensed"/>
          <w:sz w:val="24"/>
          <w:szCs w:val="24"/>
        </w:rPr>
        <w:t xml:space="preserve">Il criterio</w:t>
      </w:r>
    </w:p>
    <w:p>
      <w:pPr>
        <w:spacing w:after="120" w:line="276"/>
        <w:jc w:val="both"/>
      </w:pPr>
      <w:r>
        <w:rPr>
          <w:rFonts w:ascii="Barlow Semi Condensed" w:cs="Barlow Semi Condensed" w:eastAsia="Barlow Semi Condensed" w:hAnsi="Barlow Semi Condensed"/>
          <w:b/>
          <w:bCs/>
          <w:sz w:val="24"/>
          <w:szCs w:val="24"/>
        </w:rPr>
        <w:t xml:space="preserve">Il criterio non è di gusto e non è di registro: è funzionale, e si enuncia in una proposizione. Il numero che serve a ritrovare non si traduce; il numero che serve a contare si scrive in lettere.</w:t>
      </w:r>
    </w:p>
    <w:p>
      <w:pPr>
        <w:spacing w:after="120" w:line="276"/>
        <w:jc w:val="both"/>
      </w:pPr>
      <w:r>
        <w:rPr>
          <w:rFonts w:ascii="Barlow Semi Condensed" w:cs="Barlow Semi Condensed" w:eastAsia="Barlow Semi Condensed" w:hAnsi="Barlow Semi Condensed"/>
          <w:b/>
          <w:bCs/>
          <w:sz w:val="24"/>
          <w:szCs w:val="24"/>
        </w:rPr>
        <w:t xml:space="preserve">Vi sono infatti due nature del numero, e la lingua comune le confonde perché le scrive nello stesso modo.</w:t>
      </w:r>
    </w:p>
    <w:p>
      <w:pPr>
        <w:spacing w:after="120" w:line="276"/>
        <w:jc w:val="both"/>
      </w:pPr>
      <w:r>
        <w:rPr>
          <w:rFonts w:ascii="Barlow Semi Condensed" w:cs="Barlow Semi Condensed" w:eastAsia="Barlow Semi Condensed" w:hAnsi="Barlow Semi Condensed"/>
          <w:b/>
          <w:bCs/>
          <w:sz w:val="24"/>
          <w:szCs w:val="24"/>
        </w:rPr>
        <w:t xml:space="preserve">Il numero che designa non misura nulla. Esso è una chiave: la sua funzione è consentire a un terzo di ritornare alla fonte. Un numero di protocollo, una segnatura archivistica, l'articolo di una legge, il numero di una sentenza, la data di un atto: nessuno di questi dice quanto. Ciascuno dice dove.</w:t>
      </w:r>
    </w:p>
    <w:p>
      <w:pPr>
        <w:spacing w:after="120" w:line="276"/>
        <w:jc w:val="both"/>
      </w:pPr>
      <w:r>
        <w:rPr>
          <w:rFonts w:ascii="Barlow Semi Condensed" w:cs="Barlow Semi Condensed" w:eastAsia="Barlow Semi Condensed" w:hAnsi="Barlow Semi Condensed"/>
          <w:b/>
          <w:bCs/>
          <w:sz w:val="24"/>
          <w:szCs w:val="24"/>
        </w:rPr>
        <w:t xml:space="preserve">Il numero che misura non designa nulla. Esso dice quanto: quanti capitoli, quante fonti, quanti anni durò una legislatura. Nessuno userà quel numero per raggiungere alcunché.</w:t>
      </w:r>
    </w:p>
    <w:p>
      <w:pPr>
        <w:pStyle w:val="Heading2"/>
        <w:spacing w:after="100" w:before="200"/>
      </w:pPr>
      <w:r>
        <w:rPr>
          <w:rFonts w:ascii="Barlow Semi Condensed" w:cs="Barlow Semi Condensed" w:eastAsia="Barlow Semi Condensed" w:hAnsi="Barlow Semi Condensed"/>
          <w:sz w:val="24"/>
          <w:szCs w:val="24"/>
        </w:rPr>
        <w:t xml:space="preserve">Perché la distinzione è probatoria e non tipografica</w:t>
      </w:r>
    </w:p>
    <w:p>
      <w:pPr>
        <w:spacing w:after="120" w:line="276"/>
        <w:jc w:val="both"/>
      </w:pPr>
      <w:r>
        <w:rPr>
          <w:rFonts w:ascii="Barlow Semi Condensed" w:cs="Barlow Semi Condensed" w:eastAsia="Barlow Semi Condensed" w:hAnsi="Barlow Semi Condensed"/>
          <w:b/>
          <w:bCs/>
          <w:sz w:val="24"/>
          <w:szCs w:val="24"/>
        </w:rPr>
        <w:t xml:space="preserve">Un protocollo trascritto in lettere è un protocollo distrutto. Nessun indice lo reperisce, nessun catalogo lo restituisce, nessuna ricerca testuale lo trova. Il lettore che volesse verificare l'atto si troverebbe davanti una parola che non è una chiave, e dovrebbe ritradurla per tentativi.</w:t>
      </w:r>
    </w:p>
    <w:p>
      <w:pPr>
        <w:spacing w:after="120" w:line="276"/>
        <w:jc w:val="both"/>
      </w:pPr>
      <w:r>
        <w:rPr>
          <w:rFonts w:ascii="Barlow Semi Condensed" w:cs="Barlow Semi Condensed" w:eastAsia="Barlow Semi Condensed" w:hAnsi="Barlow Semi Condensed"/>
          <w:b/>
          <w:bCs/>
          <w:sz w:val="24"/>
          <w:szCs w:val="24"/>
        </w:rPr>
        <w:t xml:space="preserve">Ne segue che la trascrizione in lettere di un numero di reperimento produce lo stesso effetto pratico di una omissione di fonte. Non lo produce per intenzione: lo produce per conseguenza. E l'opera è giudicata sulle conseguenze dei propri atti, non sulle intenzioni con le quali li ha compiuti.</w:t>
      </w:r>
    </w:p>
    <w:p>
      <w:pPr>
        <w:spacing w:after="120" w:line="276"/>
        <w:jc w:val="both"/>
      </w:pPr>
      <w:r>
        <w:rPr>
          <w:rFonts w:ascii="Barlow Semi Condensed" w:cs="Barlow Semi Condensed" w:eastAsia="Barlow Semi Condensed" w:hAnsi="Barlow Semi Condensed"/>
          <w:b/>
          <w:bCs/>
          <w:sz w:val="24"/>
          <w:szCs w:val="24"/>
        </w:rPr>
        <w:t xml:space="preserve">Di qui il carattere della prescrizione: essa non è fluida ma ferrea, perché non discende dallo stile ma dalla Regola di Ferro. Uno stile che renda inverificabile ciò che l'opera dichiara verificabile non è uno stile: è un difetto probatorio in veste elegante.</w:t>
      </w:r>
    </w:p>
    <w:p>
      <w:pPr>
        <w:pStyle w:val="Heading2"/>
        <w:spacing w:after="100" w:before="200"/>
      </w:pPr>
      <w:r>
        <w:rPr>
          <w:rFonts w:ascii="Barlow Semi Condensed" w:cs="Barlow Semi Condensed" w:eastAsia="Barlow Semi Condensed" w:hAnsi="Barlow Semi Condensed"/>
          <w:sz w:val="24"/>
          <w:szCs w:val="24"/>
        </w:rPr>
        <w:t xml:space="preserve">I due repertori</w:t>
      </w:r>
    </w:p>
    <w:p>
      <w:pPr>
        <w:spacing w:after="120" w:line="276"/>
        <w:jc w:val="both"/>
      </w:pPr>
      <w:r>
        <w:rPr>
          <w:rFonts w:ascii="Barlow Semi Condensed" w:cs="Barlow Semi Condensed" w:eastAsia="Barlow Semi Condensed" w:hAnsi="Barlow Semi Condensed"/>
          <w:b/>
          <w:bCs/>
          <w:sz w:val="24"/>
          <w:szCs w:val="24"/>
        </w:rPr>
        <w:t xml:space="preserve">Si scrivono in cifre: i protocolli e le segnature; gli atti normativi con numero, data, articolo e comma; le sentenze e i procedimenti; le date e gli anni, che sono chiavi di reperimento archivistico prima che quantità; le pagine, i volumi, i tomi e i documenti parlamentari; gli identificativi stabili; le versioni; le impronte e ogni stringa alfanumerica; gli standard e i formati; i parametri tecnici; i valori statistici, le soglie e le percentuali con decimale; le misure di collaudo.</w:t>
      </w:r>
    </w:p>
    <w:p>
      <w:pPr>
        <w:spacing w:after="120" w:line="276"/>
        <w:jc w:val="both"/>
      </w:pPr>
      <w:r>
        <w:rPr>
          <w:rFonts w:ascii="Barlow Semi Condensed" w:cs="Barlow Semi Condensed" w:eastAsia="Barlow Semi Condensed" w:hAnsi="Barlow Semi Condensed"/>
          <w:b/>
          <w:bCs/>
          <w:sz w:val="24"/>
          <w:szCs w:val="24"/>
        </w:rPr>
        <w:t xml:space="preserve">Si scrivono in lettere: i conteggi enunciati in prosa; gli ordinali delle partizioni dell'opera, quali Fase, Capitolo, Sezione; le quantità approssimate; i numeri inferiori alla decina nel discorso corrente; le percentuali intere enunciate narrativamente.</w:t>
      </w:r>
    </w:p>
    <w:p>
      <w:pPr>
        <w:pStyle w:val="Heading2"/>
        <w:spacing w:after="100" w:before="200"/>
      </w:pPr>
      <w:r>
        <w:rPr>
          <w:rFonts w:ascii="Barlow Semi Condensed" w:cs="Barlow Semi Condensed" w:eastAsia="Barlow Semi Condensed" w:hAnsi="Barlow Semi Condensed"/>
          <w:sz w:val="24"/>
          <w:szCs w:val="24"/>
        </w:rPr>
        <w:t xml:space="preserve">Le due salvaguardie e la prova del terzo</w:t>
      </w:r>
    </w:p>
    <w:p>
      <w:pPr>
        <w:spacing w:after="120" w:line="276"/>
        <w:jc w:val="both"/>
      </w:pPr>
      <w:r>
        <w:rPr>
          <w:rFonts w:ascii="Barlow Semi Condensed" w:cs="Barlow Semi Condensed" w:eastAsia="Barlow Semi Condensed" w:hAnsi="Barlow Semi Condensed"/>
          <w:b/>
          <w:bCs/>
          <w:sz w:val="24"/>
          <w:szCs w:val="24"/>
        </w:rPr>
        <w:t xml:space="preserve">La prima salvaguardia riguarda le citazioni. Il numero che compare dentro una citazione si riproduce nella forma in cui la fonte lo reca, quale che sia la convenzione dell'opera. Convertire la notazione di una fonte è emendarla in silenzio, e l'emendamento silenzioso di una fonte è precisamente ciò che quest'opera esiste per non fare.</w:t>
      </w:r>
    </w:p>
    <w:p>
      <w:pPr>
        <w:spacing w:after="120" w:line="276"/>
        <w:jc w:val="both"/>
      </w:pPr>
      <w:r>
        <w:rPr>
          <w:rFonts w:ascii="Barlow Semi Condensed" w:cs="Barlow Semi Condensed" w:eastAsia="Barlow Semi Condensed" w:hAnsi="Barlow Semi Condensed"/>
          <w:b/>
          <w:bCs/>
          <w:sz w:val="24"/>
          <w:szCs w:val="24"/>
        </w:rPr>
        <w:t xml:space="preserve">La seconda salvaguardia riguarda il passato. Gli strati già deposti non si riscrivono per adeguarli alla norma nuova. Ove in essi un numero di reperimento figuri in lettere, si intenda il medesimo numero che oggi si scriverebbe in cifre: la difformità è testimone della propria epoca e non errore da correggere.</w:t>
      </w:r>
    </w:p>
    <w:p>
      <w:pPr>
        <w:spacing w:after="120" w:line="276"/>
        <w:jc w:val="both"/>
      </w:pPr>
      <w:r>
        <w:rPr>
          <w:rFonts w:ascii="Barlow Semi Condensed" w:cs="Barlow Semi Condensed" w:eastAsia="Barlow Semi Condensed" w:hAnsi="Barlow Semi Condensed"/>
          <w:b/>
          <w:bCs/>
          <w:sz w:val="24"/>
          <w:szCs w:val="24"/>
        </w:rPr>
        <w:t xml:space="preserve">Nei casi dubbi vale la prova del terzo. Ci si domandi se un lettore che non conosca l'opera debba potersi servire di quel numero per raggiungere una fonte. Se sì, il numero designa e va in cifre; se no, misura e va in lettere. La prova si esegue e non si presume.</w:t>
      </w:r>
    </w:p>
    <w:p>
      <w:pPr>
        <w:pStyle w:val="Heading2"/>
        <w:spacing w:after="100" w:before="200"/>
      </w:pPr>
      <w:r>
        <w:rPr>
          <w:rFonts w:ascii="Barlow Semi Condensed" w:cs="Barlow Semi Condensed" w:eastAsia="Barlow Semi Condensed" w:hAnsi="Barlow Semi Condensed"/>
          <w:sz w:val="24"/>
          <w:szCs w:val="24"/>
        </w:rPr>
        <w:t xml:space="preserve">Una osservazione più generale</w:t>
      </w:r>
    </w:p>
    <w:p>
      <w:pPr>
        <w:spacing w:after="120" w:line="276"/>
        <w:jc w:val="both"/>
      </w:pPr>
      <w:r>
        <w:rPr>
          <w:rFonts w:ascii="Barlow Semi Condensed" w:cs="Barlow Semi Condensed" w:eastAsia="Barlow Semi Condensed" w:hAnsi="Barlow Semi Condensed"/>
          <w:b/>
          <w:bCs/>
          <w:sz w:val="24"/>
          <w:szCs w:val="24"/>
        </w:rPr>
        <w:t xml:space="preserve">Questa norma minuta insegna una cosa che vale oltre di sé. Le convenzioni formali di un'opera non sono neutre rispetto alla sua sostanza probatoria. Una regola tipografica applicata senza distinzione, per il solo desiderio di uniformità, può sopprimere silenziosamente la verificabilità di centinaia di riferimenti, senza che nessuno se ne accorga e senza che una sola affermazione falsa sia stata scritta.</w:t>
      </w:r>
    </w:p>
    <w:p>
      <w:pPr>
        <w:spacing w:after="120" w:line="276"/>
        <w:jc w:val="both"/>
      </w:pPr>
      <w:r>
        <w:rPr>
          <w:rFonts w:ascii="Barlow Semi Condensed" w:cs="Barlow Semi Condensed" w:eastAsia="Barlow Semi Condensed" w:hAnsi="Barlow Semi Condensed"/>
          <w:b/>
          <w:bCs/>
          <w:sz w:val="24"/>
          <w:szCs w:val="24"/>
        </w:rPr>
        <w:t xml:space="preserve">È il modo per il quale un'opera perde rigore senza perdere una virgola di correttezza: non sbagliando, ma uniformando dove avrebbe dovuto distinguere.</w:t>
      </w:r>
    </w:p>
    <w:p>
      <w:pPr>
        <w:pStyle w:val="Heading2"/>
        <w:spacing w:after="100" w:before="200"/>
      </w:pPr>
      <w:r>
        <w:rPr>
          <w:rFonts w:ascii="Barlow Semi Condensed" w:cs="Barlow Semi Condensed" w:eastAsia="Barlow Semi Condensed" w:hAnsi="Barlow Semi Condensed"/>
          <w:sz w:val="24"/>
          <w:szCs w:val="24"/>
        </w:rPr>
        <w:t xml:space="preserve">Capitolo quinto — Il protocollo di traduzione: il nome e la funzione</w:t>
      </w:r>
    </w:p>
    <w:p>
      <w:pPr>
        <w:spacing w:after="120" w:line="276"/>
        <w:jc w:val="both"/>
      </w:pPr>
      <w:r>
        <w:rPr>
          <w:rFonts w:ascii="Barlow Semi Condensed" w:cs="Barlow Semi Condensed" w:eastAsia="Barlow Semi Condensed" w:hAnsi="Barlow Semi Condensed"/>
          <w:b/>
          <w:bCs/>
          <w:sz w:val="24"/>
          <w:szCs w:val="24"/>
        </w:rPr>
        <w:t xml:space="preserve">Questa opera designa le persone, ove la funzione basti a identificare l'atto, per la funzione che esercitavano e non per il nome che portavano. Scrive dunque il capo del servizio informativo, il magistrato inquirente, il presidente della commissione, e non i nomi corrispondenti.</w:t>
      </w:r>
    </w:p>
    <w:p>
      <w:pPr>
        <w:spacing w:after="120" w:line="276"/>
        <w:jc w:val="both"/>
      </w:pPr>
      <w:r>
        <w:rPr>
          <w:rFonts w:ascii="Barlow Semi Condensed" w:cs="Barlow Semi Condensed" w:eastAsia="Barlow Semi Condensed" w:hAnsi="Barlow Semi Condensed"/>
          <w:b/>
          <w:bCs/>
          <w:sz w:val="24"/>
          <w:szCs w:val="24"/>
        </w:rPr>
        <w:t xml:space="preserve">La scelta ha ragioni serie. Ha anche un costo, che si è manifestato in modo imprevisto e istruttivo, e che qui va raccontato per intero, perché è uno dei casi in cui l'opera ha imparato qualcosa dal proprio stesso errore.</w:t>
      </w:r>
    </w:p>
    <w:p>
      <w:pPr>
        <w:pStyle w:val="Heading2"/>
        <w:spacing w:after="100" w:before="200"/>
      </w:pPr>
      <w:r>
        <w:rPr>
          <w:rFonts w:ascii="Barlow Semi Condensed" w:cs="Barlow Semi Condensed" w:eastAsia="Barlow Semi Condensed" w:hAnsi="Barlow Semi Condensed"/>
          <w:sz w:val="24"/>
          <w:szCs w:val="24"/>
        </w:rPr>
        <w:t xml:space="preserve">Le ragioni della designazione funzionale</w:t>
      </w:r>
    </w:p>
    <w:p>
      <w:pPr>
        <w:spacing w:after="120" w:line="276"/>
        <w:jc w:val="both"/>
      </w:pPr>
      <w:r>
        <w:rPr>
          <w:rFonts w:ascii="Barlow Semi Condensed" w:cs="Barlow Semi Condensed" w:eastAsia="Barlow Semi Condensed" w:hAnsi="Barlow Semi Condensed"/>
          <w:b/>
          <w:bCs/>
          <w:sz w:val="24"/>
          <w:szCs w:val="24"/>
        </w:rPr>
        <w:t xml:space="preserve">La prima ragione è di giustizia verso le persone. In una materia dove la maggior parte delle proposizioni resta in stato di dubbio, l'accostamento ripetuto di un nome proprio a un contesto sospetto produce, sul lettore, un effetto che nessuna cautela verbale corregge. Il nome si carica del contesto. Chi sia stato nominato cento volte accanto a una omissione finisce per essere ricordato come chi la compì, anche se l'opera avrà scritto cento volte che l'omissione non gli è attribuita.</w:t>
      </w:r>
    </w:p>
    <w:p>
      <w:pPr>
        <w:spacing w:after="120" w:line="276"/>
        <w:jc w:val="both"/>
      </w:pPr>
      <w:r>
        <w:rPr>
          <w:rFonts w:ascii="Barlow Semi Condensed" w:cs="Barlow Semi Condensed" w:eastAsia="Barlow Semi Condensed" w:hAnsi="Barlow Semi Condensed"/>
          <w:b/>
          <w:bCs/>
          <w:sz w:val="24"/>
          <w:szCs w:val="24"/>
        </w:rPr>
        <w:t xml:space="preserve">La seconda ragione è probatoria, ed è la più forte. Ciò che l'atto documenta, quasi sempre, è un atto d'ufficio: una comunicazione non trasmessa, un ordine impartito, un verbale redatto. Il documento attesta che quella funzione compì quell'atto. Che la persona fisica che allora la esercitava sia responsabile di ciò che l'atto significa è una proposizione ulteriore, che domanda una prova ulteriore. Designare per funzione mantiene la proposizione dentro il perimetro che il documento sostiene; designare per nome la fa uscire, silenziosamente, in un perimetro dove il documento non arriva.</w:t>
      </w:r>
    </w:p>
    <w:p>
      <w:pPr>
        <w:pStyle w:val="Heading2"/>
        <w:spacing w:after="100" w:before="200"/>
      </w:pPr>
      <w:r>
        <w:rPr>
          <w:rFonts w:ascii="Barlow Semi Condensed" w:cs="Barlow Semi Condensed" w:eastAsia="Barlow Semi Condensed" w:hAnsi="Barlow Semi Condensed"/>
          <w:sz w:val="24"/>
          <w:szCs w:val="24"/>
        </w:rPr>
        <w:t xml:space="preserve">Il costo: una assenza che sembrava un fatto</w:t>
      </w:r>
    </w:p>
    <w:p>
      <w:pPr>
        <w:spacing w:after="120" w:line="276"/>
        <w:jc w:val="both"/>
      </w:pPr>
      <w:r>
        <w:rPr>
          <w:rFonts w:ascii="Barlow Semi Condensed" w:cs="Barlow Semi Condensed" w:eastAsia="Barlow Semi Condensed" w:hAnsi="Barlow Semi Condensed"/>
          <w:b/>
          <w:bCs/>
          <w:sz w:val="24"/>
          <w:szCs w:val="24"/>
        </w:rPr>
        <w:t xml:space="preserve">Nel corso della federazione di questa opera con il corpus maggiore al quale essa appartiene, si è condotta una verifica di convergenza: quali fra i nodi censiti nel corpus maggiore comparissero anche qui.</w:t>
      </w:r>
    </w:p>
    <w:p>
      <w:pPr>
        <w:spacing w:after="120" w:line="276"/>
        <w:jc w:val="both"/>
      </w:pPr>
      <w:r>
        <w:rPr>
          <w:rFonts w:ascii="Barlow Semi Condensed" w:cs="Barlow Semi Condensed" w:eastAsia="Barlow Semi Condensed" w:hAnsi="Barlow Semi Condensed"/>
          <w:b/>
          <w:bCs/>
          <w:sz w:val="24"/>
          <w:szCs w:val="24"/>
        </w:rPr>
        <w:t xml:space="preserve">L'esito fu impressionante e pareva significativo. Su duecentoundici nodi verificati, ventidue soltanto risultavano presenti. Centottantanove risultavano assenti, e fra gli assenti figuravano quelli di maggiore peso: le organizzazioni criminali, i grandi nomi della loggia e della finanza, i magistrati, gli apparati informativi. Si sarebbe potuto trarne una conclusione forte, e la conclusione si presentava da sé: quest'opera trascura la dimensione che il corpus maggiore documenta.</w:t>
      </w:r>
    </w:p>
    <w:p>
      <w:pPr>
        <w:spacing w:after="120" w:line="276"/>
        <w:jc w:val="both"/>
      </w:pPr>
      <w:r>
        <w:rPr>
          <w:rFonts w:ascii="Barlow Semi Condensed" w:cs="Barlow Semi Condensed" w:eastAsia="Barlow Semi Condensed" w:hAnsi="Barlow Semi Condensed"/>
          <w:b/>
          <w:bCs/>
          <w:sz w:val="24"/>
          <w:szCs w:val="24"/>
        </w:rPr>
        <w:t xml:space="preserve">La conclusione era falsa, e la sua falsità fu accertata sottoponendo l'assenza a istruttoria anziché a interpretazione. Si cercò, per ciascun nodo assente, non il nome ma la locuzione di funzione che lo designerebbe. Al nome della loggia, zero occorrenze, corrisponde il termine loggia con trentatré. Ai nomi degli apparati informativi, zero occorrenze, corrispondono le locuzioni servizio informativo e apparati informativi con sedici complessive. Al nome del magistrato, zero occorrenze, corrispondono magistratura e Procura con novantotto. Alla struttura clandestina, una sola occorrenza per nome, corrispondono diciassette per locuzione. Al pontefice, zero per nome, sedici per funzione.</w:t>
      </w:r>
    </w:p>
    <w:p>
      <w:pPr>
        <w:spacing w:after="120" w:line="276"/>
        <w:jc w:val="both"/>
      </w:pPr>
      <w:r>
        <w:rPr>
          <w:rFonts w:ascii="Barlow Semi Condensed" w:cs="Barlow Semi Condensed" w:eastAsia="Barlow Semi Condensed" w:hAnsi="Barlow Semi Condensed"/>
          <w:b/>
          <w:bCs/>
          <w:sz w:val="24"/>
          <w:szCs w:val="24"/>
        </w:rPr>
        <w:t xml:space="preserve">L'assenza era artefatto dello strumento. Una ricerca condotta per nomi propri contro un corpus che designa per funzione non può restituire altro che assenza, e l'assenza che essa restituisce non dice nulla del corpus: dice tutto dello strumento.</w:t>
      </w:r>
    </w:p>
    <w:p>
      <w:pPr>
        <w:pStyle w:val="Heading2"/>
        <w:spacing w:after="100" w:before="200"/>
      </w:pPr>
      <w:r>
        <w:rPr>
          <w:rFonts w:ascii="Barlow Semi Condensed" w:cs="Barlow Semi Condensed" w:eastAsia="Barlow Semi Condensed" w:hAnsi="Barlow Semi Condensed"/>
          <w:sz w:val="24"/>
          <w:szCs w:val="24"/>
        </w:rPr>
        <w:t xml:space="preserve">Che cosa insegna l'episodio</w:t>
      </w:r>
    </w:p>
    <w:p>
      <w:pPr>
        <w:spacing w:after="120" w:line="276"/>
        <w:jc w:val="both"/>
      </w:pPr>
      <w:r>
        <w:rPr>
          <w:rFonts w:ascii="Barlow Semi Condensed" w:cs="Barlow Semi Condensed" w:eastAsia="Barlow Semi Condensed" w:hAnsi="Barlow Semi Condensed"/>
          <w:b/>
          <w:bCs/>
          <w:sz w:val="24"/>
          <w:szCs w:val="24"/>
        </w:rPr>
        <w:t xml:space="preserve">Insegna tre cose, e la terza è la più importante.</w:t>
      </w:r>
    </w:p>
    <w:p>
      <w:pPr>
        <w:spacing w:after="120" w:line="276"/>
        <w:jc w:val="both"/>
      </w:pPr>
      <w:r>
        <w:rPr>
          <w:rFonts w:ascii="Barlow Semi Condensed" w:cs="Barlow Semi Condensed" w:eastAsia="Barlow Semi Condensed" w:hAnsi="Barlow Semi Condensed"/>
          <w:b/>
          <w:bCs/>
          <w:sz w:val="24"/>
          <w:szCs w:val="24"/>
        </w:rPr>
        <w:t xml:space="preserve">La prima: il silenzio di una fonte non si interpreta prima di essere istruito. Occorre sempre domandarsi se esso appartenga alla fonte o allo strumento con cui la si interroga, e la domanda va posta prima e non dopo aver formulato l'ipotesi che il silenzio suggerisce.</w:t>
      </w:r>
    </w:p>
    <w:p>
      <w:pPr>
        <w:spacing w:after="120" w:line="276"/>
        <w:jc w:val="both"/>
      </w:pPr>
      <w:r>
        <w:rPr>
          <w:rFonts w:ascii="Barlow Semi Condensed" w:cs="Barlow Semi Condensed" w:eastAsia="Barlow Semi Condensed" w:hAnsi="Barlow Semi Condensed"/>
          <w:b/>
          <w:bCs/>
          <w:sz w:val="24"/>
          <w:szCs w:val="24"/>
        </w:rPr>
        <w:t xml:space="preserve">La seconda: la conclusione che si presenta da sé è quella che va sospettata per prima. L'assenza dei nodi maggiori era una scoperta pronta all'uso, elegante, e sarebbe stata pubblicata volentieri. Le scoperte che non costano nulla costano quasi sempre moltissimo.</w:t>
      </w:r>
    </w:p>
    <w:p>
      <w:pPr>
        <w:spacing w:after="120" w:line="276"/>
        <w:jc w:val="both"/>
      </w:pPr>
      <w:r>
        <w:rPr>
          <w:rFonts w:ascii="Barlow Semi Condensed" w:cs="Barlow Semi Condensed" w:eastAsia="Barlow Semi Condensed" w:hAnsi="Barlow Semi Condensed"/>
          <w:b/>
          <w:bCs/>
          <w:sz w:val="24"/>
          <w:szCs w:val="24"/>
        </w:rPr>
        <w:t xml:space="preserve">La terza, e più generale: ogni corpus parla una lingua, e la lingua è parte del corpus. Un atto giudiziario, un elaborato parlamentare, un telegramma cifrato, una audizione tarda non dicono le medesime cose nei medesimi modi, e ciò che in uno è detto per nome in un altro è detto per funzione, per perifrasi o per allusione d'ufficio. Chi interroghi corpora diversi con un unico vocabolario misura la propria uniformità, non la loro convergenza.</w:t>
      </w:r>
    </w:p>
    <w:p>
      <w:pPr>
        <w:pStyle w:val="Heading2"/>
        <w:spacing w:after="100" w:before="200"/>
      </w:pPr>
      <w:r>
        <w:rPr>
          <w:rFonts w:ascii="Barlow Semi Condensed" w:cs="Barlow Semi Condensed" w:eastAsia="Barlow Semi Condensed" w:hAnsi="Barlow Semi Condensed"/>
          <w:sz w:val="24"/>
          <w:szCs w:val="24"/>
        </w:rPr>
        <w:t xml:space="preserve">Il protocollo</w:t>
      </w:r>
    </w:p>
    <w:p>
      <w:pPr>
        <w:spacing w:after="120" w:line="276"/>
        <w:jc w:val="both"/>
      </w:pPr>
      <w:r>
        <w:rPr>
          <w:rFonts w:ascii="Barlow Semi Condensed" w:cs="Barlow Semi Condensed" w:eastAsia="Barlow Semi Condensed" w:hAnsi="Barlow Semi Condensed"/>
          <w:b/>
          <w:bCs/>
          <w:sz w:val="24"/>
          <w:szCs w:val="24"/>
        </w:rPr>
        <w:t xml:space="preserve">Di qui il protocollo che l'opera adotta e che le parti successive osserveranno.</w:t>
      </w:r>
    </w:p>
    <w:p>
      <w:pPr>
        <w:spacing w:after="120" w:line="276"/>
        <w:jc w:val="both"/>
      </w:pPr>
      <w:r>
        <w:rPr>
          <w:rFonts w:ascii="Barlow Semi Condensed" w:cs="Barlow Semi Condensed" w:eastAsia="Barlow Semi Condensed" w:hAnsi="Barlow Semi Condensed"/>
          <w:b/>
          <w:bCs/>
          <w:sz w:val="24"/>
          <w:szCs w:val="24"/>
        </w:rPr>
        <w:t xml:space="preserve">Nessuna triangolazione fra corpora si esegue per sola ricerca di nomi propri, se non dopo aver accertato la politica di designazione di ciascun corpus. La politica si accerta anzitutto sulle dichiarazioni che il corpus fa di sé, e in mancanza per sonde funzionali su un campione di nodi noti. Ogni triangolazione dichiara la propria copertura, cioè quanta parte dei nodi cercati sia stata cercata anche nella forma funzionale, perché una triangolazione che non lo dichiari sovrastima sistematicamente l'assenza.</w:t>
      </w:r>
    </w:p>
    <w:p>
      <w:pPr>
        <w:spacing w:after="120" w:line="276"/>
        <w:jc w:val="both"/>
      </w:pPr>
      <w:r>
        <w:rPr>
          <w:rFonts w:ascii="Barlow Semi Condensed" w:cs="Barlow Semi Condensed" w:eastAsia="Barlow Semi Condensed" w:hAnsi="Barlow Semi Condensed"/>
          <w:b/>
          <w:bCs/>
          <w:sz w:val="24"/>
          <w:szCs w:val="24"/>
        </w:rPr>
        <w:t xml:space="preserve">E le assenze si distinguono in tre classi, che non vanno mai confuse: l'assenza artefatta, imputabile allo strumento; l'assenza reale non spiegata, che genera ipotesi concorrenti e non conclusioni; l'assenza reale spiegata, che genera una risultanza.</w:t>
      </w:r>
    </w:p>
    <w:p>
      <w:pPr>
        <w:pStyle w:val="Heading2"/>
        <w:spacing w:after="100" w:before="200"/>
      </w:pPr>
      <w:r>
        <w:rPr>
          <w:rFonts w:ascii="Barlow Semi Condensed" w:cs="Barlow Semi Condensed" w:eastAsia="Barlow Semi Condensed" w:hAnsi="Barlow Semi Condensed"/>
          <w:sz w:val="24"/>
          <w:szCs w:val="24"/>
        </w:rPr>
        <w:t xml:space="preserve">L'assenza che è rimasta reale</w:t>
      </w:r>
    </w:p>
    <w:p>
      <w:pPr>
        <w:spacing w:after="120" w:line="276"/>
        <w:jc w:val="both"/>
      </w:pPr>
      <w:r>
        <w:rPr>
          <w:rFonts w:ascii="Barlow Semi Condensed" w:cs="Barlow Semi Condensed" w:eastAsia="Barlow Semi Condensed" w:hAnsi="Barlow Semi Condensed"/>
          <w:b/>
          <w:bCs/>
          <w:sz w:val="24"/>
          <w:szCs w:val="24"/>
        </w:rPr>
        <w:t xml:space="preserve">Ritirata la parte artefatta, una assenza è rimasta e va dichiarata per quello che è. Alle sonde relative alla criminalità organizzata quest'opera risponde con quattro occorrenze in tutto, e nessuna locuzione di funzione supplisce.</w:t>
      </w:r>
    </w:p>
    <w:p>
      <w:pPr>
        <w:spacing w:after="120" w:line="276"/>
        <w:jc w:val="both"/>
      </w:pPr>
      <w:r>
        <w:rPr>
          <w:rFonts w:ascii="Barlow Semi Condensed" w:cs="Barlow Semi Condensed" w:eastAsia="Barlow Semi Condensed" w:hAnsi="Barlow Semi Condensed"/>
          <w:b/>
          <w:bCs/>
          <w:sz w:val="24"/>
          <w:szCs w:val="24"/>
        </w:rPr>
        <w:t xml:space="preserve">L'opera non decide che cosa ciò significhi, e formula tre ipotesi che tiene aperte. Che la dimensione non sia attestata dalle fonti sulle quali l'opera è costruita, e la sua assenza sia disciplina. Che sia attestata e non sia stata scavata, e l'assenza sia lacuna. Che sia trattata sotto locuzioni che le sonde non hanno previsto, e l'assenza sia residuo di artefatto.</w:t>
      </w:r>
    </w:p>
    <w:p>
      <w:pPr>
        <w:spacing w:after="120" w:line="276"/>
        <w:jc w:val="both"/>
      </w:pPr>
      <w:r>
        <w:rPr>
          <w:rFonts w:ascii="Barlow Semi Condensed" w:cs="Barlow Semi Condensed" w:eastAsia="Barlow Semi Condensed" w:hAnsi="Barlow Semi Condensed"/>
          <w:b/>
          <w:bCs/>
          <w:sz w:val="24"/>
          <w:szCs w:val="24"/>
        </w:rPr>
        <w:t xml:space="preserve">L'evidenza che discriminerebbe fra le tre è nota e si indica: il confronto fra il repertorio delle fonti di quest'opera e gli atti che nel corpus maggiore attestano quella dimensione del caso. Il confronto non è stato eseguito. Sta in tavola come prima voce.</w:t>
      </w:r>
    </w:p>
    <w:p>
      <w:pPr>
        <w:pStyle w:val="Heading2"/>
        <w:spacing w:after="100" w:before="200"/>
      </w:pPr>
      <w:r>
        <w:rPr>
          <w:rFonts w:ascii="Barlow Semi Condensed" w:cs="Barlow Semi Condensed" w:eastAsia="Barlow Semi Condensed" w:hAnsi="Barlow Semi Condensed"/>
          <w:sz w:val="24"/>
          <w:szCs w:val="24"/>
        </w:rPr>
        <w:t xml:space="preserve">Capitolo sesto — L'ingresso in acqua e la decompressione</w:t>
      </w:r>
    </w:p>
    <w:p>
      <w:pPr>
        <w:spacing w:after="120" w:line="276"/>
        <w:jc w:val="both"/>
      </w:pPr>
      <w:r>
        <w:rPr>
          <w:rFonts w:ascii="Barlow Semi Condensed" w:cs="Barlow Semi Condensed" w:eastAsia="Barlow Semi Condensed" w:hAnsi="Barlow Semi Condensed"/>
          <w:b/>
          <w:bCs/>
          <w:sz w:val="24"/>
          <w:szCs w:val="24"/>
        </w:rPr>
        <w:t xml:space="preserve">Due regole governano il modo in cui un elemento nuovo entra nell'opera e il modo in cui una risultanza sale verso la certificazione. Esse hanno nomi figurati che vanno spiegati, perché la figura serve a ricordare la regola e non a sostituirla.</w:t>
      </w:r>
    </w:p>
    <w:p>
      <w:pPr>
        <w:pStyle w:val="Heading2"/>
        <w:spacing w:after="100" w:before="200"/>
      </w:pPr>
      <w:r>
        <w:rPr>
          <w:rFonts w:ascii="Barlow Semi Condensed" w:cs="Barlow Semi Condensed" w:eastAsia="Barlow Semi Condensed" w:hAnsi="Barlow Semi Condensed"/>
          <w:sz w:val="24"/>
          <w:szCs w:val="24"/>
        </w:rPr>
        <w:t xml:space="preserve">L'ingresso in acqua</w:t>
      </w:r>
    </w:p>
    <w:p>
      <w:pPr>
        <w:spacing w:after="120" w:line="276"/>
        <w:jc w:val="both"/>
      </w:pPr>
      <w:r>
        <w:rPr>
          <w:rFonts w:ascii="Barlow Semi Condensed" w:cs="Barlow Semi Condensed" w:eastAsia="Barlow Semi Condensed" w:hAnsi="Barlow Semi Condensed"/>
          <w:b/>
          <w:bCs/>
          <w:sz w:val="24"/>
          <w:szCs w:val="24"/>
        </w:rPr>
        <w:t xml:space="preserve">La ricerca su un caso di questa natura procede per anelli. Si parte dai nodi accertati, e da essi si estraggono i nodi che vi sono legati; da questi i successivi; e così si scende.</w:t>
      </w:r>
    </w:p>
    <w:p>
      <w:pPr>
        <w:spacing w:after="120" w:line="276"/>
        <w:jc w:val="both"/>
      </w:pPr>
      <w:r>
        <w:rPr>
          <w:rFonts w:ascii="Barlow Semi Condensed" w:cs="Barlow Semi Condensed" w:eastAsia="Barlow Semi Condensed" w:hAnsi="Barlow Semi Condensed"/>
          <w:b/>
          <w:bCs/>
          <w:sz w:val="24"/>
          <w:szCs w:val="24"/>
        </w:rPr>
        <w:t xml:space="preserve">Il pericolo di questo procedimento è noto e ha un carattere matematico prima che morale. In una rete sociale sufficientemente estesa, due individui qualsiasi risultano collegati attraverso un piccolo numero di intermediari. Ne segue che, scendendo di anello in anello, si può raggiungere chiunque partendo da chiunque; e che la constatazione «esiste un percorso che collega A a B» non ha, di per sé, alcun valore informativo, perché è vera quasi sempre.</w:t>
      </w:r>
    </w:p>
    <w:p>
      <w:pPr>
        <w:spacing w:after="120" w:line="276"/>
        <w:jc w:val="both"/>
      </w:pPr>
      <w:r>
        <w:rPr>
          <w:rFonts w:ascii="Barlow Semi Condensed" w:cs="Barlow Semi Condensed" w:eastAsia="Barlow Semi Condensed" w:hAnsi="Barlow Semi Condensed"/>
          <w:b/>
          <w:bCs/>
          <w:sz w:val="24"/>
          <w:szCs w:val="24"/>
        </w:rPr>
        <w:t xml:space="preserve">Chi ignori questo costruisce, in perfetta buona fede, catene di collegamenti impressionanti e prive di significato: il tale conosceva il talaltro, che frequentava il terzo, che sedeva nel consiglio dove sedeva il quarto. Ogni anello è documentato. La catena non prova nulla.</w:t>
      </w:r>
    </w:p>
    <w:p>
      <w:pPr>
        <w:spacing w:after="120" w:line="276"/>
        <w:jc w:val="both"/>
      </w:pPr>
      <w:r>
        <w:rPr>
          <w:rFonts w:ascii="Barlow Semi Condensed" w:cs="Barlow Semi Condensed" w:eastAsia="Barlow Semi Condensed" w:hAnsi="Barlow Semi Condensed"/>
          <w:b/>
          <w:bCs/>
          <w:sz w:val="24"/>
          <w:szCs w:val="24"/>
        </w:rPr>
        <w:t xml:space="preserve">La regola dell'ingresso in acqua taglia questo pericolo. Un nodo profondo è ammesso nell'opera soltanto se un arco diretto e indipendente lo lega al nucleo del caso. Non basta che vi si arrivi per percorso: occorre che vi sia legato direttamente, e che il legame sia attestato da fonte indipendente da quelle che hanno prodotto il percorso.</w:t>
      </w:r>
    </w:p>
    <w:p>
      <w:pPr>
        <w:spacing w:after="120" w:line="276"/>
        <w:jc w:val="both"/>
      </w:pPr>
      <w:r>
        <w:rPr>
          <w:rFonts w:ascii="Barlow Semi Condensed" w:cs="Barlow Semi Condensed" w:eastAsia="Barlow Semi Condensed" w:hAnsi="Barlow Semi Condensed"/>
          <w:b/>
          <w:bCs/>
          <w:sz w:val="24"/>
          <w:szCs w:val="24"/>
        </w:rPr>
        <w:t xml:space="preserve">La regola è severa e comporta un costo: essa lascia fuori materiale suggestivo. Il costo si accetta, perché l'alternativa è un'opera nella quale tutto è collegato a tutto, e nella quale, per conseguenza, nulla significa più nulla.</w:t>
      </w:r>
    </w:p>
    <w:p>
      <w:pPr>
        <w:pStyle w:val="Heading2"/>
        <w:spacing w:after="100" w:before="200"/>
      </w:pPr>
      <w:r>
        <w:rPr>
          <w:rFonts w:ascii="Barlow Semi Condensed" w:cs="Barlow Semi Condensed" w:eastAsia="Barlow Semi Condensed" w:hAnsi="Barlow Semi Condensed"/>
          <w:sz w:val="24"/>
          <w:szCs w:val="24"/>
        </w:rPr>
        <w:t xml:space="preserve">La decompressione</w:t>
      </w:r>
    </w:p>
    <w:p>
      <w:pPr>
        <w:spacing w:after="120" w:line="276"/>
        <w:jc w:val="both"/>
      </w:pPr>
      <w:r>
        <w:rPr>
          <w:rFonts w:ascii="Barlow Semi Condensed" w:cs="Barlow Semi Condensed" w:eastAsia="Barlow Semi Condensed" w:hAnsi="Barlow Semi Condensed"/>
          <w:b/>
          <w:bCs/>
          <w:sz w:val="24"/>
          <w:szCs w:val="24"/>
        </w:rPr>
        <w:t xml:space="preserve">La seconda regola riguarda la risalita.</w:t>
      </w:r>
    </w:p>
    <w:p>
      <w:pPr>
        <w:spacing w:after="120" w:line="276"/>
        <w:jc w:val="both"/>
      </w:pPr>
      <w:r>
        <w:rPr>
          <w:rFonts w:ascii="Barlow Semi Condensed" w:cs="Barlow Semi Condensed" w:eastAsia="Barlow Semi Condensed" w:hAnsi="Barlow Semi Condensed"/>
          <w:b/>
          <w:bCs/>
          <w:sz w:val="24"/>
          <w:szCs w:val="24"/>
        </w:rPr>
        <w:t xml:space="preserve">Nulla, in quest'opera, passa direttamente dal fondo alla certificazione. Ogni risultanza sale per tappe obbligate: dubbio, istruttoria, verifica, scioglimento. Nessuna tappa si salta, per quanto la conclusione appaia evidente e per quanto il ricercatore sia persuaso.</w:t>
      </w:r>
    </w:p>
    <w:p>
      <w:pPr>
        <w:spacing w:after="120" w:line="276"/>
        <w:jc w:val="both"/>
      </w:pPr>
      <w:r>
        <w:rPr>
          <w:rFonts w:ascii="Barlow Semi Condensed" w:cs="Barlow Semi Condensed" w:eastAsia="Barlow Semi Condensed" w:hAnsi="Barlow Semi Condensed"/>
          <w:b/>
          <w:bCs/>
          <w:sz w:val="24"/>
          <w:szCs w:val="24"/>
        </w:rPr>
        <w:t xml:space="preserve">La ragione è tratta dall'esperienza di chi risale dalle profondità marine, e la figura è esatta. Chi risalga troppo rapidamente porta in superficie, disciolto nel sangue, un gas che alla pressione del fondo era stabile e che alla pressione dell'aria si libera in bolle. Il danno non nasce dalla profondità: nasce dalla velocità della risalita.</w:t>
      </w:r>
    </w:p>
    <w:p>
      <w:pPr>
        <w:spacing w:after="120" w:line="276"/>
        <w:jc w:val="both"/>
      </w:pPr>
      <w:r>
        <w:rPr>
          <w:rFonts w:ascii="Barlow Semi Condensed" w:cs="Barlow Semi Condensed" w:eastAsia="Barlow Semi Condensed" w:hAnsi="Barlow Semi Condensed"/>
          <w:b/>
          <w:bCs/>
          <w:sz w:val="24"/>
          <w:szCs w:val="24"/>
        </w:rPr>
        <w:t xml:space="preserve">Così le connessioni. Una connessione che alla pressione del fondo — cioè dentro il contesto denso di ipotesi, coincidenze e prossimità nel quale è stata concepita — appare salda, si dissolve alla pressione dell'aria, cioè quando venga enunciata da sola, davanti a un lettore che non abbia percorso il ragionamento che l'ha generata. La tappa dell'istruttoria e quella della verifica servono precisamente a questo: a sottoporre la connessione, prima della certificazione, alla pressione alla quale dovrà reggere.</w:t>
      </w:r>
    </w:p>
    <w:p>
      <w:pPr>
        <w:pStyle w:val="Heading2"/>
        <w:spacing w:after="100" w:before="200"/>
      </w:pPr>
      <w:r>
        <w:rPr>
          <w:rFonts w:ascii="Barlow Semi Condensed" w:cs="Barlow Semi Condensed" w:eastAsia="Barlow Semi Condensed" w:hAnsi="Barlow Semi Condensed"/>
          <w:sz w:val="24"/>
          <w:szCs w:val="24"/>
        </w:rPr>
        <w:t xml:space="preserve">La conseguenza che entrambe hanno in comune</w:t>
      </w:r>
    </w:p>
    <w:p>
      <w:pPr>
        <w:spacing w:after="120" w:line="276"/>
        <w:jc w:val="both"/>
      </w:pPr>
      <w:r>
        <w:rPr>
          <w:rFonts w:ascii="Barlow Semi Condensed" w:cs="Barlow Semi Condensed" w:eastAsia="Barlow Semi Condensed" w:hAnsi="Barlow Semi Condensed"/>
          <w:b/>
          <w:bCs/>
          <w:sz w:val="24"/>
          <w:szCs w:val="24"/>
        </w:rPr>
        <w:t xml:space="preserve">Le due regole hanno un effetto congiunto che occorre dire, perché è quello che dà a quest'opera il suo carattere e insieme il suo limite: esse riducono la quantità di ciò che l'opera afferma e aumentano la solidità di ciò che afferma.</w:t>
      </w:r>
    </w:p>
    <w:p>
      <w:pPr>
        <w:spacing w:after="120" w:line="276"/>
        <w:jc w:val="both"/>
      </w:pPr>
      <w:r>
        <w:rPr>
          <w:rFonts w:ascii="Barlow Semi Condensed" w:cs="Barlow Semi Condensed" w:eastAsia="Barlow Semi Condensed" w:hAnsi="Barlow Semi Condensed"/>
          <w:b/>
          <w:bCs/>
          <w:sz w:val="24"/>
          <w:szCs w:val="24"/>
        </w:rPr>
        <w:t xml:space="preserve">Un'opera costruita così è meno ricca di una che non osservi queste regole. Contiene meno collegamenti, meno figure, meno scenari. Il lettore che cerchi una ricostruzione completa la troverà deludente, e avrà ragione dal proprio punto di vista.</w:t>
      </w:r>
    </w:p>
    <w:p>
      <w:pPr>
        <w:spacing w:after="120" w:line="276"/>
        <w:jc w:val="both"/>
      </w:pPr>
      <w:r>
        <w:rPr>
          <w:rFonts w:ascii="Barlow Semi Condensed" w:cs="Barlow Semi Condensed" w:eastAsia="Barlow Semi Condensed" w:hAnsi="Barlow Semi Condensed"/>
          <w:b/>
          <w:bCs/>
          <w:sz w:val="24"/>
          <w:szCs w:val="24"/>
        </w:rPr>
        <w:t xml:space="preserve">Ma la ricchezza, in questa materia, è il segno che qualcosa non va. Un caso nel quale sono state distrutte prove, eliminati testimoni e occultati archivi non può produrre, se onestamente ricostruito, un quadro completo. Un quadro completo, in un caso siffatto, è la prova che il ricercatore ha colmato con la propria immaginazione le lacune che gli erano state preparate. La proporzione dichiarata è onestà, non sconfitta: una parte che regge vale più di nove parti che suggestionano.</w:t>
      </w:r>
    </w:p>
    <w:p>
      <w:pPr>
        <w:pStyle w:val="Heading2"/>
        <w:spacing w:after="100" w:before="200"/>
      </w:pPr>
      <w:r>
        <w:rPr>
          <w:rFonts w:ascii="Barlow Semi Condensed" w:cs="Barlow Semi Condensed" w:eastAsia="Barlow Semi Condensed" w:hAnsi="Barlow Semi Condensed"/>
          <w:sz w:val="24"/>
          <w:szCs w:val="24"/>
        </w:rPr>
        <w:t xml:space="preserve">Capitolo settimo — La disciplina del Pollo di Popper e gli Stati Zero</w:t>
      </w:r>
    </w:p>
    <w:p>
      <w:pPr>
        <w:spacing w:after="120" w:line="276"/>
        <w:jc w:val="both"/>
      </w:pPr>
      <w:r>
        <w:rPr>
          <w:rFonts w:ascii="Barlow Semi Condensed" w:cs="Barlow Semi Condensed" w:eastAsia="Barlow Semi Condensed" w:hAnsi="Barlow Semi Condensed"/>
          <w:b/>
          <w:bCs/>
          <w:sz w:val="24"/>
          <w:szCs w:val="24"/>
        </w:rPr>
        <w:t xml:space="preserve">Restano da esporre due disposizioni che stanno l'una accanto all'altra, perché rispondono al medesimo pericolo da due lati opposti: la prima impedisce di trovare soltanto conferme, la seconda impedisce di registrare soltanto ritrovamenti.</w:t>
      </w:r>
    </w:p>
    <w:p>
      <w:pPr>
        <w:pStyle w:val="Heading2"/>
        <w:spacing w:after="100" w:before="200"/>
      </w:pPr>
      <w:r>
        <w:rPr>
          <w:rFonts w:ascii="Barlow Semi Condensed" w:cs="Barlow Semi Condensed" w:eastAsia="Barlow Semi Condensed" w:hAnsi="Barlow Semi Condensed"/>
          <w:sz w:val="24"/>
          <w:szCs w:val="24"/>
        </w:rPr>
        <w:t xml:space="preserve">Il pericolo della conferma</w:t>
      </w:r>
    </w:p>
    <w:p>
      <w:pPr>
        <w:spacing w:after="120" w:line="276"/>
        <w:jc w:val="both"/>
      </w:pPr>
      <w:r>
        <w:rPr>
          <w:rFonts w:ascii="Barlow Semi Condensed" w:cs="Barlow Semi Condensed" w:eastAsia="Barlow Semi Condensed" w:hAnsi="Barlow Semi Condensed"/>
          <w:b/>
          <w:bCs/>
          <w:sz w:val="24"/>
          <w:szCs w:val="24"/>
        </w:rPr>
        <w:t xml:space="preserve">Un pollo, ogni mattina, vede il contadino portargli il cibo. Al centesimo giorno ha raccolto cento conferme, e conclude che il contadino esiste per nutrirlo. La conclusione è sostenuta da tutte le osservazioni disponibili, non è contraddetta da alcuna, ed è falsa. Al centunesimo giorno il contadino gli tira il collo.</w:t>
      </w:r>
    </w:p>
    <w:p>
      <w:pPr>
        <w:spacing w:after="120" w:line="276"/>
        <w:jc w:val="both"/>
      </w:pPr>
      <w:r>
        <w:rPr>
          <w:rFonts w:ascii="Barlow Semi Condensed" w:cs="Barlow Semi Condensed" w:eastAsia="Barlow Semi Condensed" w:hAnsi="Barlow Semi Condensed"/>
          <w:b/>
          <w:bCs/>
          <w:sz w:val="24"/>
          <w:szCs w:val="24"/>
        </w:rPr>
        <w:t xml:space="preserve">La favola, che si deve alla riflessione sul problema dell'induzione, dice una cosa esatta e sgradevole: l'accumulo di conferme non prova. Non prova perché le conferme si accumulano anche attorno alle proposizioni false, e con la medesima abbondanza; e la sensazione di solidità che il loro numero produce nel ricercatore non è una misura della verità della proposizione, ma della struttura della sua ricerca.</w:t>
      </w:r>
    </w:p>
    <w:p>
      <w:pPr>
        <w:spacing w:after="120" w:line="276"/>
        <w:jc w:val="both"/>
      </w:pPr>
      <w:r>
        <w:rPr>
          <w:rFonts w:ascii="Barlow Semi Condensed" w:cs="Barlow Semi Condensed" w:eastAsia="Barlow Semi Condensed" w:hAnsi="Barlow Semi Condensed"/>
          <w:b/>
          <w:bCs/>
          <w:sz w:val="24"/>
          <w:szCs w:val="24"/>
        </w:rPr>
        <w:t xml:space="preserve">Il pericolo diventa acuto quando la ricerca è organizzata attorno a una tesi. Se si dispone il materiale in cerchi che si irradiano da un centro interpretativo, ogni dato che entri nell'opera vi entra già collocato rispetto alla tesi, e dunque tende a confermarla per effetto della disposizione e non per forza propria. Il ricercatore che proceda così accumula conferme senza mai mettersi nella condizione di ricevere una smentita: è nella posizione esatta del pollo.</w:t>
      </w:r>
    </w:p>
    <w:p>
      <w:pPr>
        <w:pStyle w:val="Heading2"/>
        <w:spacing w:after="100" w:before="200"/>
      </w:pPr>
      <w:r>
        <w:rPr>
          <w:rFonts w:ascii="Barlow Semi Condensed" w:cs="Barlow Semi Condensed" w:eastAsia="Barlow Semi Condensed" w:hAnsi="Barlow Semi Condensed"/>
          <w:sz w:val="24"/>
          <w:szCs w:val="24"/>
        </w:rPr>
        <w:t xml:space="preserve">La disciplina</w:t>
      </w:r>
    </w:p>
    <w:p>
      <w:pPr>
        <w:spacing w:after="120" w:line="276"/>
        <w:jc w:val="both"/>
      </w:pPr>
      <w:r>
        <w:rPr>
          <w:rFonts w:ascii="Barlow Semi Condensed" w:cs="Barlow Semi Condensed" w:eastAsia="Barlow Semi Condensed" w:hAnsi="Barlow Semi Condensed"/>
          <w:b/>
          <w:bCs/>
          <w:sz w:val="24"/>
          <w:szCs w:val="24"/>
        </w:rPr>
        <w:t xml:space="preserve">La disciplina che ne discende ha tre prescrizioni.</w:t>
      </w:r>
    </w:p>
    <w:p>
      <w:pPr>
        <w:spacing w:after="120" w:line="276"/>
        <w:jc w:val="both"/>
      </w:pPr>
      <w:r>
        <w:rPr>
          <w:rFonts w:ascii="Barlow Semi Condensed" w:cs="Barlow Semi Condensed" w:eastAsia="Barlow Semi Condensed" w:hAnsi="Barlow Semi Condensed"/>
          <w:b/>
          <w:bCs/>
          <w:sz w:val="24"/>
          <w:szCs w:val="24"/>
        </w:rPr>
        <w:t xml:space="preserve">La prima: le ipotesi non si confermano, si sottopongono a confutazione. Per ogni proposizione l'opera si domanda che cosa la smentirebbe, e cerca quello, non il contrario.</w:t>
      </w:r>
    </w:p>
    <w:p>
      <w:pPr>
        <w:spacing w:after="120" w:line="276"/>
        <w:jc w:val="both"/>
      </w:pPr>
      <w:r>
        <w:rPr>
          <w:rFonts w:ascii="Barlow Semi Condensed" w:cs="Barlow Semi Condensed" w:eastAsia="Barlow Semi Condensed" w:hAnsi="Barlow Semi Condensed"/>
          <w:b/>
          <w:bCs/>
          <w:sz w:val="24"/>
          <w:szCs w:val="24"/>
        </w:rPr>
        <w:t xml:space="preserve">La seconda: per ogni osservazione si formulano almeno tre ipotesi alternative, e la valutazione non guarda quale sia più sostenuta — perché tutte tendono ad accumulare sostegni — ma quale sia meno contraddetta. È la contraddizione, non il sostegno, che discrimina.</w:t>
      </w:r>
    </w:p>
    <w:p>
      <w:pPr>
        <w:spacing w:after="120" w:line="276"/>
        <w:jc w:val="both"/>
      </w:pPr>
      <w:r>
        <w:rPr>
          <w:rFonts w:ascii="Barlow Semi Condensed" w:cs="Barlow Semi Condensed" w:eastAsia="Barlow Semi Condensed" w:hAnsi="Barlow Semi Condensed"/>
          <w:b/>
          <w:bCs/>
          <w:sz w:val="24"/>
          <w:szCs w:val="24"/>
        </w:rPr>
        <w:t xml:space="preserve">La terza, che è di architettura: l'opera non si organizza attorno a una tesi, ma attorno alle fonti. L'ordine dei capitoli è ordine di racconto e non ordine di prova, come già si è detto; e nessun capitolo eredita autorevolezza dalla propria collocazione.</w:t>
      </w:r>
    </w:p>
    <w:p>
      <w:pPr>
        <w:spacing w:after="120" w:line="276"/>
        <w:jc w:val="both"/>
      </w:pPr>
      <w:r>
        <w:rPr>
          <w:rFonts w:ascii="Barlow Semi Condensed" w:cs="Barlow Semi Condensed" w:eastAsia="Barlow Semi Condensed" w:hAnsi="Barlow Semi Condensed"/>
          <w:b/>
          <w:bCs/>
          <w:sz w:val="24"/>
          <w:szCs w:val="24"/>
        </w:rPr>
        <w:t xml:space="preserve">Vi è un corollario archeologico che merita di essere aggiunto, perché rende la cosa visibile. Chi scavi guidato dalla convinzione di trovare una determinata città, scava una trincea diretta verso di essa e distrugge, attraversandoli, gli strati che la contraddicono. Non mente: distrugge. E ciò che distrugge non potrà più essere esaminato da nessuno. È il modo per il quale una ricerca condotta con passione produce un danno che una ricerca condotta senza passione non avrebbe prodotto.</w:t>
      </w:r>
    </w:p>
    <w:p>
      <w:pPr>
        <w:spacing w:after="120" w:line="276"/>
        <w:jc w:val="both"/>
      </w:pPr>
      <w:r>
        <w:rPr>
          <w:rFonts w:ascii="Barlow Semi Condensed" w:cs="Barlow Semi Condensed" w:eastAsia="Barlow Semi Condensed" w:hAnsi="Barlow Semi Condensed"/>
          <w:b/>
          <w:bCs/>
          <w:sz w:val="24"/>
          <w:szCs w:val="24"/>
        </w:rPr>
        <w:t xml:space="preserve">La risposta è lo scavo per quadranti, con i testimoni in piedi: si lasciano in sede porzioni non scavate, perché chi verrà dopo possa controllare. Quest'opera pratica lo stesso: ciò che non entra nella sua architettura non viene soppresso, viene conservato in disparte e dichiarato.</w:t>
      </w:r>
    </w:p>
    <w:p>
      <w:pPr>
        <w:pStyle w:val="Heading2"/>
        <w:spacing w:after="100" w:before="200"/>
      </w:pPr>
      <w:r>
        <w:rPr>
          <w:rFonts w:ascii="Barlow Semi Condensed" w:cs="Barlow Semi Condensed" w:eastAsia="Barlow Semi Condensed" w:hAnsi="Barlow Semi Condensed"/>
          <w:sz w:val="24"/>
          <w:szCs w:val="24"/>
        </w:rPr>
        <w:t xml:space="preserve">Gli Stati Zero</w:t>
      </w:r>
    </w:p>
    <w:p>
      <w:pPr>
        <w:spacing w:after="120" w:line="276"/>
        <w:jc w:val="both"/>
      </w:pPr>
      <w:r>
        <w:rPr>
          <w:rFonts w:ascii="Barlow Semi Condensed" w:cs="Barlow Semi Condensed" w:eastAsia="Barlow Semi Condensed" w:hAnsi="Barlow Semi Condensed"/>
          <w:b/>
          <w:bCs/>
          <w:sz w:val="24"/>
          <w:szCs w:val="24"/>
        </w:rPr>
        <w:t xml:space="preserve">La seconda disposizione riguarda il lato opposto.</w:t>
      </w:r>
    </w:p>
    <w:p>
      <w:pPr>
        <w:spacing w:after="120" w:line="276"/>
        <w:jc w:val="both"/>
      </w:pPr>
      <w:r>
        <w:rPr>
          <w:rFonts w:ascii="Barlow Semi Condensed" w:cs="Barlow Semi Condensed" w:eastAsia="Barlow Semi Condensed" w:hAnsi="Barlow Semi Condensed"/>
          <w:b/>
          <w:bCs/>
          <w:sz w:val="24"/>
          <w:szCs w:val="24"/>
        </w:rPr>
        <w:t xml:space="preserve">Un registro che annoti soltanto ciò che ha trovato mente per costruzione. Non mente in alcuna delle sue proposizioni, che possono essere tutte vere: mente nel quadro che l'insieme produce. Il lettore che percorra un elenco di reperimenti positivi riceve l'impressione che la ricerca abbia trovato ciò che cercava, mentre in realtà egli sta leggendo la sola parte fortunata di un lavoro del quale ignora l'estensione.</w:t>
      </w:r>
    </w:p>
    <w:p>
      <w:pPr>
        <w:spacing w:after="120" w:line="276"/>
        <w:jc w:val="both"/>
      </w:pPr>
      <w:r>
        <w:rPr>
          <w:rFonts w:ascii="Barlow Semi Condensed" w:cs="Barlow Semi Condensed" w:eastAsia="Barlow Semi Condensed" w:hAnsi="Barlow Semi Condensed"/>
          <w:b/>
          <w:bCs/>
          <w:sz w:val="24"/>
          <w:szCs w:val="24"/>
        </w:rPr>
        <w:t xml:space="preserve">Perciò quest'opera registra come acquisizioni di pieno valore le ricerche condotte e concluse senza reperimento. Un archivio interrogato e muto è un dato. Un quesito posto e non risolto è un dato. Un documento cercato secondo estremi precisi e non trovato è un dato, e va scritto con la stessa precisione con cui si scriverebbe se fosse stato trovato: quale documento, presso quale sede, con quale procedura, con quale esito.</w:t>
      </w:r>
    </w:p>
    <w:p>
      <w:pPr>
        <w:spacing w:after="120" w:line="276"/>
        <w:jc w:val="both"/>
      </w:pPr>
      <w:r>
        <w:rPr>
          <w:rFonts w:ascii="Barlow Semi Condensed" w:cs="Barlow Semi Condensed" w:eastAsia="Barlow Semi Condensed" w:hAnsi="Barlow Semi Condensed"/>
          <w:b/>
          <w:bCs/>
          <w:sz w:val="24"/>
          <w:szCs w:val="24"/>
        </w:rPr>
        <w:t xml:space="preserve">Questa disposizione ha un valore che eccede l'onestà contabile. In un caso nel quale le lacune sono state prodotte, la mappa delle lacune è essa stessa una fonte. Sapere quali archivi tacciono, e su che cosa, e da quando, è conoscenza; e talvolta è la conoscenza più significativa disponibile, perché il silenzio, a differenza della parola, non può essere costruito senza che qualcuno lo costruisca.</w:t>
      </w:r>
    </w:p>
    <w:p>
      <w:pPr>
        <w:pStyle w:val="Heading2"/>
        <w:spacing w:after="100" w:before="200"/>
      </w:pPr>
      <w:r>
        <w:rPr>
          <w:rFonts w:ascii="Barlow Semi Condensed" w:cs="Barlow Semi Condensed" w:eastAsia="Barlow Semi Condensed" w:hAnsi="Barlow Semi Condensed"/>
          <w:sz w:val="24"/>
          <w:szCs w:val="24"/>
        </w:rPr>
        <w:t xml:space="preserve">Le due disposizioni insieme</w:t>
      </w:r>
    </w:p>
    <w:p>
      <w:pPr>
        <w:spacing w:after="120" w:line="276"/>
        <w:jc w:val="both"/>
      </w:pPr>
      <w:r>
        <w:rPr>
          <w:rFonts w:ascii="Barlow Semi Condensed" w:cs="Barlow Semi Condensed" w:eastAsia="Barlow Semi Condensed" w:hAnsi="Barlow Semi Condensed"/>
          <w:b/>
          <w:bCs/>
          <w:sz w:val="24"/>
          <w:szCs w:val="24"/>
        </w:rPr>
        <w:t xml:space="preserve">Le due disposizioni si tengono. La prima impedisce che l'opera trovi ovunque ciò che cerca; la seconda impedisce che essa mostri soltanto dove ha trovato. Insieme producono un registro nel quale il rapporto fra ciò che si sa e ciò che non si sa è dichiarato, e nel quale il lettore può misurare, oltre alle conclusioni, la loro copertura.</w:t>
      </w:r>
    </w:p>
    <w:p>
      <w:pPr>
        <w:spacing w:after="120" w:line="276"/>
        <w:jc w:val="both"/>
      </w:pPr>
      <w:r>
        <w:rPr>
          <w:rFonts w:ascii="Barlow Semi Condensed" w:cs="Barlow Semi Condensed" w:eastAsia="Barlow Semi Condensed" w:hAnsi="Barlow Semi Condensed"/>
          <w:b/>
          <w:bCs/>
          <w:sz w:val="24"/>
          <w:szCs w:val="24"/>
        </w:rPr>
        <w:t xml:space="preserve">Un'opera che dichiari la propria copertura può essere giudicata. Un'opera che non la dichiari domanda fiducia. Fra le due cose corre la differenza che passa fra un documento e una testimonianza personale, e quest'opera vuole essere della prima specie.</w:t>
      </w:r>
    </w:p>
    <w:p>
      <w:pPr>
        <w:pStyle w:val="Heading2"/>
        <w:spacing w:after="100" w:before="200"/>
      </w:pPr>
      <w:r>
        <w:rPr>
          <w:rFonts w:ascii="Barlow Semi Condensed" w:cs="Barlow Semi Condensed" w:eastAsia="Barlow Semi Condensed" w:hAnsi="Barlow Semi Condensed"/>
          <w:sz w:val="24"/>
          <w:szCs w:val="24"/>
        </w:rPr>
        <w:t xml:space="preserve">Capitolo ottavo — La formazione, dal 1916 al 1946</w:t>
      </w:r>
    </w:p>
    <w:p>
      <w:pPr>
        <w:spacing w:after="120" w:line="276"/>
        <w:jc w:val="both"/>
      </w:pPr>
      <w:r>
        <w:rPr>
          <w:rFonts w:ascii="Barlow Semi Condensed" w:cs="Barlow Semi Condensed" w:eastAsia="Barlow Semi Condensed" w:hAnsi="Barlow Semi Condensed"/>
          <w:b/>
          <w:bCs/>
          <w:sz w:val="24"/>
          <w:szCs w:val="24"/>
        </w:rPr>
        <w:t xml:space="preserve">Occorre ora lasciare il metodo e venire alla persona. E conviene dire perché una Fase dedicata al metodo si chiuda con tre Capitoli dedicati a un uomo.</w:t>
      </w:r>
    </w:p>
    <w:p>
      <w:pPr>
        <w:spacing w:after="120" w:line="276"/>
        <w:jc w:val="both"/>
      </w:pPr>
      <w:r>
        <w:rPr>
          <w:rFonts w:ascii="Barlow Semi Condensed" w:cs="Barlow Semi Condensed" w:eastAsia="Barlow Semi Condensed" w:hAnsi="Barlow Semi Condensed"/>
          <w:b/>
          <w:bCs/>
          <w:sz w:val="24"/>
          <w:szCs w:val="24"/>
        </w:rPr>
        <w:t xml:space="preserve">La ragione non è di cortesia biografica. È che il caso del quale quest'opera tratta è, prima di ogni altra cosa, la soppressione di una persona determinata in un momento determinato; e che nessuna delle domande che l'opera dovrà porre nelle Fasi successive — perché allora, perché lui, perché in quel modo — è formulabile senza sapere chi fosse quell'uomo e che cosa stesse facendo. La biografia, qui, non è contorno: è la definizione dell'oggetto.</w:t>
      </w:r>
    </w:p>
    <w:p>
      <w:pPr>
        <w:pStyle w:val="Heading2"/>
        <w:spacing w:after="100" w:before="200"/>
      </w:pPr>
      <w:r>
        <w:rPr>
          <w:rFonts w:ascii="Barlow Semi Condensed" w:cs="Barlow Semi Condensed" w:eastAsia="Barlow Semi Condensed" w:hAnsi="Barlow Semi Condensed"/>
          <w:sz w:val="24"/>
          <w:szCs w:val="24"/>
        </w:rPr>
        <w:t xml:space="preserve">Gli anni pugliesi</w:t>
      </w:r>
    </w:p>
    <w:p>
      <w:pPr>
        <w:spacing w:after="120" w:line="276"/>
        <w:jc w:val="both"/>
      </w:pPr>
      <w:r>
        <w:rPr>
          <w:rFonts w:ascii="Barlow Semi Condensed" w:cs="Barlow Semi Condensed" w:eastAsia="Barlow Semi Condensed" w:hAnsi="Barlow Semi Condensed"/>
          <w:b/>
          <w:bCs/>
          <w:sz w:val="24"/>
          <w:szCs w:val="24"/>
        </w:rPr>
        <w:t xml:space="preserve">Aldo Moro nacque a Maglie, in provincia di Lecce, il 23 settembre 1916, in una famiglia della piccola borghesia colta meridionale: il padre ispettore scolastico, la madre maestra. La circostanza non è un dettaglio d'anagrafe. Essa colloca la formazione di quest'uomo in un ambiente nel quale l'istruzione era insieme mestiere e valore, e nel quale lo Stato era conosciuto non come potenza remota ma come amministrazione quotidiana, con i suoi uffici, le sue carte e i suoi doveri.</w:t>
      </w:r>
    </w:p>
    <w:p>
      <w:pPr>
        <w:spacing w:after="120" w:line="276"/>
        <w:jc w:val="both"/>
      </w:pPr>
      <w:r>
        <w:rPr>
          <w:rFonts w:ascii="Barlow Semi Condensed" w:cs="Barlow Semi Condensed" w:eastAsia="Barlow Semi Condensed" w:hAnsi="Barlow Semi Condensed"/>
          <w:b/>
          <w:bCs/>
          <w:sz w:val="24"/>
          <w:szCs w:val="24"/>
        </w:rPr>
        <w:t xml:space="preserve">La famiglia si trasferì a Bari, e a Bari egli compì gli studi, laureandosi in giurisprudenza. Vi rimase come studioso: la filosofia del diritto e il diritto penale furono i suoi campi, e all'insegnamento universitario egli non rinunciò mai, neppure negli anni di maggiore impegno di governo. È una fedeltà che conviene notare, perché dice qualcosa del suo modo di pensare: un uomo che continua a insegnare mentre governa conserva l'abitudine di dover rendere ragione delle proprie affermazioni davanti a chi può chiedere perché.</w:t>
      </w:r>
    </w:p>
    <w:p>
      <w:pPr>
        <w:pStyle w:val="Heading2"/>
        <w:spacing w:after="100" w:before="200"/>
      </w:pPr>
      <w:r>
        <w:rPr>
          <w:rFonts w:ascii="Barlow Semi Condensed" w:cs="Barlow Semi Condensed" w:eastAsia="Barlow Semi Condensed" w:hAnsi="Barlow Semi Condensed"/>
          <w:sz w:val="24"/>
          <w:szCs w:val="24"/>
        </w:rPr>
        <w:t xml:space="preserve">La FUCI e la formazione cattolica</w:t>
      </w:r>
    </w:p>
    <w:p>
      <w:pPr>
        <w:spacing w:after="120" w:line="276"/>
        <w:jc w:val="both"/>
      </w:pPr>
      <w:r>
        <w:rPr>
          <w:rFonts w:ascii="Barlow Semi Condensed" w:cs="Barlow Semi Condensed" w:eastAsia="Barlow Semi Condensed" w:hAnsi="Barlow Semi Condensed"/>
          <w:b/>
          <w:bCs/>
          <w:sz w:val="24"/>
          <w:szCs w:val="24"/>
        </w:rPr>
        <w:t xml:space="preserve">L'esperienza decisiva di quegli anni fu l'associazionismo cattolico universitario. Moro fu presidente della Federazione Universitaria Cattolica Italiana fra il 1939 e il 1942, e più tardi fu tra i dirigenti del Movimento Laureati di Azione Cattolica.</w:t>
      </w:r>
    </w:p>
    <w:p>
      <w:pPr>
        <w:spacing w:after="120" w:line="276"/>
        <w:jc w:val="both"/>
      </w:pPr>
      <w:r>
        <w:rPr>
          <w:rFonts w:ascii="Barlow Semi Condensed" w:cs="Barlow Semi Condensed" w:eastAsia="Barlow Semi Condensed" w:hAnsi="Barlow Semi Condensed"/>
          <w:b/>
          <w:bCs/>
          <w:sz w:val="24"/>
          <w:szCs w:val="24"/>
        </w:rPr>
        <w:t xml:space="preserve">Occorre intendere che cosa questo significasse in quegli anni. La FUCI era, nell'Italia del regime, uno dei pochissimi luoghi nei quali giovani intellettuali potessero incontrarsi, discutere e formarsi sotto una autorità che non fosse quella dello Stato fascista. Non era un luogo di opposizione dichiarata — sarebbe anacronistico e falso descriverlo così — ma era un luogo di autonomia relativa, e in un sistema che non tollerava autonomie l'autonomia relativa è già una posizione.</w:t>
      </w:r>
    </w:p>
    <w:p>
      <w:pPr>
        <w:spacing w:after="120" w:line="276"/>
        <w:jc w:val="both"/>
      </w:pPr>
      <w:r>
        <w:rPr>
          <w:rFonts w:ascii="Barlow Semi Condensed" w:cs="Barlow Semi Condensed" w:eastAsia="Barlow Semi Condensed" w:hAnsi="Barlow Semi Condensed"/>
          <w:b/>
          <w:bCs/>
          <w:sz w:val="24"/>
          <w:szCs w:val="24"/>
        </w:rPr>
        <w:t xml:space="preserve">Da quell'ambiente uscì una parte considerevole della classe dirigente cattolica del dopoguerra. Vi si formò un modo di concepire la politica che conviene descrivere perché resterà il suo per tutta la vita: la politica come mediazione fra istanze legittime e diverse, non come affermazione di una parte sull'altra; il tempo come strumento di governo e non come ostacolo; la persuasione preferita alla forza, e la trattativa preferita alla rottura.</w:t>
      </w:r>
    </w:p>
    <w:p>
      <w:pPr>
        <w:spacing w:after="120" w:line="276"/>
        <w:jc w:val="both"/>
      </w:pPr>
      <w:r>
        <w:rPr>
          <w:rFonts w:ascii="Barlow Semi Condensed" w:cs="Barlow Semi Condensed" w:eastAsia="Barlow Semi Condensed" w:hAnsi="Barlow Semi Condensed"/>
          <w:b/>
          <w:bCs/>
          <w:sz w:val="24"/>
          <w:szCs w:val="24"/>
        </w:rPr>
        <w:t xml:space="preserve">Questo modo di concepire la politica ha una virtù e ha un difetto, ed entrambi peseranno. La virtù è che consente di tenere insieme ciò che altrimenti si spezzerebbe, e in un paese diviso come l'Italia repubblicana questa fu una funzione capitale. Il difetto è che appare, a chi lo osservi dall'esterno e con impazienza, indistinguibile dal temporeggiamento; e che chi lo pratichi risulta, agli occhi degli avversari e talvolta degli alleati, sempre in procinto di cedere qualcosa a qualcuno.</w:t>
      </w:r>
    </w:p>
    <w:p>
      <w:pPr>
        <w:pStyle w:val="Heading2"/>
        <w:spacing w:after="100" w:before="200"/>
      </w:pPr>
      <w:r>
        <w:rPr>
          <w:rFonts w:ascii="Barlow Semi Condensed" w:cs="Barlow Semi Condensed" w:eastAsia="Barlow Semi Condensed" w:hAnsi="Barlow Semi Condensed"/>
          <w:sz w:val="24"/>
          <w:szCs w:val="24"/>
        </w:rPr>
        <w:t xml:space="preserve">Dalla guerra alla Costituente</w:t>
      </w:r>
    </w:p>
    <w:p>
      <w:pPr>
        <w:spacing w:after="120" w:line="276"/>
        <w:jc w:val="both"/>
      </w:pPr>
      <w:r>
        <w:rPr>
          <w:rFonts w:ascii="Barlow Semi Condensed" w:cs="Barlow Semi Condensed" w:eastAsia="Barlow Semi Condensed" w:hAnsi="Barlow Semi Condensed"/>
          <w:b/>
          <w:bCs/>
          <w:sz w:val="24"/>
          <w:szCs w:val="24"/>
        </w:rPr>
        <w:t xml:space="preserve">Gli anni della guerra e della caduta del regime lo trovarono impegnato nell'ambiente cattolico, e dalla ricomposizione delle forze politiche del dopoguerra egli uscì fra i dirigenti giovani della Democrazia Cristiana.</w:t>
      </w:r>
    </w:p>
    <w:p>
      <w:pPr>
        <w:spacing w:after="120" w:line="276"/>
        <w:jc w:val="both"/>
      </w:pPr>
      <w:r>
        <w:rPr>
          <w:rFonts w:ascii="Barlow Semi Condensed" w:cs="Barlow Semi Condensed" w:eastAsia="Barlow Semi Condensed" w:hAnsi="Barlow Semi Condensed"/>
          <w:b/>
          <w:bCs/>
          <w:sz w:val="24"/>
          <w:szCs w:val="24"/>
        </w:rPr>
        <w:t xml:space="preserve">Nel 1946 fu eletto all'Assemblea Costituente, e vi assunse il ruolo che più di ogni altro segna il suo ingresso nella vita pubblica: fece parte della Commissione dei Settantacinque, incaricata di redigere il progetto di Costituzione. Aveva trent'anni.</w:t>
      </w:r>
    </w:p>
    <w:p>
      <w:pPr>
        <w:spacing w:after="120" w:line="276"/>
        <w:jc w:val="both"/>
      </w:pPr>
      <w:r>
        <w:rPr>
          <w:rFonts w:ascii="Barlow Semi Condensed" w:cs="Barlow Semi Condensed" w:eastAsia="Barlow Semi Condensed" w:hAnsi="Barlow Semi Condensed"/>
          <w:b/>
          <w:bCs/>
          <w:sz w:val="24"/>
          <w:szCs w:val="24"/>
        </w:rPr>
        <w:t xml:space="preserve">Occorre soffermarsi su questo, perché è il punto dal quale si comprende tutto il resto. Un uomo che a trent'anni partecipa alla scrittura della carta fondamentale del proprio paese acquisisce un rapporto con le istituzioni che non è quello del funzionario né quello del militante: è quello di chi le ha fatte. Le istituzioni della Repubblica non furono, per lui, un ambiente dato nel quale operare: furono un manufatto al quale aveva messo mano, del quale conosceva le giunture, e verso il quale sentiva la responsabilità particolare di chi ha contribuito a costruire.</w:t>
      </w:r>
    </w:p>
    <w:p>
      <w:pPr>
        <w:spacing w:after="120" w:line="276"/>
        <w:jc w:val="both"/>
      </w:pPr>
      <w:r>
        <w:rPr>
          <w:rFonts w:ascii="Barlow Semi Condensed" w:cs="Barlow Semi Condensed" w:eastAsia="Barlow Semi Condensed" w:hAnsi="Barlow Semi Condensed"/>
          <w:b/>
          <w:bCs/>
          <w:sz w:val="24"/>
          <w:szCs w:val="24"/>
        </w:rPr>
        <w:t xml:space="preserve">Questo spiega, meglio di ogni considerazione caratteriale, la sua costante riluttanza alle soluzioni che comportassero forzature dell'ordinamento, e la sua costante preferenza per le soluzioni che comportassero l'allargamento del consenso dentro l'ordinamento. Non era timidezza. Era la convinzione, coltivata da chi aveva partecipato alla costruzione, che l'ordinamento fosse la sola cosa che tenesse insieme un paese che nella propria storia recente si era spezzato due volte.</w:t>
      </w:r>
    </w:p>
    <w:p>
      <w:pPr>
        <w:pStyle w:val="Heading2"/>
        <w:spacing w:after="100" w:before="200"/>
      </w:pPr>
      <w:r>
        <w:rPr>
          <w:rFonts w:ascii="Barlow Semi Condensed" w:cs="Barlow Semi Condensed" w:eastAsia="Barlow Semi Condensed" w:hAnsi="Barlow Semi Condensed"/>
          <w:sz w:val="24"/>
          <w:szCs w:val="24"/>
        </w:rPr>
        <w:t xml:space="preserve">Nota di grado e di metodo</w:t>
      </w:r>
    </w:p>
    <w:p>
      <w:pPr>
        <w:spacing w:after="120" w:line="276"/>
        <w:jc w:val="both"/>
      </w:pPr>
      <w:r>
        <w:rPr>
          <w:rFonts w:ascii="Barlow Semi Condensed" w:cs="Barlow Semi Condensed" w:eastAsia="Barlow Semi Condensed" w:hAnsi="Barlow Semi Condensed"/>
          <w:b/>
          <w:bCs/>
          <w:sz w:val="24"/>
          <w:szCs w:val="24"/>
        </w:rPr>
        <w:t xml:space="preserve">Le circostanze qui esposte — la data e il luogo di nascita, gli studi, le cariche associative, l'elezione alla Costituente, la partecipazione alla Commissione dei Settantacinque — appartengono agli atti pubblici e alla documentazione parlamentare e non sono controverse.</w:t>
      </w:r>
    </w:p>
    <w:p>
      <w:pPr>
        <w:spacing w:after="120" w:line="276"/>
        <w:jc w:val="both"/>
      </w:pPr>
      <w:r>
        <w:rPr>
          <w:rFonts w:ascii="Barlow Semi Condensed" w:cs="Barlow Semi Condensed" w:eastAsia="Barlow Semi Condensed" w:hAnsi="Barlow Semi Condensed"/>
          <w:b/>
          <w:bCs/>
          <w:sz w:val="24"/>
          <w:szCs w:val="24"/>
        </w:rPr>
        <w:t xml:space="preserve">Le considerazioni sul modo di concepire la politica sono di natura diversa: esse sono interpretazione dell'autore, formulata a partire dagli atti, e sono dichiarate come tali. Non sono, e non vanno lette come, proposizioni sciolte. Il lettore le tratti per quello che sono: una lettura possibile, esposta perché serve a comprendere ciò che segue, e non perché sia provata.</w:t>
      </w:r>
    </w:p>
    <w:p>
      <w:pPr>
        <w:pStyle w:val="Heading2"/>
        <w:spacing w:after="100" w:before="200"/>
      </w:pPr>
      <w:r>
        <w:rPr>
          <w:rFonts w:ascii="Barlow Semi Condensed" w:cs="Barlow Semi Condensed" w:eastAsia="Barlow Semi Condensed" w:hAnsi="Barlow Semi Condensed"/>
          <w:sz w:val="24"/>
          <w:szCs w:val="24"/>
        </w:rPr>
        <w:t xml:space="preserve">Capitolo nono — L'uomo di governo, dal 1946 al 1976</w:t>
      </w:r>
    </w:p>
    <w:p>
      <w:pPr>
        <w:spacing w:after="120" w:line="276"/>
        <w:jc w:val="both"/>
      </w:pPr>
      <w:r>
        <w:rPr>
          <w:rFonts w:ascii="Barlow Semi Condensed" w:cs="Barlow Semi Condensed" w:eastAsia="Barlow Semi Condensed" w:hAnsi="Barlow Semi Condensed"/>
          <w:b/>
          <w:bCs/>
          <w:sz w:val="24"/>
          <w:szCs w:val="24"/>
        </w:rPr>
        <w:t xml:space="preserve">Trent'anni di vita pubblica non si riassumono in un capitolo. Se ne possono però isolare le linee che occorrono a comprendere il fatto del quale l'opera tratta, e sono poche.</w:t>
      </w:r>
    </w:p>
    <w:p>
      <w:pPr>
        <w:pStyle w:val="Heading2"/>
        <w:spacing w:after="100" w:before="200"/>
      </w:pPr>
      <w:r>
        <w:rPr>
          <w:rFonts w:ascii="Barlow Semi Condensed" w:cs="Barlow Semi Condensed" w:eastAsia="Barlow Semi Condensed" w:hAnsi="Barlow Semi Condensed"/>
          <w:sz w:val="24"/>
          <w:szCs w:val="24"/>
        </w:rPr>
        <w:t xml:space="preserve">Le cariche</w:t>
      </w:r>
    </w:p>
    <w:p>
      <w:pPr>
        <w:spacing w:after="120" w:line="276"/>
        <w:jc w:val="both"/>
      </w:pPr>
      <w:r>
        <w:rPr>
          <w:rFonts w:ascii="Barlow Semi Condensed" w:cs="Barlow Semi Condensed" w:eastAsia="Barlow Semi Condensed" w:hAnsi="Barlow Semi Condensed"/>
          <w:b/>
          <w:bCs/>
          <w:sz w:val="24"/>
          <w:szCs w:val="24"/>
        </w:rPr>
        <w:t xml:space="preserve">Moro fu deputato ininterrottamente dalla Costituente in poi. Fu ministro di Grazia e Giustizia, poi della Pubblica Istruzione, negli anni Cinquanta. Fu segretario politico della Democrazia Cristiana dal 1959 al 1964. Fu presidente del Consiglio dei ministri per cinque governi, in due periodi distinti: fra il 1963 e il 1968, e fra il 1974 e il 1976. Fu ministro degli Affari Esteri in più occasioni fra la fine degli anni Sessanta e la metà degli anni Settanta. Dal 1976 fu presidente della Democrazia Cristiana.</w:t>
      </w:r>
    </w:p>
    <w:p>
      <w:pPr>
        <w:spacing w:after="120" w:line="276"/>
        <w:jc w:val="both"/>
      </w:pPr>
      <w:r>
        <w:rPr>
          <w:rFonts w:ascii="Barlow Semi Condensed" w:cs="Barlow Semi Condensed" w:eastAsia="Barlow Semi Condensed" w:hAnsi="Barlow Semi Condensed"/>
          <w:b/>
          <w:bCs/>
          <w:sz w:val="24"/>
          <w:szCs w:val="24"/>
        </w:rPr>
        <w:t xml:space="preserve">Questa successione di cariche dice una cosa che va detta espressamente: per quasi tutta la storia della Repubblica, quest'uomo si trovò in uno dei tre o quattro luoghi dai quali le decisioni maggiori venivano prese. Non fu una figura laterale che divenne importante alla fine. Fu, per trent'anni, uno dei pochissimi che sapessero come le cose funzionavano davvero.</w:t>
      </w:r>
    </w:p>
    <w:p>
      <w:pPr>
        <w:pStyle w:val="Heading2"/>
        <w:spacing w:after="100" w:before="200"/>
      </w:pPr>
      <w:r>
        <w:rPr>
          <w:rFonts w:ascii="Barlow Semi Condensed" w:cs="Barlow Semi Condensed" w:eastAsia="Barlow Semi Condensed" w:hAnsi="Barlow Semi Condensed"/>
          <w:sz w:val="24"/>
          <w:szCs w:val="24"/>
        </w:rPr>
        <w:t xml:space="preserve">Il centro-sinistra</w:t>
      </w:r>
    </w:p>
    <w:p>
      <w:pPr>
        <w:spacing w:after="120" w:line="276"/>
        <w:jc w:val="both"/>
      </w:pPr>
      <w:r>
        <w:rPr>
          <w:rFonts w:ascii="Barlow Semi Condensed" w:cs="Barlow Semi Condensed" w:eastAsia="Barlow Semi Condensed" w:hAnsi="Barlow Semi Condensed"/>
          <w:b/>
          <w:bCs/>
          <w:sz w:val="24"/>
          <w:szCs w:val="24"/>
        </w:rPr>
        <w:t xml:space="preserve">La prima operazione politica che porta il suo nome è l'apertura al Partito Socialista Italiano, condotta fra la fine degli anni Cinquanta e il 1963, quando egli formò il primo governo che comprendesse i socialisti.</w:t>
      </w:r>
    </w:p>
    <w:p>
      <w:pPr>
        <w:spacing w:after="120" w:line="276"/>
        <w:jc w:val="both"/>
      </w:pPr>
      <w:r>
        <w:rPr>
          <w:rFonts w:ascii="Barlow Semi Condensed" w:cs="Barlow Semi Condensed" w:eastAsia="Barlow Semi Condensed" w:hAnsi="Barlow Semi Condensed"/>
          <w:b/>
          <w:bCs/>
          <w:sz w:val="24"/>
          <w:szCs w:val="24"/>
        </w:rPr>
        <w:t xml:space="preserve">L'operazione fu lunga, contrastata e condotta con una lentezza che i contemporanei giudicarono esasperante. Essa incontrò resistenze da tre lati: dall'ala conservatrice del proprio partito, che vi vedeva una apertura verso sinistra pericolosa; da settori dell'alleanza atlantica, che consideravano il Partito Socialista non ancora sufficientemente distante dal Partito Comunista; e da settori dello stesso Partito Socialista, per i quali il prezzo dell'ingresso al governo era troppo alto.</w:t>
      </w:r>
    </w:p>
    <w:p>
      <w:pPr>
        <w:spacing w:after="120" w:line="276"/>
        <w:jc w:val="both"/>
      </w:pPr>
      <w:r>
        <w:rPr>
          <w:rFonts w:ascii="Barlow Semi Condensed" w:cs="Barlow Semi Condensed" w:eastAsia="Barlow Semi Condensed" w:hAnsi="Barlow Semi Condensed"/>
          <w:b/>
          <w:bCs/>
          <w:sz w:val="24"/>
          <w:szCs w:val="24"/>
        </w:rPr>
        <w:t xml:space="preserve">Il metodo con il quale Moro condusse l'operazione è quello che gli si attribuisce per tutta la vita: preparare a lungo, ridurre progressivamente la distanza fra le posizioni, non forzare mai il momento della decisione prima che la decisione sia già maturata nei fatti. Alla formula con la quale egli descrisse la convergenza di forze che restavano distinte — l'immagine delle linee che convergono pur non incontrandosi — si è attribuito, da allora, un valore emblematico del suo intero modo di procedere.</w:t>
      </w:r>
    </w:p>
    <w:p>
      <w:pPr>
        <w:spacing w:after="120" w:line="276"/>
        <w:jc w:val="both"/>
      </w:pPr>
      <w:r>
        <w:rPr>
          <w:rFonts w:ascii="Barlow Semi Condensed" w:cs="Barlow Semi Condensed" w:eastAsia="Barlow Semi Condensed" w:hAnsi="Barlow Semi Condensed"/>
          <w:b/>
          <w:bCs/>
          <w:sz w:val="24"/>
          <w:szCs w:val="24"/>
        </w:rPr>
        <w:t xml:space="preserve">Occorre segnalare che, negli anni immediatamente precedenti e seguenti quella apertura, si collocano alcuni degli episodi sui quali le commissioni parlamentari d'inchiesta hanno più lungamente lavorato, e che riguardano la predisposizione di misure di emergenza da parte di apparati dello Stato. Quest'opera non tratta qui quegli episodi, che appartengono alla Fase Seconda; li segnala perché il lettore sappia che il periodo nel quale l'apertura a sinistra maturò non fu, per le istituzioni, un periodo tranquillo.</w:t>
      </w:r>
    </w:p>
    <w:p>
      <w:pPr>
        <w:pStyle w:val="Heading2"/>
        <w:spacing w:after="100" w:before="200"/>
      </w:pPr>
      <w:r>
        <w:rPr>
          <w:rFonts w:ascii="Barlow Semi Condensed" w:cs="Barlow Semi Condensed" w:eastAsia="Barlow Semi Condensed" w:hAnsi="Barlow Semi Condensed"/>
          <w:sz w:val="24"/>
          <w:szCs w:val="24"/>
        </w:rPr>
        <w:t xml:space="preserve">Gli anni Settanta e la crisi</w:t>
      </w:r>
    </w:p>
    <w:p>
      <w:pPr>
        <w:spacing w:after="120" w:line="276"/>
        <w:jc w:val="both"/>
      </w:pPr>
      <w:r>
        <w:rPr>
          <w:rFonts w:ascii="Barlow Semi Condensed" w:cs="Barlow Semi Condensed" w:eastAsia="Barlow Semi Condensed" w:hAnsi="Barlow Semi Condensed"/>
          <w:b/>
          <w:bCs/>
          <w:sz w:val="24"/>
          <w:szCs w:val="24"/>
        </w:rPr>
        <w:t xml:space="preserve">Il secondo periodo di governo, fra il 1974 e il 1976, si colloca in una fase diversa e assai più dura: crisi economica seguita allo shock petrolifero, terrorismo in crescita, tensione sociale acuta, e un sistema politico nel quale il Partito Comunista cresceva elettoralmente fino a rendere aritmeticamente difficile ogni maggioranza che lo escludesse.</w:t>
      </w:r>
    </w:p>
    <w:p>
      <w:pPr>
        <w:spacing w:after="120" w:line="276"/>
        <w:jc w:val="both"/>
      </w:pPr>
      <w:r>
        <w:rPr>
          <w:rFonts w:ascii="Barlow Semi Condensed" w:cs="Barlow Semi Condensed" w:eastAsia="Barlow Semi Condensed" w:hAnsi="Barlow Semi Condensed"/>
          <w:b/>
          <w:bCs/>
          <w:sz w:val="24"/>
          <w:szCs w:val="24"/>
        </w:rPr>
        <w:t xml:space="preserve">È in questa fase che matura la posizione dell'ultimo Moro, della quale si dirà nel Capitolo seguente. Qui basti fissare il dato che la rende comprensibile: alla metà degli anni Settanta il sistema politico italiano si trovava davanti a un problema che nessuna delle sue regole scritte risolveva. Il partito di maggioranza relativa non aveva più i numeri per governare con i soli alleati tradizionali; il secondo partito del paese era escluso dal governo per una ragione internazionale prima che nazionale; e l'esclusione permanente di un terzo abbondante dell'elettorato dalla responsabilità di governo costituiva, per un ordinamento democratico, una anomalia che durava da trent'anni.</w:t>
      </w:r>
    </w:p>
    <w:p>
      <w:pPr>
        <w:spacing w:after="120" w:line="276"/>
        <w:jc w:val="both"/>
      </w:pPr>
      <w:r>
        <w:rPr>
          <w:rFonts w:ascii="Barlow Semi Condensed" w:cs="Barlow Semi Condensed" w:eastAsia="Barlow Semi Condensed" w:hAnsi="Barlow Semi Condensed"/>
          <w:b/>
          <w:bCs/>
          <w:sz w:val="24"/>
          <w:szCs w:val="24"/>
        </w:rPr>
        <w:t xml:space="preserve">Su questo problema non vi era, e non vi è tuttora, accordo. Vi era chi lo considerava un dato di fatto da amministrare indefinitamente; chi lo considerava una anomalia da superare; e chi lo considerava una condizione necessaria della collocazione internazionale del paese, e dunque non modificabile senza modificare quella collocazione.</w:t>
      </w:r>
    </w:p>
    <w:p>
      <w:pPr>
        <w:pStyle w:val="Heading2"/>
        <w:spacing w:after="100" w:before="200"/>
      </w:pPr>
      <w:r>
        <w:rPr>
          <w:rFonts w:ascii="Barlow Semi Condensed" w:cs="Barlow Semi Condensed" w:eastAsia="Barlow Semi Condensed" w:hAnsi="Barlow Semi Condensed"/>
          <w:sz w:val="24"/>
          <w:szCs w:val="24"/>
        </w:rPr>
        <w:t xml:space="preserve">Che cosa questo significa per l'oggetto dell'opera</w:t>
      </w:r>
    </w:p>
    <w:p>
      <w:pPr>
        <w:spacing w:after="120" w:line="276"/>
        <w:jc w:val="both"/>
      </w:pPr>
      <w:r>
        <w:rPr>
          <w:rFonts w:ascii="Barlow Semi Condensed" w:cs="Barlow Semi Condensed" w:eastAsia="Barlow Semi Condensed" w:hAnsi="Barlow Semi Condensed"/>
          <w:b/>
          <w:bCs/>
          <w:sz w:val="24"/>
          <w:szCs w:val="24"/>
        </w:rPr>
        <w:t xml:space="preserve">Il lettore deve trarre da questo Capitolo un solo dato, e conviene enunciarlo senza ornamenti.</w:t>
      </w:r>
    </w:p>
    <w:p>
      <w:pPr>
        <w:spacing w:after="120" w:line="276"/>
        <w:jc w:val="both"/>
      </w:pPr>
      <w:r>
        <w:rPr>
          <w:rFonts w:ascii="Barlow Semi Condensed" w:cs="Barlow Semi Condensed" w:eastAsia="Barlow Semi Condensed" w:hAnsi="Barlow Semi Condensed"/>
          <w:b/>
          <w:bCs/>
          <w:sz w:val="24"/>
          <w:szCs w:val="24"/>
        </w:rPr>
        <w:t xml:space="preserve">L'uomo che sarà rapito il 16 marzo 1978 non era un simbolo, né una figura morale isolata dalla politica concreta. Era il politico italiano che da più lungo tempo e con maggiore continuità aveva operato sul punto di maggiore tensione del sistema: il rapporto fra la maggioranza di governo e la sinistra esclusa dal governo. Su quel punto si era misurato negli anni Sessanta con i socialisti, e vi si stava misurando negli anni Settanta con i comunisti.</w:t>
      </w:r>
    </w:p>
    <w:p>
      <w:pPr>
        <w:spacing w:after="120" w:line="276"/>
        <w:jc w:val="both"/>
      </w:pPr>
      <w:r>
        <w:rPr>
          <w:rFonts w:ascii="Barlow Semi Condensed" w:cs="Barlow Semi Condensed" w:eastAsia="Barlow Semi Condensed" w:hAnsi="Barlow Semi Condensed"/>
          <w:b/>
          <w:bCs/>
          <w:sz w:val="24"/>
          <w:szCs w:val="24"/>
        </w:rPr>
        <w:t xml:space="preserve">Chi voglia comprendere perché egli, e non altri, sia stato colpito, dovrà partire di qui. Ma partire di qui non è concludere di qui: che egli operasse su quel punto è un fatto documentato; che sia stato colpito per questo è una proposizione ulteriore, che le Fasi successive esamineranno e che allo stato degli atti resta in stato di dubbio.</w:t>
      </w:r>
    </w:p>
    <w:p>
      <w:pPr>
        <w:pStyle w:val="Heading2"/>
        <w:spacing w:after="100" w:before="200"/>
      </w:pPr>
      <w:r>
        <w:rPr>
          <w:rFonts w:ascii="Barlow Semi Condensed" w:cs="Barlow Semi Condensed" w:eastAsia="Barlow Semi Condensed" w:hAnsi="Barlow Semi Condensed"/>
          <w:sz w:val="24"/>
          <w:szCs w:val="24"/>
        </w:rPr>
        <w:t xml:space="preserve">Capitolo decimo — L'ultimo Moro, dal 1976 al 1978</w:t>
      </w:r>
    </w:p>
    <w:p>
      <w:pPr>
        <w:spacing w:after="120" w:line="276"/>
        <w:jc w:val="both"/>
      </w:pPr>
      <w:r>
        <w:rPr>
          <w:rFonts w:ascii="Barlow Semi Condensed" w:cs="Barlow Semi Condensed" w:eastAsia="Barlow Semi Condensed" w:hAnsi="Barlow Semi Condensed"/>
          <w:b/>
          <w:bCs/>
          <w:sz w:val="24"/>
          <w:szCs w:val="24"/>
        </w:rPr>
        <w:t xml:space="preserve">Restano i due anni che precedono il fatto. Sono i più densi e i più discussi, e occorre esporli con particolare cautela, perché è su di essi che si esercitano con maggiore intensità le interpretazioni retrospettive.</w:t>
      </w:r>
    </w:p>
    <w:p>
      <w:pPr>
        <w:pStyle w:val="Heading2"/>
        <w:spacing w:after="100" w:before="200"/>
      </w:pPr>
      <w:r>
        <w:rPr>
          <w:rFonts w:ascii="Barlow Semi Condensed" w:cs="Barlow Semi Condensed" w:eastAsia="Barlow Semi Condensed" w:hAnsi="Barlow Semi Condensed"/>
          <w:sz w:val="24"/>
          <w:szCs w:val="24"/>
        </w:rPr>
        <w:t xml:space="preserve">La solidarietà nazionale</w:t>
      </w:r>
    </w:p>
    <w:p>
      <w:pPr>
        <w:spacing w:after="120" w:line="276"/>
        <w:jc w:val="both"/>
      </w:pPr>
      <w:r>
        <w:rPr>
          <w:rFonts w:ascii="Barlow Semi Condensed" w:cs="Barlow Semi Condensed" w:eastAsia="Barlow Semi Condensed" w:hAnsi="Barlow Semi Condensed"/>
          <w:b/>
          <w:bCs/>
          <w:sz w:val="24"/>
          <w:szCs w:val="24"/>
        </w:rPr>
        <w:t xml:space="preserve">Dopo le elezioni politiche del 1976, che confermarono la crescita del Partito Comunista, si aprì la fase che prese il nome di solidarietà nazionale: una successione di governi che, pur non comprendendo ministri comunisti, poggiavano su maggioranze parlamentari nelle quali il Partito Comunista era compreso, dapprima con l'astensione e poi con il voto favorevole.</w:t>
      </w:r>
    </w:p>
    <w:p>
      <w:pPr>
        <w:spacing w:after="120" w:line="276"/>
        <w:jc w:val="both"/>
      </w:pPr>
      <w:r>
        <w:rPr>
          <w:rFonts w:ascii="Barlow Semi Condensed" w:cs="Barlow Semi Condensed" w:eastAsia="Barlow Semi Condensed" w:hAnsi="Barlow Semi Condensed"/>
          <w:b/>
          <w:bCs/>
          <w:sz w:val="24"/>
          <w:szCs w:val="24"/>
        </w:rPr>
        <w:t xml:space="preserve">Moro, divenuto presidente della Democrazia Cristiana, fu l'artefice principale di questa costruzione dalla parte democristiana, come il segretario del Partito Comunista lo fu dalla propria. La costruzione era, dal punto di vista delle regole parlamentari, ordinaria; dal punto di vista degli equilibri consolidati dal 1947, era invece un mutamento di grande portata, e fu percepita come tale sia in Italia sia fuori.</w:t>
      </w:r>
    </w:p>
    <w:p>
      <w:pPr>
        <w:spacing w:after="120" w:line="276"/>
        <w:jc w:val="both"/>
      </w:pPr>
      <w:r>
        <w:rPr>
          <w:rFonts w:ascii="Barlow Semi Condensed" w:cs="Barlow Semi Condensed" w:eastAsia="Barlow Semi Condensed" w:hAnsi="Barlow Semi Condensed"/>
          <w:b/>
          <w:bCs/>
          <w:sz w:val="24"/>
          <w:szCs w:val="24"/>
        </w:rPr>
        <w:t xml:space="preserve">Occorre essere precisi su ciò che essa era e su ciò che non era. Non era l'ingresso del Partito Comunista al governo, che non avvenne. Non era una alleanza organica, e i due partiti restavano avversari. Era l'inclusione del secondo partito del paese nella responsabilità parlamentare della maggioranza: un passaggio intermedio, deliberatamente intermedio, e concepito da Moro come tale.</w:t>
      </w:r>
    </w:p>
    <w:p>
      <w:pPr>
        <w:pStyle w:val="Heading2"/>
        <w:spacing w:after="100" w:before="200"/>
      </w:pPr>
      <w:r>
        <w:rPr>
          <w:rFonts w:ascii="Barlow Semi Condensed" w:cs="Barlow Semi Condensed" w:eastAsia="Barlow Semi Condensed" w:hAnsi="Barlow Semi Condensed"/>
          <w:sz w:val="24"/>
          <w:szCs w:val="24"/>
        </w:rPr>
        <w:t xml:space="preserve">La linea di Moro e le sue ragioni</w:t>
      </w:r>
    </w:p>
    <w:p>
      <w:pPr>
        <w:spacing w:after="120" w:line="276"/>
        <w:jc w:val="both"/>
      </w:pPr>
      <w:r>
        <w:rPr>
          <w:rFonts w:ascii="Barlow Semi Condensed" w:cs="Barlow Semi Condensed" w:eastAsia="Barlow Semi Condensed" w:hAnsi="Barlow Semi Condensed"/>
          <w:b/>
          <w:bCs/>
          <w:sz w:val="24"/>
          <w:szCs w:val="24"/>
        </w:rPr>
        <w:t xml:space="preserve">La posizione che Moro sostenne in quegli anni può essere riassunta senza tradirla in questi termini: un sistema democratico nel quale un terzo dell'elettorato sia stabilmente escluso dalla possibilità di governare è un sistema fragile, perché quella esclusione, protraendosi, delegittima le istituzioni presso una parte consistente dei cittadini; l'inclusione va dunque perseguita, ma gradualmente, per tappe verificabili, e senza mutamenti bruschi della collocazione internazionale del paese.</w:t>
      </w:r>
    </w:p>
    <w:p>
      <w:pPr>
        <w:spacing w:after="120" w:line="276"/>
        <w:jc w:val="both"/>
      </w:pPr>
      <w:r>
        <w:rPr>
          <w:rFonts w:ascii="Barlow Semi Condensed" w:cs="Barlow Semi Condensed" w:eastAsia="Barlow Semi Condensed" w:hAnsi="Barlow Semi Condensed"/>
          <w:b/>
          <w:bCs/>
          <w:sz w:val="24"/>
          <w:szCs w:val="24"/>
        </w:rPr>
        <w:t xml:space="preserve">Questa posizione fu contrastata da più parti, e le opposizioni erano di natura diversa fra loro.</w:t>
      </w:r>
    </w:p>
    <w:p>
      <w:pPr>
        <w:spacing w:after="120" w:line="276"/>
        <w:jc w:val="both"/>
      </w:pPr>
      <w:r>
        <w:rPr>
          <w:rFonts w:ascii="Barlow Semi Condensed" w:cs="Barlow Semi Condensed" w:eastAsia="Barlow Semi Condensed" w:hAnsi="Barlow Semi Condensed"/>
          <w:b/>
          <w:bCs/>
          <w:sz w:val="24"/>
          <w:szCs w:val="24"/>
        </w:rPr>
        <w:t xml:space="preserve">Vi era una opposizione interna alla Democrazia Cristiana, che temeva la perdita di identità del partito e la sua subalternità. Vi era una opposizione della sinistra estrema e dei gruppi armati, per i quali la solidarietà nazionale era la prova che il Partito Comunista si era integrato nel sistema e aveva tradito. Vi era, infine, una opposizione internazionale: la collocazione atlantica dell'Italia rendeva la vicenda oggetto di attenzione da parte degli alleati, e tale attenzione è documentata.</w:t>
      </w:r>
    </w:p>
    <w:p>
      <w:pPr>
        <w:spacing w:after="120" w:line="276"/>
        <w:jc w:val="both"/>
      </w:pPr>
      <w:r>
        <w:rPr>
          <w:rFonts w:ascii="Barlow Semi Condensed" w:cs="Barlow Semi Condensed" w:eastAsia="Barlow Semi Condensed" w:hAnsi="Barlow Semi Condensed"/>
          <w:b/>
          <w:bCs/>
          <w:sz w:val="24"/>
          <w:szCs w:val="24"/>
        </w:rPr>
        <w:t xml:space="preserve">Su questo terzo punto occorre la massima precisione, perché è quello sul quale la letteratura ha costruito di più. Che vi fosse preoccupazione internazionale per l'evoluzione italiana è documentato. Che tale preoccupazione si sia tradotta in atti diretti contro la persona di Aldo Moro è proposizione diversa, che domanda prova diversa, e che allo stato degli atti quest'opera non certifica. Il passaggio dall'una all'altra proposizione è precisamente il salto che l'apparato esposto nei Capitoli precedenti vieta di compiere in silenzio.</w:t>
      </w:r>
    </w:p>
    <w:p>
      <w:pPr>
        <w:pStyle w:val="Heading2"/>
        <w:spacing w:after="100" w:before="200"/>
      </w:pPr>
      <w:r>
        <w:rPr>
          <w:rFonts w:ascii="Barlow Semi Condensed" w:cs="Barlow Semi Condensed" w:eastAsia="Barlow Semi Condensed" w:hAnsi="Barlow Semi Condensed"/>
          <w:sz w:val="24"/>
          <w:szCs w:val="24"/>
        </w:rPr>
        <w:t xml:space="preserve">La mattina del 16 marzo 1978</w:t>
      </w:r>
    </w:p>
    <w:p>
      <w:pPr>
        <w:spacing w:after="120" w:line="276"/>
        <w:jc w:val="both"/>
      </w:pPr>
      <w:r>
        <w:rPr>
          <w:rFonts w:ascii="Barlow Semi Condensed" w:cs="Barlow Semi Condensed" w:eastAsia="Barlow Semi Condensed" w:hAnsi="Barlow Semi Condensed"/>
          <w:b/>
          <w:bCs/>
          <w:sz w:val="24"/>
          <w:szCs w:val="24"/>
        </w:rPr>
        <w:t xml:space="preserve">Il 16 marzo 1978 era il giorno nel quale il governo presieduto da Giulio Andreotti si sarebbe presentato alla Camera dei deputati per la fiducia: il primo governo della Repubblica a poggiare su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Moro si stava recando alla Camera. In via Mario Fani, a Roma, la sua automobile e quella della scorta furono bloccate e investite da un'azione di fuoco. I cinque uomini della scorta furono uccisi: Oreste Leonardi, Domenico Ricci, Raffaele Iozzino, Giulio Rivera, Francesco Zizzi. Moro fu prelevato e condotto in luogo ignoto.</w:t>
      </w:r>
    </w:p>
    <w:p>
      <w:pPr>
        <w:spacing w:after="120" w:line="276"/>
        <w:jc w:val="both"/>
      </w:pPr>
      <w:r>
        <w:rPr>
          <w:rFonts w:ascii="Barlow Semi Condensed" w:cs="Barlow Semi Condensed" w:eastAsia="Barlow Semi Condensed" w:hAnsi="Barlow Semi Condensed"/>
          <w:b/>
          <w:bCs/>
          <w:sz w:val="24"/>
          <w:szCs w:val="24"/>
        </w:rPr>
        <w:t xml:space="preserve">Vi rimase cinquantacinque giorni. Il 9 maggio 1978 il suo corpo fu rinvenuto in una automobile in via Michelangelo Caetani, a Roma.</w:t>
      </w:r>
    </w:p>
    <w:p>
      <w:pPr>
        <w:pStyle w:val="Heading2"/>
        <w:spacing w:after="100" w:before="200"/>
      </w:pPr>
      <w:r>
        <w:rPr>
          <w:rFonts w:ascii="Barlow Semi Condensed" w:cs="Barlow Semi Condensed" w:eastAsia="Barlow Semi Condensed" w:hAnsi="Barlow Semi Condensed"/>
          <w:sz w:val="24"/>
          <w:szCs w:val="24"/>
        </w:rPr>
        <w:t xml:space="preserve">Le tre cose che occorre tenere ferme</w:t>
      </w:r>
    </w:p>
    <w:p>
      <w:pPr>
        <w:spacing w:after="120" w:line="276"/>
        <w:jc w:val="both"/>
      </w:pPr>
      <w:r>
        <w:rPr>
          <w:rFonts w:ascii="Barlow Semi Condensed" w:cs="Barlow Semi Condensed" w:eastAsia="Barlow Semi Condensed" w:hAnsi="Barlow Semi Condensed"/>
          <w:b/>
          <w:bCs/>
          <w:sz w:val="24"/>
          <w:szCs w:val="24"/>
        </w:rPr>
        <w:t xml:space="preserve">Questo Capitolo chiude la Fase Prima, e conviene fissare tre punti che governeranno la lettura delle Fasi successive.</w:t>
      </w:r>
    </w:p>
    <w:p>
      <w:pPr>
        <w:spacing w:after="120" w:line="276"/>
        <w:jc w:val="both"/>
      </w:pPr>
      <w:r>
        <w:rPr>
          <w:rFonts w:ascii="Barlow Semi Condensed" w:cs="Barlow Semi Condensed" w:eastAsia="Barlow Semi Condensed" w:hAnsi="Barlow Semi Condensed"/>
          <w:b/>
          <w:bCs/>
          <w:sz w:val="24"/>
          <w:szCs w:val="24"/>
        </w:rPr>
        <w:t xml:space="preserve">Il primo: la coincidenza fra il giorno del rapimento e il giorno del voto di fiducia è un fatto accertato e non contestato. Che tale coincidenza sia stata cercata da chi organizzò l'azione è proposizione altamente verosimile e comunemente accolta, e sarà esaminata nella sua sede; ma la verosimiglianza non è lo scioglimento, e la distinzione va mantenuta anche quando appare pedante.</w:t>
      </w:r>
    </w:p>
    <w:p>
      <w:pPr>
        <w:spacing w:after="120" w:line="276"/>
        <w:jc w:val="both"/>
      </w:pPr>
      <w:r>
        <w:rPr>
          <w:rFonts w:ascii="Barlow Semi Condensed" w:cs="Barlow Semi Condensed" w:eastAsia="Barlow Semi Condensed" w:hAnsi="Barlow Semi Condensed"/>
          <w:b/>
          <w:bCs/>
          <w:sz w:val="24"/>
          <w:szCs w:val="24"/>
        </w:rPr>
        <w:t xml:space="preserve">Il secondo: le cinque persone uccise in via Fani non sono un dettaglio della vicenda e non saranno trattate come tali. Esse hanno nome, e il nome è stato qui scritto per intero, perché l'opera designa per funzione soltanto ove la funzione basti a identificare l'atto, e nel caso delle vittime nessuna funzione basta.</w:t>
      </w:r>
    </w:p>
    <w:p>
      <w:pPr>
        <w:spacing w:after="120" w:line="276"/>
        <w:jc w:val="both"/>
      </w:pPr>
      <w:r>
        <w:rPr>
          <w:rFonts w:ascii="Barlow Semi Condensed" w:cs="Barlow Semi Condensed" w:eastAsia="Barlow Semi Condensed" w:hAnsi="Barlow Semi Condensed"/>
          <w:b/>
          <w:bCs/>
          <w:sz w:val="24"/>
          <w:szCs w:val="24"/>
        </w:rPr>
        <w:t xml:space="preserve">Il terzo, e più importante per ciò che segue: nulla di quanto è stato esposto in questa Fase costituisce prova di alcunché circa il fatto. La Fase Prima ha esposto il metodo e ha descritto la persona. Essa non ha stabilito perché quell'uomo sia stato ucciso, né da chi al di là di chi materialmente agì, né a quale fine. Queste sono le domande delle Fasi successive, e vi si arriverà per la via che l'apparato prescrive: dal documento all'asserzione, e dall'asserzione al legame, senza saltare tappe e senza colmare vuoti.</w:t>
      </w:r>
    </w:p>
    <w:p>
      <w:pPr>
        <w:spacing w:after="120" w:line="276"/>
        <w:jc w:val="both"/>
      </w:pPr>
      <w:r>
        <w:rPr>
          <w:rFonts w:ascii="Barlow Semi Condensed" w:cs="Barlow Semi Condensed" w:eastAsia="Barlow Semi Condensed" w:hAnsi="Barlow Semi Condensed"/>
          <w:b/>
          <w:bCs/>
          <w:sz w:val="24"/>
          <w:szCs w:val="24"/>
        </w:rPr>
        <w:t xml:space="preserve">Chi abbia letto fin qui sappia dunque che non ha ancora letto nulla di conclusivo. Ha letto le regole con le quali si cercherà, e ha conosciuto l'uomo che si cerca. È poco, ed è tutto ciò che a questo punto si può onestamente offrire.</w:t>
      </w:r>
    </w:p>
    <w:p>
      <w:pPr>
        <w:pStyle w:val="Heading2"/>
        <w:spacing w:after="100" w:before="200"/>
      </w:pPr>
      <w:r>
        <w:rPr>
          <w:rFonts w:ascii="Barlow Semi Condensed" w:cs="Barlow Semi Condensed" w:eastAsia="Barlow Semi Condensed" w:hAnsi="Barlow Semi Condensed"/>
          <w:sz w:val="24"/>
          <w:szCs w:val="24"/>
        </w:rPr>
        <w:t xml:space="preserve">FASE SECONDA — LE RAGIONI</w:t>
      </w:r>
    </w:p>
    <w:p>
      <w:pPr>
        <w:spacing w:after="120" w:line="276"/>
        <w:jc w:val="both"/>
      </w:pPr>
      <w:r>
        <w:rPr>
          <w:rFonts w:ascii="Barlow Semi Condensed" w:cs="Barlow Semi Condensed" w:eastAsia="Barlow Semi Condensed" w:hAnsi="Barlow Semi Condensed"/>
          <w:b/>
          <w:bCs/>
          <w:sz w:val="24"/>
          <w:szCs w:val="24"/>
        </w:rPr>
        <w:t xml:space="preserve">Dove si espone il contesto documentato, si censiscono le ragioni dichiarate e quelle attribuite, e si costruisce la matrice delle ipotesi concorrenti.</w:t>
      </w:r>
    </w:p>
    <w:p>
      <w:pPr>
        <w:pStyle w:val="Heading2"/>
        <w:spacing w:after="100" w:before="200"/>
      </w:pPr>
      <w:r>
        <w:rPr>
          <w:rFonts w:ascii="Barlow Semi Condensed" w:cs="Barlow Semi Condensed" w:eastAsia="Barlow Semi Condensed" w:hAnsi="Barlow Semi Condensed"/>
          <w:sz w:val="24"/>
          <w:szCs w:val="24"/>
        </w:rPr>
        <w:t xml:space="preserve">Capitolo undicesimo — L'oggetto della Fase e il divieto che la governa</w:t>
      </w:r>
    </w:p>
    <w:p>
      <w:pPr>
        <w:spacing w:after="120" w:line="276"/>
        <w:jc w:val="both"/>
      </w:pPr>
      <w:r>
        <w:rPr>
          <w:rFonts w:ascii="Barlow Semi Condensed" w:cs="Barlow Semi Condensed" w:eastAsia="Barlow Semi Condensed" w:hAnsi="Barlow Semi Condensed"/>
          <w:b/>
          <w:bCs/>
          <w:sz w:val="24"/>
          <w:szCs w:val="24"/>
        </w:rPr>
        <w:t xml:space="preserve">Questa Fase tratta le ragioni: perché quell'uomo, perché in quel momento. Ed è la più pericolosa delle sette, per un motivo che occorre esporre prima di ogni altra cosa, perché da esso dipende il modo in cui tutto ciò che segue va letto.</w:t>
      </w:r>
    </w:p>
    <w:p>
      <w:pPr>
        <w:pStyle w:val="Heading2"/>
        <w:spacing w:after="100" w:before="200"/>
      </w:pPr>
      <w:r>
        <w:rPr>
          <w:rFonts w:ascii="Barlow Semi Condensed" w:cs="Barlow Semi Condensed" w:eastAsia="Barlow Semi Condensed" w:hAnsi="Barlow Semi Condensed"/>
          <w:sz w:val="24"/>
          <w:szCs w:val="24"/>
        </w:rPr>
        <w:t xml:space="preserve">Perché il movente è il luogo del pericolo</w:t>
      </w:r>
    </w:p>
    <w:p>
      <w:pPr>
        <w:spacing w:after="120" w:line="276"/>
        <w:jc w:val="both"/>
      </w:pPr>
      <w:r>
        <w:rPr>
          <w:rFonts w:ascii="Barlow Semi Condensed" w:cs="Barlow Semi Condensed" w:eastAsia="Barlow Semi Condensed" w:hAnsi="Barlow Semi Condensed"/>
          <w:b/>
          <w:bCs/>
          <w:sz w:val="24"/>
          <w:szCs w:val="24"/>
        </w:rPr>
        <w:t xml:space="preserve">Nelle Fasi che trattano il fatto, la prova è materiale: un'automobile, una traiettoria, un bossolo, una perizia, un verbale. Vi si può sbagliare, e vi si è sbagliato; ma l'errore è controllabile, perché l'oggetto è controllabile.</w:t>
      </w:r>
    </w:p>
    <w:p>
      <w:pPr>
        <w:spacing w:after="120" w:line="276"/>
        <w:jc w:val="both"/>
      </w:pPr>
      <w:r>
        <w:rPr>
          <w:rFonts w:ascii="Barlow Semi Condensed" w:cs="Barlow Semi Condensed" w:eastAsia="Barlow Semi Condensed" w:hAnsi="Barlow Semi Condensed"/>
          <w:b/>
          <w:bCs/>
          <w:sz w:val="24"/>
          <w:szCs w:val="24"/>
        </w:rPr>
        <w:t xml:space="preserve">Nella Fase che tratta le ragioni l'oggetto non è materiale. Il movente non lascia bossoli. Esso si inferisce, e si inferisce da ciò che accadde prima e da ciò che accadde dopo; ed è precisamente per questo che il movente è il luogo dove la congettura entra nell'opera travestita da spiegazione.</w:t>
      </w:r>
    </w:p>
    <w:p>
      <w:pPr>
        <w:spacing w:after="120" w:line="276"/>
        <w:jc w:val="both"/>
      </w:pPr>
      <w:r>
        <w:rPr>
          <w:rFonts w:ascii="Barlow Semi Condensed" w:cs="Barlow Semi Condensed" w:eastAsia="Barlow Semi Condensed" w:hAnsi="Barlow Semi Condensed"/>
          <w:b/>
          <w:bCs/>
          <w:sz w:val="24"/>
          <w:szCs w:val="24"/>
        </w:rPr>
        <w:t xml:space="preserve">Il meccanismo è semplice e va nominato. Un fatto accade. Chi lo studia si domanda a chi giovasse. Individua una parte alla quale, in astratto, esso giovava. E il passaggio successivo — dal giovamento all'intenzione, e dall'intenzione all'atto — si compie con una facilità che nessun documento autorizza. Quel passaggio non è una deduzione: è un salto. Ma non appare come un salto, perché è coperto da una domanda che sembra di buon senso, e che di buon senso non è: a chi giova?</w:t>
      </w:r>
    </w:p>
    <w:p>
      <w:pPr>
        <w:spacing w:after="120" w:line="276"/>
        <w:jc w:val="both"/>
      </w:pPr>
      <w:r>
        <w:rPr>
          <w:rFonts w:ascii="Barlow Semi Condensed" w:cs="Barlow Semi Condensed" w:eastAsia="Barlow Semi Condensed" w:hAnsi="Barlow Semi Condensed"/>
          <w:b/>
          <w:bCs/>
          <w:sz w:val="24"/>
          <w:szCs w:val="24"/>
        </w:rPr>
        <w:t xml:space="preserve">Occorre dire perché quella domanda non è di buon senso in questa materia. Essa presuppone che gli eventi storici abbiano un beneficiario intenzionale, e che il beneficiario sia individuabile a partire dal beneficio. Nessuna delle due cose è vera in generale. Molti eventi giovano a più parti simultaneamente e per ragioni opposte; molti giovano a chi non li ha voluti; e alcuni non giovano a nessuno, essendo il prodotto di calcoli sbagliati. Un sistema complesso non ha un autore.</w:t>
      </w:r>
    </w:p>
    <w:p>
      <w:pPr>
        <w:pStyle w:val="Heading2"/>
        <w:spacing w:after="100" w:before="200"/>
      </w:pPr>
      <w:r>
        <w:rPr>
          <w:rFonts w:ascii="Barlow Semi Condensed" w:cs="Barlow Semi Condensed" w:eastAsia="Barlow Semi Condensed" w:hAnsi="Barlow Semi Condensed"/>
          <w:sz w:val="24"/>
          <w:szCs w:val="24"/>
        </w:rPr>
        <w:t xml:space="preserve">Il divieto</w:t>
      </w:r>
    </w:p>
    <w:p>
      <w:pPr>
        <w:spacing w:after="120" w:line="276"/>
        <w:jc w:val="both"/>
      </w:pPr>
      <w:r>
        <w:rPr>
          <w:rFonts w:ascii="Barlow Semi Condensed" w:cs="Barlow Semi Condensed" w:eastAsia="Barlow Semi Condensed" w:hAnsi="Barlow Semi Condensed"/>
          <w:b/>
          <w:bCs/>
          <w:sz w:val="24"/>
          <w:szCs w:val="24"/>
        </w:rPr>
        <w:t xml:space="preserve">Di qui il divieto che governa l'intera Fase, e che si enuncia così: nessuna ragione, per quanto plausibile, entra in stato di sciolto se non è attestata da un atto.</w:t>
      </w:r>
    </w:p>
    <w:p>
      <w:pPr>
        <w:spacing w:after="120" w:line="276"/>
        <w:jc w:val="both"/>
      </w:pPr>
      <w:r>
        <w:rPr>
          <w:rFonts w:ascii="Barlow Semi Condensed" w:cs="Barlow Semi Condensed" w:eastAsia="Barlow Semi Condensed" w:hAnsi="Barlow Semi Condensed"/>
          <w:b/>
          <w:bCs/>
          <w:sz w:val="24"/>
          <w:szCs w:val="24"/>
        </w:rPr>
        <w:t xml:space="preserve">Il divieto ha tre applicazioni concrete che conviene esplicitare, perché sono i tre punti nei quali in questa materia si è più spesso sbagliato.</w:t>
      </w:r>
    </w:p>
    <w:p>
      <w:pPr>
        <w:spacing w:after="120" w:line="276"/>
        <w:jc w:val="both"/>
      </w:pPr>
      <w:r>
        <w:rPr>
          <w:rFonts w:ascii="Barlow Semi Condensed" w:cs="Barlow Semi Condensed" w:eastAsia="Barlow Semi Condensed" w:hAnsi="Barlow Semi Condensed"/>
          <w:b/>
          <w:bCs/>
          <w:sz w:val="24"/>
          <w:szCs w:val="24"/>
        </w:rPr>
        <w:t xml:space="preserve">Prima applicazione: la convenienza non è prova di volontà. Che un esito sia giovato a una parte è, quando accertato, un fatto; che quella parte lo abbia voluto è proposizione ulteriore.</w:t>
      </w:r>
    </w:p>
    <w:p>
      <w:pPr>
        <w:spacing w:after="120" w:line="276"/>
        <w:jc w:val="both"/>
      </w:pPr>
      <w:r>
        <w:rPr>
          <w:rFonts w:ascii="Barlow Semi Condensed" w:cs="Barlow Semi Condensed" w:eastAsia="Barlow Semi Condensed" w:hAnsi="Barlow Semi Condensed"/>
          <w:b/>
          <w:bCs/>
          <w:sz w:val="24"/>
          <w:szCs w:val="24"/>
        </w:rPr>
        <w:t xml:space="preserve">Seconda applicazione: la coincidenza temporale non è prova di relazione. Che due eventi siano prossimi nel tempo è, quando accertato, un fatto; che l'uno abbia determinato l'altro è proposizione ulteriore. La sincronia chiama lo sguardo e non stabilisce mai un legame.</w:t>
      </w:r>
    </w:p>
    <w:p>
      <w:pPr>
        <w:spacing w:after="120" w:line="276"/>
        <w:jc w:val="both"/>
      </w:pPr>
      <w:r>
        <w:rPr>
          <w:rFonts w:ascii="Barlow Semi Condensed" w:cs="Barlow Semi Condensed" w:eastAsia="Barlow Semi Condensed" w:hAnsi="Barlow Semi Condensed"/>
          <w:b/>
          <w:bCs/>
          <w:sz w:val="24"/>
          <w:szCs w:val="24"/>
        </w:rPr>
        <w:t xml:space="preserve">Terza applicazione: l'ostilità dichiarata non è prova dell'atto. Che una parte avversasse la politica di quell'uomo è, quando documentato, un fatto — e in questa Fase se ne documenteranno parecchie; che l'abbia fatto uccidere è proposizione che domanda prova propria e indipendente. Gli avversari di Aldo Moro erano molti, in Italia e fuori, e la maggior parte di essi non lo uccise.</w:t>
      </w:r>
    </w:p>
    <w:p>
      <w:pPr>
        <w:pStyle w:val="Heading2"/>
        <w:spacing w:after="100" w:before="200"/>
      </w:pPr>
      <w:r>
        <w:rPr>
          <w:rFonts w:ascii="Barlow Semi Condensed" w:cs="Barlow Semi Condensed" w:eastAsia="Barlow Semi Condensed" w:hAnsi="Barlow Semi Condensed"/>
          <w:sz w:val="24"/>
          <w:szCs w:val="24"/>
        </w:rPr>
        <w:t xml:space="preserve">Che cosa dunque questa Fase può fare</w:t>
      </w:r>
    </w:p>
    <w:p>
      <w:pPr>
        <w:spacing w:after="120" w:line="276"/>
        <w:jc w:val="both"/>
      </w:pPr>
      <w:r>
        <w:rPr>
          <w:rFonts w:ascii="Barlow Semi Condensed" w:cs="Barlow Semi Condensed" w:eastAsia="Barlow Semi Condensed" w:hAnsi="Barlow Semi Condensed"/>
          <w:b/>
          <w:bCs/>
          <w:sz w:val="24"/>
          <w:szCs w:val="24"/>
        </w:rPr>
        <w:t xml:space="preserve">Se il divieto è così stringente, si domanderà a che serva la Fase.</w:t>
      </w:r>
    </w:p>
    <w:p>
      <w:pPr>
        <w:spacing w:after="120" w:line="276"/>
        <w:jc w:val="both"/>
      </w:pPr>
      <w:r>
        <w:rPr>
          <w:rFonts w:ascii="Barlow Semi Condensed" w:cs="Barlow Semi Condensed" w:eastAsia="Barlow Semi Condensed" w:hAnsi="Barlow Semi Condensed"/>
          <w:b/>
          <w:bCs/>
          <w:sz w:val="24"/>
          <w:szCs w:val="24"/>
        </w:rPr>
        <w:t xml:space="preserve">Serve a tre cose, e sono tutte necessarie.</w:t>
      </w:r>
    </w:p>
    <w:p>
      <w:pPr>
        <w:spacing w:after="120" w:line="276"/>
        <w:jc w:val="both"/>
      </w:pPr>
      <w:r>
        <w:rPr>
          <w:rFonts w:ascii="Barlow Semi Condensed" w:cs="Barlow Semi Condensed" w:eastAsia="Barlow Semi Condensed" w:hAnsi="Barlow Semi Condensed"/>
          <w:b/>
          <w:bCs/>
          <w:sz w:val="24"/>
          <w:szCs w:val="24"/>
        </w:rPr>
        <w:t xml:space="preserve">Serve a stabilire il contesto documentato: quali fossero, allo stato degli atti, le tensioni effettive del sistema politico italiano in quegli anni, e quali di esse tocchino direttamente la persona e la politica di quell'uomo. Questo è materia di documenti, e sarà trattato come tale.</w:t>
      </w:r>
    </w:p>
    <w:p>
      <w:pPr>
        <w:spacing w:after="120" w:line="276"/>
        <w:jc w:val="both"/>
      </w:pPr>
      <w:r>
        <w:rPr>
          <w:rFonts w:ascii="Barlow Semi Condensed" w:cs="Barlow Semi Condensed" w:eastAsia="Barlow Semi Condensed" w:hAnsi="Barlow Semi Condensed"/>
          <w:b/>
          <w:bCs/>
          <w:sz w:val="24"/>
          <w:szCs w:val="24"/>
        </w:rPr>
        <w:t xml:space="preserve">Serve a censire le ragioni dichiarate da chi compì l'azione. Chi rapì e uccise Aldo Moro ha esposto pubblicamente, in una serie di documenti diffusi durante i cinquantacinque giorni, le proprie ragioni. Quei documenti esistono, e ciò che essi dicono è accertato; che ciò che dicono sia la ragione vera è cosa diversa, e sarà tenuta distinta.</w:t>
      </w:r>
    </w:p>
    <w:p>
      <w:pPr>
        <w:spacing w:after="120" w:line="276"/>
        <w:jc w:val="both"/>
      </w:pPr>
      <w:r>
        <w:rPr>
          <w:rFonts w:ascii="Barlow Semi Condensed" w:cs="Barlow Semi Condensed" w:eastAsia="Barlow Semi Condensed" w:hAnsi="Barlow Semi Condensed"/>
          <w:b/>
          <w:bCs/>
          <w:sz w:val="24"/>
          <w:szCs w:val="24"/>
        </w:rPr>
        <w:t xml:space="preserve">Serve infine a censire le ragioni attribuite da altri: le ipotesi formulate in quasi cinquant'anni da inquirenti, commissioni parlamentari, studiosi e testimoni. Esse sono riportate con la qualificazione che i loro autori vi hanno apposta, e non con una qualificazione migliore.</w:t>
      </w:r>
    </w:p>
    <w:p>
      <w:pPr>
        <w:pStyle w:val="Heading2"/>
        <w:spacing w:after="100" w:before="200"/>
      </w:pPr>
      <w:r>
        <w:rPr>
          <w:rFonts w:ascii="Barlow Semi Condensed" w:cs="Barlow Semi Condensed" w:eastAsia="Barlow Semi Condensed" w:hAnsi="Barlow Semi Condensed"/>
          <w:sz w:val="24"/>
          <w:szCs w:val="24"/>
        </w:rPr>
        <w:t xml:space="preserve">Il metodo delle ipotesi concorrenti</w:t>
      </w:r>
    </w:p>
    <w:p>
      <w:pPr>
        <w:spacing w:after="120" w:line="276"/>
        <w:jc w:val="both"/>
      </w:pPr>
      <w:r>
        <w:rPr>
          <w:rFonts w:ascii="Barlow Semi Condensed" w:cs="Barlow Semi Condensed" w:eastAsia="Barlow Semi Condensed" w:hAnsi="Barlow Semi Condensed"/>
          <w:b/>
          <w:bCs/>
          <w:sz w:val="24"/>
          <w:szCs w:val="24"/>
        </w:rPr>
        <w:t xml:space="preserve">La Fase si chiuderà con una matrice. Per ciascuna ipotesi sul movente si elencheranno le evidenze disponibili, e per ciascuna evidenza si dirà se sia coerente, incoerente o neutra rispetto a quella ipotesi.</w:t>
      </w:r>
    </w:p>
    <w:p>
      <w:pPr>
        <w:spacing w:after="120" w:line="276"/>
        <w:jc w:val="both"/>
      </w:pPr>
      <w:r>
        <w:rPr>
          <w:rFonts w:ascii="Barlow Semi Condensed" w:cs="Barlow Semi Condensed" w:eastAsia="Barlow Semi Condensed" w:hAnsi="Barlow Semi Condensed"/>
          <w:b/>
          <w:bCs/>
          <w:sz w:val="24"/>
          <w:szCs w:val="24"/>
        </w:rPr>
        <w:t xml:space="preserve">La valutazione non guarderà quale ipotesi raccolga più sostegni. Guarderà quale sia meno contraddetta. È una differenza che pare sottile e che è decisiva: le evidenze che confermano si accumulano attorno a tutte le ipotesi, comprese le false, perché il ricercatore le riconosce come pertinenti proprio quando gli tornano; le evidenze che contraddicono discriminano, perché una sola di esse basta a escludere.</w:t>
      </w:r>
    </w:p>
    <w:p>
      <w:pPr>
        <w:spacing w:after="120" w:line="276"/>
        <w:jc w:val="both"/>
      </w:pPr>
      <w:r>
        <w:rPr>
          <w:rFonts w:ascii="Barlow Semi Condensed" w:cs="Barlow Semi Condensed" w:eastAsia="Barlow Semi Condensed" w:hAnsi="Barlow Semi Condensed"/>
          <w:b/>
          <w:bCs/>
          <w:sz w:val="24"/>
          <w:szCs w:val="24"/>
        </w:rPr>
        <w:t xml:space="preserve">Il lettore troverà, alla fine della Fase, che nessuna ipotesi risulta sciolta. Non deve trarne che la Fase sia stata inutile. Deve trarne che il movente del caso Moro, allo stato degli atti che quest'opera ha potuto interrogare, non è accertato; e che chi gli dica il contrario gli sta offrendo una convinzione, non una prova.</w:t>
      </w:r>
    </w:p>
    <w:p>
      <w:pPr>
        <w:pStyle w:val="Heading2"/>
        <w:spacing w:after="100" w:before="200"/>
      </w:pPr>
      <w:r>
        <w:rPr>
          <w:rFonts w:ascii="Barlow Semi Condensed" w:cs="Barlow Semi Condensed" w:eastAsia="Barlow Semi Condensed" w:hAnsi="Barlow Semi Condensed"/>
          <w:sz w:val="24"/>
          <w:szCs w:val="24"/>
        </w:rPr>
        <w:t xml:space="preserve">Capitolo dodicesimo — Il quadro interno: l'esclusione permanente e il suo prezzo</w:t>
      </w:r>
    </w:p>
    <w:p>
      <w:pPr>
        <w:spacing w:after="120" w:line="276"/>
        <w:jc w:val="both"/>
      </w:pPr>
      <w:r>
        <w:rPr>
          <w:rFonts w:ascii="Barlow Semi Condensed" w:cs="Barlow Semi Condensed" w:eastAsia="Barlow Semi Condensed" w:hAnsi="Barlow Semi Condensed"/>
          <w:b/>
          <w:bCs/>
          <w:sz w:val="24"/>
          <w:szCs w:val="24"/>
        </w:rPr>
        <w:t xml:space="preserve">La prima tensione documentata del sistema politico italiano, e la più duratura, è quella che riguarda l'esclusione del Partito Comunista Italiano dalla responsabilità di governo.</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Dal maggio 1947, quando i comunisti e i socialisti uscirono dal governo di unità nazionale, fino al 1978, nessun governo della Repubblica comprese ministri comunisti. Nello stesso periodo il Partito Comunista Italiano fu stabilmente il secondo partito del paese, e alle elezioni politiche del 1976 raggiunse una percentuale di voti che lo collocava a distanza ridotta dalla Democrazia Cristiana.</w:t>
      </w:r>
    </w:p>
    <w:p>
      <w:pPr>
        <w:spacing w:after="120" w:line="276"/>
        <w:jc w:val="both"/>
      </w:pPr>
      <w:r>
        <w:rPr>
          <w:rFonts w:ascii="Barlow Semi Condensed" w:cs="Barlow Semi Condensed" w:eastAsia="Barlow Semi Condensed" w:hAnsi="Barlow Semi Condensed"/>
          <w:b/>
          <w:bCs/>
          <w:sz w:val="24"/>
          <w:szCs w:val="24"/>
        </w:rPr>
        <w:t xml:space="preserve">Si ha dunque un sistema nel quale un partito che raccoglieva stabilmente circa un quarto dell'elettorato, e alla fine circa un terzo, era escluso in permanenza dalla possibilità di governare. L'esclusione non discendeva da una norma: nessun articolo della Costituzione la prevedeva, e nessuna legge la disponeva. Discendeva da un accordo politico non scritto fra le altre forze, al quale la dottrina costituzionalistica ha dato il nome di patto di esclusione.</w:t>
      </w:r>
    </w:p>
    <w:p>
      <w:pPr>
        <w:pStyle w:val="Heading2"/>
        <w:spacing w:after="100" w:before="200"/>
      </w:pPr>
      <w:r>
        <w:rPr>
          <w:rFonts w:ascii="Barlow Semi Condensed" w:cs="Barlow Semi Condensed" w:eastAsia="Barlow Semi Condensed" w:hAnsi="Barlow Semi Condensed"/>
          <w:sz w:val="24"/>
          <w:szCs w:val="24"/>
        </w:rPr>
        <w:t xml:space="preserve">Perché questo era un problema e non una semplice scelta</w:t>
      </w:r>
    </w:p>
    <w:p>
      <w:pPr>
        <w:spacing w:after="120" w:line="276"/>
        <w:jc w:val="both"/>
      </w:pPr>
      <w:r>
        <w:rPr>
          <w:rFonts w:ascii="Barlow Semi Condensed" w:cs="Barlow Semi Condensed" w:eastAsia="Barlow Semi Condensed" w:hAnsi="Barlow Semi Condensed"/>
          <w:b/>
          <w:bCs/>
          <w:sz w:val="24"/>
          <w:szCs w:val="24"/>
        </w:rPr>
        <w:t xml:space="preserve">Occorre essere esatti sulla natura del problema, perché esso è stato descritto in modi molto diversi e le descrizioni non sono equivalenti.</w:t>
      </w:r>
    </w:p>
    <w:p>
      <w:pPr>
        <w:spacing w:after="120" w:line="276"/>
        <w:jc w:val="both"/>
      </w:pPr>
      <w:r>
        <w:rPr>
          <w:rFonts w:ascii="Barlow Semi Condensed" w:cs="Barlow Semi Condensed" w:eastAsia="Barlow Semi Condensed" w:hAnsi="Barlow Semi Condensed"/>
          <w:b/>
          <w:bCs/>
          <w:sz w:val="24"/>
          <w:szCs w:val="24"/>
        </w:rPr>
        <w:t xml:space="preserve">In un ordinamento democratico l'alternanza non è un ornamento: è il meccanismo per il quale gli elettori possono cambiare il governo senza cambiare il regime. Dove l'alternanza è preclusa, il malcontento non trova sbocco istituzionale, e cerca altri sbocchi. Questo era il ragionamento sul quale poggiava la posizione dell'ultimo Moro, e occorre riconoscere che non era un ragionamento di parte: esso era condiviso, con accenti diversi, da giuristi e osservatori di varia collocazione.</w:t>
      </w:r>
    </w:p>
    <w:p>
      <w:pPr>
        <w:spacing w:after="120" w:line="276"/>
        <w:jc w:val="both"/>
      </w:pPr>
      <w:r>
        <w:rPr>
          <w:rFonts w:ascii="Barlow Semi Condensed" w:cs="Barlow Semi Condensed" w:eastAsia="Barlow Semi Condensed" w:hAnsi="Barlow Semi Condensed"/>
          <w:b/>
          <w:bCs/>
          <w:sz w:val="24"/>
          <w:szCs w:val="24"/>
        </w:rPr>
        <w:t xml:space="preserve">Vi era però un ragionamento opposto, e anch'esso serio. Esso osservava che il Partito Comunista Italiano, per quanto avesse compiuto un cammino di autonomia dalle posizioni sovietiche, apparteneva a una tradizione internazionale il cui centro era una potenza avversaria dell'alleanza alla quale l'Italia apparteneva; che l'ingresso di quel partito al governo avrebbe posto un problema di sicurezza per l'alleanza; e che dunque l'esclusione, per quanto anomala dal punto di vista interno, era la condizione della collocazione internazionale del paese.</w:t>
      </w:r>
    </w:p>
    <w:p>
      <w:pPr>
        <w:spacing w:after="120" w:line="276"/>
        <w:jc w:val="both"/>
      </w:pPr>
      <w:r>
        <w:rPr>
          <w:rFonts w:ascii="Barlow Semi Condensed" w:cs="Barlow Semi Condensed" w:eastAsia="Barlow Semi Condensed" w:hAnsi="Barlow Semi Condensed"/>
          <w:b/>
          <w:bCs/>
          <w:sz w:val="24"/>
          <w:szCs w:val="24"/>
        </w:rPr>
        <w:t xml:space="preserve">Quest'opera non decide fra i due ragionamenti, perché la scelta fra essi è politica e non documentale. Registra che entrambi erano sostenuti in buona fede, che entrambi avevano fondamento, e che il conflitto fra essi costituiva la tensione centrale del sistema italiano per trent'anni.</w:t>
      </w:r>
    </w:p>
    <w:p>
      <w:pPr>
        <w:pStyle w:val="Heading2"/>
        <w:spacing w:after="100" w:before="200"/>
      </w:pPr>
      <w:r>
        <w:rPr>
          <w:rFonts w:ascii="Barlow Semi Condensed" w:cs="Barlow Semi Condensed" w:eastAsia="Barlow Semi Condensed" w:hAnsi="Barlow Semi Condensed"/>
          <w:sz w:val="24"/>
          <w:szCs w:val="24"/>
        </w:rPr>
        <w:t xml:space="preserve">Dove Moro si collocava</w:t>
      </w:r>
    </w:p>
    <w:p>
      <w:pPr>
        <w:spacing w:after="120" w:line="276"/>
        <w:jc w:val="both"/>
      </w:pPr>
      <w:r>
        <w:rPr>
          <w:rFonts w:ascii="Barlow Semi Condensed" w:cs="Barlow Semi Condensed" w:eastAsia="Barlow Semi Condensed" w:hAnsi="Barlow Semi Condensed"/>
          <w:b/>
          <w:bCs/>
          <w:sz w:val="24"/>
          <w:szCs w:val="24"/>
        </w:rPr>
        <w:t xml:space="preserve">La posizione di Moro, quale risulta dai suoi scritti e discorsi di quegli anni, non risolveva il conflitto: cercava di scioglierlo nel tempo. Essa consisteva nel considerare l'esclusione non come una condizione permanente né come una anomalia da abolire d'un tratto, ma come una situazione da superare per tappe verificabili, ciascuna delle quali dovesse essere sostenibile sia sul piano interno sia su quello internazionale.</w:t>
      </w:r>
    </w:p>
    <w:p>
      <w:pPr>
        <w:spacing w:after="120" w:line="276"/>
        <w:jc w:val="both"/>
      </w:pPr>
      <w:r>
        <w:rPr>
          <w:rFonts w:ascii="Barlow Semi Condensed" w:cs="Barlow Semi Condensed" w:eastAsia="Barlow Semi Condensed" w:hAnsi="Barlow Semi Condensed"/>
          <w:b/>
          <w:bCs/>
          <w:sz w:val="24"/>
          <w:szCs w:val="24"/>
        </w:rPr>
        <w:t xml:space="preserve">Da qui la solidarietà nazionale come passaggio intermedio: inclusione nella responsabilità parlamentare, non ancora nel governo; verifica dell'esito; e solo dopo, eventualmente, il passaggio successivo.</w:t>
      </w:r>
    </w:p>
    <w:p>
      <w:pPr>
        <w:spacing w:after="120" w:line="276"/>
        <w:jc w:val="both"/>
      </w:pPr>
      <w:r>
        <w:rPr>
          <w:rFonts w:ascii="Barlow Semi Condensed" w:cs="Barlow Semi Condensed" w:eastAsia="Barlow Semi Condensed" w:hAnsi="Barlow Semi Condensed"/>
          <w:b/>
          <w:bCs/>
          <w:sz w:val="24"/>
          <w:szCs w:val="24"/>
        </w:rPr>
        <w:t xml:space="preserve">Questa gradualità fu il suo metodo e fu la ragione della sua impopolarità presso quasi tutti. Presso chi voleva l'esclusione permanente, perché ogni tappa era una cessione. Presso chi voleva l'inclusione immediata, perché ogni tappa era un rinvio. Presso chi non voleva né l'una né l'altra cosa ma la fine del sistema, perché la gradualità è precisamente ciò che impedisce alle crisi di maturare.</w:t>
      </w:r>
    </w:p>
    <w:p>
      <w:pPr>
        <w:pStyle w:val="Heading2"/>
        <w:spacing w:after="100" w:before="200"/>
      </w:pPr>
      <w:r>
        <w:rPr>
          <w:rFonts w:ascii="Barlow Semi Condensed" w:cs="Barlow Semi Condensed" w:eastAsia="Barlow Semi Condensed" w:hAnsi="Barlow Semi Condensed"/>
          <w:sz w:val="24"/>
          <w:szCs w:val="24"/>
        </w:rPr>
        <w:t xml:space="preserve">Un dato che occorre fissare</w:t>
      </w:r>
    </w:p>
    <w:p>
      <w:pPr>
        <w:spacing w:after="120" w:line="276"/>
        <w:jc w:val="both"/>
      </w:pPr>
      <w:r>
        <w:rPr>
          <w:rFonts w:ascii="Barlow Semi Condensed" w:cs="Barlow Semi Condensed" w:eastAsia="Barlow Semi Condensed" w:hAnsi="Barlow Semi Condensed"/>
          <w:b/>
          <w:bCs/>
          <w:sz w:val="24"/>
          <w:szCs w:val="24"/>
        </w:rPr>
        <w:t xml:space="preserve">Si fissi dunque, e con precisione, il dato che questa Fase trae dal quadro interno.</w:t>
      </w:r>
    </w:p>
    <w:p>
      <w:pPr>
        <w:spacing w:after="120" w:line="276"/>
        <w:jc w:val="both"/>
      </w:pPr>
      <w:r>
        <w:rPr>
          <w:rFonts w:ascii="Barlow Semi Condensed" w:cs="Barlow Semi Condensed" w:eastAsia="Barlow Semi Condensed" w:hAnsi="Barlow Semi Condensed"/>
          <w:b/>
          <w:bCs/>
          <w:sz w:val="24"/>
          <w:szCs w:val="24"/>
        </w:rPr>
        <w:t xml:space="preserve">Nel marzo del 1978 il sistema politico italiano stava compiendo, per la prima volta in trentun anni, un passaggio che ne modificava l'assetto fondamentale. Il passaggio era guidato, dalla parte democristiana, da Aldo Moro. Il giorno nel quale esso si sarebbe formalizzato con il voto di fiducia è il giorno nel quale Aldo Moro fu rapito.</w:t>
      </w:r>
    </w:p>
    <w:p>
      <w:pPr>
        <w:spacing w:after="120" w:line="276"/>
        <w:jc w:val="both"/>
      </w:pPr>
      <w:r>
        <w:rPr>
          <w:rFonts w:ascii="Barlow Semi Condensed" w:cs="Barlow Semi Condensed" w:eastAsia="Barlow Semi Condensed" w:hAnsi="Barlow Semi Condensed"/>
          <w:b/>
          <w:bCs/>
          <w:sz w:val="24"/>
          <w:szCs w:val="24"/>
        </w:rPr>
        <w:t xml:space="preserve">Questo è un fatto, ed è accertato. Che cosa esso significhi non lo è, e non lo sarà in questo Capitolo. Il lettore è pregato di trattenersi dalla conclusione che gli si presenta, e di ricordare l'avvertimento del Capitolo undicesimo: la coincidenza temporale chiama lo sguardo e non stabilisce alcun legame.</w:t>
      </w:r>
    </w:p>
    <w:p>
      <w:pPr>
        <w:pStyle w:val="Heading2"/>
        <w:spacing w:after="100" w:before="200"/>
      </w:pPr>
      <w:r>
        <w:rPr>
          <w:rFonts w:ascii="Barlow Semi Condensed" w:cs="Barlow Semi Condensed" w:eastAsia="Barlow Semi Condensed" w:hAnsi="Barlow Semi Condensed"/>
          <w:sz w:val="24"/>
          <w:szCs w:val="24"/>
        </w:rPr>
        <w:t xml:space="preserve">Capitolo tredicesimo — Il quadro internazionale: la collocazione e i suoi vincoli</w:t>
      </w:r>
    </w:p>
    <w:p>
      <w:pPr>
        <w:spacing w:after="120" w:line="276"/>
        <w:jc w:val="both"/>
      </w:pPr>
      <w:r>
        <w:rPr>
          <w:rFonts w:ascii="Barlow Semi Condensed" w:cs="Barlow Semi Condensed" w:eastAsia="Barlow Semi Condensed" w:hAnsi="Barlow Semi Condensed"/>
          <w:b/>
          <w:bCs/>
          <w:sz w:val="24"/>
          <w:szCs w:val="24"/>
        </w:rPr>
        <w:t xml:space="preserve">La seconda tensione documentata riguarda la collocazione internazionale del paese e i vincoli che essa comportava.</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L'Italia aderì al Patto Atlantico nel 1949, e da allora fu parte dell'alleanza occidentale, con basi militari alleate sul proprio territorio e con una collocazione che nessuna delle forze di governo pose mai in discussione.</w:t>
      </w:r>
    </w:p>
    <w:p>
      <w:pPr>
        <w:spacing w:after="120" w:line="276"/>
        <w:jc w:val="both"/>
      </w:pPr>
      <w:r>
        <w:rPr>
          <w:rFonts w:ascii="Barlow Semi Condensed" w:cs="Barlow Semi Condensed" w:eastAsia="Barlow Semi Condensed" w:hAnsi="Barlow Semi Condensed"/>
          <w:b/>
          <w:bCs/>
          <w:sz w:val="24"/>
          <w:szCs w:val="24"/>
        </w:rPr>
        <w:t xml:space="preserve">Che tale collocazione comportasse una attenzione degli alleati verso l'evoluzione politica interna non è congettura: è documentato, e lo è per fonte diretta. Documenti dei servizi informativi statunitensi, resi accessibili in epoche successive per effetto della legislazione sulla libertà di informazione, attestano che la situazione politica italiana fu oggetto di analisi continuativa; che l'ipotesi di una partecipazione comunista al governo fu valutata come sfavorevole agli interessi dell'alleanza; e che furono condotte attività di sostegno alle forze politiche non comuniste.</w:t>
      </w:r>
    </w:p>
    <w:p>
      <w:pPr>
        <w:spacing w:after="120" w:line="276"/>
        <w:jc w:val="both"/>
      </w:pPr>
      <w:r>
        <w:rPr>
          <w:rFonts w:ascii="Barlow Semi Condensed" w:cs="Barlow Semi Condensed" w:eastAsia="Barlow Semi Condensed" w:hAnsi="Barlow Semi Condensed"/>
          <w:b/>
          <w:bCs/>
          <w:sz w:val="24"/>
          <w:szCs w:val="24"/>
        </w:rPr>
        <w:t xml:space="preserve">Questo è materia di documenti e va detto senza reticenze e senza enfasi. Senza reticenze, perché tacerlo sarebbe una omissione: chi ricostruisca la politica italiana del dopoguerra ignorando la dimensione dell'influenza esterna descrive un paese che non è esistito. Senza enfasi, perché la stessa cosa vale per il versante opposto, del quale si dirà nel Capitolo seguente, e perché l'esistenza documentata di una influenza non stabilisce alcunché circa un atto determinato.</w:t>
      </w:r>
    </w:p>
    <w:p>
      <w:pPr>
        <w:pStyle w:val="Heading2"/>
        <w:spacing w:after="100" w:before="200"/>
      </w:pPr>
      <w:r>
        <w:rPr>
          <w:rFonts w:ascii="Barlow Semi Condensed" w:cs="Barlow Semi Condensed" w:eastAsia="Barlow Semi Condensed" w:hAnsi="Barlow Semi Condensed"/>
          <w:sz w:val="24"/>
          <w:szCs w:val="24"/>
        </w:rPr>
        <w:t xml:space="preserve">La distinzione capitale</w:t>
      </w:r>
    </w:p>
    <w:p>
      <w:pPr>
        <w:spacing w:after="120" w:line="276"/>
        <w:jc w:val="both"/>
      </w:pPr>
      <w:r>
        <w:rPr>
          <w:rFonts w:ascii="Barlow Semi Condensed" w:cs="Barlow Semi Condensed" w:eastAsia="Barlow Semi Condensed" w:hAnsi="Barlow Semi Condensed"/>
          <w:b/>
          <w:bCs/>
          <w:sz w:val="24"/>
          <w:szCs w:val="24"/>
        </w:rPr>
        <w:t xml:space="preserve">Qui occorre operare la distinzione che regge l'intero Capitolo e sulla quale, in questa materia, si è più costantemente scivolato.</w:t>
      </w:r>
    </w:p>
    <w:p>
      <w:pPr>
        <w:spacing w:after="120" w:line="276"/>
        <w:jc w:val="both"/>
      </w:pPr>
      <w:r>
        <w:rPr>
          <w:rFonts w:ascii="Barlow Semi Condensed" w:cs="Barlow Semi Condensed" w:eastAsia="Barlow Semi Condensed" w:hAnsi="Barlow Semi Condensed"/>
          <w:b/>
          <w:bCs/>
          <w:sz w:val="24"/>
          <w:szCs w:val="24"/>
        </w:rPr>
        <w:t xml:space="preserve">Una cosa è l'influenza politica esercitata da una potenza alleata sull'evoluzione interna di un paese alleato: finanziamento di partiti, sostegno a campagne, pressione diplomatica, condizionamento economico. Essa è documentata, fu praticata da più parti, e appartiene alla fisiologia — sgradevole ma reale — dei rapporti fra Stati in un sistema bipolare.</w:t>
      </w:r>
    </w:p>
    <w:p>
      <w:pPr>
        <w:spacing w:after="120" w:line="276"/>
        <w:jc w:val="both"/>
      </w:pPr>
      <w:r>
        <w:rPr>
          <w:rFonts w:ascii="Barlow Semi Condensed" w:cs="Barlow Semi Condensed" w:eastAsia="Barlow Semi Condensed" w:hAnsi="Barlow Semi Condensed"/>
          <w:b/>
          <w:bCs/>
          <w:sz w:val="24"/>
          <w:szCs w:val="24"/>
        </w:rPr>
        <w:t xml:space="preserve">Altra cosa è la partecipazione a un delitto contro la persona di un uomo di governo di quel paese. Essa non è dello stesso genere della prima, non ne è la naturale prosecuzione, e non se ne inferisce.</w:t>
      </w:r>
    </w:p>
    <w:p>
      <w:pPr>
        <w:spacing w:after="120" w:line="276"/>
        <w:jc w:val="both"/>
      </w:pPr>
      <w:r>
        <w:rPr>
          <w:rFonts w:ascii="Barlow Semi Condensed" w:cs="Barlow Semi Condensed" w:eastAsia="Barlow Semi Condensed" w:hAnsi="Barlow Semi Condensed"/>
          <w:b/>
          <w:bCs/>
          <w:sz w:val="24"/>
          <w:szCs w:val="24"/>
        </w:rPr>
        <w:t xml:space="preserve">Il passaggio dall'una all'altra è il salto che il Capitolo undicesimo vieta. Esso viene compiuto, nella letteratura su questa materia, con una frequenza che stupisce, e quasi sempre attraverso una formula che ha l'aspetto di un ragionamento e non lo è: poiché è documentato che essi interferivano, è verosimile che abbiano interferito anche in questo. La formula sostituisce alla prova di un atto la propensione desunta da altri atti. Nessun tribunale l'accetterebbe, e nessun registro deve accettarla.</w:t>
      </w:r>
    </w:p>
    <w:p>
      <w:pPr>
        <w:pStyle w:val="Heading2"/>
        <w:spacing w:after="100" w:before="200"/>
      </w:pPr>
      <w:r>
        <w:rPr>
          <w:rFonts w:ascii="Barlow Semi Condensed" w:cs="Barlow Semi Condensed" w:eastAsia="Barlow Semi Condensed" w:hAnsi="Barlow Semi Condensed"/>
          <w:sz w:val="24"/>
          <w:szCs w:val="24"/>
        </w:rPr>
        <w:t xml:space="preserve">La macro-ipotesi e la sua verifica</w:t>
      </w:r>
    </w:p>
    <w:p>
      <w:pPr>
        <w:spacing w:after="120" w:line="276"/>
        <w:jc w:val="both"/>
      </w:pPr>
      <w:r>
        <w:rPr>
          <w:rFonts w:ascii="Barlow Semi Condensed" w:cs="Barlow Semi Condensed" w:eastAsia="Barlow Semi Condensed" w:hAnsi="Barlow Semi Condensed"/>
          <w:b/>
          <w:bCs/>
          <w:sz w:val="24"/>
          <w:szCs w:val="24"/>
        </w:rPr>
        <w:t xml:space="preserve">Vi è, nella letteratura di questo campo, una ipotesi di grande ampiezza secondo la quale le due superpotenze, pur essendo avversarie, avrebbero avuto un interesse convergente a impedire il rafforzamento politico dell'Europa, e avrebbero agito, ciascuna per la propria via, in tale direzione.</w:t>
      </w:r>
    </w:p>
    <w:p>
      <w:pPr>
        <w:spacing w:after="120" w:line="276"/>
        <w:jc w:val="both"/>
      </w:pPr>
      <w:r>
        <w:rPr>
          <w:rFonts w:ascii="Barlow Semi Condensed" w:cs="Barlow Semi Condensed" w:eastAsia="Barlow Semi Condensed" w:hAnsi="Barlow Semi Condensed"/>
          <w:b/>
          <w:bCs/>
          <w:sz w:val="24"/>
          <w:szCs w:val="24"/>
        </w:rPr>
        <w:t xml:space="preserve">L'ipotesi è suggestiva, ed è stata a lungo coltivata anche nel corpus maggiore al quale quest'opera appartiene. Essa vi è stata sottoposta a una verifica di natura statistica, il cui esito va riferito perché è istruttivo.</w:t>
      </w:r>
    </w:p>
    <w:p>
      <w:pPr>
        <w:spacing w:after="120" w:line="276"/>
        <w:jc w:val="both"/>
      </w:pPr>
      <w:r>
        <w:rPr>
          <w:rFonts w:ascii="Barlow Semi Condensed" w:cs="Barlow Semi Condensed" w:eastAsia="Barlow Semi Condensed" w:hAnsi="Barlow Semi Condensed"/>
          <w:b/>
          <w:bCs/>
          <w:sz w:val="24"/>
          <w:szCs w:val="24"/>
        </w:rPr>
        <w:t xml:space="preserve">La verifica esaminava se gli eventi stragisti italiani si addensassero attorno alle scadenze del processo di integrazione europea, come l'ipotesi predice. L'esito fu negativo a tutti i raggi temporali esaminati, con un valore di probabilità pari a 0,60, e il controllo di robustezza sulla finestra dichiarata confermò l'esito. Un valore siffatto significa che la distribuzione osservata è pienamente compatibile con il caso: nessun addensamento è stato riscontrato.</w:t>
      </w:r>
    </w:p>
    <w:p>
      <w:pPr>
        <w:spacing w:after="120" w:line="276"/>
        <w:jc w:val="both"/>
      </w:pPr>
      <w:r>
        <w:rPr>
          <w:rFonts w:ascii="Barlow Semi Condensed" w:cs="Barlow Semi Condensed" w:eastAsia="Barlow Semi Condensed" w:hAnsi="Barlow Semi Condensed"/>
          <w:b/>
          <w:bCs/>
          <w:sz w:val="24"/>
          <w:szCs w:val="24"/>
        </w:rPr>
        <w:t xml:space="preserve">La conseguenza fu tratta, ed è quella che il metodo impone: l'ipotesi nella sua formulazione originaria fu formalmente abbandonata. Essa non è stata sostituita da una ipotesi contraria — l'esito negativo non prova che nessuna influenza vi fosse — ma è stata dismessa come chiave esplicativa generale.</w:t>
      </w:r>
    </w:p>
    <w:p>
      <w:pPr>
        <w:spacing w:after="120" w:line="276"/>
        <w:jc w:val="both"/>
      </w:pPr>
      <w:r>
        <w:rPr>
          <w:rFonts w:ascii="Barlow Semi Condensed" w:cs="Barlow Semi Condensed" w:eastAsia="Barlow Semi Condensed" w:hAnsi="Barlow Semi Condensed"/>
          <w:b/>
          <w:bCs/>
          <w:sz w:val="24"/>
          <w:szCs w:val="24"/>
        </w:rPr>
        <w:t xml:space="preserve">Questo episodio è riferito qui per una ragione che eccede il suo contenuto. Esso mostra che cosa significhi, in concreto, sottoporre a confutazione una ipotesi cara: significa accettare che il risultato la smentisca, dichiararlo, e rinunciarvi. Un'ipotesi che non sia mai stata sottoposta a una prova capace di smentirla non è un'acquisizione: è una convinzione.</w:t>
      </w:r>
    </w:p>
    <w:p>
      <w:pPr>
        <w:pStyle w:val="Heading2"/>
        <w:spacing w:after="100" w:before="200"/>
      </w:pPr>
      <w:r>
        <w:rPr>
          <w:rFonts w:ascii="Barlow Semi Condensed" w:cs="Barlow Semi Condensed" w:eastAsia="Barlow Semi Condensed" w:hAnsi="Barlow Semi Condensed"/>
          <w:sz w:val="24"/>
          <w:szCs w:val="24"/>
        </w:rPr>
        <w:t xml:space="preserve">Che cosa resta accertato</w:t>
      </w:r>
    </w:p>
    <w:p>
      <w:pPr>
        <w:spacing w:after="120" w:line="276"/>
        <w:jc w:val="both"/>
      </w:pPr>
      <w:r>
        <w:rPr>
          <w:rFonts w:ascii="Barlow Semi Condensed" w:cs="Barlow Semi Condensed" w:eastAsia="Barlow Semi Condensed" w:hAnsi="Barlow Semi Condensed"/>
          <w:b/>
          <w:bCs/>
          <w:sz w:val="24"/>
          <w:szCs w:val="24"/>
        </w:rPr>
        <w:t xml:space="preserve">Resta accertato che l'Italia era collocata in una alleanza; che tale collocazione comportava vincoli sulle possibili maggioranze di governo; che gli alleati esercitarono forme documentate di influenza sulla politica interna; e che l'evoluzione politica italiana del 1976-1978 era osservata con preoccupazione.</w:t>
      </w:r>
    </w:p>
    <w:p>
      <w:pPr>
        <w:spacing w:after="120" w:line="276"/>
        <w:jc w:val="both"/>
      </w:pPr>
      <w:r>
        <w:rPr>
          <w:rFonts w:ascii="Barlow Semi Condensed" w:cs="Barlow Semi Condensed" w:eastAsia="Barlow Semi Condensed" w:hAnsi="Barlow Semi Condensed"/>
          <w:b/>
          <w:bCs/>
          <w:sz w:val="24"/>
          <w:szCs w:val="24"/>
        </w:rPr>
        <w:t xml:space="preserve">Non risulta accertato, allo stato degli atti che quest'opera ha potuto interrogare, alcun atto diretto contro la persona di Aldo Moro riconducibile a tale versante. La proposizione resta in stato di dubbio, e la sua condizione di scioglimento è indicata: un documento che attesti una decisione, una autorizzazione o una conoscenza preventiva, presso una sede identificabile e con estremi verificabili.</w:t>
      </w:r>
    </w:p>
    <w:p>
      <w:pPr>
        <w:pStyle w:val="Heading2"/>
        <w:spacing w:after="100" w:before="200"/>
      </w:pPr>
      <w:r>
        <w:rPr>
          <w:rFonts w:ascii="Barlow Semi Condensed" w:cs="Barlow Semi Condensed" w:eastAsia="Barlow Semi Condensed" w:hAnsi="Barlow Semi Condensed"/>
          <w:sz w:val="24"/>
          <w:szCs w:val="24"/>
        </w:rPr>
        <w:t xml:space="preserve">Capitolo quattordicesimo — L'altro versante</w:t>
      </w:r>
    </w:p>
    <w:p>
      <w:pPr>
        <w:spacing w:after="120" w:line="276"/>
        <w:jc w:val="both"/>
      </w:pPr>
      <w:r>
        <w:rPr>
          <w:rFonts w:ascii="Barlow Semi Condensed" w:cs="Barlow Semi Condensed" w:eastAsia="Barlow Semi Condensed" w:hAnsi="Barlow Semi Condensed"/>
          <w:b/>
          <w:bCs/>
          <w:sz w:val="24"/>
          <w:szCs w:val="24"/>
        </w:rPr>
        <w:t xml:space="preserve">La simmetria impone che ciò che si è detto di un versante si dica dell'altro, e con il medesimo metro. Un'opera che documenti l'influenza di una parte e taccia dell'altra non è imparziale a metà: non è imparziale affatto, perché il silenzio su una parte è di per sé una attribuzione all'altra.</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Che l'Unione Sovietica esercitasse una influenza sulla politica italiana è documentato quanto l'influenza opposta. Il finanziamento del Partito Comunista Italiano da parte sovietica è accertato, ed è stato riconosciuto anche da protagonisti di quella vicenda; l'esistenza di attività informative sovietiche in Italia è accertata; e l'apertura, sia pur parziale e discussa, degli archivi dell'Est dopo il 1991 ha reso disponibili materiali che ne documentano l'estensione.</w:t>
      </w:r>
    </w:p>
    <w:p>
      <w:pPr>
        <w:spacing w:after="120" w:line="276"/>
        <w:jc w:val="both"/>
      </w:pPr>
      <w:r>
        <w:rPr>
          <w:rFonts w:ascii="Barlow Semi Condensed" w:cs="Barlow Semi Condensed" w:eastAsia="Barlow Semi Condensed" w:hAnsi="Barlow Semi Condensed"/>
          <w:b/>
          <w:bCs/>
          <w:sz w:val="24"/>
          <w:szCs w:val="24"/>
        </w:rPr>
        <w:t xml:space="preserve">Occorre però registrare, per esattezza, un elemento che complica il quadro e che non va omesso: negli anni ai quali questa Fase si riferisce, il Partito Comunista Italiano aveva compiuto un percorso di progressiva autonomia dalle posizioni sovietiche, che ebbe manifestazioni pubbliche e documentate, e che la dirigenza sovietica osservava con contrarietà. La solidarietà nazionale, che dal punto di vista atlantico costituiva un problema perché avvicinava i comunisti al governo, dal punto di vista sovietico ne costituiva uno diverso e opposto, perché completava l'integrazione di quel partito in un sistema politico occidentale.</w:t>
      </w:r>
    </w:p>
    <w:p>
      <w:pPr>
        <w:pStyle w:val="Heading2"/>
        <w:spacing w:after="100" w:before="200"/>
      </w:pPr>
      <w:r>
        <w:rPr>
          <w:rFonts w:ascii="Barlow Semi Condensed" w:cs="Barlow Semi Condensed" w:eastAsia="Barlow Semi Condensed" w:hAnsi="Barlow Semi Condensed"/>
          <w:sz w:val="24"/>
          <w:szCs w:val="24"/>
        </w:rPr>
        <w:t xml:space="preserve">La conseguenza metodologica</w:t>
      </w:r>
    </w:p>
    <w:p>
      <w:pPr>
        <w:spacing w:after="120" w:line="276"/>
        <w:jc w:val="both"/>
      </w:pPr>
      <w:r>
        <w:rPr>
          <w:rFonts w:ascii="Barlow Semi Condensed" w:cs="Barlow Semi Condensed" w:eastAsia="Barlow Semi Condensed" w:hAnsi="Barlow Semi Condensed"/>
          <w:b/>
          <w:bCs/>
          <w:sz w:val="24"/>
          <w:szCs w:val="24"/>
        </w:rPr>
        <w:t xml:space="preserve">Questa constatazione produce una conseguenza che occorre trarre apertamente, perché essa incide sulla ipotesi più diffusa.</w:t>
      </w:r>
    </w:p>
    <w:p>
      <w:pPr>
        <w:spacing w:after="120" w:line="276"/>
        <w:jc w:val="both"/>
      </w:pPr>
      <w:r>
        <w:rPr>
          <w:rFonts w:ascii="Barlow Semi Condensed" w:cs="Barlow Semi Condensed" w:eastAsia="Barlow Semi Condensed" w:hAnsi="Barlow Semi Condensed"/>
          <w:b/>
          <w:bCs/>
          <w:sz w:val="24"/>
          <w:szCs w:val="24"/>
        </w:rPr>
        <w:t xml:space="preserve">Se l'operazione politica in corso nel marzo 1978 era sfavorevole a entrambe le superpotenze, per ragioni opposte, allora la domanda a chi giovava non seleziona alcun sospetto: essa ne seleziona due, e li seleziona per ragioni incompatibili fra loro. Ne segue che quella domanda, in questo caso, non ha valore discriminante; e che ogni ricostruzione che la impieghi come chiave sta impiegando uno strumento che, applicato correttamente, non separa nulla.</w:t>
      </w:r>
    </w:p>
    <w:p>
      <w:pPr>
        <w:spacing w:after="120" w:line="276"/>
        <w:jc w:val="both"/>
      </w:pPr>
      <w:r>
        <w:rPr>
          <w:rFonts w:ascii="Barlow Semi Condensed" w:cs="Barlow Semi Condensed" w:eastAsia="Barlow Semi Condensed" w:hAnsi="Barlow Semi Condensed"/>
          <w:b/>
          <w:bCs/>
          <w:sz w:val="24"/>
          <w:szCs w:val="24"/>
        </w:rPr>
        <w:t xml:space="preserve">Questo è un risultato negativo, e come tutti i risultati negativi di quest'opera va registrato con la dignità che gli compete. Esso non dice chi fu: dice che una via consueta per arrivarvi non conduce da nessuna parte.</w:t>
      </w:r>
    </w:p>
    <w:p>
      <w:pPr>
        <w:pStyle w:val="Heading2"/>
        <w:spacing w:after="100" w:before="200"/>
      </w:pPr>
      <w:r>
        <w:rPr>
          <w:rFonts w:ascii="Barlow Semi Condensed" w:cs="Barlow Semi Condensed" w:eastAsia="Barlow Semi Condensed" w:hAnsi="Barlow Semi Condensed"/>
          <w:sz w:val="24"/>
          <w:szCs w:val="24"/>
        </w:rPr>
        <w:t xml:space="preserve">Ciò che resta accertato e ciò che resta dubbio</w:t>
      </w:r>
    </w:p>
    <w:p>
      <w:pPr>
        <w:spacing w:after="120" w:line="276"/>
        <w:jc w:val="both"/>
      </w:pPr>
      <w:r>
        <w:rPr>
          <w:rFonts w:ascii="Barlow Semi Condensed" w:cs="Barlow Semi Condensed" w:eastAsia="Barlow Semi Condensed" w:hAnsi="Barlow Semi Condensed"/>
          <w:b/>
          <w:bCs/>
          <w:sz w:val="24"/>
          <w:szCs w:val="24"/>
        </w:rPr>
        <w:t xml:space="preserve">Resta accertato che entrambe le superpotenze esercitavano influenza documentata sulla politica italiana; che entrambe osservavano con contrarietà, per ragioni diverse, l'operazione politica in corso; e che nessuna delle due era, per quella ragione, priva di motivo astratto di ostilità.</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colleghi tale ostilità all'atto materiale. La condizione di scioglimento è la medesima indicata nel Capitolo precedente, e vale simmetricamente per entrambi i versanti: un atto che attesti decisione, autorizzazione o conoscenza preventiva, presso sede identificabile e con estremi verificabili.</w:t>
      </w:r>
    </w:p>
    <w:p>
      <w:pPr>
        <w:spacing w:after="120" w:line="276"/>
        <w:jc w:val="both"/>
      </w:pPr>
      <w:r>
        <w:rPr>
          <w:rFonts w:ascii="Barlow Semi Condensed" w:cs="Barlow Semi Condensed" w:eastAsia="Barlow Semi Condensed" w:hAnsi="Barlow Semi Condensed"/>
          <w:b/>
          <w:bCs/>
          <w:sz w:val="24"/>
          <w:szCs w:val="24"/>
        </w:rPr>
        <w:t xml:space="preserve">Si registra infine, come Stato Zero, che la ricerca di tali atti presso gli archivi accessibili non ha prodotto reperimenti, e che tredici archivi remoti rilevanti non sono stati interrogabili con gli strumenti disponibili. Il silenzio di quegli archivi non è una conferma di alcunché: è una lacuna dichiarata, ed è iscritta in tavola come tale.</w:t>
      </w:r>
    </w:p>
    <w:p>
      <w:pPr>
        <w:pStyle w:val="Heading2"/>
        <w:spacing w:after="100" w:before="200"/>
      </w:pPr>
      <w:r>
        <w:rPr>
          <w:rFonts w:ascii="Barlow Semi Condensed" w:cs="Barlow Semi Condensed" w:eastAsia="Barlow Semi Condensed" w:hAnsi="Barlow Semi Condensed"/>
          <w:sz w:val="24"/>
          <w:szCs w:val="24"/>
        </w:rPr>
        <w:t xml:space="preserve">Capitolo quindicesimo — Il decennio della tensione: economia, terrorismo, ordine pubblico</w:t>
      </w:r>
    </w:p>
    <w:p>
      <w:pPr>
        <w:spacing w:after="120" w:line="276"/>
        <w:jc w:val="both"/>
      </w:pPr>
      <w:r>
        <w:rPr>
          <w:rFonts w:ascii="Barlow Semi Condensed" w:cs="Barlow Semi Condensed" w:eastAsia="Barlow Semi Condensed" w:hAnsi="Barlow Semi Condensed"/>
          <w:b/>
          <w:bCs/>
          <w:sz w:val="24"/>
          <w:szCs w:val="24"/>
        </w:rPr>
        <w:t xml:space="preserve">Il terzo elemento del quadro è la condizione materiale del paese negli anni che precedono il fatto. Esso è meno discusso degli altri due, e va esposto perché senza di esso le decisioni politiche di quegli anni risultano incomprensibili.</w:t>
      </w:r>
    </w:p>
    <w:p>
      <w:pPr>
        <w:pStyle w:val="Heading2"/>
        <w:spacing w:after="100" w:before="200"/>
      </w:pPr>
      <w:r>
        <w:rPr>
          <w:rFonts w:ascii="Barlow Semi Condensed" w:cs="Barlow Semi Condensed" w:eastAsia="Barlow Semi Condensed" w:hAnsi="Barlow Semi Condensed"/>
          <w:sz w:val="24"/>
          <w:szCs w:val="24"/>
        </w:rPr>
        <w:t xml:space="preserve">L'economia</w:t>
      </w:r>
    </w:p>
    <w:p>
      <w:pPr>
        <w:spacing w:after="120" w:line="276"/>
        <w:jc w:val="both"/>
      </w:pPr>
      <w:r>
        <w:rPr>
          <w:rFonts w:ascii="Barlow Semi Condensed" w:cs="Barlow Semi Condensed" w:eastAsia="Barlow Semi Condensed" w:hAnsi="Barlow Semi Condensed"/>
          <w:b/>
          <w:bCs/>
          <w:sz w:val="24"/>
          <w:szCs w:val="24"/>
        </w:rPr>
        <w:t xml:space="preserve">La crisi petrolifera del 1973 colpì l'Italia più duramente di altri paesi europei, per la sua dipendenza energetica e per la struttura del suo apparato produttivo. Ne seguirono inflazione elevata e persistente, difficoltà della bilancia dei pagamenti, tensione sui conti pubblici e ricorso al credito internazionale con le condizionalità che esso comporta.</w:t>
      </w:r>
    </w:p>
    <w:p>
      <w:pPr>
        <w:spacing w:after="120" w:line="276"/>
        <w:jc w:val="both"/>
      </w:pPr>
      <w:r>
        <w:rPr>
          <w:rFonts w:ascii="Barlow Semi Condensed" w:cs="Barlow Semi Condensed" w:eastAsia="Barlow Semi Condensed" w:hAnsi="Barlow Semi Condensed"/>
          <w:b/>
          <w:bCs/>
          <w:sz w:val="24"/>
          <w:szCs w:val="24"/>
        </w:rPr>
        <w:t xml:space="preserve">Il dato rileva per una ragione precisa. Un governo che debba imporre sacrifici ha bisogno di un consenso sociale che nessuna maggioranza parlamentare stretta gli fornisce. La solidarietà nazionale rispondeva anche a questo: includere nella responsabilità il partito che aveva maggiore radicamento nel mondo del lavoro era, oltre che una operazione istituzionale, la condizione perché una politica di risanamento potesse essere sostenuta senza rottura sociale.</w:t>
      </w:r>
    </w:p>
    <w:p>
      <w:pPr>
        <w:spacing w:after="120" w:line="276"/>
        <w:jc w:val="both"/>
      </w:pPr>
      <w:r>
        <w:rPr>
          <w:rFonts w:ascii="Barlow Semi Condensed" w:cs="Barlow Semi Condensed" w:eastAsia="Barlow Semi Condensed" w:hAnsi="Barlow Semi Condensed"/>
          <w:b/>
          <w:bCs/>
          <w:sz w:val="24"/>
          <w:szCs w:val="24"/>
        </w:rPr>
        <w:t xml:space="preserve">Chi voglia comprendere perché quella operazione fosse considerata necessaria da chi la promosse, e non semplicemente desiderabile, deve tenere presente questo. Non era un progetto ideale: era una risposta a una emergenza.</w:t>
      </w:r>
    </w:p>
    <w:p>
      <w:pPr>
        <w:pStyle w:val="Heading2"/>
        <w:spacing w:after="100" w:before="200"/>
      </w:pPr>
      <w:r>
        <w:rPr>
          <w:rFonts w:ascii="Barlow Semi Condensed" w:cs="Barlow Semi Condensed" w:eastAsia="Barlow Semi Condensed" w:hAnsi="Barlow Semi Condensed"/>
          <w:sz w:val="24"/>
          <w:szCs w:val="24"/>
        </w:rPr>
        <w:t xml:space="preserve">Il terrorismo</w:t>
      </w:r>
    </w:p>
    <w:p>
      <w:pPr>
        <w:spacing w:after="120" w:line="276"/>
        <w:jc w:val="both"/>
      </w:pPr>
      <w:r>
        <w:rPr>
          <w:rFonts w:ascii="Barlow Semi Condensed" w:cs="Barlow Semi Condensed" w:eastAsia="Barlow Semi Condensed" w:hAnsi="Barlow Semi Condensed"/>
          <w:b/>
          <w:bCs/>
          <w:sz w:val="24"/>
          <w:szCs w:val="24"/>
        </w:rPr>
        <w:t xml:space="preserve">Nella seconda metà degli anni Settanta l'attività dei gruppi armati raggiunse una intensità che non aveva precedenti nella storia repubblicana. Gli attentati contro persone si moltiplicarono; le vittime appartenevano a categorie determinate — magistrati, giornalisti, dirigenti d'azienda, appartenenti alle forze dell'ordine, uomini politici; e la frequenza degli episodi era tale da rendere l'ordine pubblico una questione permanente di governo.</w:t>
      </w:r>
    </w:p>
    <w:p>
      <w:pPr>
        <w:spacing w:after="120" w:line="276"/>
        <w:jc w:val="both"/>
      </w:pPr>
      <w:r>
        <w:rPr>
          <w:rFonts w:ascii="Barlow Semi Condensed" w:cs="Barlow Semi Condensed" w:eastAsia="Barlow Semi Condensed" w:hAnsi="Barlow Semi Condensed"/>
          <w:b/>
          <w:bCs/>
          <w:sz w:val="24"/>
          <w:szCs w:val="24"/>
        </w:rPr>
        <w:t xml:space="preserve">Vi era un terrorismo che si dichiarava di sinistra e uno che si dichiarava di destra, e le loro modalità differivano. Il primo colpiva prevalentemente persone selezionate e ne rivendicava l'uccisione con documenti argomentati; il secondo aveva praticato, nel decennio precedente, attentati contro luoghi affollati con vittime indiscriminate. La differenza di modalità non è un dettaglio: essa comporta differenze nella natura delle prove disponibili, ed è stata alla base di ricostruzioni divergenti.</w:t>
      </w:r>
    </w:p>
    <w:p>
      <w:pPr>
        <w:pStyle w:val="Heading2"/>
        <w:spacing w:after="100" w:before="200"/>
      </w:pPr>
      <w:r>
        <w:rPr>
          <w:rFonts w:ascii="Barlow Semi Condensed" w:cs="Barlow Semi Condensed" w:eastAsia="Barlow Semi Condensed" w:hAnsi="Barlow Semi Condensed"/>
          <w:sz w:val="24"/>
          <w:szCs w:val="24"/>
        </w:rPr>
        <w:t xml:space="preserve">L'ordine pubblico e gli apparati</w:t>
      </w:r>
    </w:p>
    <w:p>
      <w:pPr>
        <w:spacing w:after="120" w:line="276"/>
        <w:jc w:val="both"/>
      </w:pPr>
      <w:r>
        <w:rPr>
          <w:rFonts w:ascii="Barlow Semi Condensed" w:cs="Barlow Semi Condensed" w:eastAsia="Barlow Semi Condensed" w:hAnsi="Barlow Semi Condensed"/>
          <w:b/>
          <w:bCs/>
          <w:sz w:val="24"/>
          <w:szCs w:val="24"/>
        </w:rPr>
        <w:t xml:space="preserve">La terza componente è la condizione degli apparati di sicurezza.</w:t>
      </w:r>
    </w:p>
    <w:p>
      <w:pPr>
        <w:spacing w:after="120" w:line="276"/>
        <w:jc w:val="both"/>
      </w:pPr>
      <w:r>
        <w:rPr>
          <w:rFonts w:ascii="Barlow Semi Condensed" w:cs="Barlow Semi Condensed" w:eastAsia="Barlow Semi Condensed" w:hAnsi="Barlow Semi Condensed"/>
          <w:b/>
          <w:bCs/>
          <w:sz w:val="24"/>
          <w:szCs w:val="24"/>
        </w:rPr>
        <w:t xml:space="preserve">Negli anni immediatamente precedenti il 1978 i servizi informativi italiani erano stati oggetto di una riforma legislativa, resa necessaria da vicende che ne avevano compromesso la credibilità. Gli anni precedenti avevano visto emergere, attraverso inchieste giudiziarie e parlamentari, elementi relativi a deviazioni di apparati, a schedature illegittime, a piani di emergenza predisposti al di fuori delle sedi istituzionali.</w:t>
      </w:r>
    </w:p>
    <w:p>
      <w:pPr>
        <w:spacing w:after="120" w:line="276"/>
        <w:jc w:val="both"/>
      </w:pPr>
      <w:r>
        <w:rPr>
          <w:rFonts w:ascii="Barlow Semi Condensed" w:cs="Barlow Semi Condensed" w:eastAsia="Barlow Semi Condensed" w:hAnsi="Barlow Semi Condensed"/>
          <w:b/>
          <w:bCs/>
          <w:sz w:val="24"/>
          <w:szCs w:val="24"/>
        </w:rPr>
        <w:t xml:space="preserve">Questo è il dato che occorre fissare, e va detto con la precisione che merita: nel marzo 1978 gli apparati di sicurezza dello Stato italiano si trovavano in una fase di riorganizzazione, e la loro affidabilità era stata pubblicamente posta in questione dalle istituzioni medesime. Non si tratta di una insinuazione retrospettiva: si tratta della ragione per la quale la riforma era stata fatta.</w:t>
      </w:r>
    </w:p>
    <w:p>
      <w:pPr>
        <w:pStyle w:val="Heading2"/>
        <w:spacing w:after="100" w:before="200"/>
      </w:pPr>
      <w:r>
        <w:rPr>
          <w:rFonts w:ascii="Barlow Semi Condensed" w:cs="Barlow Semi Condensed" w:eastAsia="Barlow Semi Condensed" w:hAnsi="Barlow Semi Condensed"/>
          <w:sz w:val="24"/>
          <w:szCs w:val="24"/>
        </w:rPr>
        <w:t xml:space="preserve">La conseguenza per l'oggetto dell'opera</w:t>
      </w:r>
    </w:p>
    <w:p>
      <w:pPr>
        <w:spacing w:after="120" w:line="276"/>
        <w:jc w:val="both"/>
      </w:pPr>
      <w:r>
        <w:rPr>
          <w:rFonts w:ascii="Barlow Semi Condensed" w:cs="Barlow Semi Condensed" w:eastAsia="Barlow Semi Condensed" w:hAnsi="Barlow Semi Condensed"/>
          <w:b/>
          <w:bCs/>
          <w:sz w:val="24"/>
          <w:szCs w:val="24"/>
        </w:rPr>
        <w:t xml:space="preserve">Il quadro che ne risulta è quello di un paese sottoposto simultaneamente a tre pressioni: una crisi economica che richiedeva coesione, una violenza politica che la impediva, e apparati di sicurezza in riorganizzazione.</w:t>
      </w:r>
    </w:p>
    <w:p>
      <w:pPr>
        <w:spacing w:after="120" w:line="276"/>
        <w:jc w:val="both"/>
      </w:pPr>
      <w:r>
        <w:rPr>
          <w:rFonts w:ascii="Barlow Semi Condensed" w:cs="Barlow Semi Condensed" w:eastAsia="Barlow Semi Condensed" w:hAnsi="Barlow Semi Condensed"/>
          <w:b/>
          <w:bCs/>
          <w:sz w:val="24"/>
          <w:szCs w:val="24"/>
        </w:rPr>
        <w:t xml:space="preserve">Questo quadro non spiega il fatto. Ne costituisce la condizione di possibilità, che è cosa diversa e minore: esso rende comprensibile come una azione della complessità di quella di via Fani potesse essere concepita, e come le risposte che vi furono date potessero risultare inadeguate. Ma la condizione di possibilità di un evento non è la sua causa, e questa Fase non la tratterà come tale.</w:t>
      </w:r>
    </w:p>
    <w:p>
      <w:pPr>
        <w:pStyle w:val="Heading2"/>
        <w:spacing w:after="100" w:before="200"/>
      </w:pPr>
      <w:r>
        <w:rPr>
          <w:rFonts w:ascii="Barlow Semi Condensed" w:cs="Barlow Semi Condensed" w:eastAsia="Barlow Semi Condensed" w:hAnsi="Barlow Semi Condensed"/>
          <w:sz w:val="24"/>
          <w:szCs w:val="24"/>
        </w:rPr>
        <w:t xml:space="preserve">Capitolo sedicesimo — Ciò che le inchieste hanno accertato sugli anni precedenti</w:t>
      </w:r>
    </w:p>
    <w:p>
      <w:pPr>
        <w:spacing w:after="120" w:line="276"/>
        <w:jc w:val="both"/>
      </w:pPr>
      <w:r>
        <w:rPr>
          <w:rFonts w:ascii="Barlow Semi Condensed" w:cs="Barlow Semi Condensed" w:eastAsia="Barlow Semi Condensed" w:hAnsi="Barlow Semi Condensed"/>
          <w:b/>
          <w:bCs/>
          <w:sz w:val="24"/>
          <w:szCs w:val="24"/>
        </w:rPr>
        <w:t xml:space="preserve">Prima di venire alle ragioni dichiarate e a quelle attribuite, occorre censire ciò che le sedi istituzionali hanno accertato circa il decennio anteriore. Il censimento è necessario perché su di esso si fondano gran parte delle ipotesi che il Capitolo diciottesimo esaminerà, e perché le fonti che qui si citano sono di rango elevato: sentenze e relazioni di commissioni parlamentari d'inchiesta.</w:t>
      </w:r>
    </w:p>
    <w:p>
      <w:pPr>
        <w:pStyle w:val="Heading2"/>
        <w:spacing w:after="100" w:before="200"/>
      </w:pPr>
      <w:r>
        <w:rPr>
          <w:rFonts w:ascii="Barlow Semi Condensed" w:cs="Barlow Semi Condensed" w:eastAsia="Barlow Semi Condensed" w:hAnsi="Barlow Semi Condensed"/>
          <w:sz w:val="24"/>
          <w:szCs w:val="24"/>
        </w:rPr>
        <w:t xml:space="preserve">Le sedi</w:t>
      </w:r>
    </w:p>
    <w:p>
      <w:pPr>
        <w:spacing w:after="120" w:line="276"/>
        <w:jc w:val="both"/>
      </w:pPr>
      <w:r>
        <w:rPr>
          <w:rFonts w:ascii="Barlow Semi Condensed" w:cs="Barlow Semi Condensed" w:eastAsia="Barlow Semi Condensed" w:hAnsi="Barlow Semi Condensed"/>
          <w:b/>
          <w:bCs/>
          <w:sz w:val="24"/>
          <w:szCs w:val="24"/>
        </w:rPr>
        <w:t xml:space="preserve">Sul decennio anteriore hanno lavorato, in tempi successivi, autorità giudiziarie di più sedi e almeno tre commissioni parlamentari d'inchiesta: quella sulla loggia massonica Propaganda Due, quella sul terrorismo e sulle stragi, e da ultimo quella dedicata specificamente al rapimento e alla morte di Aldo Moro. I loro atti sono pubblici e reperibili come documenti parlamentari, e ad essi si rinvia per estremi ove il punto lo richieda.</w:t>
      </w:r>
    </w:p>
    <w:p>
      <w:pPr>
        <w:pStyle w:val="Heading2"/>
        <w:spacing w:after="100" w:before="200"/>
      </w:pPr>
      <w:r>
        <w:rPr>
          <w:rFonts w:ascii="Barlow Semi Condensed" w:cs="Barlow Semi Condensed" w:eastAsia="Barlow Semi Condensed" w:hAnsi="Barlow Semi Condensed"/>
          <w:sz w:val="24"/>
          <w:szCs w:val="24"/>
        </w:rPr>
        <w:t xml:space="preserve">Ciò che risulta accertato</w:t>
      </w:r>
    </w:p>
    <w:p>
      <w:pPr>
        <w:spacing w:after="120" w:line="276"/>
        <w:jc w:val="both"/>
      </w:pPr>
      <w:r>
        <w:rPr>
          <w:rFonts w:ascii="Barlow Semi Condensed" w:cs="Barlow Semi Condensed" w:eastAsia="Barlow Semi Condensed" w:hAnsi="Barlow Semi Condensed"/>
          <w:b/>
          <w:bCs/>
          <w:sz w:val="24"/>
          <w:szCs w:val="24"/>
        </w:rPr>
        <w:t xml:space="preserve">Risulta accertato che nel 1964 fu predisposto, nell'ambito dell'Arma dei Carabinieri, un piano di emergenza che prevedeva, in determinate ipotesi, l'enucleazione di un elevato numero di persone schedate. La vicenda fu oggetto di inchiesta parlamentare, e la sua esistenza non è controversa; la sua qualificazione — se si trattasse di ordinaria pianificazione di ordine pubblico o di predisposizione eversiva — è stata invece oggetto di valutazioni divergenti nelle diverse sedi.</w:t>
      </w:r>
    </w:p>
    <w:p>
      <w:pPr>
        <w:spacing w:after="120" w:line="276"/>
        <w:jc w:val="both"/>
      </w:pPr>
      <w:r>
        <w:rPr>
          <w:rFonts w:ascii="Barlow Semi Condensed" w:cs="Barlow Semi Condensed" w:eastAsia="Barlow Semi Condensed" w:hAnsi="Barlow Semi Condensed"/>
          <w:b/>
          <w:bCs/>
          <w:sz w:val="24"/>
          <w:szCs w:val="24"/>
        </w:rPr>
        <w:t xml:space="preserve">Risulta accertato che il 12 dicembre 1969 fu compiuto a Milano un attentato che provocò numerose vittime, e che le prime indagini furono indirizzate verso una pista risultata poi infondata. La responsabilità di ambienti dell'eversione di destra è stata affermata in sede giudiziaria, con esiti processuali articolati che non si riassumono in una formula.</w:t>
      </w:r>
    </w:p>
    <w:p>
      <w:pPr>
        <w:spacing w:after="120" w:line="276"/>
        <w:jc w:val="both"/>
      </w:pPr>
      <w:r>
        <w:rPr>
          <w:rFonts w:ascii="Barlow Semi Condensed" w:cs="Barlow Semi Condensed" w:eastAsia="Barlow Semi Condensed" w:hAnsi="Barlow Semi Condensed"/>
          <w:b/>
          <w:bCs/>
          <w:sz w:val="24"/>
          <w:szCs w:val="24"/>
        </w:rPr>
        <w:t xml:space="preserve">Risulta accertato che nella notte fra il 7 e l'8 dicembre 1970 fu tentata un'azione volta all'occupazione di sedi istituzionali, poi interrotta; e che la vicenda fu oggetto di procedimenti penali e di inchiesta parlamentare.</w:t>
      </w:r>
    </w:p>
    <w:p>
      <w:pPr>
        <w:spacing w:after="120" w:line="276"/>
        <w:jc w:val="both"/>
      </w:pPr>
      <w:r>
        <w:rPr>
          <w:rFonts w:ascii="Barlow Semi Condensed" w:cs="Barlow Semi Condensed" w:eastAsia="Barlow Semi Condensed" w:hAnsi="Barlow Semi Condensed"/>
          <w:b/>
          <w:bCs/>
          <w:sz w:val="24"/>
          <w:szCs w:val="24"/>
        </w:rPr>
        <w:t xml:space="preserve">Risulta accertato che esisteva, nell'ambito degli accordi dell'alleanza atlantica, una struttura di resistenza predisposta per l'ipotesi di occupazione del territorio nazionale, la cui esistenza fu resa pubblica nel 1990 da una comunicazione del Presidente del Consiglio dei ministri alle Camere, e che fu successivamente oggetto di inchiesta parlamentare e di accertamenti giudiziari.</w:t>
      </w:r>
    </w:p>
    <w:p>
      <w:pPr>
        <w:spacing w:after="120" w:line="276"/>
        <w:jc w:val="both"/>
      </w:pPr>
      <w:r>
        <w:rPr>
          <w:rFonts w:ascii="Barlow Semi Condensed" w:cs="Barlow Semi Condensed" w:eastAsia="Barlow Semi Condensed" w:hAnsi="Barlow Semi Condensed"/>
          <w:b/>
          <w:bCs/>
          <w:sz w:val="24"/>
          <w:szCs w:val="24"/>
        </w:rPr>
        <w:t xml:space="preserve">Risulta accertato che nel 1981 fu rinvenuto un elenco di appartenenti a una loggia massonica coperta, e che una commissione parlamentare d'inchiesta ne accertò la natura e ne descrisse la composizione, che comprendeva appartenenti agli apparati di sicurezza, alle forze armate, alla magistratura, alla politica, alla finanza e all'informazione.</w:t>
      </w:r>
    </w:p>
    <w:p>
      <w:pPr>
        <w:pStyle w:val="Heading2"/>
        <w:spacing w:after="100" w:before="200"/>
      </w:pPr>
      <w:r>
        <w:rPr>
          <w:rFonts w:ascii="Barlow Semi Condensed" w:cs="Barlow Semi Condensed" w:eastAsia="Barlow Semi Condensed" w:hAnsi="Barlow Semi Condensed"/>
          <w:sz w:val="24"/>
          <w:szCs w:val="24"/>
        </w:rPr>
        <w:t xml:space="preserve">Come questi accertamenti vanno impiegati e come no</w:t>
      </w:r>
    </w:p>
    <w:p>
      <w:pPr>
        <w:spacing w:after="120" w:line="276"/>
        <w:jc w:val="both"/>
      </w:pPr>
      <w:r>
        <w:rPr>
          <w:rFonts w:ascii="Barlow Semi Condensed" w:cs="Barlow Semi Condensed" w:eastAsia="Barlow Semi Condensed" w:hAnsi="Barlow Semi Condensed"/>
          <w:b/>
          <w:bCs/>
          <w:sz w:val="24"/>
          <w:szCs w:val="24"/>
        </w:rPr>
        <w:t xml:space="preserve">Occorre ora dire, con la massima chiarezza, che cosa questi accertamenti autorizzino e che cosa non autorizzino.</w:t>
      </w:r>
    </w:p>
    <w:p>
      <w:pPr>
        <w:spacing w:after="120" w:line="276"/>
        <w:jc w:val="both"/>
      </w:pPr>
      <w:r>
        <w:rPr>
          <w:rFonts w:ascii="Barlow Semi Condensed" w:cs="Barlow Semi Condensed" w:eastAsia="Barlow Semi Condensed" w:hAnsi="Barlow Semi Condensed"/>
          <w:b/>
          <w:bCs/>
          <w:sz w:val="24"/>
          <w:szCs w:val="24"/>
        </w:rPr>
        <w:t xml:space="preserve">Autorizzano a ritenere accertato che negli anni precedenti al 1978 si verificarono, in Italia, episodi di deviazione di apparati, predisposizioni eversive, depistaggi di indagine e strutture riservate operanti al di fuori del circuito ordinario di responsabilità. Questo è documentato da sentenze e da relazioni parlamentari, e non è materia di opinione.</w:t>
      </w:r>
    </w:p>
    <w:p>
      <w:pPr>
        <w:spacing w:after="120" w:line="276"/>
        <w:jc w:val="both"/>
      </w:pPr>
      <w:r>
        <w:rPr>
          <w:rFonts w:ascii="Barlow Semi Condensed" w:cs="Barlow Semi Condensed" w:eastAsia="Barlow Semi Condensed" w:hAnsi="Barlow Semi Condensed"/>
          <w:b/>
          <w:bCs/>
          <w:sz w:val="24"/>
          <w:szCs w:val="24"/>
        </w:rPr>
        <w:t xml:space="preserve">Non autorizzano a inferire da ciò la partecipazione di quegli apparati o di quelle strutture al fatto del 1978. La deduzione — poiché essi deviarono allora, deviarono anche in questo — è precisamente il tipo di inferenza che il Capitolo undicesimo vieta: essa sostituisce alla prova di un atto la propensione desunta da atti diversi.</w:t>
      </w:r>
    </w:p>
    <w:p>
      <w:pPr>
        <w:spacing w:after="120" w:line="276"/>
        <w:jc w:val="both"/>
      </w:pPr>
      <w:r>
        <w:rPr>
          <w:rFonts w:ascii="Barlow Semi Condensed" w:cs="Barlow Semi Condensed" w:eastAsia="Barlow Semi Condensed" w:hAnsi="Barlow Semi Condensed"/>
          <w:b/>
          <w:bCs/>
          <w:sz w:val="24"/>
          <w:szCs w:val="24"/>
        </w:rPr>
        <w:t xml:space="preserve">La distinzione è difficile da tenere, e conviene dire perché. Chi abbia accertato che un apparato commise abusi in una serie di occasioni sente come artificioso il divieto di attribuirgliene un altro della medesima specie. Il sentimento è comprensibile e va resistito, perché è precisamente il meccanismo per il quale un accertamento vero produce, per estensione non controllata, una attribuzione falsa. Un accertamento vale per il fatto sul quale è stato compiuto.</w:t>
      </w:r>
    </w:p>
    <w:p>
      <w:pPr>
        <w:pStyle w:val="Heading2"/>
        <w:spacing w:after="100" w:before="200"/>
      </w:pPr>
      <w:r>
        <w:rPr>
          <w:rFonts w:ascii="Barlow Semi Condensed" w:cs="Barlow Semi Condensed" w:eastAsia="Barlow Semi Condensed" w:hAnsi="Barlow Semi Condensed"/>
          <w:sz w:val="24"/>
          <w:szCs w:val="24"/>
        </w:rPr>
        <w:t xml:space="preserve">Il modo corretto di impiegarli</w:t>
      </w:r>
    </w:p>
    <w:p>
      <w:pPr>
        <w:spacing w:after="120" w:line="276"/>
        <w:jc w:val="both"/>
      </w:pPr>
      <w:r>
        <w:rPr>
          <w:rFonts w:ascii="Barlow Semi Condensed" w:cs="Barlow Semi Condensed" w:eastAsia="Barlow Semi Condensed" w:hAnsi="Barlow Semi Condensed"/>
          <w:b/>
          <w:bCs/>
          <w:sz w:val="24"/>
          <w:szCs w:val="24"/>
        </w:rPr>
        <w:t xml:space="preserve">Vi è però un impiego legittimo, e va indicato perché è quello che le Fasi successive faranno.</w:t>
      </w:r>
    </w:p>
    <w:p>
      <w:pPr>
        <w:spacing w:after="120" w:line="276"/>
        <w:jc w:val="both"/>
      </w:pPr>
      <w:r>
        <w:rPr>
          <w:rFonts w:ascii="Barlow Semi Condensed" w:cs="Barlow Semi Condensed" w:eastAsia="Barlow Semi Condensed" w:hAnsi="Barlow Semi Condensed"/>
          <w:b/>
          <w:bCs/>
          <w:sz w:val="24"/>
          <w:szCs w:val="24"/>
        </w:rPr>
        <w:t xml:space="preserve">Gli accertamenti sul decennio anteriore stabiliscono che determinate condotte erano possibili nel contesto italiano di quegli anni, e che determinati soggetti avevano capacità operativa per compierle. Ciò abbassa la soglia di implausibilità di talune ipotesi: rende cioè non assurdo indagarle. Ma abbassare la soglia di implausibilità non è fornire una prova; e una ipotesi non assurda resta, finché non provata, una ipotesi.</w:t>
      </w:r>
    </w:p>
    <w:p>
      <w:pPr>
        <w:spacing w:after="120" w:line="276"/>
        <w:jc w:val="both"/>
      </w:pPr>
      <w:r>
        <w:rPr>
          <w:rFonts w:ascii="Barlow Semi Condensed" w:cs="Barlow Semi Condensed" w:eastAsia="Barlow Semi Condensed" w:hAnsi="Barlow Semi Condensed"/>
          <w:b/>
          <w:bCs/>
          <w:sz w:val="24"/>
          <w:szCs w:val="24"/>
        </w:rPr>
        <w:t xml:space="preserve">La Fase Quinta di quest'opera, dedicata alle omissioni, tornerà su questa materia con metodo diverso: non per inferire dal passato, ma per esaminare, atto per atto, le omissioni verificatesi durante i cinquantacinque giorni e dopo. Quello è il terreno sul quale la questione si decide, e non questo.</w:t>
      </w:r>
    </w:p>
    <w:p>
      <w:pPr>
        <w:pStyle w:val="Heading2"/>
        <w:spacing w:after="100" w:before="200"/>
      </w:pPr>
      <w:r>
        <w:rPr>
          <w:rFonts w:ascii="Barlow Semi Condensed" w:cs="Barlow Semi Condensed" w:eastAsia="Barlow Semi Condensed" w:hAnsi="Barlow Semi Condensed"/>
          <w:sz w:val="24"/>
          <w:szCs w:val="24"/>
        </w:rPr>
        <w:t xml:space="preserve">Capitolo diciassettesimo — Le ragioni dichiarate da chi compì l'azione</w:t>
      </w:r>
    </w:p>
    <w:p>
      <w:pPr>
        <w:spacing w:after="120" w:line="276"/>
        <w:jc w:val="both"/>
      </w:pPr>
      <w:r>
        <w:rPr>
          <w:rFonts w:ascii="Barlow Semi Condensed" w:cs="Barlow Semi Condensed" w:eastAsia="Barlow Semi Condensed" w:hAnsi="Barlow Semi Condensed"/>
          <w:b/>
          <w:bCs/>
          <w:sz w:val="24"/>
          <w:szCs w:val="24"/>
        </w:rPr>
        <w:t xml:space="preserve">Durante i cinquantacinque giorni, l'organizzazione che aveva compiuto il rapimento diffuse una serie di documenti nei quali esponeva le proprie ragioni. Essi costituiscono la sola fonte diretta esistente sul movente dichiarato, e vanno esaminati come tali: con attenzione a ciò che dicono, e con eguale attenzione allo statuto di ciò che dicono.</w:t>
      </w:r>
    </w:p>
    <w:p>
      <w:pPr>
        <w:pStyle w:val="Heading2"/>
        <w:spacing w:after="100" w:before="200"/>
      </w:pPr>
      <w:r>
        <w:rPr>
          <w:rFonts w:ascii="Barlow Semi Condensed" w:cs="Barlow Semi Condensed" w:eastAsia="Barlow Semi Condensed" w:hAnsi="Barlow Semi Condensed"/>
          <w:sz w:val="24"/>
          <w:szCs w:val="24"/>
        </w:rPr>
        <w:t xml:space="preserve">Lo statuto della fonte</w:t>
      </w:r>
    </w:p>
    <w:p>
      <w:pPr>
        <w:spacing w:after="120" w:line="276"/>
        <w:jc w:val="both"/>
      </w:pPr>
      <w:r>
        <w:rPr>
          <w:rFonts w:ascii="Barlow Semi Condensed" w:cs="Barlow Semi Condensed" w:eastAsia="Barlow Semi Condensed" w:hAnsi="Barlow Semi Condensed"/>
          <w:b/>
          <w:bCs/>
          <w:sz w:val="24"/>
          <w:szCs w:val="24"/>
        </w:rPr>
        <w:t xml:space="preserve">Un documento nel quale l'autore di un atto espone le proprie ragioni è una fonte diretta sulla dichiarazione e non sul movente. La differenza è capitale.</w:t>
      </w:r>
    </w:p>
    <w:p>
      <w:pPr>
        <w:spacing w:after="120" w:line="276"/>
        <w:jc w:val="both"/>
      </w:pPr>
      <w:r>
        <w:rPr>
          <w:rFonts w:ascii="Barlow Semi Condensed" w:cs="Barlow Semi Condensed" w:eastAsia="Barlow Semi Condensed" w:hAnsi="Barlow Semi Condensed"/>
          <w:b/>
          <w:bCs/>
          <w:sz w:val="24"/>
          <w:szCs w:val="24"/>
        </w:rPr>
        <w:t xml:space="preserve">Che quei documenti dicano ciò che dicono è accertato: essi esistono, furono diffusi, il loro testo è noto. Che le ragioni ivi esposte siano le ragioni effettive dell'atto è proposizione ulteriore, e non discende dalla prima. Chi compie un atto e ne dichiara le ragioni può dichiarare il vero; può dichiarare una parte del vero; può dichiarare ciò che gli conviene sia creduto; e può ignorare esso stesso le ragioni per le quali si trova a compierlo, se l'atto è stato concepito altrove.</w:t>
      </w:r>
    </w:p>
    <w:p>
      <w:pPr>
        <w:spacing w:after="120" w:line="276"/>
        <w:jc w:val="both"/>
      </w:pPr>
      <w:r>
        <w:rPr>
          <w:rFonts w:ascii="Barlow Semi Condensed" w:cs="Barlow Semi Condensed" w:eastAsia="Barlow Semi Condensed" w:hAnsi="Barlow Semi Condensed"/>
          <w:b/>
          <w:bCs/>
          <w:sz w:val="24"/>
          <w:szCs w:val="24"/>
        </w:rPr>
        <w:t xml:space="preserve">Questa quadruplice possibilità va tenuta aperta per tutta la trattazione, e non va chiusa né in un senso né nell'altro. Chiuderla nel senso della veridicità sarebbe ingenuo; chiuderla nel senso della falsità sarebbe altrettanto arbitrario, e produrrebbe l'effetto singolare di scartare la sola fonte diretta disponibile in nome di una ipotesi che non ha fonti dirette.</w:t>
      </w:r>
    </w:p>
    <w:p>
      <w:pPr>
        <w:pStyle w:val="Heading2"/>
        <w:spacing w:after="100" w:before="200"/>
      </w:pPr>
      <w:r>
        <w:rPr>
          <w:rFonts w:ascii="Barlow Semi Condensed" w:cs="Barlow Semi Condensed" w:eastAsia="Barlow Semi Condensed" w:hAnsi="Barlow Semi Condensed"/>
          <w:sz w:val="24"/>
          <w:szCs w:val="24"/>
        </w:rPr>
        <w:t xml:space="preserve">Il contenuto della dichiarazione</w:t>
      </w:r>
    </w:p>
    <w:p>
      <w:pPr>
        <w:spacing w:after="120" w:line="276"/>
        <w:jc w:val="both"/>
      </w:pPr>
      <w:r>
        <w:rPr>
          <w:rFonts w:ascii="Barlow Semi Condensed" w:cs="Barlow Semi Condensed" w:eastAsia="Barlow Semi Condensed" w:hAnsi="Barlow Semi Condensed"/>
          <w:b/>
          <w:bCs/>
          <w:sz w:val="24"/>
          <w:szCs w:val="24"/>
        </w:rPr>
        <w:t xml:space="preserve">Le ragioni esposte in quei documenti possono essere riassunte, senza tradirle, in tre proposizioni.</w:t>
      </w:r>
    </w:p>
    <w:p>
      <w:pPr>
        <w:spacing w:after="120" w:line="276"/>
        <w:jc w:val="both"/>
      </w:pPr>
      <w:r>
        <w:rPr>
          <w:rFonts w:ascii="Barlow Semi Condensed" w:cs="Barlow Semi Condensed" w:eastAsia="Barlow Semi Condensed" w:hAnsi="Barlow Semi Condensed"/>
          <w:b/>
          <w:bCs/>
          <w:sz w:val="24"/>
          <w:szCs w:val="24"/>
        </w:rPr>
        <w:t xml:space="preserve">La prima: che l'uomo rapito fosse individuato non come persona ma come funzione, e precisamente come il costruttore principale dell'assetto politico che si stava realizzando; l'azione era dunque diretta contro quell'assetto attraverso chi lo edificava.</w:t>
      </w:r>
    </w:p>
    <w:p>
      <w:pPr>
        <w:spacing w:after="120" w:line="276"/>
        <w:jc w:val="both"/>
      </w:pPr>
      <w:r>
        <w:rPr>
          <w:rFonts w:ascii="Barlow Semi Condensed" w:cs="Barlow Semi Condensed" w:eastAsia="Barlow Semi Condensed" w:hAnsi="Barlow Semi Condensed"/>
          <w:b/>
          <w:bCs/>
          <w:sz w:val="24"/>
          <w:szCs w:val="24"/>
        </w:rPr>
        <w:t xml:space="preserve">La seconda: che l'accordo fra il partito di maggioranza relativa e il partito comunista costituisse, agli occhi di chi scriveva, il completamento dell'integrazione di quest'ultimo nel sistema, e dunque la fine della sua funzione rivoluzionaria; l'azione era dunque diretta anche, e forse principalmente, contro il partito comunista.</w:t>
      </w:r>
    </w:p>
    <w:p>
      <w:pPr>
        <w:spacing w:after="120" w:line="276"/>
        <w:jc w:val="both"/>
      </w:pPr>
      <w:r>
        <w:rPr>
          <w:rFonts w:ascii="Barlow Semi Condensed" w:cs="Barlow Semi Condensed" w:eastAsia="Barlow Semi Condensed" w:hAnsi="Barlow Semi Condensed"/>
          <w:b/>
          <w:bCs/>
          <w:sz w:val="24"/>
          <w:szCs w:val="24"/>
        </w:rPr>
        <w:t xml:space="preserve">La terza: che l'operazione avesse carattere dimostrativo e volesse stabilire, mediante la sottrazione e il giudizio di un uomo di quel rango, che esisteva un potere alternativo a quello dello Stato.</w:t>
      </w:r>
    </w:p>
    <w:p>
      <w:pPr>
        <w:pStyle w:val="Heading2"/>
        <w:spacing w:after="100" w:before="200"/>
      </w:pPr>
      <w:r>
        <w:rPr>
          <w:rFonts w:ascii="Barlow Semi Condensed" w:cs="Barlow Semi Condensed" w:eastAsia="Barlow Semi Condensed" w:hAnsi="Barlow Semi Condensed"/>
          <w:sz w:val="24"/>
          <w:szCs w:val="24"/>
        </w:rPr>
        <w:t xml:space="preserve">La coerenza interna e il suo limite</w:t>
      </w:r>
    </w:p>
    <w:p>
      <w:pPr>
        <w:spacing w:after="120" w:line="276"/>
        <w:jc w:val="both"/>
      </w:pPr>
      <w:r>
        <w:rPr>
          <w:rFonts w:ascii="Barlow Semi Condensed" w:cs="Barlow Semi Condensed" w:eastAsia="Barlow Semi Condensed" w:hAnsi="Barlow Semi Condensed"/>
          <w:b/>
          <w:bCs/>
          <w:sz w:val="24"/>
          <w:szCs w:val="24"/>
        </w:rPr>
        <w:t xml:space="preserve">Occorre riconoscere che queste ragioni sono internamente coerenti, e che sono coerenti anche con la data prescelta. Un'azione concepita per colpire l'assetto nascente e per interrompere l'integrazione del partito comunista trova, nel giorno del voto di fiducia, il momento di massima efficacia dimostrativa.</w:t>
      </w:r>
    </w:p>
    <w:p>
      <w:pPr>
        <w:spacing w:after="120" w:line="276"/>
        <w:jc w:val="both"/>
      </w:pPr>
      <w:r>
        <w:rPr>
          <w:rFonts w:ascii="Barlow Semi Condensed" w:cs="Barlow Semi Condensed" w:eastAsia="Barlow Semi Condensed" w:hAnsi="Barlow Semi Condensed"/>
          <w:b/>
          <w:bCs/>
          <w:sz w:val="24"/>
          <w:szCs w:val="24"/>
        </w:rPr>
        <w:t xml:space="preserve">La coerenza interna è un dato e va registrato. Ma non è una prova, e conviene dire perché con esattezza. Una spiegazione coerente è una spiegazione che può essere vera; non è una spiegazione che debba esserlo. Molte spiegazioni coerenti sono state costruite sul medesimo fatto, e la coerenza non le discrimina.</w:t>
      </w:r>
    </w:p>
    <w:p>
      <w:pPr>
        <w:pStyle w:val="Heading2"/>
        <w:spacing w:after="100" w:before="200"/>
      </w:pPr>
      <w:r>
        <w:rPr>
          <w:rFonts w:ascii="Barlow Semi Condensed" w:cs="Barlow Semi Condensed" w:eastAsia="Barlow Semi Condensed" w:hAnsi="Barlow Semi Condensed"/>
          <w:sz w:val="24"/>
          <w:szCs w:val="24"/>
        </w:rPr>
        <w:t xml:space="preserve">Ciò che la dichiarazione non spiega</w:t>
      </w:r>
    </w:p>
    <w:p>
      <w:pPr>
        <w:spacing w:after="120" w:line="276"/>
        <w:jc w:val="both"/>
      </w:pPr>
      <w:r>
        <w:rPr>
          <w:rFonts w:ascii="Barlow Semi Condensed" w:cs="Barlow Semi Condensed" w:eastAsia="Barlow Semi Condensed" w:hAnsi="Barlow Semi Condensed"/>
          <w:b/>
          <w:bCs/>
          <w:sz w:val="24"/>
          <w:szCs w:val="24"/>
        </w:rPr>
        <w:t xml:space="preserve">Vi è infine una osservazione che va fatta e che appartiene alla materia di questa Fase, sebbene i suoi elementi appartengano alle Fasi successive.</w:t>
      </w:r>
    </w:p>
    <w:p>
      <w:pPr>
        <w:spacing w:after="120" w:line="276"/>
        <w:jc w:val="both"/>
      </w:pPr>
      <w:r>
        <w:rPr>
          <w:rFonts w:ascii="Barlow Semi Condensed" w:cs="Barlow Semi Condensed" w:eastAsia="Barlow Semi Condensed" w:hAnsi="Barlow Semi Condensed"/>
          <w:b/>
          <w:bCs/>
          <w:sz w:val="24"/>
          <w:szCs w:val="24"/>
        </w:rPr>
        <w:t xml:space="preserve">La dichiarazione di movente non copre tutto ciò che l'azione richiese. Essa spiega la scelta del bersaglio e la scelta del momento; non spiega, di per sé, il livello di preparazione operativa che l'azione manifestò, né alcune circostanze relative allo svolgimento e alla successiva gestione dei cinquantacinque giorni sulle quali le sedi istituzionali hanno espresso valutazioni non concordi.</w:t>
      </w:r>
    </w:p>
    <w:p>
      <w:pPr>
        <w:spacing w:after="120" w:line="276"/>
        <w:jc w:val="both"/>
      </w:pPr>
      <w:r>
        <w:rPr>
          <w:rFonts w:ascii="Barlow Semi Condensed" w:cs="Barlow Semi Condensed" w:eastAsia="Barlow Semi Condensed" w:hAnsi="Barlow Semi Condensed"/>
          <w:b/>
          <w:bCs/>
          <w:sz w:val="24"/>
          <w:szCs w:val="24"/>
        </w:rPr>
        <w:t xml:space="preserve">Su questo scarto — fra ciò che il movente dichiarato spiega e ciò che l'azione richiese — si è costruita la maggior parte delle ipotesi alternative. Lo scarto è reale e sarà misurato nelle Fasi Terza e Sesta, che ne hanno la competenza. Qui si registra la sua esistenza e non se ne traggono conseguenze, perché uno scarto è una domanda e non una risposta.</w:t>
      </w:r>
    </w:p>
    <w:p>
      <w:pPr>
        <w:pStyle w:val="Heading2"/>
        <w:spacing w:after="100" w:before="200"/>
      </w:pPr>
      <w:r>
        <w:rPr>
          <w:rFonts w:ascii="Barlow Semi Condensed" w:cs="Barlow Semi Condensed" w:eastAsia="Barlow Semi Condensed" w:hAnsi="Barlow Semi Condensed"/>
          <w:sz w:val="24"/>
          <w:szCs w:val="24"/>
        </w:rPr>
        <w:t xml:space="preserve">Capitolo diciottesimo — Le ragioni attribuite: rassegna delle ipotesi altrui</w:t>
      </w:r>
    </w:p>
    <w:p>
      <w:pPr>
        <w:spacing w:after="120" w:line="276"/>
        <w:jc w:val="both"/>
      </w:pPr>
      <w:r>
        <w:rPr>
          <w:rFonts w:ascii="Barlow Semi Condensed" w:cs="Barlow Semi Condensed" w:eastAsia="Barlow Semi Condensed" w:hAnsi="Barlow Semi Condensed"/>
          <w:b/>
          <w:bCs/>
          <w:sz w:val="24"/>
          <w:szCs w:val="24"/>
        </w:rPr>
        <w:t xml:space="preserve">Si censiscono qui le ipotesi sul movente formulate da altri in quasi cinquant'anni. Ciascuna è riportata con la qualificazione che i suoi autori vi hanno apposta, e non con una migliore. Nessuna è fatta propria dall'opera.</w:t>
      </w:r>
    </w:p>
    <w:p>
      <w:pPr>
        <w:spacing w:after="120" w:line="276"/>
        <w:jc w:val="both"/>
      </w:pPr>
      <w:r>
        <w:rPr>
          <w:rFonts w:ascii="Barlow Semi Condensed" w:cs="Barlow Semi Condensed" w:eastAsia="Barlow Semi Condensed" w:hAnsi="Barlow Semi Condensed"/>
          <w:b/>
          <w:bCs/>
          <w:sz w:val="24"/>
          <w:szCs w:val="24"/>
        </w:rPr>
        <w:t xml:space="preserve">La rassegna è ordinata per genere e non per merito, e l'ordine non esprime graduatoria.</w:t>
      </w:r>
    </w:p>
    <w:p>
      <w:pPr>
        <w:pStyle w:val="Heading2"/>
        <w:spacing w:after="100" w:before="200"/>
      </w:pPr>
      <w:r>
        <w:rPr>
          <w:rFonts w:ascii="Barlow Semi Condensed" w:cs="Barlow Semi Condensed" w:eastAsia="Barlow Semi Condensed" w:hAnsi="Barlow Semi Condensed"/>
          <w:sz w:val="24"/>
          <w:szCs w:val="24"/>
        </w:rPr>
        <w:t xml:space="preserve">Primo genere: le ipotesi che accolgono il movente dichiarato</w:t>
      </w:r>
    </w:p>
    <w:p>
      <w:pPr>
        <w:spacing w:after="120" w:line="276"/>
        <w:jc w:val="both"/>
      </w:pPr>
      <w:r>
        <w:rPr>
          <w:rFonts w:ascii="Barlow Semi Condensed" w:cs="Barlow Semi Condensed" w:eastAsia="Barlow Semi Condensed" w:hAnsi="Barlow Semi Condensed"/>
          <w:b/>
          <w:bCs/>
          <w:sz w:val="24"/>
          <w:szCs w:val="24"/>
        </w:rPr>
        <w:t xml:space="preserve">Un primo insieme di ricostruzioni accoglie sostanzialmente le ragioni esposte da chi compì l'azione, e ritiene che l'operazione sia stata concepita, decisa ed eseguita dall'organizzazione che la rivendicò, secondo le finalità che essa dichiarò.</w:t>
      </w:r>
    </w:p>
    <w:p>
      <w:pPr>
        <w:spacing w:after="120" w:line="276"/>
        <w:jc w:val="both"/>
      </w:pPr>
      <w:r>
        <w:rPr>
          <w:rFonts w:ascii="Barlow Semi Condensed" w:cs="Barlow Semi Condensed" w:eastAsia="Barlow Semi Condensed" w:hAnsi="Barlow Semi Condensed"/>
          <w:b/>
          <w:bCs/>
          <w:sz w:val="24"/>
          <w:szCs w:val="24"/>
        </w:rPr>
        <w:t xml:space="preserve">Questa posizione è quella prevalente negli esiti giudiziari: i procedimenti hanno accertato responsabilità individuali di appartenenti a quella organizzazione, e hanno ricostruito l'azione come opera di essa. Va detto con precisione che cosa ciò significhi: le sentenze accertano chi commise i fatti, e in ciò hanno autorità piena. Sul movente ultimo esse si pronunciano nella misura in cui esso rileva per l'imputazione, e non oltre; l'accertamento giudiziario non è, e non pretende di essere, una ricostruzione storica esaustiva.</w:t>
      </w:r>
    </w:p>
    <w:p>
      <w:pPr>
        <w:pStyle w:val="Heading2"/>
        <w:spacing w:after="100" w:before="200"/>
      </w:pPr>
      <w:r>
        <w:rPr>
          <w:rFonts w:ascii="Barlow Semi Condensed" w:cs="Barlow Semi Condensed" w:eastAsia="Barlow Semi Condensed" w:hAnsi="Barlow Semi Condensed"/>
          <w:sz w:val="24"/>
          <w:szCs w:val="24"/>
        </w:rPr>
        <w:t xml:space="preserve">Secondo genere: le ipotesi del concorso esterno</w:t>
      </w:r>
    </w:p>
    <w:p>
      <w:pPr>
        <w:spacing w:after="120" w:line="276"/>
        <w:jc w:val="both"/>
      </w:pPr>
      <w:r>
        <w:rPr>
          <w:rFonts w:ascii="Barlow Semi Condensed" w:cs="Barlow Semi Condensed" w:eastAsia="Barlow Semi Condensed" w:hAnsi="Barlow Semi Condensed"/>
          <w:b/>
          <w:bCs/>
          <w:sz w:val="24"/>
          <w:szCs w:val="24"/>
        </w:rPr>
        <w:t xml:space="preserve">Un secondo insieme ritiene che l'organizzazione abbia concepito ed eseguito l'azione, ma che vi sia stato, in una o più fasi, un concorso esterno: informativo, logistico, o consistente in omissioni deliberate da parte di chi avrebbe dovuto impedire o interrompere.</w:t>
      </w:r>
    </w:p>
    <w:p>
      <w:pPr>
        <w:spacing w:after="120" w:line="276"/>
        <w:jc w:val="both"/>
      </w:pPr>
      <w:r>
        <w:rPr>
          <w:rFonts w:ascii="Barlow Semi Condensed" w:cs="Barlow Semi Condensed" w:eastAsia="Barlow Semi Condensed" w:hAnsi="Barlow Semi Condensed"/>
          <w:b/>
          <w:bCs/>
          <w:sz w:val="24"/>
          <w:szCs w:val="24"/>
        </w:rPr>
        <w:t xml:space="preserve">Questo genere si distingue in due sottospecie che è essenziale non confondere. La prima ipotizza un concorso attivo: qualcuno fornì. La seconda ipotizza un concorso omissivo: qualcuno non fece ciò che doveva. Le due proposizioni hanno statuti probatori diversissimi. La prima richiede la prova di una condotta positiva ed è la più difficile da dimostrare. La seconda richiede la prova che un dovere esistesse, che non fu adempiuto, e che l'inadempimento non sia spiegabile con l'errore o l'inefficienza; ed è, per la sua natura, più accessibile alla documentazione, perché le omissioni lasciano tracce negli atti d'ufficio.</w:t>
      </w:r>
    </w:p>
    <w:p>
      <w:pPr>
        <w:spacing w:after="120" w:line="276"/>
        <w:jc w:val="both"/>
      </w:pPr>
      <w:r>
        <w:rPr>
          <w:rFonts w:ascii="Barlow Semi Condensed" w:cs="Barlow Semi Condensed" w:eastAsia="Barlow Semi Condensed" w:hAnsi="Barlow Semi Condensed"/>
          <w:b/>
          <w:bCs/>
          <w:sz w:val="24"/>
          <w:szCs w:val="24"/>
        </w:rPr>
        <w:t xml:space="preserve">Su questo secondo terreno si sono concentrate le commissioni parlamentari, e in particolare l'ultima, che ha dichiarato aperte alcune linee di indagine relative a comportamenti di apparati durante i cinquantacinque giorni. La materia appartiene alla Fase Quinta e vi sarà trattata analiticamente.</w:t>
      </w:r>
    </w:p>
    <w:p>
      <w:pPr>
        <w:pStyle w:val="Heading2"/>
        <w:spacing w:after="100" w:before="200"/>
      </w:pPr>
      <w:r>
        <w:rPr>
          <w:rFonts w:ascii="Barlow Semi Condensed" w:cs="Barlow Semi Condensed" w:eastAsia="Barlow Semi Condensed" w:hAnsi="Barlow Semi Condensed"/>
          <w:sz w:val="24"/>
          <w:szCs w:val="24"/>
        </w:rPr>
        <w:t xml:space="preserve">Terzo genere: le ipotesi della regia esterna</w:t>
      </w:r>
    </w:p>
    <w:p>
      <w:pPr>
        <w:spacing w:after="120" w:line="276"/>
        <w:jc w:val="both"/>
      </w:pPr>
      <w:r>
        <w:rPr>
          <w:rFonts w:ascii="Barlow Semi Condensed" w:cs="Barlow Semi Condensed" w:eastAsia="Barlow Semi Condensed" w:hAnsi="Barlow Semi Condensed"/>
          <w:b/>
          <w:bCs/>
          <w:sz w:val="24"/>
          <w:szCs w:val="24"/>
        </w:rPr>
        <w:t xml:space="preserve">Un terzo insieme ritiene che l'organizzazione sia stata, in tutto o in parte e con o senza consapevolezza dei suoi militanti, strumento di una volontà esterna: di apparati nazionali, di servizi stranieri dell'uno o dell'altro blocco, o di combinazioni fra essi.</w:t>
      </w:r>
    </w:p>
    <w:p>
      <w:pPr>
        <w:spacing w:after="120" w:line="276"/>
        <w:jc w:val="both"/>
      </w:pPr>
      <w:r>
        <w:rPr>
          <w:rFonts w:ascii="Barlow Semi Condensed" w:cs="Barlow Semi Condensed" w:eastAsia="Barlow Semi Condensed" w:hAnsi="Barlow Semi Condensed"/>
          <w:b/>
          <w:bCs/>
          <w:sz w:val="24"/>
          <w:szCs w:val="24"/>
        </w:rPr>
        <w:t xml:space="preserve">Queste ipotesi sono numerose e differiscono fra loro per il soggetto indicato. Esse condividono una struttura argomentativa comune, che conviene descrivere perché è la medesima e ne consente una valutazione unitaria: partono dallo scarto segnalato alla fine del Capitolo diciassettesimo — l'azione richiese più di quanto il movente dichiarato spieghi — e colmano lo scarto con un soggetto ulteriore.</w:t>
      </w:r>
    </w:p>
    <w:p>
      <w:pPr>
        <w:spacing w:after="120" w:line="276"/>
        <w:jc w:val="both"/>
      </w:pPr>
      <w:r>
        <w:rPr>
          <w:rFonts w:ascii="Barlow Semi Condensed" w:cs="Barlow Semi Condensed" w:eastAsia="Barlow Semi Condensed" w:hAnsi="Barlow Semi Condensed"/>
          <w:b/>
          <w:bCs/>
          <w:sz w:val="24"/>
          <w:szCs w:val="24"/>
        </w:rPr>
        <w:t xml:space="preserve">La struttura ha una debolezza intrinseca che va nominata senza acrimonia, perché non riguarda la buona fede di chi la impiega. Lo scarto è reale, ma uno scarto non seleziona il proprio riempimento: qualunque soggetto sufficientemente capace può colmarlo, e la scelta fra i candidati non viene dallo scarto ma da altrove — quasi sempre dalla convinzione politica di chi ricostruisce. Ne segue che ricostruzioni con soggetti opposti risultano ugualmente compatibili con lo stesso scarto, il che è il segno che lo scarto non discrimina.</w:t>
      </w:r>
    </w:p>
    <w:p>
      <w:pPr>
        <w:spacing w:after="120" w:line="276"/>
        <w:jc w:val="both"/>
      </w:pPr>
      <w:r>
        <w:rPr>
          <w:rFonts w:ascii="Barlow Semi Condensed" w:cs="Barlow Semi Condensed" w:eastAsia="Barlow Semi Condensed" w:hAnsi="Barlow Semi Condensed"/>
          <w:b/>
          <w:bCs/>
          <w:sz w:val="24"/>
          <w:szCs w:val="24"/>
        </w:rPr>
        <w:t xml:space="preserve">Ciò non le rende false. Le rende non provate dallo scarto, che è cosa diversa. Ciascuna di esse dovrà essere provata, se lo sarà, da atti propri e indipendenti.</w:t>
      </w:r>
    </w:p>
    <w:p>
      <w:pPr>
        <w:pStyle w:val="Heading2"/>
        <w:spacing w:after="100" w:before="200"/>
      </w:pPr>
      <w:r>
        <w:rPr>
          <w:rFonts w:ascii="Barlow Semi Condensed" w:cs="Barlow Semi Condensed" w:eastAsia="Barlow Semi Condensed" w:hAnsi="Barlow Semi Condensed"/>
          <w:sz w:val="24"/>
          <w:szCs w:val="24"/>
        </w:rPr>
        <w:t xml:space="preserve">Quarto genere: le ipotesi del non impedimento consapevole</w:t>
      </w:r>
    </w:p>
    <w:p>
      <w:pPr>
        <w:spacing w:after="120" w:line="276"/>
        <w:jc w:val="both"/>
      </w:pPr>
      <w:r>
        <w:rPr>
          <w:rFonts w:ascii="Barlow Semi Condensed" w:cs="Barlow Semi Condensed" w:eastAsia="Barlow Semi Condensed" w:hAnsi="Barlow Semi Condensed"/>
          <w:b/>
          <w:bCs/>
          <w:sz w:val="24"/>
          <w:szCs w:val="24"/>
        </w:rPr>
        <w:t xml:space="preserve">Un quarto insieme, distinto dal secondo per grado e non per natura, ritiene che l'azione sia stata dell'organizzazione, che nessun concorso vi sia stato nella sua esecuzione, ma che, una volta avviata, taluni ne abbiano consapevolmente favorito l'esito lasciando che si compisse.</w:t>
      </w:r>
    </w:p>
    <w:p>
      <w:pPr>
        <w:spacing w:after="120" w:line="276"/>
        <w:jc w:val="both"/>
      </w:pPr>
      <w:r>
        <w:rPr>
          <w:rFonts w:ascii="Barlow Semi Condensed" w:cs="Barlow Semi Condensed" w:eastAsia="Barlow Semi Condensed" w:hAnsi="Barlow Semi Condensed"/>
          <w:b/>
          <w:bCs/>
          <w:sz w:val="24"/>
          <w:szCs w:val="24"/>
        </w:rPr>
        <w:t xml:space="preserve">Questa ipotesi ha il pregio, dal punto di vista probatorio, di essere verificabile su documenti: essa predice omissioni determinate in momenti determinati, e le omissioni sono documentabili. È dunque, fra tutte, quella che più si presta all'istruttoria; ed è quella sulla quale la Fase Quinta concentrerà il lavoro.</w:t>
      </w:r>
    </w:p>
    <w:p>
      <w:pPr>
        <w:pStyle w:val="Heading2"/>
        <w:spacing w:after="100" w:before="200"/>
      </w:pPr>
      <w:r>
        <w:rPr>
          <w:rFonts w:ascii="Barlow Semi Condensed" w:cs="Barlow Semi Condensed" w:eastAsia="Barlow Semi Condensed" w:hAnsi="Barlow Semi Condensed"/>
          <w:sz w:val="24"/>
          <w:szCs w:val="24"/>
        </w:rPr>
        <w:t xml:space="preserve">Avvertenza sulla rassegna</w:t>
      </w:r>
    </w:p>
    <w:p>
      <w:pPr>
        <w:spacing w:after="120" w:line="276"/>
        <w:jc w:val="both"/>
      </w:pPr>
      <w:r>
        <w:rPr>
          <w:rFonts w:ascii="Barlow Semi Condensed" w:cs="Barlow Semi Condensed" w:eastAsia="Barlow Semi Condensed" w:hAnsi="Barlow Semi Condensed"/>
          <w:b/>
          <w:bCs/>
          <w:sz w:val="24"/>
          <w:szCs w:val="24"/>
        </w:rPr>
        <w:t xml:space="preserve">Si avverte che questa rassegna è ordinata per genere e non pretende completezza nominale. Le ricostruzioni pubblicate su questa materia si contano a centinaia, e molte differiscono fra loro per dettagli che non modificano il genere di appartenenza. L'opera si riserva di censire analiticamente, nella Fase Settima, le singole ricostruzioni con i loro autori e i loro estremi.</w:t>
      </w:r>
    </w:p>
    <w:p>
      <w:pPr>
        <w:spacing w:after="120" w:line="276"/>
        <w:jc w:val="both"/>
      </w:pPr>
      <w:r>
        <w:rPr>
          <w:rFonts w:ascii="Barlow Semi Condensed" w:cs="Barlow Semi Condensed" w:eastAsia="Barlow Semi Condensed" w:hAnsi="Barlow Semi Condensed"/>
          <w:b/>
          <w:bCs/>
          <w:sz w:val="24"/>
          <w:szCs w:val="24"/>
        </w:rPr>
        <w:t xml:space="preserve">Si avverte inoltre che nessuna delle ipotesi qui censite è fatta propria, e che il loro censimento non è una graduatoria di verosimiglianza. Censire una ipotesi significa registrare che è stata formulata: nulla di più.</w:t>
      </w:r>
    </w:p>
    <w:p>
      <w:pPr>
        <w:pStyle w:val="Heading2"/>
        <w:spacing w:after="100" w:before="200"/>
      </w:pPr>
      <w:r>
        <w:rPr>
          <w:rFonts w:ascii="Barlow Semi Condensed" w:cs="Barlow Semi Condensed" w:eastAsia="Barlow Semi Condensed" w:hAnsi="Barlow Semi Condensed"/>
          <w:sz w:val="24"/>
          <w:szCs w:val="24"/>
        </w:rPr>
        <w:t xml:space="preserve">Capitolo diciannovesimo — La matrice delle ipotesi concorrenti</w:t>
      </w:r>
    </w:p>
    <w:p>
      <w:pPr>
        <w:spacing w:after="120" w:line="276"/>
        <w:jc w:val="both"/>
      </w:pPr>
      <w:r>
        <w:rPr>
          <w:rFonts w:ascii="Barlow Semi Condensed" w:cs="Barlow Semi Condensed" w:eastAsia="Barlow Semi Condensed" w:hAnsi="Barlow Semi Condensed"/>
          <w:b/>
          <w:bCs/>
          <w:sz w:val="24"/>
          <w:szCs w:val="24"/>
        </w:rPr>
        <w:t xml:space="preserve">Si costruisce qui la matrice prescritta dal metodo. Per ciascuno dei quattro generi di ipotesi si valuta il rapporto con le evidenze disponibili, e per ciascuna evidenza si dice se essa sia coerente, incoerente o neutra rispetto a quel genere.</w:t>
      </w:r>
    </w:p>
    <w:p>
      <w:pPr>
        <w:spacing w:after="120" w:line="276"/>
        <w:jc w:val="both"/>
      </w:pPr>
      <w:r>
        <w:rPr>
          <w:rFonts w:ascii="Barlow Semi Condensed" w:cs="Barlow Semi Condensed" w:eastAsia="Barlow Semi Condensed" w:hAnsi="Barlow Semi Condensed"/>
          <w:b/>
          <w:bCs/>
          <w:sz w:val="24"/>
          <w:szCs w:val="24"/>
        </w:rPr>
        <w:t xml:space="preserve">Si ricorda la regola: non vince l'ipotesi più sostenuta, ma quella meno contraddetta.</w:t>
      </w:r>
    </w:p>
    <w:p>
      <w:pPr>
        <w:pStyle w:val="Heading2"/>
        <w:spacing w:after="100" w:before="200"/>
      </w:pPr>
      <w:r>
        <w:rPr>
          <w:rFonts w:ascii="Barlow Semi Condensed" w:cs="Barlow Semi Condensed" w:eastAsia="Barlow Semi Condensed" w:hAnsi="Barlow Semi Condensed"/>
          <w:sz w:val="24"/>
          <w:szCs w:val="24"/>
        </w:rPr>
        <w:t xml:space="preserve">Le evidenze impiegate</w:t>
      </w:r>
    </w:p>
    <w:p>
      <w:pPr>
        <w:spacing w:after="120" w:line="276"/>
        <w:jc w:val="both"/>
      </w:pPr>
      <w:r>
        <w:rPr>
          <w:rFonts w:ascii="Barlow Semi Condensed" w:cs="Barlow Semi Condensed" w:eastAsia="Barlow Semi Condensed" w:hAnsi="Barlow Semi Condensed"/>
          <w:b/>
          <w:bCs/>
          <w:sz w:val="24"/>
          <w:szCs w:val="24"/>
        </w:rPr>
        <w:t xml:space="preserve">Si impiegano sette evidenze, tutte accertate e nessuna controversa quanto alla propria esistenza.</w:t>
      </w:r>
    </w:p>
    <w:p>
      <w:pPr>
        <w:spacing w:after="120" w:line="276"/>
        <w:jc w:val="both"/>
      </w:pPr>
      <w:r>
        <w:rPr>
          <w:rFonts w:ascii="Barlow Semi Condensed" w:cs="Barlow Semi Condensed" w:eastAsia="Barlow Semi Condensed" w:hAnsi="Barlow Semi Condensed"/>
          <w:b/>
          <w:bCs/>
          <w:sz w:val="24"/>
          <w:szCs w:val="24"/>
        </w:rPr>
        <w:t xml:space="preserve">Prima: l'esistenza e il contenuto dei documenti diffusi dall'organizzazione durante i cinquantacinque giorni.</w:t>
      </w:r>
    </w:p>
    <w:p>
      <w:pPr>
        <w:spacing w:after="120" w:line="276"/>
        <w:jc w:val="both"/>
      </w:pPr>
      <w:r>
        <w:rPr>
          <w:rFonts w:ascii="Barlow Semi Condensed" w:cs="Barlow Semi Condensed" w:eastAsia="Barlow Semi Condensed" w:hAnsi="Barlow Semi Condensed"/>
          <w:b/>
          <w:bCs/>
          <w:sz w:val="24"/>
          <w:szCs w:val="24"/>
        </w:rPr>
        <w:t xml:space="preserve">Seconda: gli esiti giudiziari, che hanno accertato responsabilità individuali di appartenenti all'organizzazione.</w:t>
      </w:r>
    </w:p>
    <w:p>
      <w:pPr>
        <w:spacing w:after="120" w:line="276"/>
        <w:jc w:val="both"/>
      </w:pPr>
      <w:r>
        <w:rPr>
          <w:rFonts w:ascii="Barlow Semi Condensed" w:cs="Barlow Semi Condensed" w:eastAsia="Barlow Semi Condensed" w:hAnsi="Barlow Semi Condensed"/>
          <w:b/>
          <w:bCs/>
          <w:sz w:val="24"/>
          <w:szCs w:val="24"/>
        </w:rPr>
        <w:t xml:space="preserve">Terza: la coincidenza fra il giorno dell'azione e il giorno del voto di fiducia.</w:t>
      </w:r>
    </w:p>
    <w:p>
      <w:pPr>
        <w:spacing w:after="120" w:line="276"/>
        <w:jc w:val="both"/>
      </w:pPr>
      <w:r>
        <w:rPr>
          <w:rFonts w:ascii="Barlow Semi Condensed" w:cs="Barlow Semi Condensed" w:eastAsia="Barlow Semi Condensed" w:hAnsi="Barlow Semi Condensed"/>
          <w:b/>
          <w:bCs/>
          <w:sz w:val="24"/>
          <w:szCs w:val="24"/>
        </w:rPr>
        <w:t xml:space="preserve">Quarta: il livello di preparazione operativa manifestato dall'azione di via Fani.</w:t>
      </w:r>
    </w:p>
    <w:p>
      <w:pPr>
        <w:spacing w:after="120" w:line="276"/>
        <w:jc w:val="both"/>
      </w:pPr>
      <w:r>
        <w:rPr>
          <w:rFonts w:ascii="Barlow Semi Condensed" w:cs="Barlow Semi Condensed" w:eastAsia="Barlow Semi Condensed" w:hAnsi="Barlow Semi Condensed"/>
          <w:b/>
          <w:bCs/>
          <w:sz w:val="24"/>
          <w:szCs w:val="24"/>
        </w:rPr>
        <w:t xml:space="preserve">Quinta: le omissioni verificatesi durante i cinquantacinque giorni, per la parte in cui esse sono state accertate dalle sedi istituzionali.</w:t>
      </w:r>
    </w:p>
    <w:p>
      <w:pPr>
        <w:spacing w:after="120" w:line="276"/>
        <w:jc w:val="both"/>
      </w:pPr>
      <w:r>
        <w:rPr>
          <w:rFonts w:ascii="Barlow Semi Condensed" w:cs="Barlow Semi Condensed" w:eastAsia="Barlow Semi Condensed" w:hAnsi="Barlow Semi Condensed"/>
          <w:b/>
          <w:bCs/>
          <w:sz w:val="24"/>
          <w:szCs w:val="24"/>
        </w:rPr>
        <w:t xml:space="preserve">Sesta: gli accertamenti relativi a deviazioni di apparati nel decennio anteriore.</w:t>
      </w:r>
    </w:p>
    <w:p>
      <w:pPr>
        <w:spacing w:after="120" w:line="276"/>
        <w:jc w:val="both"/>
      </w:pPr>
      <w:r>
        <w:rPr>
          <w:rFonts w:ascii="Barlow Semi Condensed" w:cs="Barlow Semi Condensed" w:eastAsia="Barlow Semi Condensed" w:hAnsi="Barlow Semi Condensed"/>
          <w:b/>
          <w:bCs/>
          <w:sz w:val="24"/>
          <w:szCs w:val="24"/>
        </w:rPr>
        <w:t xml:space="preserve">Settima: l'esito negativo della verifica statistica sull'addensamento degli eventi attorno alle scadenze europee, riferito al Capitolo tredicesimo.</w:t>
      </w:r>
    </w:p>
    <w:p>
      <w:pPr>
        <w:pStyle w:val="Heading2"/>
        <w:spacing w:after="100" w:before="200"/>
      </w:pPr>
      <w:r>
        <w:rPr>
          <w:rFonts w:ascii="Barlow Semi Condensed" w:cs="Barlow Semi Condensed" w:eastAsia="Barlow Semi Condensed" w:hAnsi="Barlow Semi Condensed"/>
          <w:sz w:val="24"/>
          <w:szCs w:val="24"/>
        </w:rPr>
        <w:t xml:space="preserve">La valutazione</w:t>
      </w:r>
    </w:p>
    <w:p>
      <w:pPr>
        <w:spacing w:after="120" w:line="276"/>
        <w:jc w:val="both"/>
      </w:pPr>
      <w:r>
        <w:rPr>
          <w:rFonts w:ascii="Barlow Semi Condensed" w:cs="Barlow Semi Condensed" w:eastAsia="Barlow Semi Condensed" w:hAnsi="Barlow Semi Condensed"/>
          <w:b/>
          <w:bCs/>
          <w:sz w:val="24"/>
          <w:szCs w:val="24"/>
        </w:rPr>
        <w:t xml:space="preserve">Rispetto al primo genere — movente dichiarato, esecuzione autonoma — la prima e la seconda evidenza sono coerenti; la terza è coerente; la sesta e la settima sono neutre; la quarta e la quinta sono in tensione, perché il genere deve spiegarle come effetto di capacità proprie e di inefficienza altrui, e tale spiegazione è possibile ma non è dimostrata.</w:t>
      </w:r>
    </w:p>
    <w:p>
      <w:pPr>
        <w:spacing w:after="120" w:line="276"/>
        <w:jc w:val="both"/>
      </w:pPr>
      <w:r>
        <w:rPr>
          <w:rFonts w:ascii="Barlow Semi Condensed" w:cs="Barlow Semi Condensed" w:eastAsia="Barlow Semi Condensed" w:hAnsi="Barlow Semi Condensed"/>
          <w:b/>
          <w:bCs/>
          <w:sz w:val="24"/>
          <w:szCs w:val="24"/>
        </w:rPr>
        <w:t xml:space="preserve">Rispetto al secondo genere — concorso esterno — la prima, la seconda, la terza e la quarta sono coerenti; la quinta è coerente e ne costituisce il sostegno principale; la sesta è coerente in senso debole, in quanto stabilisce possibilità e non atto; la settima è neutra. Non si registrano incoerenze dirette. Il genere resta però privo di prova positiva del concorso, e la sua compatibilità con le evidenze non equivale alla sua dimostrazione.</w:t>
      </w:r>
    </w:p>
    <w:p>
      <w:pPr>
        <w:spacing w:after="120" w:line="276"/>
        <w:jc w:val="both"/>
      </w:pPr>
      <w:r>
        <w:rPr>
          <w:rFonts w:ascii="Barlow Semi Condensed" w:cs="Barlow Semi Condensed" w:eastAsia="Barlow Semi Condensed" w:hAnsi="Barlow Semi Condensed"/>
          <w:b/>
          <w:bCs/>
          <w:sz w:val="24"/>
          <w:szCs w:val="24"/>
        </w:rPr>
        <w:t xml:space="preserve">Rispetto al terzo genere — regia esterna — la quarta e la quinta sono coerenti; la sesta è coerente in senso debole; la prima è in tensione, perché il genere deve trattare i documenti dell'organizzazione come costruiti o eterodiretti, il che è possibile ma richiede prova propria; la seconda è in tensione per la medesima ragione; la settima è incoerente rispetto alla sottospecie che indica una regia sovranazionale motivata dall'ostacolo all'integrazione europea, e la contraddice.</w:t>
      </w:r>
    </w:p>
    <w:p>
      <w:pPr>
        <w:spacing w:after="120" w:line="276"/>
        <w:jc w:val="both"/>
      </w:pPr>
      <w:r>
        <w:rPr>
          <w:rFonts w:ascii="Barlow Semi Condensed" w:cs="Barlow Semi Condensed" w:eastAsia="Barlow Semi Condensed" w:hAnsi="Barlow Semi Condensed"/>
          <w:b/>
          <w:bCs/>
          <w:sz w:val="24"/>
          <w:szCs w:val="24"/>
        </w:rPr>
        <w:t xml:space="preserve">Rispetto al quarto genere — non impedimento consapevole — la prima, la seconda, la terza e la quarta sono coerenti o neutre; la quinta è coerente e ne costituisce il sostegno principale; la sesta è coerente in senso debole; la settima è neutra. Non si registrano incoerenze dirette.</w:t>
      </w:r>
    </w:p>
    <w:p>
      <w:pPr>
        <w:pStyle w:val="Heading2"/>
        <w:spacing w:after="100" w:before="200"/>
      </w:pPr>
      <w:r>
        <w:rPr>
          <w:rFonts w:ascii="Barlow Semi Condensed" w:cs="Barlow Semi Condensed" w:eastAsia="Barlow Semi Condensed" w:hAnsi="Barlow Semi Condensed"/>
          <w:sz w:val="24"/>
          <w:szCs w:val="24"/>
        </w:rPr>
        <w:t xml:space="preserve">Ciò che la matrice restituisce</w:t>
      </w:r>
    </w:p>
    <w:p>
      <w:pPr>
        <w:spacing w:after="120" w:line="276"/>
        <w:jc w:val="both"/>
      </w:pPr>
      <w:r>
        <w:rPr>
          <w:rFonts w:ascii="Barlow Semi Condensed" w:cs="Barlow Semi Condensed" w:eastAsia="Barlow Semi Condensed" w:hAnsi="Barlow Semi Condensed"/>
          <w:b/>
          <w:bCs/>
          <w:sz w:val="24"/>
          <w:szCs w:val="24"/>
        </w:rPr>
        <w:t xml:space="preserve">La matrice restituisce tre risultati, e nessuno di essi è una conclusione sul movente.</w:t>
      </w:r>
    </w:p>
    <w:p>
      <w:pPr>
        <w:spacing w:after="120" w:line="276"/>
        <w:jc w:val="both"/>
      </w:pPr>
      <w:r>
        <w:rPr>
          <w:rFonts w:ascii="Barlow Semi Condensed" w:cs="Barlow Semi Condensed" w:eastAsia="Barlow Semi Condensed" w:hAnsi="Barlow Semi Condensed"/>
          <w:b/>
          <w:bCs/>
          <w:sz w:val="24"/>
          <w:szCs w:val="24"/>
        </w:rPr>
        <w:t xml:space="preserve">Primo risultato: nessuno dei quattro generi è escluso dalle evidenze disponibili. Il caso, allo stato degli atti che quest'opera ha potuto interrogare, non è risolto sul piano del movente.</w:t>
      </w:r>
    </w:p>
    <w:p>
      <w:pPr>
        <w:spacing w:after="120" w:line="276"/>
        <w:jc w:val="both"/>
      </w:pPr>
      <w:r>
        <w:rPr>
          <w:rFonts w:ascii="Barlow Semi Condensed" w:cs="Barlow Semi Condensed" w:eastAsia="Barlow Semi Condensed" w:hAnsi="Barlow Semi Condensed"/>
          <w:b/>
          <w:bCs/>
          <w:sz w:val="24"/>
          <w:szCs w:val="24"/>
        </w:rPr>
        <w:t xml:space="preserve">Secondo risultato: la settima evidenza discrimina, ed è la sola che discrimini. Essa contraddice una sottospecie determinata del terzo genere, e la esclude. È l'unico esito escludente prodotto da questa Fase, e va registrato con la dignità che gli compete: esso è stato ottenuto per verifica statistica e non per argomentazione, il che conferma che la discriminazione fra ipotesi si ottiene con misure e non con ragionamenti.</w:t>
      </w:r>
    </w:p>
    <w:p>
      <w:pPr>
        <w:spacing w:after="120" w:line="276"/>
        <w:jc w:val="both"/>
      </w:pPr>
      <w:r>
        <w:rPr>
          <w:rFonts w:ascii="Barlow Semi Condensed" w:cs="Barlow Semi Condensed" w:eastAsia="Barlow Semi Condensed" w:hAnsi="Barlow Semi Condensed"/>
          <w:b/>
          <w:bCs/>
          <w:sz w:val="24"/>
          <w:szCs w:val="24"/>
        </w:rPr>
        <w:t xml:space="preserve">Terzo risultato, e più importante per il lavoro futuro: la quinta evidenza — le omissioni accertate — è quella che ha il maggiore potere discriminante potenziale, perché è coerente con il secondo e con il quarto genere e in tensione con il primo. Essa è dunque il terreno sul quale la ricerca rende, ed è là che il lavoro deve concentrarsi.</w:t>
      </w:r>
    </w:p>
    <w:p>
      <w:pPr>
        <w:spacing w:after="120" w:line="276"/>
        <w:jc w:val="both"/>
      </w:pPr>
      <w:r>
        <w:rPr>
          <w:rFonts w:ascii="Barlow Semi Condensed" w:cs="Barlow Semi Condensed" w:eastAsia="Barlow Semi Condensed" w:hAnsi="Barlow Semi Condensed"/>
          <w:b/>
          <w:bCs/>
          <w:sz w:val="24"/>
          <w:szCs w:val="24"/>
        </w:rPr>
        <w:t xml:space="preserve">Si osservi che questo terzo risultato non dice che le omissioni provino il concorso: dice che, fra le evidenze disponibili, esse sono quelle il cui approfondimento può modificare la matrice. La pressione indica dove il lavoro rende, mai che cosa è vero.</w:t>
      </w:r>
    </w:p>
    <w:p>
      <w:pPr>
        <w:pStyle w:val="Heading2"/>
        <w:spacing w:after="100" w:before="200"/>
      </w:pPr>
      <w:r>
        <w:rPr>
          <w:rFonts w:ascii="Barlow Semi Condensed" w:cs="Barlow Semi Condensed" w:eastAsia="Barlow Semi Condensed" w:hAnsi="Barlow Semi Condensed"/>
          <w:sz w:val="24"/>
          <w:szCs w:val="24"/>
        </w:rPr>
        <w:t xml:space="preserve">Capitolo ventesimo — Bilancio della Fase Seconda</w:t>
      </w:r>
    </w:p>
    <w:p>
      <w:pPr>
        <w:spacing w:after="120" w:line="276"/>
        <w:jc w:val="both"/>
      </w:pPr>
      <w:r>
        <w:rPr>
          <w:rFonts w:ascii="Barlow Semi Condensed" w:cs="Barlow Semi Condensed" w:eastAsia="Barlow Semi Condensed" w:hAnsi="Barlow Semi Condensed"/>
          <w:b/>
          <w:bCs/>
          <w:sz w:val="24"/>
          <w:szCs w:val="24"/>
        </w:rPr>
        <w:t xml:space="preserve">Si chiude la Fase dichiarando ciò che essa ha stabilito, ciò che ha escluso, e ciò che consegna alle Fasi successive.</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il sistema politico italiano conosceva, dal 1947, una esclusione permanente del secondo partito del paese dalla responsabilità di governo; che tale esclusione non era disposta da norma alcuna; e che nel 1978 era in corso un passaggio che la modificava per la prima volta.</w:t>
      </w:r>
    </w:p>
    <w:p>
      <w:pPr>
        <w:spacing w:after="120" w:line="276"/>
        <w:jc w:val="both"/>
      </w:pPr>
      <w:r>
        <w:rPr>
          <w:rFonts w:ascii="Barlow Semi Condensed" w:cs="Barlow Semi Condensed" w:eastAsia="Barlow Semi Condensed" w:hAnsi="Barlow Semi Condensed"/>
          <w:b/>
          <w:bCs/>
          <w:sz w:val="24"/>
          <w:szCs w:val="24"/>
        </w:rPr>
        <w:t xml:space="preserve">È accertato che Aldo Moro era, dalla parte democristiana, l'artefice principale di quel passaggio.</w:t>
      </w:r>
    </w:p>
    <w:p>
      <w:pPr>
        <w:spacing w:after="120" w:line="276"/>
        <w:jc w:val="both"/>
      </w:pPr>
      <w:r>
        <w:rPr>
          <w:rFonts w:ascii="Barlow Semi Condensed" w:cs="Barlow Semi Condensed" w:eastAsia="Barlow Semi Condensed" w:hAnsi="Barlow Semi Condensed"/>
          <w:b/>
          <w:bCs/>
          <w:sz w:val="24"/>
          <w:szCs w:val="24"/>
        </w:rPr>
        <w:t xml:space="preserve">È accertato che il giorno del rapimento coincise con il giorno del voto di fiducia al primo governo sostenuto da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È accertato che entrambe le superpotenze esercitavano forme documentate di influenza sulla politica italiana, e che entrambe osservavano con contrarietà, per ragioni opposte fra loro, l'operazione in corso.</w:t>
      </w:r>
    </w:p>
    <w:p>
      <w:pPr>
        <w:spacing w:after="120" w:line="276"/>
        <w:jc w:val="both"/>
      </w:pPr>
      <w:r>
        <w:rPr>
          <w:rFonts w:ascii="Barlow Semi Condensed" w:cs="Barlow Semi Condensed" w:eastAsia="Barlow Semi Condensed" w:hAnsi="Barlow Semi Condensed"/>
          <w:b/>
          <w:bCs/>
          <w:sz w:val="24"/>
          <w:szCs w:val="24"/>
        </w:rPr>
        <w:t xml:space="preserve">È accertato che il decennio anteriore conobbe, in Italia, episodi documentati di deviazione di apparati, predisposizioni eversive, depistaggi e strutture riservate operanti fuori dal circuito ordinario di responsabilità, come da sentenze e da relazioni di commissioni parlamentari d'inchiesta.</w:t>
      </w:r>
    </w:p>
    <w:p>
      <w:pPr>
        <w:spacing w:after="120" w:line="276"/>
        <w:jc w:val="both"/>
      </w:pPr>
      <w:r>
        <w:rPr>
          <w:rFonts w:ascii="Barlow Semi Condensed" w:cs="Barlow Semi Condensed" w:eastAsia="Barlow Semi Condensed" w:hAnsi="Barlow Semi Condensed"/>
          <w:b/>
          <w:bCs/>
          <w:sz w:val="24"/>
          <w:szCs w:val="24"/>
        </w:rPr>
        <w:t xml:space="preserve">È accertato che l'organizzazione che compì l'azione ne dichiarò pubblicamente le ragioni, e quali esse fossero.</w:t>
      </w:r>
    </w:p>
    <w:p>
      <w:pPr>
        <w:pStyle w:val="Heading2"/>
        <w:spacing w:after="100" w:before="200"/>
      </w:pPr>
      <w:r>
        <w:rPr>
          <w:rFonts w:ascii="Barlow Semi Condensed" w:cs="Barlow Semi Condensed" w:eastAsia="Barlow Semi Condensed" w:hAnsi="Barlow Semi Condensed"/>
          <w:sz w:val="24"/>
          <w:szCs w:val="24"/>
        </w:rPr>
        <w:t xml:space="preserve">Ciò che è escluso</w:t>
      </w:r>
    </w:p>
    <w:p>
      <w:pPr>
        <w:spacing w:after="120" w:line="276"/>
        <w:jc w:val="both"/>
      </w:pPr>
      <w:r>
        <w:rPr>
          <w:rFonts w:ascii="Barlow Semi Condensed" w:cs="Barlow Semi Condensed" w:eastAsia="Barlow Semi Condensed" w:hAnsi="Barlow Semi Condensed"/>
          <w:b/>
          <w:bCs/>
          <w:sz w:val="24"/>
          <w:szCs w:val="24"/>
        </w:rPr>
        <w:t xml:space="preserve">È escluso, per esito di verifica statistica riferito al Capitolo tredicesimo, che gli eventi stragisti italiani si addensino attorno alle scadenze del processo di integrazione europea. La sottospecie di ipotesi che su tale addensamento si fondava è dismessa.</w:t>
      </w:r>
    </w:p>
    <w:p>
      <w:pPr>
        <w:spacing w:after="120" w:line="276"/>
        <w:jc w:val="both"/>
      </w:pPr>
      <w:r>
        <w:rPr>
          <w:rFonts w:ascii="Barlow Semi Condensed" w:cs="Barlow Semi Condensed" w:eastAsia="Barlow Semi Condensed" w:hAnsi="Barlow Semi Condensed"/>
          <w:b/>
          <w:bCs/>
          <w:sz w:val="24"/>
          <w:szCs w:val="24"/>
        </w:rPr>
        <w:t xml:space="preserve">È il solo esito escludente della Fase, e si registra come tale.</w:t>
      </w:r>
    </w:p>
    <w:p>
      <w:pPr>
        <w:pStyle w:val="Heading2"/>
        <w:spacing w:after="100" w:before="200"/>
      </w:pPr>
      <w:r>
        <w:rPr>
          <w:rFonts w:ascii="Barlow Semi Condensed" w:cs="Barlow Semi Condensed" w:eastAsia="Barlow Semi Condensed" w:hAnsi="Barlow Semi Condensed"/>
          <w:sz w:val="24"/>
          <w:szCs w:val="24"/>
        </w:rPr>
        <w:t xml:space="preserve">Ciò che resta in stato di dubbio</w:t>
      </w:r>
    </w:p>
    <w:p>
      <w:pPr>
        <w:spacing w:after="120" w:line="276"/>
        <w:jc w:val="both"/>
      </w:pPr>
      <w:r>
        <w:rPr>
          <w:rFonts w:ascii="Barlow Semi Condensed" w:cs="Barlow Semi Condensed" w:eastAsia="Barlow Semi Condensed" w:hAnsi="Barlow Semi Condensed"/>
          <w:b/>
          <w:bCs/>
          <w:sz w:val="24"/>
          <w:szCs w:val="24"/>
        </w:rPr>
        <w:t xml:space="preserve">Resta in stato di dubbio il movente ultimo dell'azione, in tutte e quattro le sue formulazioni generiche.</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colleghi l'influenza documentata delle potenze straniere all'atto materiale, per entrambi i versanti.</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estenda al fatto del 1978 gli accertamenti relativi alle deviazioni del decennio anteriore.</w:t>
      </w:r>
    </w:p>
    <w:p>
      <w:pPr>
        <w:spacing w:after="120" w:line="276"/>
        <w:jc w:val="both"/>
      </w:pPr>
      <w:r>
        <w:rPr>
          <w:rFonts w:ascii="Barlow Semi Condensed" w:cs="Barlow Semi Condensed" w:eastAsia="Barlow Semi Condensed" w:hAnsi="Barlow Semi Condensed"/>
          <w:b/>
          <w:bCs/>
          <w:sz w:val="24"/>
          <w:szCs w:val="24"/>
        </w:rPr>
        <w:t xml:space="preserve">Per ciascuno di questi dubbi la condizione di scioglimento è stata indicata nel Capitolo che lo espone, e non si ripete qui.</w:t>
      </w:r>
    </w:p>
    <w:p>
      <w:pPr>
        <w:pStyle w:val="Heading2"/>
        <w:spacing w:after="100" w:before="200"/>
      </w:pPr>
      <w:r>
        <w:rPr>
          <w:rFonts w:ascii="Barlow Semi Condensed" w:cs="Barlow Semi Condensed" w:eastAsia="Barlow Semi Condensed" w:hAnsi="Barlow Semi Condensed"/>
          <w:sz w:val="24"/>
          <w:szCs w:val="24"/>
        </w:rPr>
        <w:t xml:space="preserve">Ciò che si consegna alle Fasi successive</w:t>
      </w:r>
    </w:p>
    <w:p>
      <w:pPr>
        <w:spacing w:after="120" w:line="276"/>
        <w:jc w:val="both"/>
      </w:pPr>
      <w:r>
        <w:rPr>
          <w:rFonts w:ascii="Barlow Semi Condensed" w:cs="Barlow Semi Condensed" w:eastAsia="Barlow Semi Condensed" w:hAnsi="Barlow Semi Condensed"/>
          <w:b/>
          <w:bCs/>
          <w:sz w:val="24"/>
          <w:szCs w:val="24"/>
        </w:rPr>
        <w:t xml:space="preserve">Si consegna alla Fase Terza lo scarto segnalato al Capitolo diciassettesimo: la misura di quanto l'azione di via Fani richiese, da confrontare con quanto il movente dichiarato spiega. Lo scarto è una domanda, e la Fase Terza ha la competenza per misurarla.</w:t>
      </w:r>
    </w:p>
    <w:p>
      <w:pPr>
        <w:spacing w:after="120" w:line="276"/>
        <w:jc w:val="both"/>
      </w:pPr>
      <w:r>
        <w:rPr>
          <w:rFonts w:ascii="Barlow Semi Condensed" w:cs="Barlow Semi Condensed" w:eastAsia="Barlow Semi Condensed" w:hAnsi="Barlow Semi Condensed"/>
          <w:b/>
          <w:bCs/>
          <w:sz w:val="24"/>
          <w:szCs w:val="24"/>
        </w:rPr>
        <w:t xml:space="preserve">Si consegna alla Fase Quinta la quinta evidenza della matrice, che il Capitolo diciannovesimo ha indicato come quella di maggiore potere discriminante: le omissioni accertate, da esaminare una per una, nella loro sede, con i loro estremi, e distinguendo in ciascuna ciò che è errore da ciò che non lo è.</w:t>
      </w:r>
    </w:p>
    <w:p>
      <w:pPr>
        <w:spacing w:after="120" w:line="276"/>
        <w:jc w:val="both"/>
      </w:pPr>
      <w:r>
        <w:rPr>
          <w:rFonts w:ascii="Barlow Semi Condensed" w:cs="Barlow Semi Condensed" w:eastAsia="Barlow Semi Condensed" w:hAnsi="Barlow Semi Condensed"/>
          <w:b/>
          <w:bCs/>
          <w:sz w:val="24"/>
          <w:szCs w:val="24"/>
        </w:rPr>
        <w:t xml:space="preserve">Si consegna alla Fase Sesta la distinzione fra i tre livelli di responsabilità — chi eseguì, chi organizzò, chi volle — che questa Fase ha tenuti indistinti perché trattava le ragioni e non gli attori.</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Seconda, le ragioni. Materia: quadro interno, quadro internazionale, condizione del paese, accertamenti sul decennio anteriore, movente dichiarato, movente attribuito, matrice delle ipotesi concorrenti. Esito: sei acquisizioni in stato di sciolto quanto al contesto; una esclusione; quattro generi di ipotesi tutti compatibili con le evidenze disponibili e nessuno provato; individuazione del terreno di massimo rendimento istruttorio nelle omissioni accertate.</w:t>
      </w:r>
    </w:p>
    <w:p>
      <w:pPr>
        <w:spacing w:after="120" w:line="276"/>
        <w:jc w:val="both"/>
      </w:pPr>
      <w:r>
        <w:rPr>
          <w:rFonts w:ascii="Barlow Semi Condensed" w:cs="Barlow Semi Condensed" w:eastAsia="Barlow Semi Condensed" w:hAnsi="Barlow Semi Condensed"/>
          <w:b/>
          <w:bCs/>
          <w:sz w:val="24"/>
          <w:szCs w:val="24"/>
        </w:rPr>
        <w:t xml:space="preserve">Riga di esito nullo. Nessun atto è stato reperito che colleghi l'influenza straniera documentata all'atto materiale, per nessuno dei due versanti. Tredici archivi remoti rilevanti restano non interrogabili con gli strumenti disponibili. Il silenzio di tali archivi non è confermativo di alcuna ipotesi ed è iscritto in tavola come lacuna dichiarata.</w:t>
      </w:r>
    </w:p>
    <w:p>
      <w:pPr>
        <w:spacing w:after="120" w:line="276"/>
        <w:jc w:val="both"/>
      </w:pPr>
      <w:r>
        <w:rPr>
          <w:rFonts w:ascii="Barlow Semi Condensed" w:cs="Barlow Semi Condensed" w:eastAsia="Barlow Semi Condensed" w:hAnsi="Barlow Semi Condensed"/>
          <w:b/>
          <w:bCs/>
          <w:sz w:val="24"/>
          <w:szCs w:val="24"/>
        </w:rPr>
        <w:t xml:space="preserve">Riga di avvertenza al lettore. Chi abbia letto questa Fase attendendosene il perché non lo ha trovato, e non lo ha trovato perché allo stato degli atti non c'è. Se ne è ricavato invece qualcosa di meno appagante e di più utile: la mappa delle ipotesi possibili, la sola esclusione che le evidenze consentano, e l'indicazione precisa del punto nel quale conviene scavare. È ciò che una Fase sulle ragioni può onestamente produrre; e chi offra di più, in questa materia, offre sé stesso e non le fonti.</w:t>
      </w:r>
    </w:p>
    <w:p>
      <w:pPr>
        <w:pStyle w:val="Heading2"/>
        <w:spacing w:after="100" w:before="200"/>
      </w:pPr>
      <w:r>
        <w:rPr>
          <w:rFonts w:ascii="Barlow Semi Condensed" w:cs="Barlow Semi Condensed" w:eastAsia="Barlow Semi Condensed" w:hAnsi="Barlow Semi Condensed"/>
          <w:sz w:val="24"/>
          <w:szCs w:val="24"/>
        </w:rPr>
        <w:t xml:space="preserve">FASE TERZA — IL FATTO</w:t>
      </w:r>
    </w:p>
    <w:p>
      <w:pPr>
        <w:spacing w:after="120" w:line="276"/>
        <w:jc w:val="both"/>
      </w:pPr>
      <w:r>
        <w:rPr>
          <w:rFonts w:ascii="Barlow Semi Condensed" w:cs="Barlow Semi Condensed" w:eastAsia="Barlow Semi Condensed" w:hAnsi="Barlow Semi Condensed"/>
          <w:b/>
          <w:bCs/>
          <w:sz w:val="24"/>
          <w:szCs w:val="24"/>
        </w:rPr>
        <w:t xml:space="preserve">Dove si ricostruisce l'agguato del 16 marzo 1978, i cinquantacinque giorni e il rinvenimento del 9 maggio 1978, distinguendo in ogni punto il rilievo materiale dalla dichiarazione.</w:t>
      </w:r>
    </w:p>
    <w:p>
      <w:pPr>
        <w:pStyle w:val="Heading2"/>
        <w:spacing w:after="100" w:before="200"/>
      </w:pPr>
      <w:r>
        <w:rPr>
          <w:rFonts w:ascii="Barlow Semi Condensed" w:cs="Barlow Semi Condensed" w:eastAsia="Barlow Semi Condensed" w:hAnsi="Barlow Semi Condensed"/>
          <w:sz w:val="24"/>
          <w:szCs w:val="24"/>
        </w:rPr>
        <w:t xml:space="preserve">Capitolo ventunesimo — L'oggetto della Fase e la disciplina della ricostruzione materiale</w:t>
      </w:r>
    </w:p>
    <w:p>
      <w:pPr>
        <w:spacing w:after="120" w:line="276"/>
        <w:jc w:val="both"/>
      </w:pPr>
      <w:r>
        <w:rPr>
          <w:rFonts w:ascii="Barlow Semi Condensed" w:cs="Barlow Semi Condensed" w:eastAsia="Barlow Semi Condensed" w:hAnsi="Barlow Semi Condensed"/>
          <w:b/>
          <w:bCs/>
          <w:sz w:val="24"/>
          <w:szCs w:val="24"/>
        </w:rPr>
        <w:t xml:space="preserve">Questa Fase tratta il fatto: l'agguato del 16 marzo 1978, i cinquantacinque giorni di prigionia, il rinvenimento del 9 maggio 1978. È la Fase del massimo carico documentale delle sette, e per questo la sua disciplina è diversa da quella della Fase precedente.</w:t>
      </w:r>
    </w:p>
    <w:p>
      <w:pPr>
        <w:pStyle w:val="Heading2"/>
        <w:spacing w:after="100" w:before="200"/>
      </w:pPr>
      <w:r>
        <w:rPr>
          <w:rFonts w:ascii="Barlow Semi Condensed" w:cs="Barlow Semi Condensed" w:eastAsia="Barlow Semi Condensed" w:hAnsi="Barlow Semi Condensed"/>
          <w:sz w:val="24"/>
          <w:szCs w:val="24"/>
        </w:rPr>
        <w:t xml:space="preserve">La differenza rispetto alla Fase Seconda</w:t>
      </w:r>
    </w:p>
    <w:p>
      <w:pPr>
        <w:spacing w:after="120" w:line="276"/>
        <w:jc w:val="both"/>
      </w:pPr>
      <w:r>
        <w:rPr>
          <w:rFonts w:ascii="Barlow Semi Condensed" w:cs="Barlow Semi Condensed" w:eastAsia="Barlow Semi Condensed" w:hAnsi="Barlow Semi Condensed"/>
          <w:b/>
          <w:bCs/>
          <w:sz w:val="24"/>
          <w:szCs w:val="24"/>
        </w:rPr>
        <w:t xml:space="preserve">Nella Fase delle ragioni il pericolo era il vuoto: mancando il documento sul movente, la congettura entrava a riempirlo. Qui il pericolo è opposto. Il documento c'è, e c'è in abbondanza: perizie balistiche, rilievi, verbali, dichiarazioni, sentenze, relazioni. La tentazione non è di colmare un vuoto, ma di far dire al documento più di quanto esso dica.</w:t>
      </w:r>
    </w:p>
    <w:p>
      <w:pPr>
        <w:spacing w:after="120" w:line="276"/>
        <w:jc w:val="both"/>
      </w:pPr>
      <w:r>
        <w:rPr>
          <w:rFonts w:ascii="Barlow Semi Condensed" w:cs="Barlow Semi Condensed" w:eastAsia="Barlow Semi Condensed" w:hAnsi="Barlow Semi Condensed"/>
          <w:b/>
          <w:bCs/>
          <w:sz w:val="24"/>
          <w:szCs w:val="24"/>
        </w:rPr>
        <w:t xml:space="preserve">Il meccanismo è questo. Una perizia stabilisce che furono esplosi un certo numero di colpi e che una parte di essi proviene da una sola arma. Il dato è preciso e verificabile. Da esso si passa, senza avvedersene, a una proposizione sul grado di addestramento di chi impugnava quell'arma; e da questa a una proposizione sulla provenienza di quell'addestramento; e da questa a una proposizione sull'ambiente che lo impartì. Nessuno di questi passaggi è documentato dalla perizia, che si limita a contare bossoli e a identificare canne. Ma ciascuno appare come una lettura del dato, e non come una aggiunta ad esso.</w:t>
      </w:r>
    </w:p>
    <w:p>
      <w:pPr>
        <w:spacing w:after="120" w:line="276"/>
        <w:jc w:val="both"/>
      </w:pPr>
      <w:r>
        <w:rPr>
          <w:rFonts w:ascii="Barlow Semi Condensed" w:cs="Barlow Semi Condensed" w:eastAsia="Barlow Semi Condensed" w:hAnsi="Barlow Semi Condensed"/>
          <w:b/>
          <w:bCs/>
          <w:sz w:val="24"/>
          <w:szCs w:val="24"/>
        </w:rPr>
        <w:t xml:space="preserve">La disciplina di questa Fase consiste dunque nel separare, per ciascun elemento, tre livelli che il discorso corrente confonde: che cosa il rilievo attesta; che cosa la perizia ne inferisce; che cosa il ricostruttore vi aggiunge.</w:t>
      </w:r>
    </w:p>
    <w:p>
      <w:pPr>
        <w:pStyle w:val="Heading2"/>
        <w:spacing w:after="100" w:before="200"/>
      </w:pPr>
      <w:r>
        <w:rPr>
          <w:rFonts w:ascii="Barlow Semi Condensed" w:cs="Barlow Semi Condensed" w:eastAsia="Barlow Semi Condensed" w:hAnsi="Barlow Semi Condensed"/>
          <w:sz w:val="24"/>
          <w:szCs w:val="24"/>
        </w:rPr>
        <w:t xml:space="preserve">Le tre domande di ogni elemento</w:t>
      </w:r>
    </w:p>
    <w:p>
      <w:pPr>
        <w:spacing w:after="120" w:line="276"/>
        <w:jc w:val="both"/>
      </w:pPr>
      <w:r>
        <w:rPr>
          <w:rFonts w:ascii="Barlow Semi Condensed" w:cs="Barlow Semi Condensed" w:eastAsia="Barlow Semi Condensed" w:hAnsi="Barlow Semi Condensed"/>
          <w:b/>
          <w:bCs/>
          <w:sz w:val="24"/>
          <w:szCs w:val="24"/>
        </w:rPr>
        <w:t xml:space="preserve">Ogni elemento materiale sarà dunque esaminato ponendo tre domande nell'ordine.</w:t>
      </w:r>
    </w:p>
    <w:p>
      <w:pPr>
        <w:spacing w:after="120" w:line="276"/>
        <w:jc w:val="both"/>
      </w:pPr>
      <w:r>
        <w:rPr>
          <w:rFonts w:ascii="Barlow Semi Condensed" w:cs="Barlow Semi Condensed" w:eastAsia="Barlow Semi Condensed" w:hAnsi="Barlow Semi Condensed"/>
          <w:b/>
          <w:bCs/>
          <w:sz w:val="24"/>
          <w:szCs w:val="24"/>
        </w:rPr>
        <w:t xml:space="preserve">Prima domanda: che cosa è stato rilevato? Un bossolo in una posizione, un foro con una direzione, un veicolo con una collocazione, un corpo con determinate lesioni. Il rilievo è il livello più solido, e anche il più povero: esso non spiega nulla, constata.</w:t>
      </w:r>
    </w:p>
    <w:p>
      <w:pPr>
        <w:spacing w:after="120" w:line="276"/>
        <w:jc w:val="both"/>
      </w:pPr>
      <w:r>
        <w:rPr>
          <w:rFonts w:ascii="Barlow Semi Condensed" w:cs="Barlow Semi Condensed" w:eastAsia="Barlow Semi Condensed" w:hAnsi="Barlow Semi Condensed"/>
          <w:b/>
          <w:bCs/>
          <w:sz w:val="24"/>
          <w:szCs w:val="24"/>
        </w:rPr>
        <w:t xml:space="preserve">Seconda domanda: che cosa ne è stato inferito in sede tecnica, e con quale grado di certezza dichiarato dal perito? Una perizia che affermi la compatibilità fra un bossolo e un'arma dice una cosa; una che affermi l'identità dice cosa diversa e più forte. La differenza è dichiarata dai periti e viene quasi sempre perduta nella divulgazione.</w:t>
      </w:r>
    </w:p>
    <w:p>
      <w:pPr>
        <w:spacing w:after="120" w:line="276"/>
        <w:jc w:val="both"/>
      </w:pPr>
      <w:r>
        <w:rPr>
          <w:rFonts w:ascii="Barlow Semi Condensed" w:cs="Barlow Semi Condensed" w:eastAsia="Barlow Semi Condensed" w:hAnsi="Barlow Semi Condensed"/>
          <w:b/>
          <w:bCs/>
          <w:sz w:val="24"/>
          <w:szCs w:val="24"/>
        </w:rPr>
        <w:t xml:space="preserve">Terza domanda: che cosa è stato aggiunto dai ricostruttori, e su quale base? Qui si colloca la maggior parte di ciò che il lettore comune ritiene accertato del caso Moro.</w:t>
      </w:r>
    </w:p>
    <w:p>
      <w:pPr>
        <w:pStyle w:val="Heading2"/>
        <w:spacing w:after="100" w:before="200"/>
      </w:pPr>
      <w:r>
        <w:rPr>
          <w:rFonts w:ascii="Barlow Semi Condensed" w:cs="Barlow Semi Condensed" w:eastAsia="Barlow Semi Condensed" w:hAnsi="Barlow Semi Condensed"/>
          <w:sz w:val="24"/>
          <w:szCs w:val="24"/>
        </w:rPr>
        <w:t xml:space="preserve">Le revisioni</w:t>
      </w:r>
    </w:p>
    <w:p>
      <w:pPr>
        <w:spacing w:after="120" w:line="276"/>
        <w:jc w:val="both"/>
      </w:pPr>
      <w:r>
        <w:rPr>
          <w:rFonts w:ascii="Barlow Semi Condensed" w:cs="Barlow Semi Condensed" w:eastAsia="Barlow Semi Condensed" w:hAnsi="Barlow Semi Condensed"/>
          <w:b/>
          <w:bCs/>
          <w:sz w:val="24"/>
          <w:szCs w:val="24"/>
        </w:rPr>
        <w:t xml:space="preserve">Occorre premettere una avvertenza che riguarda l'intera Fase e che va detta subito, perché altrimenti il lettore si sorprenderà.</w:t>
      </w:r>
    </w:p>
    <w:p>
      <w:pPr>
        <w:spacing w:after="120" w:line="276"/>
        <w:jc w:val="both"/>
      </w:pPr>
      <w:r>
        <w:rPr>
          <w:rFonts w:ascii="Barlow Semi Condensed" w:cs="Barlow Semi Condensed" w:eastAsia="Barlow Semi Condensed" w:hAnsi="Barlow Semi Condensed"/>
          <w:b/>
          <w:bCs/>
          <w:sz w:val="24"/>
          <w:szCs w:val="24"/>
        </w:rPr>
        <w:t xml:space="preserve">La ricostruzione materiale di questo caso non è stabile. Essa è stata rivista più volte, nell'arco di quasi cinquant'anni, e le revisioni non hanno riguardato dettagli marginali: hanno riguardato il numero degli agenti presenti sul luogo dell'agguato, l'identità di chi esplose i colpi, l'identità di chi custodì il prigioniero, l'identità di chi lo uccise. Alcune revisioni sono derivate da dichiarazioni successive di persone coinvolte; altre da nuove perizie; altre dal rinvenimento di documenti.</w:t>
      </w:r>
    </w:p>
    <w:p>
      <w:pPr>
        <w:spacing w:after="120" w:line="276"/>
        <w:jc w:val="both"/>
      </w:pPr>
      <w:r>
        <w:rPr>
          <w:rFonts w:ascii="Barlow Semi Condensed" w:cs="Barlow Semi Condensed" w:eastAsia="Barlow Semi Condensed" w:hAnsi="Barlow Semi Condensed"/>
          <w:b/>
          <w:bCs/>
          <w:sz w:val="24"/>
          <w:szCs w:val="24"/>
        </w:rPr>
        <w:t xml:space="preserve">Questo dato va registrato per sé stesso, prima di ogni particolare, perché ha un significato metodologico. Una ricostruzione rivista quattro volte in quarant'anni non è una ricostruzione instabile per difetto degli inquirenti: è una ricostruzione che poggia, in parte considerevole, sulle dichiarazioni di chi partecipò ai fatti, e le dichiarazioni di chi partecipò ai fatti sono fonti interessate. Ogni volta che una di esse è mutata, la ricostruzione è mutata con essa.</w:t>
      </w:r>
    </w:p>
    <w:p>
      <w:pPr>
        <w:spacing w:after="120" w:line="276"/>
        <w:jc w:val="both"/>
      </w:pPr>
      <w:r>
        <w:rPr>
          <w:rFonts w:ascii="Barlow Semi Condensed" w:cs="Barlow Semi Condensed" w:eastAsia="Barlow Semi Condensed" w:hAnsi="Barlow Semi Condensed"/>
          <w:b/>
          <w:bCs/>
          <w:sz w:val="24"/>
          <w:szCs w:val="24"/>
        </w:rPr>
        <w:t xml:space="preserve">Ne segue una regola che questa Fase osserverà: si distingue costantemente ciò che poggia su rilievo materiale da ciò che poggia su dichiarazione. Il primo non muta quando muta il dichiarante; il secondo sì.</w:t>
      </w:r>
    </w:p>
    <w:p>
      <w:pPr>
        <w:pStyle w:val="Heading2"/>
        <w:spacing w:after="100" w:before="200"/>
      </w:pPr>
      <w:r>
        <w:rPr>
          <w:rFonts w:ascii="Barlow Semi Condensed" w:cs="Barlow Semi Condensed" w:eastAsia="Barlow Semi Condensed" w:hAnsi="Barlow Semi Condensed"/>
          <w:sz w:val="24"/>
          <w:szCs w:val="24"/>
        </w:rPr>
        <w:t xml:space="preserve">Che cosa la Fase consegna</w:t>
      </w:r>
    </w:p>
    <w:p>
      <w:pPr>
        <w:spacing w:after="120" w:line="276"/>
        <w:jc w:val="both"/>
      </w:pPr>
      <w:r>
        <w:rPr>
          <w:rFonts w:ascii="Barlow Semi Condensed" w:cs="Barlow Semi Condensed" w:eastAsia="Barlow Semi Condensed" w:hAnsi="Barlow Semi Condensed"/>
          <w:b/>
          <w:bCs/>
          <w:sz w:val="24"/>
          <w:szCs w:val="24"/>
        </w:rPr>
        <w:t xml:space="preserve">La Fase Terza consegna alle successive due cose.</w:t>
      </w:r>
    </w:p>
    <w:p>
      <w:pPr>
        <w:spacing w:after="120" w:line="276"/>
        <w:jc w:val="both"/>
      </w:pPr>
      <w:r>
        <w:rPr>
          <w:rFonts w:ascii="Barlow Semi Condensed" w:cs="Barlow Semi Condensed" w:eastAsia="Barlow Semi Condensed" w:hAnsi="Barlow Semi Condensed"/>
          <w:b/>
          <w:bCs/>
          <w:sz w:val="24"/>
          <w:szCs w:val="24"/>
        </w:rPr>
        <w:t xml:space="preserve">La prima è la ricostruzione dei fatti nella misura in cui è accertata, con la distinzione dei livelli e la segnalazione dei punti rivisti.</w:t>
      </w:r>
    </w:p>
    <w:p>
      <w:pPr>
        <w:spacing w:after="120" w:line="276"/>
        <w:jc w:val="both"/>
      </w:pPr>
      <w:r>
        <w:rPr>
          <w:rFonts w:ascii="Barlow Semi Condensed" w:cs="Barlow Semi Condensed" w:eastAsia="Barlow Semi Condensed" w:hAnsi="Barlow Semi Condensed"/>
          <w:b/>
          <w:bCs/>
          <w:sz w:val="24"/>
          <w:szCs w:val="24"/>
        </w:rPr>
        <w:t xml:space="preserve">La seconda è la misura dello scarto che la Fase Seconda le ha consegnato al Capitolo diciassettesimo: quanto l'azione richiese, confrontato con quanto il movente dichiarato spiega. Lo scarto sarà misurato nel Capitolo ventiquattresimo, e sarà consegnato alle Fasi Quinta e Sesta senza essere interpretato, perché la sua interpretazione appartiene a quelle.</w:t>
      </w:r>
    </w:p>
    <w:p>
      <w:pPr>
        <w:pStyle w:val="Heading2"/>
        <w:spacing w:after="100" w:before="200"/>
      </w:pPr>
      <w:r>
        <w:rPr>
          <w:rFonts w:ascii="Barlow Semi Condensed" w:cs="Barlow Semi Condensed" w:eastAsia="Barlow Semi Condensed" w:hAnsi="Barlow Semi Condensed"/>
          <w:sz w:val="24"/>
          <w:szCs w:val="24"/>
        </w:rPr>
        <w:t xml:space="preserve">Capitolo ventiduesimo — La mattina del 16 marzo 1978: gli uomini, i veicoli, il percorso</w:t>
      </w:r>
    </w:p>
    <w:p>
      <w:pPr>
        <w:pStyle w:val="Heading2"/>
        <w:spacing w:after="100" w:before="200"/>
      </w:pPr>
      <w:r>
        <w:rPr>
          <w:rFonts w:ascii="Barlow Semi Condensed" w:cs="Barlow Semi Condensed" w:eastAsia="Barlow Semi Condensed" w:hAnsi="Barlow Semi Condensed"/>
          <w:sz w:val="24"/>
          <w:szCs w:val="24"/>
        </w:rPr>
        <w:t xml:space="preserve">Gli uomini</w:t>
      </w:r>
    </w:p>
    <w:p>
      <w:pPr>
        <w:spacing w:after="120" w:line="276"/>
        <w:jc w:val="both"/>
      </w:pPr>
      <w:r>
        <w:rPr>
          <w:rFonts w:ascii="Barlow Semi Condensed" w:cs="Barlow Semi Condensed" w:eastAsia="Barlow Semi Condensed" w:hAnsi="Barlow Semi Condensed"/>
          <w:b/>
          <w:bCs/>
          <w:sz w:val="24"/>
          <w:szCs w:val="24"/>
        </w:rPr>
        <w:t xml:space="preserve">Cinque uomini componevano il servizio di scorta e di guida quella mattina, e i loro nomi sono qui scritti per intero.</w:t>
      </w:r>
    </w:p>
    <w:p>
      <w:pPr>
        <w:spacing w:after="120" w:line="276"/>
        <w:jc w:val="both"/>
      </w:pPr>
      <w:r>
        <w:rPr>
          <w:rFonts w:ascii="Barlow Semi Condensed" w:cs="Barlow Semi Condensed" w:eastAsia="Barlow Semi Condensed" w:hAnsi="Barlow Semi Condensed"/>
          <w:b/>
          <w:bCs/>
          <w:sz w:val="24"/>
          <w:szCs w:val="24"/>
        </w:rPr>
        <w:t xml:space="preserve">Domenico Ricci, appuntato dei Carabinieri, era l'autista della vettura del Presidente. Era al servizio di Aldo Moro da lungo tempo, e conosceva i percorsi, le abitudini e le esigenze del protetto.</w:t>
      </w:r>
    </w:p>
    <w:p>
      <w:pPr>
        <w:spacing w:after="120" w:line="276"/>
        <w:jc w:val="both"/>
      </w:pPr>
      <w:r>
        <w:rPr>
          <w:rFonts w:ascii="Barlow Semi Condensed" w:cs="Barlow Semi Condensed" w:eastAsia="Barlow Semi Condensed" w:hAnsi="Barlow Semi Condensed"/>
          <w:b/>
          <w:bCs/>
          <w:sz w:val="24"/>
          <w:szCs w:val="24"/>
        </w:rPr>
        <w:t xml:space="preserve">Oreste Leonardi, maresciallo dei Carabinieri, era il capo scorta. Sedeva nella vettura del Presidente. Anch'egli era in servizio presso Moro da anni.</w:t>
      </w:r>
    </w:p>
    <w:p>
      <w:pPr>
        <w:spacing w:after="120" w:line="276"/>
        <w:jc w:val="both"/>
      </w:pPr>
      <w:r>
        <w:rPr>
          <w:rFonts w:ascii="Barlow Semi Condensed" w:cs="Barlow Semi Condensed" w:eastAsia="Barlow Semi Condensed" w:hAnsi="Barlow Semi Condensed"/>
          <w:b/>
          <w:bCs/>
          <w:sz w:val="24"/>
          <w:szCs w:val="24"/>
        </w:rPr>
        <w:t xml:space="preserve">Giulio Rivera, carabiniere, era l'autista della vettura di scorta.</w:t>
      </w:r>
    </w:p>
    <w:p>
      <w:pPr>
        <w:spacing w:after="120" w:line="276"/>
        <w:jc w:val="both"/>
      </w:pPr>
      <w:r>
        <w:rPr>
          <w:rFonts w:ascii="Barlow Semi Condensed" w:cs="Barlow Semi Condensed" w:eastAsia="Barlow Semi Condensed" w:hAnsi="Barlow Semi Condensed"/>
          <w:b/>
          <w:bCs/>
          <w:sz w:val="24"/>
          <w:szCs w:val="24"/>
        </w:rPr>
        <w:t xml:space="preserve">Raffaele Iozzino, agente di pubblica sicurezza, era nella vettura di scorta.</w:t>
      </w:r>
    </w:p>
    <w:p>
      <w:pPr>
        <w:spacing w:after="120" w:line="276"/>
        <w:jc w:val="both"/>
      </w:pPr>
      <w:r>
        <w:rPr>
          <w:rFonts w:ascii="Barlow Semi Condensed" w:cs="Barlow Semi Condensed" w:eastAsia="Barlow Semi Condensed" w:hAnsi="Barlow Semi Condensed"/>
          <w:b/>
          <w:bCs/>
          <w:sz w:val="24"/>
          <w:szCs w:val="24"/>
        </w:rPr>
        <w:t xml:space="preserve">Francesco Zizzi, vice brigadiere di pubblica sicurezza, era anch'egli nella vettura di scorta. Prestava servizio presso quella scorta da poco tempo.</w:t>
      </w:r>
    </w:p>
    <w:p>
      <w:pPr>
        <w:spacing w:after="120" w:line="276"/>
        <w:jc w:val="both"/>
      </w:pPr>
      <w:r>
        <w:rPr>
          <w:rFonts w:ascii="Barlow Semi Condensed" w:cs="Barlow Semi Condensed" w:eastAsia="Barlow Semi Condensed" w:hAnsi="Barlow Semi Condensed"/>
          <w:b/>
          <w:bCs/>
          <w:sz w:val="24"/>
          <w:szCs w:val="24"/>
        </w:rPr>
        <w:t xml:space="preserve">Quattro di essi morirono sul luogo. Zizzi, gravemente ferito, morì poco dopo in ospedale.</w:t>
      </w:r>
    </w:p>
    <w:p>
      <w:pPr>
        <w:pStyle w:val="Heading2"/>
        <w:spacing w:after="100" w:before="200"/>
      </w:pPr>
      <w:r>
        <w:rPr>
          <w:rFonts w:ascii="Barlow Semi Condensed" w:cs="Barlow Semi Condensed" w:eastAsia="Barlow Semi Condensed" w:hAnsi="Barlow Semi Condensed"/>
          <w:sz w:val="24"/>
          <w:szCs w:val="24"/>
        </w:rPr>
        <w:t xml:space="preserve">I veicoli</w:t>
      </w:r>
    </w:p>
    <w:p>
      <w:pPr>
        <w:spacing w:after="120" w:line="276"/>
        <w:jc w:val="both"/>
      </w:pPr>
      <w:r>
        <w:rPr>
          <w:rFonts w:ascii="Barlow Semi Condensed" w:cs="Barlow Semi Condensed" w:eastAsia="Barlow Semi Condensed" w:hAnsi="Barlow Semi Condensed"/>
          <w:b/>
          <w:bCs/>
          <w:sz w:val="24"/>
          <w:szCs w:val="24"/>
        </w:rPr>
        <w:t xml:space="preserve">La vettura del Presidente era una Fiat 130 di colore blu. La vettura di scorta era una Alfa Romeo Alfetta, che seguiva a breve distanza.</w:t>
      </w:r>
    </w:p>
    <w:p>
      <w:pPr>
        <w:spacing w:after="120" w:line="276"/>
        <w:jc w:val="both"/>
      </w:pPr>
      <w:r>
        <w:rPr>
          <w:rFonts w:ascii="Barlow Semi Condensed" w:cs="Barlow Semi Condensed" w:eastAsia="Barlow Semi Condensed" w:hAnsi="Barlow Semi Condensed"/>
          <w:b/>
          <w:bCs/>
          <w:sz w:val="24"/>
          <w:szCs w:val="24"/>
        </w:rPr>
        <w:t xml:space="preserve">Nessuna delle due era blindata. La circostanza è accertata ed è stata oggetto di valutazione critica in sede parlamentare, unitamente alla composizione e all'armamento del servizio di scorta.</w:t>
      </w:r>
    </w:p>
    <w:p>
      <w:pPr>
        <w:pStyle w:val="Heading2"/>
        <w:spacing w:after="100" w:before="200"/>
      </w:pPr>
      <w:r>
        <w:rPr>
          <w:rFonts w:ascii="Barlow Semi Condensed" w:cs="Barlow Semi Condensed" w:eastAsia="Barlow Semi Condensed" w:hAnsi="Barlow Semi Condensed"/>
          <w:sz w:val="24"/>
          <w:szCs w:val="24"/>
        </w:rPr>
        <w:t xml:space="preserve">Il percorso</w:t>
      </w:r>
    </w:p>
    <w:p>
      <w:pPr>
        <w:spacing w:after="120" w:line="276"/>
        <w:jc w:val="both"/>
      </w:pPr>
      <w:r>
        <w:rPr>
          <w:rFonts w:ascii="Barlow Semi Condensed" w:cs="Barlow Semi Condensed" w:eastAsia="Barlow Semi Condensed" w:hAnsi="Barlow Semi Condensed"/>
          <w:b/>
          <w:bCs/>
          <w:sz w:val="24"/>
          <w:szCs w:val="24"/>
        </w:rPr>
        <w:t xml:space="preserve">Moro risiedeva in via del Forte Trionfale, nel quartiere della Camilluccia. Il percorso di quella mattina lo avrebbe condotto verso il centro; la sua prima destinazione consueta era una chiesa del quartiere, e da lì avrebbe proseguito verso Montecitorio, dove alle ore antimeridiane era attesa la presentazione del nuovo governo alle Camere.</w:t>
      </w:r>
    </w:p>
    <w:p>
      <w:pPr>
        <w:spacing w:after="120" w:line="276"/>
        <w:jc w:val="both"/>
      </w:pPr>
      <w:r>
        <w:rPr>
          <w:rFonts w:ascii="Barlow Semi Condensed" w:cs="Barlow Semi Condensed" w:eastAsia="Barlow Semi Condensed" w:hAnsi="Barlow Semi Condensed"/>
          <w:b/>
          <w:bCs/>
          <w:sz w:val="24"/>
          <w:szCs w:val="24"/>
        </w:rPr>
        <w:t xml:space="preserve">L'itinerario passava per via Mario Fani. Il fatto che l'itinerario fosse ripetitivo è accertato, ed è uno degli elementi che le sedi istituzionali hanno valutato in ordine all'adeguatezza delle misure di protezione.</w:t>
      </w:r>
    </w:p>
    <w:p>
      <w:pPr>
        <w:pStyle w:val="Heading2"/>
        <w:spacing w:after="100" w:before="200"/>
      </w:pPr>
      <w:r>
        <w:rPr>
          <w:rFonts w:ascii="Barlow Semi Condensed" w:cs="Barlow Semi Condensed" w:eastAsia="Barlow Semi Condensed" w:hAnsi="Barlow Semi Condensed"/>
          <w:sz w:val="24"/>
          <w:szCs w:val="24"/>
        </w:rPr>
        <w:t xml:space="preserve">Che cosa è accertato e che cosa no</w:t>
      </w:r>
    </w:p>
    <w:p>
      <w:pPr>
        <w:spacing w:after="120" w:line="276"/>
        <w:jc w:val="both"/>
      </w:pPr>
      <w:r>
        <w:rPr>
          <w:rFonts w:ascii="Barlow Semi Condensed" w:cs="Barlow Semi Condensed" w:eastAsia="Barlow Semi Condensed" w:hAnsi="Barlow Semi Condensed"/>
          <w:b/>
          <w:bCs/>
          <w:sz w:val="24"/>
          <w:szCs w:val="24"/>
        </w:rPr>
        <w:t xml:space="preserve">È accertato: la composizione del servizio, l'identità dei suoi componenti, il tipo dei veicoli, l'assenza di blindatura, la destinazione della giornata, la ripetitività dell'itinerario.</w:t>
      </w:r>
    </w:p>
    <w:p>
      <w:pPr>
        <w:spacing w:after="120" w:line="276"/>
        <w:jc w:val="both"/>
      </w:pPr>
      <w:r>
        <w:rPr>
          <w:rFonts w:ascii="Barlow Semi Condensed" w:cs="Barlow Semi Condensed" w:eastAsia="Barlow Semi Condensed" w:hAnsi="Barlow Semi Condensed"/>
          <w:b/>
          <w:bCs/>
          <w:sz w:val="24"/>
          <w:szCs w:val="24"/>
        </w:rPr>
        <w:t xml:space="preserve">Non è accertato in modo pacifico, e sarà segnalato nel Capitolo seguente ove rilevi, il grado di conoscenza che gli attaccanti avevano delle abitudini del protetto, e la fonte di tale conoscenza. Su questo punto sono state formulate ipotesi che appartengono alla Fase Sesta.</w:t>
      </w:r>
    </w:p>
    <w:p>
      <w:pPr>
        <w:pStyle w:val="Heading2"/>
        <w:spacing w:after="100" w:before="200"/>
      </w:pPr>
      <w:r>
        <w:rPr>
          <w:rFonts w:ascii="Barlow Semi Condensed" w:cs="Barlow Semi Condensed" w:eastAsia="Barlow Semi Condensed" w:hAnsi="Barlow Semi Condensed"/>
          <w:sz w:val="24"/>
          <w:szCs w:val="24"/>
        </w:rPr>
        <w:t xml:space="preserve">Una nota che non è di metodo</w:t>
      </w:r>
    </w:p>
    <w:p>
      <w:pPr>
        <w:spacing w:after="120" w:line="276"/>
        <w:jc w:val="both"/>
      </w:pPr>
      <w:r>
        <w:rPr>
          <w:rFonts w:ascii="Barlow Semi Condensed" w:cs="Barlow Semi Condensed" w:eastAsia="Barlow Semi Condensed" w:hAnsi="Barlow Semi Condensed"/>
          <w:b/>
          <w:bCs/>
          <w:sz w:val="24"/>
          <w:szCs w:val="24"/>
        </w:rPr>
        <w:t xml:space="preserve">Sia consentita, in questo solo punto della Fase, una osservazione che non serve alla prova.</w:t>
      </w:r>
    </w:p>
    <w:p>
      <w:pPr>
        <w:spacing w:after="120" w:line="276"/>
        <w:jc w:val="both"/>
      </w:pPr>
      <w:r>
        <w:rPr>
          <w:rFonts w:ascii="Barlow Semi Condensed" w:cs="Barlow Semi Condensed" w:eastAsia="Barlow Semi Condensed" w:hAnsi="Barlow Semi Condensed"/>
          <w:b/>
          <w:bCs/>
          <w:sz w:val="24"/>
          <w:szCs w:val="24"/>
        </w:rPr>
        <w:t xml:space="preserve">Di questi cinque uomini si parla, nella letteratura sul caso, quasi esclusivamente come di un dato tecnico: la scorta, il suo armamento, la sua reattività, il tempo di reazione. Essi furono invece cinque persone che quella mattina andavano al lavoro, che avevano famiglie, e che morirono perché si trovavano fra chi voleva prendere un uomo e quell'uomo. Il caso porta il nome del solo rapito, ed è comprensibile che sia così; ma la sproporzione fra l'attenzione dedicata a lui e quella dedicata a loro è una sproporzione, e conviene averne coscienza mentre si conta e si misura.</w:t>
      </w:r>
    </w:p>
    <w:p>
      <w:pPr>
        <w:spacing w:after="120" w:line="276"/>
        <w:jc w:val="both"/>
      </w:pPr>
      <w:r>
        <w:rPr>
          <w:rFonts w:ascii="Barlow Semi Condensed" w:cs="Barlow Semi Condensed" w:eastAsia="Barlow Semi Condensed" w:hAnsi="Barlow Semi Condensed"/>
          <w:b/>
          <w:bCs/>
          <w:sz w:val="24"/>
          <w:szCs w:val="24"/>
        </w:rPr>
        <w:t xml:space="preserve">Fatta questa osservazione, l'opera torna al proprio ufficio, che è contare e misurare.</w:t>
      </w:r>
    </w:p>
    <w:p>
      <w:pPr>
        <w:pStyle w:val="Heading2"/>
        <w:spacing w:after="100" w:before="200"/>
      </w:pPr>
      <w:r>
        <w:rPr>
          <w:rFonts w:ascii="Barlow Semi Condensed" w:cs="Barlow Semi Condensed" w:eastAsia="Barlow Semi Condensed" w:hAnsi="Barlow Semi Condensed"/>
          <w:sz w:val="24"/>
          <w:szCs w:val="24"/>
        </w:rPr>
        <w:t xml:space="preserve">Capitolo ventitreesimo — L'agguato: la dinamica accertata</w:t>
      </w:r>
    </w:p>
    <w:p>
      <w:pPr>
        <w:pStyle w:val="Heading2"/>
        <w:spacing w:after="100" w:before="200"/>
      </w:pPr>
      <w:r>
        <w:rPr>
          <w:rFonts w:ascii="Barlow Semi Condensed" w:cs="Barlow Semi Condensed" w:eastAsia="Barlow Semi Condensed" w:hAnsi="Barlow Semi Condensed"/>
          <w:sz w:val="24"/>
          <w:szCs w:val="24"/>
        </w:rPr>
        <w:t xml:space="preserve">Il luogo</w:t>
      </w:r>
    </w:p>
    <w:p>
      <w:pPr>
        <w:spacing w:after="120" w:line="276"/>
        <w:jc w:val="both"/>
      </w:pPr>
      <w:r>
        <w:rPr>
          <w:rFonts w:ascii="Barlow Semi Condensed" w:cs="Barlow Semi Condensed" w:eastAsia="Barlow Semi Condensed" w:hAnsi="Barlow Semi Condensed"/>
          <w:b/>
          <w:bCs/>
          <w:sz w:val="24"/>
          <w:szCs w:val="24"/>
        </w:rPr>
        <w:t xml:space="preserve">L'azione si svolse all'incrocio fra via Mario Fani e via Stresa, nel quartiere Trionfale di Roma. Il luogo presenta caratteristiche che le perizie hanno considerato rilevanti: una strada in leggera discesa, un incrocio con obbligo di arresto, la presenza di siepi e di veicoli in sosta che consentivano di attendere senza essere visti.</w:t>
      </w:r>
    </w:p>
    <w:p>
      <w:pPr>
        <w:pStyle w:val="Heading2"/>
        <w:spacing w:after="100" w:before="200"/>
      </w:pPr>
      <w:r>
        <w:rPr>
          <w:rFonts w:ascii="Barlow Semi Condensed" w:cs="Barlow Semi Condensed" w:eastAsia="Barlow Semi Condensed" w:hAnsi="Barlow Semi Condensed"/>
          <w:sz w:val="24"/>
          <w:szCs w:val="24"/>
        </w:rPr>
        <w:t xml:space="preserve">La dinamica</w:t>
      </w:r>
    </w:p>
    <w:p>
      <w:pPr>
        <w:spacing w:after="120" w:line="276"/>
        <w:jc w:val="both"/>
      </w:pPr>
      <w:r>
        <w:rPr>
          <w:rFonts w:ascii="Barlow Semi Condensed" w:cs="Barlow Semi Condensed" w:eastAsia="Barlow Semi Condensed" w:hAnsi="Barlow Semi Condensed"/>
          <w:b/>
          <w:bCs/>
          <w:sz w:val="24"/>
          <w:szCs w:val="24"/>
        </w:rPr>
        <w:t xml:space="preserve">La ricostruzione accertata, nei suoi elementi non controversi, è la seguente.</w:t>
      </w:r>
    </w:p>
    <w:p>
      <w:pPr>
        <w:spacing w:after="120" w:line="276"/>
        <w:jc w:val="both"/>
      </w:pPr>
      <w:r>
        <w:rPr>
          <w:rFonts w:ascii="Barlow Semi Condensed" w:cs="Barlow Semi Condensed" w:eastAsia="Barlow Semi Condensed" w:hAnsi="Barlow Semi Condensed"/>
          <w:b/>
          <w:bCs/>
          <w:sz w:val="24"/>
          <w:szCs w:val="24"/>
        </w:rPr>
        <w:t xml:space="preserve">Una autovettura si arrestò bruscamente davanti alla Fiat 130, costringendola a fermarsi; la vettura di scorta, che seguiva a breve distanza, tamponò o comunque si arrestò immediatamente dietro. Le due vetture del corteo risultarono così bloccate in uno spazio ristretto e privo di vie di uscita immediate.</w:t>
      </w:r>
    </w:p>
    <w:p>
      <w:pPr>
        <w:spacing w:after="120" w:line="276"/>
        <w:jc w:val="both"/>
      </w:pPr>
      <w:r>
        <w:rPr>
          <w:rFonts w:ascii="Barlow Semi Condensed" w:cs="Barlow Semi Condensed" w:eastAsia="Barlow Semi Condensed" w:hAnsi="Barlow Semi Condensed"/>
          <w:b/>
          <w:bCs/>
          <w:sz w:val="24"/>
          <w:szCs w:val="24"/>
        </w:rPr>
        <w:t xml:space="preserve">Contestualmente un gruppo di persone armate, che attendeva in posizione riparata, aprì il fuoco. Il fuoco fu diretto con precisione contro gli occupanti delle due vetture di servizio.</w:t>
      </w:r>
    </w:p>
    <w:p>
      <w:pPr>
        <w:spacing w:after="120" w:line="276"/>
        <w:jc w:val="both"/>
      </w:pPr>
      <w:r>
        <w:rPr>
          <w:rFonts w:ascii="Barlow Semi Condensed" w:cs="Barlow Semi Condensed" w:eastAsia="Barlow Semi Condensed" w:hAnsi="Barlow Semi Condensed"/>
          <w:b/>
          <w:bCs/>
          <w:sz w:val="24"/>
          <w:szCs w:val="24"/>
        </w:rPr>
        <w:t xml:space="preserve">La reazione della scorta fu minima. Risulta accertato che uno solo degli agenti riuscì a uscire dalla vettura e a fare uso dell'arma, esplodendo pochi colpi, e che fu ucciso.</w:t>
      </w:r>
    </w:p>
    <w:p>
      <w:pPr>
        <w:spacing w:after="120" w:line="276"/>
        <w:jc w:val="both"/>
      </w:pPr>
      <w:r>
        <w:rPr>
          <w:rFonts w:ascii="Barlow Semi Condensed" w:cs="Barlow Semi Condensed" w:eastAsia="Barlow Semi Condensed" w:hAnsi="Barlow Semi Condensed"/>
          <w:b/>
          <w:bCs/>
          <w:sz w:val="24"/>
          <w:szCs w:val="24"/>
        </w:rPr>
        <w:t xml:space="preserve">Aldo Moro fu prelevato dalla propria vettura e trasferito su altro veicolo, che si allontanò. Il corteo dei veicoli degli attaccanti si dissolse rapidamente.</w:t>
      </w:r>
    </w:p>
    <w:p>
      <w:pPr>
        <w:pStyle w:val="Heading2"/>
        <w:spacing w:after="100" w:before="200"/>
      </w:pPr>
      <w:r>
        <w:rPr>
          <w:rFonts w:ascii="Barlow Semi Condensed" w:cs="Barlow Semi Condensed" w:eastAsia="Barlow Semi Condensed" w:hAnsi="Barlow Semi Condensed"/>
          <w:sz w:val="24"/>
          <w:szCs w:val="24"/>
        </w:rPr>
        <w:t xml:space="preserve">Le misure</w:t>
      </w:r>
    </w:p>
    <w:p>
      <w:pPr>
        <w:spacing w:after="120" w:line="276"/>
        <w:jc w:val="both"/>
      </w:pPr>
      <w:r>
        <w:rPr>
          <w:rFonts w:ascii="Barlow Semi Condensed" w:cs="Barlow Semi Condensed" w:eastAsia="Barlow Semi Condensed" w:hAnsi="Barlow Semi Condensed"/>
          <w:b/>
          <w:bCs/>
          <w:sz w:val="24"/>
          <w:szCs w:val="24"/>
        </w:rPr>
        <w:t xml:space="preserve">Sul luogo furono repertati circa 90 bossoli. La perizia balistica accertò che una porzione preponderante dei colpi proveniva da una sola arma automatica.</w:t>
      </w:r>
    </w:p>
    <w:p>
      <w:pPr>
        <w:spacing w:after="120" w:line="276"/>
        <w:jc w:val="both"/>
      </w:pPr>
      <w:r>
        <w:rPr>
          <w:rFonts w:ascii="Barlow Semi Condensed" w:cs="Barlow Semi Condensed" w:eastAsia="Barlow Semi Condensed" w:hAnsi="Barlow Semi Condensed"/>
          <w:b/>
          <w:bCs/>
          <w:sz w:val="24"/>
          <w:szCs w:val="24"/>
        </w:rPr>
        <w:t xml:space="preserve">Questi due dati — il numero complessivo dei colpi e la concentrazione su una sola arma — sono i più citati dell'intero caso, e conviene dire con precisione che cosa attestino.</w:t>
      </w:r>
    </w:p>
    <w:p>
      <w:pPr>
        <w:spacing w:after="120" w:line="276"/>
        <w:jc w:val="both"/>
      </w:pPr>
      <w:r>
        <w:rPr>
          <w:rFonts w:ascii="Barlow Semi Condensed" w:cs="Barlow Semi Condensed" w:eastAsia="Barlow Semi Condensed" w:hAnsi="Barlow Semi Condensed"/>
          <w:b/>
          <w:bCs/>
          <w:sz w:val="24"/>
          <w:szCs w:val="24"/>
        </w:rPr>
        <w:t xml:space="preserve">Attestano che furono esplosi quei colpi e che quella distribuzione fu rilevata. Attestano dunque che l'esito di fuoco fu ottenuto in prevalenza da un solo operatore, e non da un tiro collettivo distribuito.</w:t>
      </w:r>
    </w:p>
    <w:p>
      <w:pPr>
        <w:spacing w:after="120" w:line="276"/>
        <w:jc w:val="both"/>
      </w:pPr>
      <w:r>
        <w:rPr>
          <w:rFonts w:ascii="Barlow Semi Condensed" w:cs="Barlow Semi Condensed" w:eastAsia="Barlow Semi Condensed" w:hAnsi="Barlow Semi Condensed"/>
          <w:b/>
          <w:bCs/>
          <w:sz w:val="24"/>
          <w:szCs w:val="24"/>
        </w:rPr>
        <w:t xml:space="preserve">Non attestano, di per sé, il grado di addestramento di quell'operatore, né la sua provenienza, né alcuna caratteristica della sua formazione. Queste sono inferenze ulteriori, e vanno trattate come tali. Il rilievo balistico conta e localizza; non qualifica chi sparò.</w:t>
      </w:r>
    </w:p>
    <w:p>
      <w:pPr>
        <w:pStyle w:val="Heading2"/>
        <w:spacing w:after="100" w:before="200"/>
      </w:pPr>
      <w:r>
        <w:rPr>
          <w:rFonts w:ascii="Barlow Semi Condensed" w:cs="Barlow Semi Condensed" w:eastAsia="Barlow Semi Condensed" w:hAnsi="Barlow Semi Condensed"/>
          <w:sz w:val="24"/>
          <w:szCs w:val="24"/>
        </w:rPr>
        <w:t xml:space="preserve">La durata</w:t>
      </w:r>
    </w:p>
    <w:p>
      <w:pPr>
        <w:spacing w:after="120" w:line="276"/>
        <w:jc w:val="both"/>
      </w:pPr>
      <w:r>
        <w:rPr>
          <w:rFonts w:ascii="Barlow Semi Condensed" w:cs="Barlow Semi Condensed" w:eastAsia="Barlow Semi Condensed" w:hAnsi="Barlow Semi Condensed"/>
          <w:b/>
          <w:bCs/>
          <w:sz w:val="24"/>
          <w:szCs w:val="24"/>
        </w:rPr>
        <w:t xml:space="preserve">La durata dell'azione è stata oggetto di valutazioni non del tutto concordi, e le stime disponibili la collocano in un intervallo compreso fra alcune decine di secondi e pochi minuti. La discordanza deriva dalla natura delle fonti: testimonianze di persone sotto shock, per le quali la percezione del tempo è notoriamente inaffidabile, e ricostruzioni tecniche fondate sulla cadenza di tiro.</w:t>
      </w:r>
    </w:p>
    <w:p>
      <w:pPr>
        <w:spacing w:after="120" w:line="276"/>
        <w:jc w:val="both"/>
      </w:pPr>
      <w:r>
        <w:rPr>
          <w:rFonts w:ascii="Barlow Semi Condensed" w:cs="Barlow Semi Condensed" w:eastAsia="Barlow Semi Condensed" w:hAnsi="Barlow Semi Condensed"/>
          <w:b/>
          <w:bCs/>
          <w:sz w:val="24"/>
          <w:szCs w:val="24"/>
        </w:rPr>
        <w:t xml:space="preserve">Si registra dunque la durata come dato non stabilizzato, entro un intervallo, e non si impiega alcuna delle stime come se fosse accertata. È uno dei punti nei quali la divulgazione ha frequentemente adottato la cifra più suggestiva.</w:t>
      </w:r>
    </w:p>
    <w:p>
      <w:pPr>
        <w:pStyle w:val="Heading2"/>
        <w:spacing w:after="100" w:before="200"/>
      </w:pPr>
      <w:r>
        <w:rPr>
          <w:rFonts w:ascii="Barlow Semi Condensed" w:cs="Barlow Semi Condensed" w:eastAsia="Barlow Semi Condensed" w:hAnsi="Barlow Semi Condensed"/>
          <w:sz w:val="24"/>
          <w:szCs w:val="24"/>
        </w:rPr>
        <w:t xml:space="preserve">Il numero degli attaccanti</w:t>
      </w:r>
    </w:p>
    <w:p>
      <w:pPr>
        <w:spacing w:after="120" w:line="276"/>
        <w:jc w:val="both"/>
      </w:pPr>
      <w:r>
        <w:rPr>
          <w:rFonts w:ascii="Barlow Semi Condensed" w:cs="Barlow Semi Condensed" w:eastAsia="Barlow Semi Condensed" w:hAnsi="Barlow Semi Condensed"/>
          <w:b/>
          <w:bCs/>
          <w:sz w:val="24"/>
          <w:szCs w:val="24"/>
        </w:rPr>
        <w:t xml:space="preserve">Il numero delle persone presenti sul luogo per parte attaccante è uno dei punti che le revisioni successive hanno modificato. Le ricostruzioni si sono attestate su cifre diverse in tempi diversi, e la variazione è dipesa in misura determinante dalle dichiarazioni di persone coinvolte, rese in epoche successive e talvolta reciprocamente correttive.</w:t>
      </w:r>
    </w:p>
    <w:p>
      <w:pPr>
        <w:spacing w:after="120" w:line="276"/>
        <w:jc w:val="both"/>
      </w:pPr>
      <w:r>
        <w:rPr>
          <w:rFonts w:ascii="Barlow Semi Condensed" w:cs="Barlow Semi Condensed" w:eastAsia="Barlow Semi Condensed" w:hAnsi="Barlow Semi Condensed"/>
          <w:b/>
          <w:bCs/>
          <w:sz w:val="24"/>
          <w:szCs w:val="24"/>
        </w:rPr>
        <w:t xml:space="preserve">Si applica qui la regola enunciata nel Capitolo ventunesimo: si distingue ciò che poggia su rilievo materiale da ciò che poggia su dichiarazione. Il numero degli attaccanti poggia in misura prevalente su dichiarazioni. Esso è dunque, allo stato, un dato di ricostruzione e non un dato di rilievo, e come tale è iscritto: soggetto a revisione se le dichiarazioni mutano.</w:t>
      </w:r>
    </w:p>
    <w:p>
      <w:pPr>
        <w:pStyle w:val="Heading2"/>
        <w:spacing w:after="100" w:before="200"/>
      </w:pPr>
      <w:r>
        <w:rPr>
          <w:rFonts w:ascii="Barlow Semi Condensed" w:cs="Barlow Semi Condensed" w:eastAsia="Barlow Semi Condensed" w:hAnsi="Barlow Semi Condensed"/>
          <w:sz w:val="24"/>
          <w:szCs w:val="24"/>
        </w:rPr>
        <w:t xml:space="preserve">Bilancio del Capitolo</w:t>
      </w:r>
    </w:p>
    <w:p>
      <w:pPr>
        <w:spacing w:after="120" w:line="276"/>
        <w:jc w:val="both"/>
      </w:pPr>
      <w:r>
        <w:rPr>
          <w:rFonts w:ascii="Barlow Semi Condensed" w:cs="Barlow Semi Condensed" w:eastAsia="Barlow Semi Condensed" w:hAnsi="Barlow Semi Condensed"/>
          <w:b/>
          <w:bCs/>
          <w:sz w:val="24"/>
          <w:szCs w:val="24"/>
        </w:rPr>
        <w:t xml:space="preserve">Sono in stato di sciolto: il luogo; il blocco delle vetture mediante interposizione di un veicolo; l'apertura del fuoco da posizione riparata; la reazione minima della scorta; l'uccisione dei cinque uomini; il prelevamento del rapito e il suo trasferimento su altro veicolo; il numero approssimativo dei bossoli repertati; la concentrazione preponderante del fuoco su una sola arma.</w:t>
      </w:r>
    </w:p>
    <w:p>
      <w:pPr>
        <w:spacing w:after="120" w:line="276"/>
        <w:jc w:val="both"/>
      </w:pPr>
      <w:r>
        <w:rPr>
          <w:rFonts w:ascii="Barlow Semi Condensed" w:cs="Barlow Semi Condensed" w:eastAsia="Barlow Semi Condensed" w:hAnsi="Barlow Semi Condensed"/>
          <w:b/>
          <w:bCs/>
          <w:sz w:val="24"/>
          <w:szCs w:val="24"/>
        </w:rPr>
        <w:t xml:space="preserve">Sono in stato di dubbio: la durata esatta dell'azione; il numero preciso dei partecipanti; l'attribuzione individuale dei colpi oltre quanto accertato in sede giudiziaria; la fonte della conoscenza delle abitudini del protetto.</w:t>
      </w:r>
    </w:p>
    <w:p>
      <w:pPr>
        <w:pStyle w:val="Heading2"/>
        <w:spacing w:after="100" w:before="200"/>
      </w:pPr>
      <w:r>
        <w:rPr>
          <w:rFonts w:ascii="Barlow Semi Condensed" w:cs="Barlow Semi Condensed" w:eastAsia="Barlow Semi Condensed" w:hAnsi="Barlow Semi Condensed"/>
          <w:sz w:val="24"/>
          <w:szCs w:val="24"/>
        </w:rPr>
        <w:t xml:space="preserve">Capitolo ventiquattresimo — La misura dello scarto</w:t>
      </w:r>
    </w:p>
    <w:p>
      <w:pPr>
        <w:spacing w:after="120" w:line="276"/>
        <w:jc w:val="both"/>
      </w:pPr>
      <w:r>
        <w:rPr>
          <w:rFonts w:ascii="Barlow Semi Condensed" w:cs="Barlow Semi Condensed" w:eastAsia="Barlow Semi Condensed" w:hAnsi="Barlow Semi Condensed"/>
          <w:b/>
          <w:bCs/>
          <w:sz w:val="24"/>
          <w:szCs w:val="24"/>
        </w:rPr>
        <w:t xml:space="preserve">La Fase Seconda ha consegnato a questa una domanda: quanto l'azione richiese, confrontato con quanto il movente dichiarato spiega. Si misura qui lo scarto, e non lo si interpreta.</w:t>
      </w:r>
    </w:p>
    <w:p>
      <w:pPr>
        <w:pStyle w:val="Heading2"/>
        <w:spacing w:after="100" w:before="200"/>
      </w:pPr>
      <w:r>
        <w:rPr>
          <w:rFonts w:ascii="Barlow Semi Condensed" w:cs="Barlow Semi Condensed" w:eastAsia="Barlow Semi Condensed" w:hAnsi="Barlow Semi Condensed"/>
          <w:sz w:val="24"/>
          <w:szCs w:val="24"/>
        </w:rPr>
        <w:t xml:space="preserve">Che cosa significa misurare uno scarto</w:t>
      </w:r>
    </w:p>
    <w:p>
      <w:pPr>
        <w:spacing w:after="120" w:line="276"/>
        <w:jc w:val="both"/>
      </w:pPr>
      <w:r>
        <w:rPr>
          <w:rFonts w:ascii="Barlow Semi Condensed" w:cs="Barlow Semi Condensed" w:eastAsia="Barlow Semi Condensed" w:hAnsi="Barlow Semi Condensed"/>
          <w:b/>
          <w:bCs/>
          <w:sz w:val="24"/>
          <w:szCs w:val="24"/>
        </w:rPr>
        <w:t xml:space="preserve">Occorre chiarire l'operazione, perché è insolita e si presta a essere fraintesa in entrambe le direzioni.</w:t>
      </w:r>
    </w:p>
    <w:p>
      <w:pPr>
        <w:spacing w:after="120" w:line="276"/>
        <w:jc w:val="both"/>
      </w:pPr>
      <w:r>
        <w:rPr>
          <w:rFonts w:ascii="Barlow Semi Condensed" w:cs="Barlow Semi Condensed" w:eastAsia="Barlow Semi Condensed" w:hAnsi="Barlow Semi Condensed"/>
          <w:b/>
          <w:bCs/>
          <w:sz w:val="24"/>
          <w:szCs w:val="24"/>
        </w:rPr>
        <w:t xml:space="preserve">Misurare lo scarto significa elencare le capacità che l'azione manifestò, e domandarsi, per ciascuna, se la sua acquisizione sia spiegata da ciò che è documentato dell'organizzazione che la compì. Dove la risposta è affermativa non vi è scarto. Dove è negativa, vi è scarto: cioè una capacità manifestata della quale non è documentata l'acquisizione.</w:t>
      </w:r>
    </w:p>
    <w:p>
      <w:pPr>
        <w:spacing w:after="120" w:line="276"/>
        <w:jc w:val="both"/>
      </w:pPr>
      <w:r>
        <w:rPr>
          <w:rFonts w:ascii="Barlow Semi Condensed" w:cs="Barlow Semi Condensed" w:eastAsia="Barlow Semi Condensed" w:hAnsi="Barlow Semi Condensed"/>
          <w:b/>
          <w:bCs/>
          <w:sz w:val="24"/>
          <w:szCs w:val="24"/>
        </w:rPr>
        <w:t xml:space="preserve">Uno scarto non è una prova di concorso esterno. È una lacuna esplicativa, e le lacune esplicative si colmano in tre modi: con documentazione ulteriore sull'acquisizione della capacità; con la constatazione che la capacità era meno rara di quanto si supponesse; o con un soggetto ulteriore. Il terzo modo è quello che la letteratura predilige e che questo Capitolo non adotta, perché adottarlo qui significherebbe rispondere in sede di misurazione a una domanda che appartiene alle Fasi Quinta e Sesta.</w:t>
      </w:r>
    </w:p>
    <w:p>
      <w:pPr>
        <w:pStyle w:val="Heading2"/>
        <w:spacing w:after="100" w:before="200"/>
      </w:pPr>
      <w:r>
        <w:rPr>
          <w:rFonts w:ascii="Barlow Semi Condensed" w:cs="Barlow Semi Condensed" w:eastAsia="Barlow Semi Condensed" w:hAnsi="Barlow Semi Condensed"/>
          <w:sz w:val="24"/>
          <w:szCs w:val="24"/>
        </w:rPr>
        <w:t xml:space="preserve">Le capacità manifestate</w:t>
      </w:r>
    </w:p>
    <w:p>
      <w:pPr>
        <w:spacing w:after="120" w:line="276"/>
        <w:jc w:val="both"/>
      </w:pPr>
      <w:r>
        <w:rPr>
          <w:rFonts w:ascii="Barlow Semi Condensed" w:cs="Barlow Semi Condensed" w:eastAsia="Barlow Semi Condensed" w:hAnsi="Barlow Semi Condensed"/>
          <w:b/>
          <w:bCs/>
          <w:sz w:val="24"/>
          <w:szCs w:val="24"/>
        </w:rPr>
        <w:t xml:space="preserve">L'azione manifestò le capacità seguenti.</w:t>
      </w:r>
    </w:p>
    <w:p>
      <w:pPr>
        <w:spacing w:after="120" w:line="276"/>
        <w:jc w:val="both"/>
      </w:pPr>
      <w:r>
        <w:rPr>
          <w:rFonts w:ascii="Barlow Semi Condensed" w:cs="Barlow Semi Condensed" w:eastAsia="Barlow Semi Condensed" w:hAnsi="Barlow Semi Condensed"/>
          <w:b/>
          <w:bCs/>
          <w:sz w:val="24"/>
          <w:szCs w:val="24"/>
        </w:rPr>
        <w:t xml:space="preserve">Conoscenza dell'itinerario e degli orari, sufficiente a collocare un dispositivo in un punto determinato in un momento determinato.</w:t>
      </w:r>
    </w:p>
    <w:p>
      <w:pPr>
        <w:spacing w:after="120" w:line="276"/>
        <w:jc w:val="both"/>
      </w:pPr>
      <w:r>
        <w:rPr>
          <w:rFonts w:ascii="Barlow Semi Condensed" w:cs="Barlow Semi Condensed" w:eastAsia="Barlow Semi Condensed" w:hAnsi="Barlow Semi Condensed"/>
          <w:b/>
          <w:bCs/>
          <w:sz w:val="24"/>
          <w:szCs w:val="24"/>
        </w:rPr>
        <w:t xml:space="preserve">Capacità di predisporre e coordinare un dispositivo articolato su più veicoli e più operatori in uno spazio urbano ristretto.</w:t>
      </w:r>
    </w:p>
    <w:p>
      <w:pPr>
        <w:spacing w:after="120" w:line="276"/>
        <w:jc w:val="both"/>
      </w:pPr>
      <w:r>
        <w:rPr>
          <w:rFonts w:ascii="Barlow Semi Condensed" w:cs="Barlow Semi Condensed" w:eastAsia="Barlow Semi Condensed" w:hAnsi="Barlow Semi Condensed"/>
          <w:b/>
          <w:bCs/>
          <w:sz w:val="24"/>
          <w:szCs w:val="24"/>
        </w:rPr>
        <w:t xml:space="preserve">Capacità di ottenere, in tempo assai breve, un esito di fuoco letale su cinque uomini armati collocati in due veicoli distinti, con conseguimento simultaneo dell'obiettivo di preservare incolume la persona da prelevare.</w:t>
      </w:r>
    </w:p>
    <w:p>
      <w:pPr>
        <w:spacing w:after="120" w:line="276"/>
        <w:jc w:val="both"/>
      </w:pPr>
      <w:r>
        <w:rPr>
          <w:rFonts w:ascii="Barlow Semi Condensed" w:cs="Barlow Semi Condensed" w:eastAsia="Barlow Semi Condensed" w:hAnsi="Barlow Semi Condensed"/>
          <w:b/>
          <w:bCs/>
          <w:sz w:val="24"/>
          <w:szCs w:val="24"/>
        </w:rPr>
        <w:t xml:space="preserve">Capacità di trasferimento e di dissolvimento immediato del dispositivo in ambiente urbano.</w:t>
      </w:r>
    </w:p>
    <w:p>
      <w:pPr>
        <w:spacing w:after="120" w:line="276"/>
        <w:jc w:val="both"/>
      </w:pPr>
      <w:r>
        <w:rPr>
          <w:rFonts w:ascii="Barlow Semi Condensed" w:cs="Barlow Semi Condensed" w:eastAsia="Barlow Semi Condensed" w:hAnsi="Barlow Semi Condensed"/>
          <w:b/>
          <w:bCs/>
          <w:sz w:val="24"/>
          <w:szCs w:val="24"/>
        </w:rPr>
        <w:t xml:space="preserve">Capacità di occultamento prolungato di una persona per cinquantacinque giorni in ambiente urbano, con gestione delle esigenze materiali che ciò comporta.</w:t>
      </w:r>
    </w:p>
    <w:p>
      <w:pPr>
        <w:spacing w:after="120" w:line="276"/>
        <w:jc w:val="both"/>
      </w:pPr>
      <w:r>
        <w:rPr>
          <w:rFonts w:ascii="Barlow Semi Condensed" w:cs="Barlow Semi Condensed" w:eastAsia="Barlow Semi Condensed" w:hAnsi="Barlow Semi Condensed"/>
          <w:b/>
          <w:bCs/>
          <w:sz w:val="24"/>
          <w:szCs w:val="24"/>
        </w:rPr>
        <w:t xml:space="preserve">Capacità di comunicazione pubblica ripetuta durante l'intero periodo senza che l'origine dei recapiti conducesse alla localizzazione.</w:t>
      </w:r>
    </w:p>
    <w:p>
      <w:pPr>
        <w:pStyle w:val="Heading2"/>
        <w:spacing w:after="100" w:before="200"/>
      </w:pPr>
      <w:r>
        <w:rPr>
          <w:rFonts w:ascii="Barlow Semi Condensed" w:cs="Barlow Semi Condensed" w:eastAsia="Barlow Semi Condensed" w:hAnsi="Barlow Semi Condensed"/>
          <w:sz w:val="24"/>
          <w:szCs w:val="24"/>
        </w:rPr>
        <w:t xml:space="preserve">Dove lo scarto non c'è</w:t>
      </w:r>
    </w:p>
    <w:p>
      <w:pPr>
        <w:spacing w:after="120" w:line="276"/>
        <w:jc w:val="both"/>
      </w:pPr>
      <w:r>
        <w:rPr>
          <w:rFonts w:ascii="Barlow Semi Condensed" w:cs="Barlow Semi Condensed" w:eastAsia="Barlow Semi Condensed" w:hAnsi="Barlow Semi Condensed"/>
          <w:b/>
          <w:bCs/>
          <w:sz w:val="24"/>
          <w:szCs w:val="24"/>
        </w:rPr>
        <w:t xml:space="preserve">Per una parte considerevole di queste capacità lo scarto non sussiste, e va detto perché la letteratura tende a supporlo ovunque.</w:t>
      </w:r>
    </w:p>
    <w:p>
      <w:pPr>
        <w:spacing w:after="120" w:line="276"/>
        <w:jc w:val="both"/>
      </w:pPr>
      <w:r>
        <w:rPr>
          <w:rFonts w:ascii="Barlow Semi Condensed" w:cs="Barlow Semi Condensed" w:eastAsia="Barlow Semi Condensed" w:hAnsi="Barlow Semi Condensed"/>
          <w:b/>
          <w:bCs/>
          <w:sz w:val="24"/>
          <w:szCs w:val="24"/>
        </w:rPr>
        <w:t xml:space="preserve">La conoscenza di un itinerario ripetitivo si acquisisce con osservazione prolungata, e non richiede fonti privilegiate. L'itinerario era ripetitivo, la circostanza è accertata, e l'osservazione di un percorso urbano ricorrente è alla portata di chiunque disponga di tempo e di persone.</w:t>
      </w:r>
    </w:p>
    <w:p>
      <w:pPr>
        <w:spacing w:after="120" w:line="276"/>
        <w:jc w:val="both"/>
      </w:pPr>
      <w:r>
        <w:rPr>
          <w:rFonts w:ascii="Barlow Semi Condensed" w:cs="Barlow Semi Condensed" w:eastAsia="Barlow Semi Condensed" w:hAnsi="Barlow Semi Condensed"/>
          <w:b/>
          <w:bCs/>
          <w:sz w:val="24"/>
          <w:szCs w:val="24"/>
        </w:rPr>
        <w:t xml:space="preserve">La capacità di occultamento prolungato in ambiente urbano è documentata come propria di quella organizzazione, che l'aveva esercitata prima e dopo in altre occasioni.</w:t>
      </w:r>
    </w:p>
    <w:p>
      <w:pPr>
        <w:spacing w:after="120" w:line="276"/>
        <w:jc w:val="both"/>
      </w:pPr>
      <w:r>
        <w:rPr>
          <w:rFonts w:ascii="Barlow Semi Condensed" w:cs="Barlow Semi Condensed" w:eastAsia="Barlow Semi Condensed" w:hAnsi="Barlow Semi Condensed"/>
          <w:b/>
          <w:bCs/>
          <w:sz w:val="24"/>
          <w:szCs w:val="24"/>
        </w:rPr>
        <w:t xml:space="preserve">La capacità di comunicazione con recapiti non tracciabili è parimenti documentata come pratica corrente di quella organizzazione.</w:t>
      </w:r>
    </w:p>
    <w:p>
      <w:pPr>
        <w:pStyle w:val="Heading2"/>
        <w:spacing w:after="100" w:before="200"/>
      </w:pPr>
      <w:r>
        <w:rPr>
          <w:rFonts w:ascii="Barlow Semi Condensed" w:cs="Barlow Semi Condensed" w:eastAsia="Barlow Semi Condensed" w:hAnsi="Barlow Semi Condensed"/>
          <w:sz w:val="24"/>
          <w:szCs w:val="24"/>
        </w:rPr>
        <w:t xml:space="preserve">Dove lo scarto sussiste</w:t>
      </w:r>
    </w:p>
    <w:p>
      <w:pPr>
        <w:spacing w:after="120" w:line="276"/>
        <w:jc w:val="both"/>
      </w:pPr>
      <w:r>
        <w:rPr>
          <w:rFonts w:ascii="Barlow Semi Condensed" w:cs="Barlow Semi Condensed" w:eastAsia="Barlow Semi Condensed" w:hAnsi="Barlow Semi Condensed"/>
          <w:b/>
          <w:bCs/>
          <w:sz w:val="24"/>
          <w:szCs w:val="24"/>
        </w:rPr>
        <w:t xml:space="preserve">Lo scarto sussiste, allo stato degli atti, su due punti.</w:t>
      </w:r>
    </w:p>
    <w:p>
      <w:pPr>
        <w:spacing w:after="120" w:line="276"/>
        <w:jc w:val="both"/>
      </w:pPr>
      <w:r>
        <w:rPr>
          <w:rFonts w:ascii="Barlow Semi Condensed" w:cs="Barlow Semi Condensed" w:eastAsia="Barlow Semi Condensed" w:hAnsi="Barlow Semi Condensed"/>
          <w:b/>
          <w:bCs/>
          <w:sz w:val="24"/>
          <w:szCs w:val="24"/>
        </w:rPr>
        <w:t xml:space="preserve">Il primo riguarda l'esito di fuoco. Ottenere, in pochi secondi e in spazio ristretto, la neutralizzazione di cinque uomini armati preservando incolume una sesta persona collocata fra loro è operazione che richiede addestramento specifico. Che l'organizzazione disponesse di persone in possesso di tale addestramento è possibile e non è documentato quanto alla via di acquisizione. Si registra dunque: capacità manifestata, via di acquisizione non documentata.</w:t>
      </w:r>
    </w:p>
    <w:p>
      <w:pPr>
        <w:spacing w:after="120" w:line="276"/>
        <w:jc w:val="both"/>
      </w:pPr>
      <w:r>
        <w:rPr>
          <w:rFonts w:ascii="Barlow Semi Condensed" w:cs="Barlow Semi Condensed" w:eastAsia="Barlow Semi Condensed" w:hAnsi="Barlow Semi Condensed"/>
          <w:b/>
          <w:bCs/>
          <w:sz w:val="24"/>
          <w:szCs w:val="24"/>
        </w:rPr>
        <w:t xml:space="preserve">Il secondo riguarda il coordinamento complessivo del dispositivo. Non è la singola capacità a costituire scarto, ma la loro composizione simultanea in un'unica operazione con margini di errore ridottissimi. Anche qui: capacità manifestata, via di acquisizione non documentata.</w:t>
      </w:r>
    </w:p>
    <w:p>
      <w:pPr>
        <w:pStyle w:val="Heading2"/>
        <w:spacing w:after="100" w:before="200"/>
      </w:pPr>
      <w:r>
        <w:rPr>
          <w:rFonts w:ascii="Barlow Semi Condensed" w:cs="Barlow Semi Condensed" w:eastAsia="Barlow Semi Condensed" w:hAnsi="Barlow Semi Condensed"/>
          <w:sz w:val="24"/>
          <w:szCs w:val="24"/>
        </w:rPr>
        <w:t xml:space="preserve">Le tre letture possibili e il divieto di sceglierne una qui</w:t>
      </w:r>
    </w:p>
    <w:p>
      <w:pPr>
        <w:spacing w:after="120" w:line="276"/>
        <w:jc w:val="both"/>
      </w:pPr>
      <w:r>
        <w:rPr>
          <w:rFonts w:ascii="Barlow Semi Condensed" w:cs="Barlow Semi Condensed" w:eastAsia="Barlow Semi Condensed" w:hAnsi="Barlow Semi Condensed"/>
          <w:b/>
          <w:bCs/>
          <w:sz w:val="24"/>
          <w:szCs w:val="24"/>
        </w:rPr>
        <w:t xml:space="preserve">Lo scarto così misurato ammette tre letture, e questo Capitolo non ne sceglie alcuna.</w:t>
      </w:r>
    </w:p>
    <w:p>
      <w:pPr>
        <w:spacing w:after="120" w:line="276"/>
        <w:jc w:val="both"/>
      </w:pPr>
      <w:r>
        <w:rPr>
          <w:rFonts w:ascii="Barlow Semi Condensed" w:cs="Barlow Semi Condensed" w:eastAsia="Barlow Semi Condensed" w:hAnsi="Barlow Semi Condensed"/>
          <w:b/>
          <w:bCs/>
          <w:sz w:val="24"/>
          <w:szCs w:val="24"/>
        </w:rPr>
        <w:t xml:space="preserve">Prima lettura: la via di acquisizione esiste ed è interna all'organizzazione, ma non è documentata perché la documentazione manca o non è stata cercata. È la lettura più economica e non è stata esclusa.</w:t>
      </w:r>
    </w:p>
    <w:p>
      <w:pPr>
        <w:spacing w:after="120" w:line="276"/>
        <w:jc w:val="both"/>
      </w:pPr>
      <w:r>
        <w:rPr>
          <w:rFonts w:ascii="Barlow Semi Condensed" w:cs="Barlow Semi Condensed" w:eastAsia="Barlow Semi Condensed" w:hAnsi="Barlow Semi Condensed"/>
          <w:b/>
          <w:bCs/>
          <w:sz w:val="24"/>
          <w:szCs w:val="24"/>
        </w:rPr>
        <w:t xml:space="preserve">Seconda lettura: la via di acquisizione è esterna e consistette in addestramento ricevuto altrove. Questa lettura non richiede necessariamente un concorso nell'atto: un addestramento ricevuto anni prima e per altri fini spiegherebbe la capacità senza implicare partecipazione.</w:t>
      </w:r>
    </w:p>
    <w:p>
      <w:pPr>
        <w:spacing w:after="120" w:line="276"/>
        <w:jc w:val="both"/>
      </w:pPr>
      <w:r>
        <w:rPr>
          <w:rFonts w:ascii="Barlow Semi Condensed" w:cs="Barlow Semi Condensed" w:eastAsia="Barlow Semi Condensed" w:hAnsi="Barlow Semi Condensed"/>
          <w:b/>
          <w:bCs/>
          <w:sz w:val="24"/>
          <w:szCs w:val="24"/>
        </w:rPr>
        <w:t xml:space="preserve">Terza lettura: vi fu concorso nell'atto.</w:t>
      </w:r>
    </w:p>
    <w:p>
      <w:pPr>
        <w:spacing w:after="120" w:line="276"/>
        <w:jc w:val="both"/>
      </w:pPr>
      <w:r>
        <w:rPr>
          <w:rFonts w:ascii="Barlow Semi Condensed" w:cs="Barlow Semi Condensed" w:eastAsia="Barlow Semi Condensed" w:hAnsi="Barlow Semi Condensed"/>
          <w:b/>
          <w:bCs/>
          <w:sz w:val="24"/>
          <w:szCs w:val="24"/>
        </w:rPr>
        <w:t xml:space="preserve">Le tre letture non sono equivalenti quanto alle conseguenze, e sono equivalenti quanto al sostegno che lo scarto fornisce a ciascuna: cioè nessuno. Uno scarto non seleziona il proprio riempimento, come già si è detto al Capitolo diciottesimo, e ripeterlo qui non è pedanteria: è il punto sul quale l'intera Fase può essere fraintesa.</w:t>
      </w:r>
    </w:p>
    <w:p>
      <w:pPr>
        <w:pStyle w:val="Heading2"/>
        <w:spacing w:after="100" w:before="200"/>
      </w:pPr>
      <w:r>
        <w:rPr>
          <w:rFonts w:ascii="Barlow Semi Condensed" w:cs="Barlow Semi Condensed" w:eastAsia="Barlow Semi Condensed" w:hAnsi="Barlow Semi Condensed"/>
          <w:sz w:val="24"/>
          <w:szCs w:val="24"/>
        </w:rPr>
        <w:t xml:space="preserve">Consegna</w:t>
      </w:r>
    </w:p>
    <w:p>
      <w:pPr>
        <w:spacing w:after="120" w:line="276"/>
        <w:jc w:val="both"/>
      </w:pPr>
      <w:r>
        <w:rPr>
          <w:rFonts w:ascii="Barlow Semi Condensed" w:cs="Barlow Semi Condensed" w:eastAsia="Barlow Semi Condensed" w:hAnsi="Barlow Semi Condensed"/>
          <w:b/>
          <w:bCs/>
          <w:sz w:val="24"/>
          <w:szCs w:val="24"/>
        </w:rPr>
        <w:t xml:space="preserve">Lo scarto misurato è consegnato alle Fasi Quinta e Sesta nei termini seguenti: due capacità manifestate con via di acquisizione non documentata; tre letture aperte; nessun elemento, in questa Fase, che discrimini fra esse.</w:t>
      </w:r>
    </w:p>
    <w:p>
      <w:pPr>
        <w:pStyle w:val="Heading2"/>
        <w:spacing w:after="100" w:before="200"/>
      </w:pPr>
      <w:r>
        <w:rPr>
          <w:rFonts w:ascii="Barlow Semi Condensed" w:cs="Barlow Semi Condensed" w:eastAsia="Barlow Semi Condensed" w:hAnsi="Barlow Semi Condensed"/>
          <w:sz w:val="24"/>
          <w:szCs w:val="24"/>
        </w:rPr>
        <w:t xml:space="preserve">Capitolo venticinquesimo — Il trasferimento e la sparizione</w:t>
      </w:r>
    </w:p>
    <w:p>
      <w:pPr>
        <w:spacing w:after="120" w:line="276"/>
        <w:jc w:val="both"/>
      </w:pPr>
      <w:r>
        <w:rPr>
          <w:rFonts w:ascii="Barlow Semi Condensed" w:cs="Barlow Semi Condensed" w:eastAsia="Barlow Semi Condensed" w:hAnsi="Barlow Semi Condensed"/>
          <w:b/>
          <w:bCs/>
          <w:sz w:val="24"/>
          <w:szCs w:val="24"/>
        </w:rPr>
        <w:t xml:space="preserve">Fra il prelevamento in via Fani e la prima comunicazione dei rapitori corre un intervallo del quale si sa poco. Questo Capitolo espone che cosa se ne sappia e, soprattutto, che cosa non se ne sappia, perché è uno dei punti nei quali la lacuna è più netta.</w:t>
      </w:r>
    </w:p>
    <w:p>
      <w:pPr>
        <w:pStyle w:val="Heading2"/>
        <w:spacing w:after="100" w:before="200"/>
      </w:pPr>
      <w:r>
        <w:rPr>
          <w:rFonts w:ascii="Barlow Semi Condensed" w:cs="Barlow Semi Condensed" w:eastAsia="Barlow Semi Condensed" w:hAnsi="Barlow Semi Condensed"/>
          <w:sz w:val="24"/>
          <w:szCs w:val="24"/>
        </w:rPr>
        <w:t xml:space="preserve">Il trasferimento immediato</w:t>
      </w:r>
    </w:p>
    <w:p>
      <w:pPr>
        <w:spacing w:after="120" w:line="276"/>
        <w:jc w:val="both"/>
      </w:pPr>
      <w:r>
        <w:rPr>
          <w:rFonts w:ascii="Barlow Semi Condensed" w:cs="Barlow Semi Condensed" w:eastAsia="Barlow Semi Condensed" w:hAnsi="Barlow Semi Condensed"/>
          <w:b/>
          <w:bCs/>
          <w:sz w:val="24"/>
          <w:szCs w:val="24"/>
        </w:rPr>
        <w:t xml:space="preserve">È accertato che Aldo Moro fu fatto salire su un veicolo che si allontanò dal luogo dell'agguato. È accertato che il dispositivo si dissolse rapidamente.</w:t>
      </w:r>
    </w:p>
    <w:p>
      <w:pPr>
        <w:spacing w:after="120" w:line="276"/>
        <w:jc w:val="both"/>
      </w:pPr>
      <w:r>
        <w:rPr>
          <w:rFonts w:ascii="Barlow Semi Condensed" w:cs="Barlow Semi Condensed" w:eastAsia="Barlow Semi Condensed" w:hAnsi="Barlow Semi Condensed"/>
          <w:b/>
          <w:bCs/>
          <w:sz w:val="24"/>
          <w:szCs w:val="24"/>
        </w:rPr>
        <w:t xml:space="preserve">Le ricostruzioni relative al percorso seguito, al numero dei trasbordi effettuati e ai luoghi intermedi poggiano in misura prevalente su dichiarazioni di persone coinvolte, rese in tempi successivi. Esse hanno conosciuto revisioni.</w:t>
      </w:r>
    </w:p>
    <w:p>
      <w:pPr>
        <w:spacing w:after="120" w:line="276"/>
        <w:jc w:val="both"/>
      </w:pPr>
      <w:r>
        <w:rPr>
          <w:rFonts w:ascii="Barlow Semi Condensed" w:cs="Barlow Semi Condensed" w:eastAsia="Barlow Semi Condensed" w:hAnsi="Barlow Semi Condensed"/>
          <w:b/>
          <w:bCs/>
          <w:sz w:val="24"/>
          <w:szCs w:val="24"/>
        </w:rPr>
        <w:t xml:space="preserve">Si applica la regola: questi elementi sono iscritti come dati di ricostruzione e non di rilievo.</w:t>
      </w:r>
    </w:p>
    <w:p>
      <w:pPr>
        <w:pStyle w:val="Heading2"/>
        <w:spacing w:after="100" w:before="200"/>
      </w:pPr>
      <w:r>
        <w:rPr>
          <w:rFonts w:ascii="Barlow Semi Condensed" w:cs="Barlow Semi Condensed" w:eastAsia="Barlow Semi Condensed" w:hAnsi="Barlow Semi Condensed"/>
          <w:sz w:val="24"/>
          <w:szCs w:val="24"/>
        </w:rPr>
        <w:t xml:space="preserve">La ricerca</w:t>
      </w:r>
    </w:p>
    <w:p>
      <w:pPr>
        <w:spacing w:after="120" w:line="276"/>
        <w:jc w:val="both"/>
      </w:pPr>
      <w:r>
        <w:rPr>
          <w:rFonts w:ascii="Barlow Semi Condensed" w:cs="Barlow Semi Condensed" w:eastAsia="Barlow Semi Condensed" w:hAnsi="Barlow Semi Condensed"/>
          <w:b/>
          <w:bCs/>
          <w:sz w:val="24"/>
          <w:szCs w:val="24"/>
        </w:rPr>
        <w:t xml:space="preserve">Nelle ore e nei giorni successivi fu disposto un dispositivo di ricerca di dimensioni senza precedenti: posti di blocco, perquisizioni, controlli. L'esito fu nullo quanto alla localizzazione del prigioniero.</w:t>
      </w:r>
    </w:p>
    <w:p>
      <w:pPr>
        <w:spacing w:after="120" w:line="276"/>
        <w:jc w:val="both"/>
      </w:pPr>
      <w:r>
        <w:rPr>
          <w:rFonts w:ascii="Barlow Semi Condensed" w:cs="Barlow Semi Condensed" w:eastAsia="Barlow Semi Condensed" w:hAnsi="Barlow Semi Condensed"/>
          <w:b/>
          <w:bCs/>
          <w:sz w:val="24"/>
          <w:szCs w:val="24"/>
        </w:rPr>
        <w:t xml:space="preserve">Questo esito nullo è un dato, ed è un dato che va registrato con la precisione che la disciplina degli Stati Zero prescrive: fu condotta una ricerca di dimensioni eccezionali, per cinquantacinque giorni, e non produsse la localizzazione.</w:t>
      </w:r>
    </w:p>
    <w:p>
      <w:pPr>
        <w:spacing w:after="120" w:line="276"/>
        <w:jc w:val="both"/>
      </w:pPr>
      <w:r>
        <w:rPr>
          <w:rFonts w:ascii="Barlow Semi Condensed" w:cs="Barlow Semi Condensed" w:eastAsia="Barlow Semi Condensed" w:hAnsi="Barlow Semi Condensed"/>
          <w:b/>
          <w:bCs/>
          <w:sz w:val="24"/>
          <w:szCs w:val="24"/>
        </w:rPr>
        <w:t xml:space="preserve">Occorre subito aggiungere ciò che tale registrazione non comporta. Un esito nullo non prova che la ricerca fosse mal condotta, né che fosse ostacolata, né che fosse simulata. Prova che non trovò. Le tre ipotesi ulteriori — inefficienza, ostacolo, simulazione — sono proposizioni distinte, ciascuna delle quali domanda prova propria, e appartengono alla Fase Quinta.</w:t>
      </w:r>
    </w:p>
    <w:p>
      <w:pPr>
        <w:spacing w:after="120" w:line="276"/>
        <w:jc w:val="both"/>
      </w:pPr>
      <w:r>
        <w:rPr>
          <w:rFonts w:ascii="Barlow Semi Condensed" w:cs="Barlow Semi Condensed" w:eastAsia="Barlow Semi Condensed" w:hAnsi="Barlow Semi Condensed"/>
          <w:b/>
          <w:bCs/>
          <w:sz w:val="24"/>
          <w:szCs w:val="24"/>
        </w:rPr>
        <w:t xml:space="preserve">Si segnala però, perché rileva per quella Fase, che l'esito nullo di una ricerca eccezionale è un fatto che chiede spiegazione; e che la sola spiegazione dell'inefficienza, per quanto possibile, deve confrontarsi con la dimensione delle risorse impiegate.</w:t>
      </w:r>
    </w:p>
    <w:p>
      <w:pPr>
        <w:pStyle w:val="Heading2"/>
        <w:spacing w:after="100" w:before="200"/>
      </w:pPr>
      <w:r>
        <w:rPr>
          <w:rFonts w:ascii="Barlow Semi Condensed" w:cs="Barlow Semi Condensed" w:eastAsia="Barlow Semi Condensed" w:hAnsi="Barlow Semi Condensed"/>
          <w:sz w:val="24"/>
          <w:szCs w:val="24"/>
        </w:rPr>
        <w:t xml:space="preserve">La lacuna centrale</w:t>
      </w:r>
    </w:p>
    <w:p>
      <w:pPr>
        <w:spacing w:after="120" w:line="276"/>
        <w:jc w:val="both"/>
      </w:pPr>
      <w:r>
        <w:rPr>
          <w:rFonts w:ascii="Barlow Semi Condensed" w:cs="Barlow Semi Condensed" w:eastAsia="Barlow Semi Condensed" w:hAnsi="Barlow Semi Condensed"/>
          <w:b/>
          <w:bCs/>
          <w:sz w:val="24"/>
          <w:szCs w:val="24"/>
        </w:rPr>
        <w:t xml:space="preserve">Vi è, in questa parte della vicenda, una lacuna che va nominata perché è quella che genera il maggior numero di ipotesi.</w:t>
      </w:r>
    </w:p>
    <w:p>
      <w:pPr>
        <w:spacing w:after="120" w:line="276"/>
        <w:jc w:val="both"/>
      </w:pPr>
      <w:r>
        <w:rPr>
          <w:rFonts w:ascii="Barlow Semi Condensed" w:cs="Barlow Semi Condensed" w:eastAsia="Barlow Semi Condensed" w:hAnsi="Barlow Semi Condensed"/>
          <w:b/>
          <w:bCs/>
          <w:sz w:val="24"/>
          <w:szCs w:val="24"/>
        </w:rPr>
        <w:t xml:space="preserve">Non è documentato, se non attraverso dichiarazioni successive di persone coinvolte, dove Aldo Moro sia stato condotto immediatamente dopo il prelevamento, e per quale via. La documentazione oggettiva — rilievi, riscontri materiali contemporanei ai fatti — è, su questo punto, assai scarsa.</w:t>
      </w:r>
    </w:p>
    <w:p>
      <w:pPr>
        <w:spacing w:after="120" w:line="276"/>
        <w:jc w:val="both"/>
      </w:pPr>
      <w:r>
        <w:rPr>
          <w:rFonts w:ascii="Barlow Semi Condensed" w:cs="Barlow Semi Condensed" w:eastAsia="Barlow Semi Condensed" w:hAnsi="Barlow Semi Condensed"/>
          <w:b/>
          <w:bCs/>
          <w:sz w:val="24"/>
          <w:szCs w:val="24"/>
        </w:rPr>
        <w:t xml:space="preserve">La lacuna è iscritta come tale. Si indicano le condizioni del suo scioglimento: rilievi materiali riferibili ai luoghi intermedi; documentazione contemporanea ai fatti relativa ai controlli effettuati nelle ore immediatamente successive e ai loro esiti; riscontri indipendenti dalle dichiarazioni delle persone coinvolte.</w:t>
      </w:r>
    </w:p>
    <w:p>
      <w:pPr>
        <w:pStyle w:val="Heading2"/>
        <w:spacing w:after="100" w:before="200"/>
      </w:pPr>
      <w:r>
        <w:rPr>
          <w:rFonts w:ascii="Barlow Semi Condensed" w:cs="Barlow Semi Condensed" w:eastAsia="Barlow Semi Condensed" w:hAnsi="Barlow Semi Condensed"/>
          <w:sz w:val="24"/>
          <w:szCs w:val="24"/>
        </w:rPr>
        <w:t xml:space="preserve">Capitolo ventiseiesimo — I luoghi della prigionia</w:t>
      </w:r>
    </w:p>
    <w:p>
      <w:pPr>
        <w:pStyle w:val="Heading2"/>
        <w:spacing w:after="100" w:before="200"/>
      </w:pPr>
      <w:r>
        <w:rPr>
          <w:rFonts w:ascii="Barlow Semi Condensed" w:cs="Barlow Semi Condensed" w:eastAsia="Barlow Semi Condensed" w:hAnsi="Barlow Semi Condensed"/>
          <w:sz w:val="24"/>
          <w:szCs w:val="24"/>
        </w:rPr>
        <w:t xml:space="preserve">Il luogo accertato</w:t>
      </w:r>
    </w:p>
    <w:p>
      <w:pPr>
        <w:spacing w:after="120" w:line="276"/>
        <w:jc w:val="both"/>
      </w:pPr>
      <w:r>
        <w:rPr>
          <w:rFonts w:ascii="Barlow Semi Condensed" w:cs="Barlow Semi Condensed" w:eastAsia="Barlow Semi Condensed" w:hAnsi="Barlow Semi Condensed"/>
          <w:b/>
          <w:bCs/>
          <w:sz w:val="24"/>
          <w:szCs w:val="24"/>
        </w:rPr>
        <w:t xml:space="preserve">È accertato che il luogo di detenzione fu un appartamento in via Camillo Montalcini, a Roma, e che vi fu allestito un vano appositamente predisposto per la custodia del prigioniero.</w:t>
      </w:r>
    </w:p>
    <w:p>
      <w:pPr>
        <w:spacing w:after="120" w:line="276"/>
        <w:jc w:val="both"/>
      </w:pPr>
      <w:r>
        <w:rPr>
          <w:rFonts w:ascii="Barlow Semi Condensed" w:cs="Barlow Semi Condensed" w:eastAsia="Barlow Semi Condensed" w:hAnsi="Barlow Semi Condensed"/>
          <w:b/>
          <w:bCs/>
          <w:sz w:val="24"/>
          <w:szCs w:val="24"/>
        </w:rPr>
        <w:t xml:space="preserve">L'accertamento non fu contemporaneo ai fatti: esso derivò da dichiarazioni rese anni dopo da persone coinvolte, e fu successivamente riscontrato. La distinzione fra il momento del fatto e il momento dell'accertamento è qui rilevante, e conviene esplicitarla: durante i cinquantacinque giorni quel luogo non fu individuato.</w:t>
      </w:r>
    </w:p>
    <w:p>
      <w:pPr>
        <w:pStyle w:val="Heading2"/>
        <w:spacing w:after="100" w:before="200"/>
      </w:pPr>
      <w:r>
        <w:rPr>
          <w:rFonts w:ascii="Barlow Semi Condensed" w:cs="Barlow Semi Condensed" w:eastAsia="Barlow Semi Condensed" w:hAnsi="Barlow Semi Condensed"/>
          <w:sz w:val="24"/>
          <w:szCs w:val="24"/>
        </w:rPr>
        <w:t xml:space="preserve">La questione degli altri luoghi</w:t>
      </w:r>
    </w:p>
    <w:p>
      <w:pPr>
        <w:spacing w:after="120" w:line="276"/>
        <w:jc w:val="both"/>
      </w:pPr>
      <w:r>
        <w:rPr>
          <w:rFonts w:ascii="Barlow Semi Condensed" w:cs="Barlow Semi Condensed" w:eastAsia="Barlow Semi Condensed" w:hAnsi="Barlow Semi Condensed"/>
          <w:b/>
          <w:bCs/>
          <w:sz w:val="24"/>
          <w:szCs w:val="24"/>
        </w:rPr>
        <w:t xml:space="preserve">È stata sostenuta, in varie sedi e da vari autori, l'ipotesi che il prigioniero sia stato detenuto anche altrove, in tutto o in parte del periodo. Le argomentazioni addotte a sostegno riguardano elementi di natura diversa: rilievi effettuati sul corpo e sugli indumenti al momento del rinvenimento; considerazioni sulla praticabilità logistica; dichiarazioni divergenti.</w:t>
      </w:r>
    </w:p>
    <w:p>
      <w:pPr>
        <w:spacing w:after="120" w:line="276"/>
        <w:jc w:val="both"/>
      </w:pPr>
      <w:r>
        <w:rPr>
          <w:rFonts w:ascii="Barlow Semi Condensed" w:cs="Barlow Semi Condensed" w:eastAsia="Barlow Semi Condensed" w:hAnsi="Barlow Semi Condensed"/>
          <w:b/>
          <w:bCs/>
          <w:sz w:val="24"/>
          <w:szCs w:val="24"/>
        </w:rPr>
        <w:t xml:space="preserve">Quest'opera registra l'ipotesi come formulata e non la fa propria. Essa non è, allo stato, esclusa; e non è, allo stato, provata. La sua condizione di scioglimento è indicabile con precisione: rilievi materiali riferibili a un luogo determinato e concomitanti al periodo, ovvero dichiarazioni riscontrate da elementi indipendenti.</w:t>
      </w:r>
    </w:p>
    <w:p>
      <w:pPr>
        <w:pStyle w:val="Heading2"/>
        <w:spacing w:after="100" w:before="200"/>
      </w:pPr>
      <w:r>
        <w:rPr>
          <w:rFonts w:ascii="Barlow Semi Condensed" w:cs="Barlow Semi Condensed" w:eastAsia="Barlow Semi Condensed" w:hAnsi="Barlow Semi Condensed"/>
          <w:sz w:val="24"/>
          <w:szCs w:val="24"/>
        </w:rPr>
        <w:t xml:space="preserve">Il rilievo sugli indumenti e il suo statuto</w:t>
      </w:r>
    </w:p>
    <w:p>
      <w:pPr>
        <w:spacing w:after="120" w:line="276"/>
        <w:jc w:val="both"/>
      </w:pPr>
      <w:r>
        <w:rPr>
          <w:rFonts w:ascii="Barlow Semi Condensed" w:cs="Barlow Semi Condensed" w:eastAsia="Barlow Semi Condensed" w:hAnsi="Barlow Semi Condensed"/>
          <w:b/>
          <w:bCs/>
          <w:sz w:val="24"/>
          <w:szCs w:val="24"/>
        </w:rPr>
        <w:t xml:space="preserve">Merita una nota separata l'elemento che più frequentemente è addotto: la presenza, sugli indumenti o sul corpo, di tracce che sono state ritenute non compatibili con una detenzione esclusivamente urbana in appartamento.</w:t>
      </w:r>
    </w:p>
    <w:p>
      <w:pPr>
        <w:spacing w:after="120" w:line="276"/>
        <w:jc w:val="both"/>
      </w:pPr>
      <w:r>
        <w:rPr>
          <w:rFonts w:ascii="Barlow Semi Condensed" w:cs="Barlow Semi Condensed" w:eastAsia="Barlow Semi Condensed" w:hAnsi="Barlow Semi Condensed"/>
          <w:b/>
          <w:bCs/>
          <w:sz w:val="24"/>
          <w:szCs w:val="24"/>
        </w:rPr>
        <w:t xml:space="preserve">Lo statuto di questo elemento va precisato con cura, perché esso è il tipo di dato sul quale la divulgazione compie con maggiore frequenza il salto che la Fase vieta.</w:t>
      </w:r>
    </w:p>
    <w:p>
      <w:pPr>
        <w:spacing w:after="120" w:line="276"/>
        <w:jc w:val="both"/>
      </w:pPr>
      <w:r>
        <w:rPr>
          <w:rFonts w:ascii="Barlow Semi Condensed" w:cs="Barlow Semi Condensed" w:eastAsia="Barlow Semi Condensed" w:hAnsi="Barlow Semi Condensed"/>
          <w:b/>
          <w:bCs/>
          <w:sz w:val="24"/>
          <w:szCs w:val="24"/>
        </w:rPr>
        <w:t xml:space="preserve">Il rilievo, per la parte in cui è stato effettuato, attesta la presenza di determinate tracce. L'inferenza sulla loro origine è operazione ulteriore e dipende da assunzioni sulle vie possibili di deposito, che sono molteplici. Una traccia può essere depositata nel luogo di detenzione, nel luogo di uccisione, nel veicolo, durante il trasporto, o in occasione delle operazioni successive al rinvenimento.</w:t>
      </w:r>
    </w:p>
    <w:p>
      <w:pPr>
        <w:spacing w:after="120" w:line="276"/>
        <w:jc w:val="both"/>
      </w:pPr>
      <w:r>
        <w:rPr>
          <w:rFonts w:ascii="Barlow Semi Condensed" w:cs="Barlow Semi Condensed" w:eastAsia="Barlow Semi Condensed" w:hAnsi="Barlow Semi Condensed"/>
          <w:b/>
          <w:bCs/>
          <w:sz w:val="24"/>
          <w:szCs w:val="24"/>
        </w:rPr>
        <w:t xml:space="preserve">L'elemento è dunque iscritto come dato di rilievo, e la sua interpretazione come dubbio, con l'indicazione che il suo scioglimento richiederebbe la ricostruzione documentata di tutte le vie di deposito possibili e l'esclusione motivata di tutte tranne una.</w:t>
      </w:r>
    </w:p>
    <w:p>
      <w:pPr>
        <w:pStyle w:val="Heading2"/>
        <w:spacing w:after="100" w:before="200"/>
      </w:pPr>
      <w:r>
        <w:rPr>
          <w:rFonts w:ascii="Barlow Semi Condensed" w:cs="Barlow Semi Condensed" w:eastAsia="Barlow Semi Condensed" w:hAnsi="Barlow Semi Condensed"/>
          <w:sz w:val="24"/>
          <w:szCs w:val="24"/>
        </w:rPr>
        <w:t xml:space="preserve">Ciò che si registra</w:t>
      </w:r>
    </w:p>
    <w:p>
      <w:pPr>
        <w:spacing w:after="120" w:line="276"/>
        <w:jc w:val="both"/>
      </w:pPr>
      <w:r>
        <w:rPr>
          <w:rFonts w:ascii="Barlow Semi Condensed" w:cs="Barlow Semi Condensed" w:eastAsia="Barlow Semi Condensed" w:hAnsi="Barlow Semi Condensed"/>
          <w:b/>
          <w:bCs/>
          <w:sz w:val="24"/>
          <w:szCs w:val="24"/>
        </w:rPr>
        <w:t xml:space="preserve">È in stato di sciolto: la detenzione in via Camillo Montalcini, con predisposizione di un vano apposito; la circostanza che l'accertamento sia successivo e derivi da dichiarazioni riscontrate; la mancata individuazione del luogo durante il periodo.</w:t>
      </w:r>
    </w:p>
    <w:p>
      <w:pPr>
        <w:spacing w:after="120" w:line="276"/>
        <w:jc w:val="both"/>
      </w:pPr>
      <w:r>
        <w:rPr>
          <w:rFonts w:ascii="Barlow Semi Condensed" w:cs="Barlow Semi Condensed" w:eastAsia="Barlow Semi Condensed" w:hAnsi="Barlow Semi Condensed"/>
          <w:b/>
          <w:bCs/>
          <w:sz w:val="24"/>
          <w:szCs w:val="24"/>
        </w:rPr>
        <w:t xml:space="preserve">È in stato di dubbio: l'ipotesi di luoghi ulteriori di detenzione; l'origine delle tracce rilevate.</w:t>
      </w:r>
    </w:p>
    <w:p>
      <w:pPr>
        <w:pStyle w:val="Heading2"/>
        <w:spacing w:after="100" w:before="200"/>
      </w:pPr>
      <w:r>
        <w:rPr>
          <w:rFonts w:ascii="Barlow Semi Condensed" w:cs="Barlow Semi Condensed" w:eastAsia="Barlow Semi Condensed" w:hAnsi="Barlow Semi Condensed"/>
          <w:sz w:val="24"/>
          <w:szCs w:val="24"/>
        </w:rPr>
        <w:t xml:space="preserve">Capitolo ventisettesimo — I cinquantacinque giorni: la sequenza delle comunicazioni</w:t>
      </w:r>
    </w:p>
    <w:p>
      <w:pPr>
        <w:spacing w:after="120" w:line="276"/>
        <w:jc w:val="both"/>
      </w:pPr>
      <w:r>
        <w:rPr>
          <w:rFonts w:ascii="Barlow Semi Condensed" w:cs="Barlow Semi Condensed" w:eastAsia="Barlow Semi Condensed" w:hAnsi="Barlow Semi Condensed"/>
          <w:b/>
          <w:bCs/>
          <w:sz w:val="24"/>
          <w:szCs w:val="24"/>
        </w:rPr>
        <w:t xml:space="preserve">Durante il periodo di prigionia furono diffusi comunicati dell'organizzazione, e furono recapitate lettere scritte dal prigioniero. Questo Capitolo espone la sequenza; il trattamento delle lettere quanto al loro contenuto e al loro statuto appartiene alla Fase Quarta, che è dedicata alle carte.</w:t>
      </w:r>
    </w:p>
    <w:p>
      <w:pPr>
        <w:pStyle w:val="Heading2"/>
        <w:spacing w:after="100" w:before="200"/>
      </w:pPr>
      <w:r>
        <w:rPr>
          <w:rFonts w:ascii="Barlow Semi Condensed" w:cs="Barlow Semi Condensed" w:eastAsia="Barlow Semi Condensed" w:hAnsi="Barlow Semi Condensed"/>
          <w:sz w:val="24"/>
          <w:szCs w:val="24"/>
        </w:rPr>
        <w:t xml:space="preserve">La struttura della comunicazione</w:t>
      </w:r>
    </w:p>
    <w:p>
      <w:pPr>
        <w:spacing w:after="120" w:line="276"/>
        <w:jc w:val="both"/>
      </w:pPr>
      <w:r>
        <w:rPr>
          <w:rFonts w:ascii="Barlow Semi Condensed" w:cs="Barlow Semi Condensed" w:eastAsia="Barlow Semi Condensed" w:hAnsi="Barlow Semi Condensed"/>
          <w:b/>
          <w:bCs/>
          <w:sz w:val="24"/>
          <w:szCs w:val="24"/>
        </w:rPr>
        <w:t xml:space="preserve">La comunicazione dei rapitori si articolò in comunicati numerati, diffusi mediante recapito a organi di informazione o collocazione in luoghi pubblici, secondo modalità che consentivano il ritiro senza esposizione.</w:t>
      </w:r>
    </w:p>
    <w:p>
      <w:pPr>
        <w:spacing w:after="120" w:line="276"/>
        <w:jc w:val="both"/>
      </w:pPr>
      <w:r>
        <w:rPr>
          <w:rFonts w:ascii="Barlow Semi Condensed" w:cs="Barlow Semi Condensed" w:eastAsia="Barlow Semi Condensed" w:hAnsi="Barlow Semi Condensed"/>
          <w:b/>
          <w:bCs/>
          <w:sz w:val="24"/>
          <w:szCs w:val="24"/>
        </w:rPr>
        <w:t xml:space="preserve">Parallelamente furono recapitate lettere manoscritte del prigioniero, indirizzate a familiari, a uomini politici, a istituzioni.</w:t>
      </w:r>
    </w:p>
    <w:p>
      <w:pPr>
        <w:spacing w:after="120" w:line="276"/>
        <w:jc w:val="both"/>
      </w:pPr>
      <w:r>
        <w:rPr>
          <w:rFonts w:ascii="Barlow Semi Condensed" w:cs="Barlow Semi Condensed" w:eastAsia="Barlow Semi Condensed" w:hAnsi="Barlow Semi Condensed"/>
          <w:b/>
          <w:bCs/>
          <w:sz w:val="24"/>
          <w:szCs w:val="24"/>
        </w:rPr>
        <w:t xml:space="preserve">Le due serie procedettero in parallelo per l'intero periodo e furono, dal punto di vista di chi le riceveva, oggetto di valutazioni distinte: sull'autenticità, sulla libertà di redazione, sul significato da attribuire.</w:t>
      </w:r>
    </w:p>
    <w:p>
      <w:pPr>
        <w:pStyle w:val="Heading2"/>
        <w:spacing w:after="100" w:before="200"/>
      </w:pPr>
      <w:r>
        <w:rPr>
          <w:rFonts w:ascii="Barlow Semi Condensed" w:cs="Barlow Semi Condensed" w:eastAsia="Barlow Semi Condensed" w:hAnsi="Barlow Semi Condensed"/>
          <w:sz w:val="24"/>
          <w:szCs w:val="24"/>
        </w:rPr>
        <w:t xml:space="preserve">Le due posizioni pubbliche</w:t>
      </w:r>
    </w:p>
    <w:p>
      <w:pPr>
        <w:spacing w:after="120" w:line="276"/>
        <w:jc w:val="both"/>
      </w:pPr>
      <w:r>
        <w:rPr>
          <w:rFonts w:ascii="Barlow Semi Condensed" w:cs="Barlow Semi Condensed" w:eastAsia="Barlow Semi Condensed" w:hAnsi="Barlow Semi Condensed"/>
          <w:b/>
          <w:bCs/>
          <w:sz w:val="24"/>
          <w:szCs w:val="24"/>
        </w:rPr>
        <w:t xml:space="preserve">Attorno alle comunicazioni si formarono, nel dibattito pubblico e nelle sedi istituzionali, due posizioni che è necessario esporre con esattezza perché su di esse si è successivamente costruito molto.</w:t>
      </w:r>
    </w:p>
    <w:p>
      <w:pPr>
        <w:spacing w:after="120" w:line="276"/>
        <w:jc w:val="both"/>
      </w:pPr>
      <w:r>
        <w:rPr>
          <w:rFonts w:ascii="Barlow Semi Condensed" w:cs="Barlow Semi Condensed" w:eastAsia="Barlow Semi Condensed" w:hAnsi="Barlow Semi Condensed"/>
          <w:b/>
          <w:bCs/>
          <w:sz w:val="24"/>
          <w:szCs w:val="24"/>
        </w:rPr>
        <w:t xml:space="preserve">La prima sosteneva che lo Stato non dovesse trattare con l'organizzazione, in quanto la trattativa ne avrebbe riconosciuto lo statuto politico e incentivato la reiterazione. Essa fu la posizione prevalente nelle sedi di governo e presso i maggiori partiti.</w:t>
      </w:r>
    </w:p>
    <w:p>
      <w:pPr>
        <w:spacing w:after="120" w:line="276"/>
        <w:jc w:val="both"/>
      </w:pPr>
      <w:r>
        <w:rPr>
          <w:rFonts w:ascii="Barlow Semi Condensed" w:cs="Barlow Semi Condensed" w:eastAsia="Barlow Semi Condensed" w:hAnsi="Barlow Semi Condensed"/>
          <w:b/>
          <w:bCs/>
          <w:sz w:val="24"/>
          <w:szCs w:val="24"/>
        </w:rPr>
        <w:t xml:space="preserve">La seconda sosteneva che dovesse essere perseguita ogni via idonea a salvare la vita del prigioniero, anche mediante forme di trattativa, e che ciò non comportasse riconoscimento politico. Essa fu sostenuta da settori minoritari e da una parte dei familiari.</w:t>
      </w:r>
    </w:p>
    <w:p>
      <w:pPr>
        <w:spacing w:after="120" w:line="276"/>
        <w:jc w:val="both"/>
      </w:pPr>
      <w:r>
        <w:rPr>
          <w:rFonts w:ascii="Barlow Semi Condensed" w:cs="Barlow Semi Condensed" w:eastAsia="Barlow Semi Condensed" w:hAnsi="Barlow Semi Condensed"/>
          <w:b/>
          <w:bCs/>
          <w:sz w:val="24"/>
          <w:szCs w:val="24"/>
        </w:rPr>
        <w:t xml:space="preserve">Quest'opera non giudica quale delle due fosse la posizione giusta, perché il giudizio è politico e morale e non documentale. Registra che entrambe furono sostenute con argomenti seri, che la prima prevalse, e che la questione è rimasta controversa fino a oggi.</w:t>
      </w:r>
    </w:p>
    <w:p>
      <w:pPr>
        <w:pStyle w:val="Heading2"/>
        <w:spacing w:after="100" w:before="200"/>
      </w:pPr>
      <w:r>
        <w:rPr>
          <w:rFonts w:ascii="Barlow Semi Condensed" w:cs="Barlow Semi Condensed" w:eastAsia="Barlow Semi Condensed" w:hAnsi="Barlow Semi Condensed"/>
          <w:sz w:val="24"/>
          <w:szCs w:val="24"/>
        </w:rPr>
        <w:t xml:space="preserve">Ciò che rileva per la ricostruzione materiale</w:t>
      </w:r>
    </w:p>
    <w:p>
      <w:pPr>
        <w:spacing w:after="120" w:line="276"/>
        <w:jc w:val="both"/>
      </w:pPr>
      <w:r>
        <w:rPr>
          <w:rFonts w:ascii="Barlow Semi Condensed" w:cs="Barlow Semi Condensed" w:eastAsia="Barlow Semi Condensed" w:hAnsi="Barlow Semi Condensed"/>
          <w:b/>
          <w:bCs/>
          <w:sz w:val="24"/>
          <w:szCs w:val="24"/>
        </w:rPr>
        <w:t xml:space="preserve">Quanto alla materia di questa Fase, la sequenza delle comunicazioni rileva per due elementi.</w:t>
      </w:r>
    </w:p>
    <w:p>
      <w:pPr>
        <w:spacing w:after="120" w:line="276"/>
        <w:jc w:val="both"/>
      </w:pPr>
      <w:r>
        <w:rPr>
          <w:rFonts w:ascii="Barlow Semi Condensed" w:cs="Barlow Semi Condensed" w:eastAsia="Barlow Semi Condensed" w:hAnsi="Barlow Semi Condensed"/>
          <w:b/>
          <w:bCs/>
          <w:sz w:val="24"/>
          <w:szCs w:val="24"/>
        </w:rPr>
        <w:t xml:space="preserve">Primo: essa attesta che il prigioniero fu mantenuto in vita per l'intero periodo e in condizioni che gli consentivano di scrivere, il che restringe le ipotesi sulle modalità di detenzione.</w:t>
      </w:r>
    </w:p>
    <w:p>
      <w:pPr>
        <w:spacing w:after="120" w:line="276"/>
        <w:jc w:val="both"/>
      </w:pPr>
      <w:r>
        <w:rPr>
          <w:rFonts w:ascii="Barlow Semi Condensed" w:cs="Barlow Semi Condensed" w:eastAsia="Barlow Semi Condensed" w:hAnsi="Barlow Semi Condensed"/>
          <w:b/>
          <w:bCs/>
          <w:sz w:val="24"/>
          <w:szCs w:val="24"/>
        </w:rPr>
        <w:t xml:space="preserve">Secondo: essa attesta che l'organizzazione mantenne, per cinquantacinque giorni, una capacità di comunicazione pubblica ripetuta senza che l'origine dei recapiti conducesse alla localizzazione. Il dato è già stato registrato nel Capitolo ventiquattresimo fra le capacità manifestate, e vi si è concluso che esso non costituisce scarto, essendo documentata come pratica corrente di quella organizzazione.</w:t>
      </w:r>
    </w:p>
    <w:p>
      <w:pPr>
        <w:pStyle w:val="Heading2"/>
        <w:spacing w:after="100" w:before="200"/>
      </w:pPr>
      <w:r>
        <w:rPr>
          <w:rFonts w:ascii="Barlow Semi Condensed" w:cs="Barlow Semi Condensed" w:eastAsia="Barlow Semi Condensed" w:hAnsi="Barlow Semi Condensed"/>
          <w:sz w:val="24"/>
          <w:szCs w:val="24"/>
        </w:rPr>
        <w:t xml:space="preserve">Una avvertenza sul contenuto</w:t>
      </w:r>
    </w:p>
    <w:p>
      <w:pPr>
        <w:spacing w:after="120" w:line="276"/>
        <w:jc w:val="both"/>
      </w:pPr>
      <w:r>
        <w:rPr>
          <w:rFonts w:ascii="Barlow Semi Condensed" w:cs="Barlow Semi Condensed" w:eastAsia="Barlow Semi Condensed" w:hAnsi="Barlow Semi Condensed"/>
          <w:b/>
          <w:bCs/>
          <w:sz w:val="24"/>
          <w:szCs w:val="24"/>
        </w:rPr>
        <w:t xml:space="preserve">Si avverte che questo Capitolo non riferisce il contenuto dei comunicati né quello delle lettere, se non per la parte già esposta nel Capitolo diciassettesimo quanto al movente dichiarato.</w:t>
      </w:r>
    </w:p>
    <w:p>
      <w:pPr>
        <w:spacing w:after="120" w:line="276"/>
        <w:jc w:val="both"/>
      </w:pPr>
      <w:r>
        <w:rPr>
          <w:rFonts w:ascii="Barlow Semi Condensed" w:cs="Barlow Semi Condensed" w:eastAsia="Barlow Semi Condensed" w:hAnsi="Barlow Semi Condensed"/>
          <w:b/>
          <w:bCs/>
          <w:sz w:val="24"/>
          <w:szCs w:val="24"/>
        </w:rPr>
        <w:t xml:space="preserve">La ragione è di competenza: le carte scritte sotto vincolo richiedono una disciplina di lettura propria — quali enunciati siano attribuibili a chi scrive, quali siano condizionati, quali siano dettati — e tale disciplina è oggetto della Fase Quarta. Anticiparne l'uso qui significherebbe impiegare come prova materiale ciò che non è ancora stato qualificato quanto allo statuto.</w:t>
      </w:r>
    </w:p>
    <w:p>
      <w:pPr>
        <w:pStyle w:val="Heading2"/>
        <w:spacing w:after="100" w:before="200"/>
      </w:pPr>
      <w:r>
        <w:rPr>
          <w:rFonts w:ascii="Barlow Semi Condensed" w:cs="Barlow Semi Condensed" w:eastAsia="Barlow Semi Condensed" w:hAnsi="Barlow Semi Condensed"/>
          <w:sz w:val="24"/>
          <w:szCs w:val="24"/>
        </w:rPr>
        <w:t xml:space="preserve">Capitolo ventottesimo — Il falso annuncio e via Gradoli</w:t>
      </w:r>
    </w:p>
    <w:p>
      <w:pPr>
        <w:spacing w:after="120" w:line="276"/>
        <w:jc w:val="both"/>
      </w:pPr>
      <w:r>
        <w:rPr>
          <w:rFonts w:ascii="Barlow Semi Condensed" w:cs="Barlow Semi Condensed" w:eastAsia="Barlow Semi Condensed" w:hAnsi="Barlow Semi Condensed"/>
          <w:b/>
          <w:bCs/>
          <w:sz w:val="24"/>
          <w:szCs w:val="24"/>
        </w:rPr>
        <w:t xml:space="preserve">Nella seconda metà del periodo si collocano due episodi che appartengono alla ricostruzione materiale e che sono, per ragioni opposte, i più densi dell'intera vicenda. Si espongono qui nella loro materialità; la loro qualificazione appartiene alla Fase Quinta.</w:t>
      </w:r>
    </w:p>
    <w:p>
      <w:pPr>
        <w:pStyle w:val="Heading2"/>
        <w:spacing w:after="100" w:before="200"/>
      </w:pPr>
      <w:r>
        <w:rPr>
          <w:rFonts w:ascii="Barlow Semi Condensed" w:cs="Barlow Semi Condensed" w:eastAsia="Barlow Semi Condensed" w:hAnsi="Barlow Semi Condensed"/>
          <w:sz w:val="24"/>
          <w:szCs w:val="24"/>
        </w:rPr>
        <w:t xml:space="preserve">Il falso annuncio</w:t>
      </w:r>
    </w:p>
    <w:p>
      <w:pPr>
        <w:spacing w:after="120" w:line="276"/>
        <w:jc w:val="both"/>
      </w:pPr>
      <w:r>
        <w:rPr>
          <w:rFonts w:ascii="Barlow Semi Condensed" w:cs="Barlow Semi Condensed" w:eastAsia="Barlow Semi Condensed" w:hAnsi="Barlow Semi Condensed"/>
          <w:b/>
          <w:bCs/>
          <w:sz w:val="24"/>
          <w:szCs w:val="24"/>
        </w:rPr>
        <w:t xml:space="preserve">Fu diffuso, nel corso del periodo, un comunicato apocrifo che annunciava la morte del prigioniero e ne indicava il luogo di rinvenimento in uno specchio d'acqua montano. Furono disposte operazioni di ricerca in quel luogo, con impiego di mezzi, e l'esito fu negativo.</w:t>
      </w:r>
    </w:p>
    <w:p>
      <w:pPr>
        <w:spacing w:after="120" w:line="276"/>
        <w:jc w:val="both"/>
      </w:pPr>
      <w:r>
        <w:rPr>
          <w:rFonts w:ascii="Barlow Semi Condensed" w:cs="Barlow Semi Condensed" w:eastAsia="Barlow Semi Condensed" w:hAnsi="Barlow Semi Condensed"/>
          <w:b/>
          <w:bCs/>
          <w:sz w:val="24"/>
          <w:szCs w:val="24"/>
        </w:rPr>
        <w:t xml:space="preserve">È accertato: che il comunicato fu diffuso; che non proveniva dall'organizzazione, la quale lo smentì; che furono disposte ricerche; che esse ebbero esito negativo.</w:t>
      </w:r>
    </w:p>
    <w:p>
      <w:pPr>
        <w:spacing w:after="120" w:line="276"/>
        <w:jc w:val="both"/>
      </w:pPr>
      <w:r>
        <w:rPr>
          <w:rFonts w:ascii="Barlow Semi Condensed" w:cs="Barlow Semi Condensed" w:eastAsia="Barlow Semi Condensed" w:hAnsi="Barlow Semi Condensed"/>
          <w:b/>
          <w:bCs/>
          <w:sz w:val="24"/>
          <w:szCs w:val="24"/>
        </w:rPr>
        <w:t xml:space="preserve">Non è accertata, allo stato degli atti che quest'opera ha potuto interrogare, l'identità di chi lo confezionò né la finalità perseguita. La materia è stata oggetto di procedimenti e di accertamenti parlamentari, con esiti che non hanno prodotto un accertamento definitivo.</w:t>
      </w:r>
    </w:p>
    <w:p>
      <w:pPr>
        <w:spacing w:after="120" w:line="276"/>
        <w:jc w:val="both"/>
      </w:pPr>
      <w:r>
        <w:rPr>
          <w:rFonts w:ascii="Barlow Semi Condensed" w:cs="Barlow Semi Condensed" w:eastAsia="Barlow Semi Condensed" w:hAnsi="Barlow Semi Condensed"/>
          <w:b/>
          <w:bCs/>
          <w:sz w:val="24"/>
          <w:szCs w:val="24"/>
        </w:rPr>
        <w:t xml:space="preserve">Si registra il carattere dell'episodio, che è quello di un atto deliberato di produzione di falso in una indagine in corso. Questo carattere è accertato: un comunicato apocrifo non si forma per errore. Che esso sia qualificabile come depistaggio nel senso tecnico, e a quale fine, resta in stato di dubbio quanto all'autore e alla finalità, mentre è in stato di sciolto quanto alla natura falsa dell'atto.</w:t>
      </w:r>
    </w:p>
    <w:p>
      <w:pPr>
        <w:pStyle w:val="Heading2"/>
        <w:spacing w:after="100" w:before="200"/>
      </w:pPr>
      <w:r>
        <w:rPr>
          <w:rFonts w:ascii="Barlow Semi Condensed" w:cs="Barlow Semi Condensed" w:eastAsia="Barlow Semi Condensed" w:hAnsi="Barlow Semi Condensed"/>
          <w:sz w:val="24"/>
          <w:szCs w:val="24"/>
        </w:rPr>
        <w:t xml:space="preserve">Via Gradoli</w:t>
      </w:r>
    </w:p>
    <w:p>
      <w:pPr>
        <w:spacing w:after="120" w:line="276"/>
        <w:jc w:val="both"/>
      </w:pPr>
      <w:r>
        <w:rPr>
          <w:rFonts w:ascii="Barlow Semi Condensed" w:cs="Barlow Semi Condensed" w:eastAsia="Barlow Semi Condensed" w:hAnsi="Barlow Semi Condensed"/>
          <w:b/>
          <w:bCs/>
          <w:sz w:val="24"/>
          <w:szCs w:val="24"/>
        </w:rPr>
        <w:t xml:space="preserve">Il secondo episodio riguarda un appartamento sito in una via di Roma denominata Gradoli, che risultò essere una base dell'organizzazione, e che fu individuato nella seconda metà del periodo in conseguenza di una perdita d'acqua che ne rese necessario l'accesso.</w:t>
      </w:r>
    </w:p>
    <w:p>
      <w:pPr>
        <w:spacing w:after="120" w:line="276"/>
        <w:jc w:val="both"/>
      </w:pPr>
      <w:r>
        <w:rPr>
          <w:rFonts w:ascii="Barlow Semi Condensed" w:cs="Barlow Semi Condensed" w:eastAsia="Barlow Semi Condensed" w:hAnsi="Barlow Semi Condensed"/>
          <w:b/>
          <w:bCs/>
          <w:sz w:val="24"/>
          <w:szCs w:val="24"/>
        </w:rPr>
        <w:t xml:space="preserve">Gli elementi accertati sono i seguenti. L'appartamento era una base dell'organizzazione. Esso fu individuato per una circostanza fortuita e non per attività di indagine. La sua individuazione avvenne quando il prigioniero era ancora in vita.</w:t>
      </w:r>
    </w:p>
    <w:p>
      <w:pPr>
        <w:spacing w:after="120" w:line="276"/>
        <w:jc w:val="both"/>
      </w:pPr>
      <w:r>
        <w:rPr>
          <w:rFonts w:ascii="Barlow Semi Condensed" w:cs="Barlow Semi Condensed" w:eastAsia="Barlow Semi Condensed" w:hAnsi="Barlow Semi Condensed"/>
          <w:b/>
          <w:bCs/>
          <w:sz w:val="24"/>
          <w:szCs w:val="24"/>
        </w:rPr>
        <w:t xml:space="preserve">Attorno a questo nucleo si collocano due circostanze che le sedi istituzionali hanno esaminate e qualificate come omissioni.</w:t>
      </w:r>
    </w:p>
    <w:p>
      <w:pPr>
        <w:spacing w:after="120" w:line="276"/>
        <w:jc w:val="both"/>
      </w:pPr>
      <w:r>
        <w:rPr>
          <w:rFonts w:ascii="Barlow Semi Condensed" w:cs="Barlow Semi Condensed" w:eastAsia="Barlow Semi Condensed" w:hAnsi="Barlow Semi Condensed"/>
          <w:b/>
          <w:bCs/>
          <w:sz w:val="24"/>
          <w:szCs w:val="24"/>
        </w:rPr>
        <w:t xml:space="preserve">La prima riguarda un controllo effettuato in quella via nelle settimane precedenti, che non condusse all'individuazione della base.</w:t>
      </w:r>
    </w:p>
    <w:p>
      <w:pPr>
        <w:spacing w:after="120" w:line="276"/>
        <w:jc w:val="both"/>
      </w:pPr>
      <w:r>
        <w:rPr>
          <w:rFonts w:ascii="Barlow Semi Condensed" w:cs="Barlow Semi Condensed" w:eastAsia="Barlow Semi Condensed" w:hAnsi="Barlow Semi Condensed"/>
          <w:b/>
          <w:bCs/>
          <w:sz w:val="24"/>
          <w:szCs w:val="24"/>
        </w:rPr>
        <w:t xml:space="preserve">La seconda riguarda la circostanza che, essendo stato indicato il nome Gradoli in una sede diversa e per via non ordinaria, le ricerche furono indirizzate verso una località omonima anziché verso la via romana.</w:t>
      </w:r>
    </w:p>
    <w:p>
      <w:pPr>
        <w:spacing w:after="120" w:line="276"/>
        <w:jc w:val="both"/>
      </w:pPr>
      <w:r>
        <w:rPr>
          <w:rFonts w:ascii="Barlow Semi Condensed" w:cs="Barlow Semi Condensed" w:eastAsia="Barlow Semi Condensed" w:hAnsi="Barlow Semi Condensed"/>
          <w:b/>
          <w:bCs/>
          <w:sz w:val="24"/>
          <w:szCs w:val="24"/>
        </w:rPr>
        <w:t xml:space="preserve">Su entrambe le circostanze quest'opera si limita qui a registrarne l'esistenza e la qualificazione ricevuta in sede istituzionale. La loro trattazione analitica — se costituiscano errore, negligenza o condotta deliberata — appartiene alla Fase Quinta, che ha per oggetto le omissioni, e vi sarà condotta secondo la disciplina propria di quella Fase, che richiede per ciascuna omissione l'accertamento del dovere, dell'inadempimento e della sua spiegabilità.</w:t>
      </w:r>
    </w:p>
    <w:p>
      <w:pPr>
        <w:pStyle w:val="Heading2"/>
        <w:spacing w:after="100" w:before="200"/>
      </w:pPr>
      <w:r>
        <w:rPr>
          <w:rFonts w:ascii="Barlow Semi Condensed" w:cs="Barlow Semi Condensed" w:eastAsia="Barlow Semi Condensed" w:hAnsi="Barlow Semi Condensed"/>
          <w:sz w:val="24"/>
          <w:szCs w:val="24"/>
        </w:rPr>
        <w:t xml:space="preserve">Perché i due episodi sono esposti insieme</w:t>
      </w:r>
    </w:p>
    <w:p>
      <w:pPr>
        <w:spacing w:after="120" w:line="276"/>
        <w:jc w:val="both"/>
      </w:pPr>
      <w:r>
        <w:rPr>
          <w:rFonts w:ascii="Barlow Semi Condensed" w:cs="Barlow Semi Condensed" w:eastAsia="Barlow Semi Condensed" w:hAnsi="Barlow Semi Condensed"/>
          <w:b/>
          <w:bCs/>
          <w:sz w:val="24"/>
          <w:szCs w:val="24"/>
        </w:rPr>
        <w:t xml:space="preserve">I due episodi sono esposti nel medesimo Capitolo per una ragione che non è cronologica ma logica.</w:t>
      </w:r>
    </w:p>
    <w:p>
      <w:pPr>
        <w:spacing w:after="120" w:line="276"/>
        <w:jc w:val="both"/>
      </w:pPr>
      <w:r>
        <w:rPr>
          <w:rFonts w:ascii="Barlow Semi Condensed" w:cs="Barlow Semi Condensed" w:eastAsia="Barlow Semi Condensed" w:hAnsi="Barlow Semi Condensed"/>
          <w:b/>
          <w:bCs/>
          <w:sz w:val="24"/>
          <w:szCs w:val="24"/>
        </w:rPr>
        <w:t xml:space="preserve">Essi costituiscono, insieme, il punto nel quale la vicenda materiale e la vicenda delle omissioni si toccano. Fino a questo punto la Fase ha potuto trattare il fatto come una successione di eventi materiali. Da questo punto in avanti ciò non è più possibile, perché gli eventi comprendono atti dello Stato — o omessi dallo Stato — che non sono qualificabili senza il metodo della Fase Quinta.</w:t>
      </w:r>
    </w:p>
    <w:p>
      <w:pPr>
        <w:spacing w:after="120" w:line="276"/>
        <w:jc w:val="both"/>
      </w:pPr>
      <w:r>
        <w:rPr>
          <w:rFonts w:ascii="Barlow Semi Condensed" w:cs="Barlow Semi Condensed" w:eastAsia="Barlow Semi Condensed" w:hAnsi="Barlow Semi Condensed"/>
          <w:b/>
          <w:bCs/>
          <w:sz w:val="24"/>
          <w:szCs w:val="24"/>
        </w:rPr>
        <w:t xml:space="preserve">Il lettore è avvertito che questa Fase si ferma qui quanto alla qualificazione, e che ciò non è reticenza ma competenza. Un registro che qualificasse le omissioni nella Fase dedicata al fatto materiale confonderebbe l'ordine dell'esposizione con quello della prova, e produrrebbe, per effetto della collocazione, l'impressione che l'omissione appartenga alla dinamica dell'agguato. Non vi appartiene: appartiene alla condotta di chi doveva impedirlo o interromperlo, che è altra cosa e ha altra prova.</w:t>
      </w:r>
    </w:p>
    <w:p>
      <w:pPr>
        <w:pStyle w:val="Heading2"/>
        <w:spacing w:after="100" w:before="200"/>
      </w:pPr>
      <w:r>
        <w:rPr>
          <w:rFonts w:ascii="Barlow Semi Condensed" w:cs="Barlow Semi Condensed" w:eastAsia="Barlow Semi Condensed" w:hAnsi="Barlow Semi Condensed"/>
          <w:sz w:val="24"/>
          <w:szCs w:val="24"/>
        </w:rPr>
        <w:t xml:space="preserve">Capitolo ventinovesimo — Il 9 maggio 1978</w:t>
      </w:r>
    </w:p>
    <w:p>
      <w:pPr>
        <w:pStyle w:val="Heading2"/>
        <w:spacing w:after="100" w:before="200"/>
      </w:pPr>
      <w:r>
        <w:rPr>
          <w:rFonts w:ascii="Barlow Semi Condensed" w:cs="Barlow Semi Condensed" w:eastAsia="Barlow Semi Condensed" w:hAnsi="Barlow Semi Condensed"/>
          <w:sz w:val="24"/>
          <w:szCs w:val="24"/>
        </w:rPr>
        <w:t xml:space="preserve">Il rinvenimento</w:t>
      </w:r>
    </w:p>
    <w:p>
      <w:pPr>
        <w:spacing w:after="120" w:line="276"/>
        <w:jc w:val="both"/>
      </w:pPr>
      <w:r>
        <w:rPr>
          <w:rFonts w:ascii="Barlow Semi Condensed" w:cs="Barlow Semi Condensed" w:eastAsia="Barlow Semi Condensed" w:hAnsi="Barlow Semi Condensed"/>
          <w:b/>
          <w:bCs/>
          <w:sz w:val="24"/>
          <w:szCs w:val="24"/>
        </w:rPr>
        <w:t xml:space="preserve">Il 9 maggio 1978 il corpo di Aldo Moro fu rinvenuto nel bagagliaio di una autovettura, una Renault 4 di colore rosso, parcheggiata in via Michelangelo Caetani, a Roma.</w:t>
      </w:r>
    </w:p>
    <w:p>
      <w:pPr>
        <w:spacing w:after="120" w:line="276"/>
        <w:jc w:val="both"/>
      </w:pPr>
      <w:r>
        <w:rPr>
          <w:rFonts w:ascii="Barlow Semi Condensed" w:cs="Barlow Semi Condensed" w:eastAsia="Barlow Semi Condensed" w:hAnsi="Barlow Semi Condensed"/>
          <w:b/>
          <w:bCs/>
          <w:sz w:val="24"/>
          <w:szCs w:val="24"/>
        </w:rPr>
        <w:t xml:space="preserve">La collocazione del veicolo è accertata e la sua descrizione topografica è la seguente: via Caetani si trova nel centro storico di Roma, a breve distanza sia dalla sede nazionale della Democrazia Cristiana sia dalla sede nazionale del Partito Comunista Italiano.</w:t>
      </w:r>
    </w:p>
    <w:p>
      <w:pPr>
        <w:spacing w:after="120" w:line="276"/>
        <w:jc w:val="both"/>
      </w:pPr>
      <w:r>
        <w:rPr>
          <w:rFonts w:ascii="Barlow Semi Condensed" w:cs="Barlow Semi Condensed" w:eastAsia="Barlow Semi Condensed" w:hAnsi="Barlow Semi Condensed"/>
          <w:b/>
          <w:bCs/>
          <w:sz w:val="24"/>
          <w:szCs w:val="24"/>
        </w:rPr>
        <w:t xml:space="preserve">Questa circostanza topografica è accertata. Il significato che le è stato attribuito — che la collocazione fosse deliberatamente scelta per il suo valore simbolico, equidistante fra i due partiti dell'accordo che l'azione intendeva colpire — è interpretazione largamente condivisa e non è accertata da alcun atto. Si registra come lettura prevalente e non come dato.</w:t>
      </w:r>
    </w:p>
    <w:p>
      <w:pPr>
        <w:pStyle w:val="Heading2"/>
        <w:spacing w:after="100" w:before="200"/>
      </w:pPr>
      <w:r>
        <w:rPr>
          <w:rFonts w:ascii="Barlow Semi Condensed" w:cs="Barlow Semi Condensed" w:eastAsia="Barlow Semi Condensed" w:hAnsi="Barlow Semi Condensed"/>
          <w:sz w:val="24"/>
          <w:szCs w:val="24"/>
        </w:rPr>
        <w:t xml:space="preserve">La causa della morte</w:t>
      </w:r>
    </w:p>
    <w:p>
      <w:pPr>
        <w:spacing w:after="120" w:line="276"/>
        <w:jc w:val="both"/>
      </w:pPr>
      <w:r>
        <w:rPr>
          <w:rFonts w:ascii="Barlow Semi Condensed" w:cs="Barlow Semi Condensed" w:eastAsia="Barlow Semi Condensed" w:hAnsi="Barlow Semi Condensed"/>
          <w:b/>
          <w:bCs/>
          <w:sz w:val="24"/>
          <w:szCs w:val="24"/>
        </w:rPr>
        <w:t xml:space="preserve">La morte fu determinata da colpi di arma da fuoco esplosi a distanza ravvicinata contro il torace. Le armi impiegate furono due, di calibro e tipo diverso, secondo quanto accertato dalla perizia balistica.</w:t>
      </w:r>
    </w:p>
    <w:p>
      <w:pPr>
        <w:spacing w:after="120" w:line="276"/>
        <w:jc w:val="both"/>
      </w:pPr>
      <w:r>
        <w:rPr>
          <w:rFonts w:ascii="Barlow Semi Condensed" w:cs="Barlow Semi Condensed" w:eastAsia="Barlow Semi Condensed" w:hAnsi="Barlow Semi Condensed"/>
          <w:b/>
          <w:bCs/>
          <w:sz w:val="24"/>
          <w:szCs w:val="24"/>
        </w:rPr>
        <w:t xml:space="preserve">L'ora e il luogo dell'uccisione non sono accertati con la medesima precisione della causa. Gli elementi disponibili, di natura medico-legale, consentono di collocare l'evento entro un intervallo, e la loro precisazione è stata oggetto di valutazioni non del tutto concordi.</w:t>
      </w:r>
    </w:p>
    <w:p>
      <w:pPr>
        <w:pStyle w:val="Heading2"/>
        <w:spacing w:after="100" w:before="200"/>
      </w:pPr>
      <w:r>
        <w:rPr>
          <w:rFonts w:ascii="Barlow Semi Condensed" w:cs="Barlow Semi Condensed" w:eastAsia="Barlow Semi Condensed" w:hAnsi="Barlow Semi Condensed"/>
          <w:sz w:val="24"/>
          <w:szCs w:val="24"/>
        </w:rPr>
        <w:t xml:space="preserve">L'attribuzione dell'atto</w:t>
      </w:r>
    </w:p>
    <w:p>
      <w:pPr>
        <w:spacing w:after="120" w:line="276"/>
        <w:jc w:val="both"/>
      </w:pPr>
      <w:r>
        <w:rPr>
          <w:rFonts w:ascii="Barlow Semi Condensed" w:cs="Barlow Semi Condensed" w:eastAsia="Barlow Semi Condensed" w:hAnsi="Barlow Semi Condensed"/>
          <w:b/>
          <w:bCs/>
          <w:sz w:val="24"/>
          <w:szCs w:val="24"/>
        </w:rPr>
        <w:t xml:space="preserve">L'attribuzione individuale dell'esecuzione è uno dei punti nei quali la ricostruzione ha conosciuto revisione.</w:t>
      </w:r>
    </w:p>
    <w:p>
      <w:pPr>
        <w:spacing w:after="120" w:line="276"/>
        <w:jc w:val="both"/>
      </w:pPr>
      <w:r>
        <w:rPr>
          <w:rFonts w:ascii="Barlow Semi Condensed" w:cs="Barlow Semi Condensed" w:eastAsia="Barlow Semi Condensed" w:hAnsi="Barlow Semi Condensed"/>
          <w:b/>
          <w:bCs/>
          <w:sz w:val="24"/>
          <w:szCs w:val="24"/>
        </w:rPr>
        <w:t xml:space="preserve">Per un periodo prolungato la ricostruzione accolta attribuiva l'atto a un determinato appartenente all'organizzazione. Successivamente, in conseguenza dell'emergere di elementi relativi alla presenza di un ulteriore soggetto nella custodia del prigioniero, la ricostruzione fu rivista.</w:t>
      </w:r>
    </w:p>
    <w:p>
      <w:pPr>
        <w:spacing w:after="120" w:line="276"/>
        <w:jc w:val="both"/>
      </w:pPr>
      <w:r>
        <w:rPr>
          <w:rFonts w:ascii="Barlow Semi Condensed" w:cs="Barlow Semi Condensed" w:eastAsia="Barlow Semi Condensed" w:hAnsi="Barlow Semi Condensed"/>
          <w:b/>
          <w:bCs/>
          <w:sz w:val="24"/>
          <w:szCs w:val="24"/>
        </w:rPr>
        <w:t xml:space="preserve">Si applica la regola del Capitolo ventunesimo. L'attribuzione individuale poggia su dichiarazioni e non su rilievo materiale. Essa è dunque iscritta come dato di ricostruzione, con menzione della revisione intervenuta, e resta soggetta a ulteriore revisione ove le dichiarazioni mutino.</w:t>
      </w:r>
    </w:p>
    <w:p>
      <w:pPr>
        <w:pStyle w:val="Heading2"/>
        <w:spacing w:after="100" w:before="200"/>
      </w:pPr>
      <w:r>
        <w:rPr>
          <w:rFonts w:ascii="Barlow Semi Condensed" w:cs="Barlow Semi Condensed" w:eastAsia="Barlow Semi Condensed" w:hAnsi="Barlow Semi Condensed"/>
          <w:sz w:val="24"/>
          <w:szCs w:val="24"/>
        </w:rPr>
        <w:t xml:space="preserve">I ritrovamenti successivi e il marcatore di spoliazione</w:t>
      </w:r>
    </w:p>
    <w:p>
      <w:pPr>
        <w:spacing w:after="120" w:line="276"/>
        <w:jc w:val="both"/>
      </w:pPr>
      <w:r>
        <w:rPr>
          <w:rFonts w:ascii="Barlow Semi Condensed" w:cs="Barlow Semi Condensed" w:eastAsia="Barlow Semi Condensed" w:hAnsi="Barlow Semi Condensed"/>
          <w:b/>
          <w:bCs/>
          <w:sz w:val="24"/>
          <w:szCs w:val="24"/>
        </w:rPr>
        <w:t xml:space="preserve">Occorre esporre in questo Capitolo, sebbene cronologicamente successivo, un elemento che incide sulla ricostruzione materiale.</w:t>
      </w:r>
    </w:p>
    <w:p>
      <w:pPr>
        <w:spacing w:after="120" w:line="276"/>
        <w:jc w:val="both"/>
      </w:pPr>
      <w:r>
        <w:rPr>
          <w:rFonts w:ascii="Barlow Semi Condensed" w:cs="Barlow Semi Condensed" w:eastAsia="Barlow Semi Condensed" w:hAnsi="Barlow Semi Condensed"/>
          <w:b/>
          <w:bCs/>
          <w:sz w:val="24"/>
          <w:szCs w:val="24"/>
        </w:rPr>
        <w:t xml:space="preserve">In epoca successiva alla conclusione della vicenda fu individuata, in una città del nord, una base dell'organizzazione, e vi furono rinvenuti documenti riferibili alla prigionia, fra cui riproduzioni di scritti del prigioniero.</w:t>
      </w:r>
    </w:p>
    <w:p>
      <w:pPr>
        <w:spacing w:after="120" w:line="276"/>
        <w:jc w:val="both"/>
      </w:pPr>
      <w:r>
        <w:rPr>
          <w:rFonts w:ascii="Barlow Semi Condensed" w:cs="Barlow Semi Condensed" w:eastAsia="Barlow Semi Condensed" w:hAnsi="Barlow Semi Condensed"/>
          <w:b/>
          <w:bCs/>
          <w:sz w:val="24"/>
          <w:szCs w:val="24"/>
        </w:rPr>
        <w:t xml:space="preserve">Anni dopo, nel corso di lavori edilizi nel medesimo luogo, fu effettuato un secondo rinvenimento di ulteriori documenti, che si trovavano occultati in una intercapedine e che non erano stati reperiti nel corso della prima operazione.</w:t>
      </w:r>
    </w:p>
    <w:p>
      <w:pPr>
        <w:spacing w:after="120" w:line="276"/>
        <w:jc w:val="both"/>
      </w:pPr>
      <w:r>
        <w:rPr>
          <w:rFonts w:ascii="Barlow Semi Condensed" w:cs="Barlow Semi Condensed" w:eastAsia="Barlow Semi Condensed" w:hAnsi="Barlow Semi Condensed"/>
          <w:b/>
          <w:bCs/>
          <w:sz w:val="24"/>
          <w:szCs w:val="24"/>
        </w:rPr>
        <w:t xml:space="preserve">La duplicità del rinvenimento è accertata. Essa comporta una conseguenza che va registrata con precisione, e che quest'opera iscrive con un marcatore proprio: dal momento in cui è accertato che una prima operazione non reperì ciò che una seconda reperì nel medesimo luogo, l'esaustività della prima operazione è esclusa. Il marcatore, una volta apposto, non si rimuove: nessuna dichiarazione successiva può ripristinare la presunzione di completezza di una ricerca della quale è documentata l'incompletezza.</w:t>
      </w:r>
    </w:p>
    <w:p>
      <w:pPr>
        <w:spacing w:after="120" w:line="276"/>
        <w:jc w:val="both"/>
      </w:pPr>
      <w:r>
        <w:rPr>
          <w:rFonts w:ascii="Barlow Semi Condensed" w:cs="Barlow Semi Condensed" w:eastAsia="Barlow Semi Condensed" w:hAnsi="Barlow Semi Condensed"/>
          <w:b/>
          <w:bCs/>
          <w:sz w:val="24"/>
          <w:szCs w:val="24"/>
        </w:rPr>
        <w:t xml:space="preserve">Ciò non qualifica la ragione dell'incompletezza, che può essere tecnica o di altra natura, e la cui indagine appartiene alla Fase Quinta.</w:t>
      </w:r>
    </w:p>
    <w:p>
      <w:pPr>
        <w:pStyle w:val="Heading2"/>
        <w:spacing w:after="100" w:before="200"/>
      </w:pPr>
      <w:r>
        <w:rPr>
          <w:rFonts w:ascii="Barlow Semi Condensed" w:cs="Barlow Semi Condensed" w:eastAsia="Barlow Semi Condensed" w:hAnsi="Barlow Semi Condensed"/>
          <w:sz w:val="24"/>
          <w:szCs w:val="24"/>
        </w:rPr>
        <w:t xml:space="preserve">Bilancio del Capitolo</w:t>
      </w:r>
    </w:p>
    <w:p>
      <w:pPr>
        <w:spacing w:after="120" w:line="276"/>
        <w:jc w:val="both"/>
      </w:pPr>
      <w:r>
        <w:rPr>
          <w:rFonts w:ascii="Barlow Semi Condensed" w:cs="Barlow Semi Condensed" w:eastAsia="Barlow Semi Condensed" w:hAnsi="Barlow Semi Condensed"/>
          <w:b/>
          <w:bCs/>
          <w:sz w:val="24"/>
          <w:szCs w:val="24"/>
        </w:rPr>
        <w:t xml:space="preserve">Sono in stato di sciolto: la data e il luogo del rinvenimento; il tipo e la collocazione del veicolo; la causa della morte e l'impiego di due armi; la prossimità topografica alle due sedi di partito; la duplicità del rinvenimento documentale e la conseguente esclusione dell'esaustività della prima operazione.</w:t>
      </w:r>
    </w:p>
    <w:p>
      <w:pPr>
        <w:spacing w:after="120" w:line="276"/>
        <w:jc w:val="both"/>
      </w:pPr>
      <w:r>
        <w:rPr>
          <w:rFonts w:ascii="Barlow Semi Condensed" w:cs="Barlow Semi Condensed" w:eastAsia="Barlow Semi Condensed" w:hAnsi="Barlow Semi Condensed"/>
          <w:b/>
          <w:bCs/>
          <w:sz w:val="24"/>
          <w:szCs w:val="24"/>
        </w:rPr>
        <w:t xml:space="preserve">Sono in stato di dubbio: l'ora e il luogo dell'uccisione entro l'intervallo; l'attribuzione individuale dell'esecuzione; il significato della collocazione del veicolo.</w:t>
      </w:r>
    </w:p>
    <w:p>
      <w:pPr>
        <w:pStyle w:val="Heading2"/>
        <w:spacing w:after="100" w:before="200"/>
      </w:pPr>
      <w:r>
        <w:rPr>
          <w:rFonts w:ascii="Barlow Semi Condensed" w:cs="Barlow Semi Condensed" w:eastAsia="Barlow Semi Condensed" w:hAnsi="Barlow Semi Condensed"/>
          <w:sz w:val="24"/>
          <w:szCs w:val="24"/>
        </w:rPr>
        <w:t xml:space="preserve">Capitolo trentesimo — Bilancio della Fase Terza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l'insieme dei fatti materiali esposti: la composizione e l'identità del servizio di scorta; le circostanze dell'agguato del 16 marzo 1978 nei suoi elementi non controversi; l'uccisione dei cinque uomini; il prelevamento e il trasferimento; la detenzione in via Camillo Montalcini; la sequenza delle comunicazioni durante i cinquantacinque giorni; la diffusione di un comunicato apocrifo e l'esito negativo delle ricerche che ne conseguirono; l'individuazione fortuita della base di via Gradoli in costanza di prigionia; il rinvenimento del 9 maggio 1978 in via Caetani; la causa della morte; la duplicità del rinvenimento documentale nella base settentrionale.</w:t>
      </w:r>
    </w:p>
    <w:p>
      <w:pPr>
        <w:pStyle w:val="Heading2"/>
        <w:spacing w:after="100" w:before="200"/>
      </w:pPr>
      <w:r>
        <w:rPr>
          <w:rFonts w:ascii="Barlow Semi Condensed" w:cs="Barlow Semi Condensed" w:eastAsia="Barlow Semi Condensed" w:hAnsi="Barlow Semi Condensed"/>
          <w:sz w:val="24"/>
          <w:szCs w:val="24"/>
        </w:rPr>
        <w:t xml:space="preserve">Ciò che è dubbio</w:t>
      </w:r>
    </w:p>
    <w:p>
      <w:pPr>
        <w:spacing w:after="120" w:line="276"/>
        <w:jc w:val="both"/>
      </w:pPr>
      <w:r>
        <w:rPr>
          <w:rFonts w:ascii="Barlow Semi Condensed" w:cs="Barlow Semi Condensed" w:eastAsia="Barlow Semi Condensed" w:hAnsi="Barlow Semi Condensed"/>
          <w:b/>
          <w:bCs/>
          <w:sz w:val="24"/>
          <w:szCs w:val="24"/>
        </w:rPr>
        <w:t xml:space="preserve">Restano in stato di dubbio: la durata esatta dell'azione di via Fani; il numero preciso dei partecipanti; il percorso e i luoghi intermedi del trasferimento; l'ipotesi di luoghi ulteriori di detenzione; l'origine delle tracce rilevate; l'ora e il luogo dell'uccisione entro l'intervallo medico-legale; l'attribuzione individuale dell'esecuzione; l'identità e la finalità dell'autore del comunicato apocrifo; il significato della collocazione del veicolo in via Caetani.</w:t>
      </w:r>
    </w:p>
    <w:p>
      <w:pPr>
        <w:spacing w:after="120" w:line="276"/>
        <w:jc w:val="both"/>
      </w:pPr>
      <w:r>
        <w:rPr>
          <w:rFonts w:ascii="Barlow Semi Condensed" w:cs="Barlow Semi Condensed" w:eastAsia="Barlow Semi Condensed" w:hAnsi="Barlow Semi Condensed"/>
          <w:b/>
          <w:bCs/>
          <w:sz w:val="24"/>
          <w:szCs w:val="24"/>
        </w:rPr>
        <w:t xml:space="preserve">Si osservi la natura di questo elenco. Esso non contiene ipotesi esotiche: contiene le circostanze ordinarie di un fatto criminoso — quanti erano, dove andarono, chi sparò, a che ora. Che dopo quasi cinquant'anni, quattro procedimenti e più commissioni parlamentari tali circostanze siano in parte non accertate è, di per sé, un dato che va registrato e non commentato in questa sede.</w:t>
      </w:r>
    </w:p>
    <w:p>
      <w:pPr>
        <w:pStyle w:val="Heading2"/>
        <w:spacing w:after="100" w:before="200"/>
      </w:pPr>
      <w:r>
        <w:rPr>
          <w:rFonts w:ascii="Barlow Semi Condensed" w:cs="Barlow Semi Condensed" w:eastAsia="Barlow Semi Condensed" w:hAnsi="Barlow Semi Condensed"/>
          <w:sz w:val="24"/>
          <w:szCs w:val="24"/>
        </w:rPr>
        <w:t xml:space="preserve">La regola che ha governato la Fase</w:t>
      </w:r>
    </w:p>
    <w:p>
      <w:pPr>
        <w:spacing w:after="120" w:line="276"/>
        <w:jc w:val="both"/>
      </w:pPr>
      <w:r>
        <w:rPr>
          <w:rFonts w:ascii="Barlow Semi Condensed" w:cs="Barlow Semi Condensed" w:eastAsia="Barlow Semi Condensed" w:hAnsi="Barlow Semi Condensed"/>
          <w:b/>
          <w:bCs/>
          <w:sz w:val="24"/>
          <w:szCs w:val="24"/>
        </w:rPr>
        <w:t xml:space="preserve">La Fase ha applicato costantemente la distinzione fra ciò che poggia su rilievo materiale e ciò che poggia su dichiarazione. Si trae ora il bilancio di tale applicazione, perché è il risultato metodologico principale.</w:t>
      </w:r>
    </w:p>
    <w:p>
      <w:pPr>
        <w:spacing w:after="120" w:line="276"/>
        <w:jc w:val="both"/>
      </w:pPr>
      <w:r>
        <w:rPr>
          <w:rFonts w:ascii="Barlow Semi Condensed" w:cs="Barlow Semi Condensed" w:eastAsia="Barlow Semi Condensed" w:hAnsi="Barlow Semi Condensed"/>
          <w:b/>
          <w:bCs/>
          <w:sz w:val="24"/>
          <w:szCs w:val="24"/>
        </w:rPr>
        <w:t xml:space="preserve">Poggiano su rilievo materiale, e sono dunque stabili rispetto al mutare delle dichiarazioni: il luogo e la dinamica generale dell'agguato; i decessi e le loro cause; il numero approssimativo dei bossoli e la concentrazione del fuoco; la natura della base di via Gradoli; la data, il luogo e le modalità del rinvenimento; la causa della morte; la duplicità del rinvenimento documentale.</w:t>
      </w:r>
    </w:p>
    <w:p>
      <w:pPr>
        <w:spacing w:after="120" w:line="276"/>
        <w:jc w:val="both"/>
      </w:pPr>
      <w:r>
        <w:rPr>
          <w:rFonts w:ascii="Barlow Semi Condensed" w:cs="Barlow Semi Condensed" w:eastAsia="Barlow Semi Condensed" w:hAnsi="Barlow Semi Condensed"/>
          <w:b/>
          <w:bCs/>
          <w:sz w:val="24"/>
          <w:szCs w:val="24"/>
        </w:rPr>
        <w:t xml:space="preserve">Poggiano su dichiarazione, e sono dunque soggetti a revisione: il numero dei partecipanti; il percorso del trasferimento; l'individuazione del luogo di detenzione; l'attribuzione individuale dei colpi e dell'esecuzione.</w:t>
      </w:r>
    </w:p>
    <w:p>
      <w:pPr>
        <w:spacing w:after="120" w:line="276"/>
        <w:jc w:val="both"/>
      </w:pPr>
      <w:r>
        <w:rPr>
          <w:rFonts w:ascii="Barlow Semi Condensed" w:cs="Barlow Semi Condensed" w:eastAsia="Barlow Semi Condensed" w:hAnsi="Barlow Semi Condensed"/>
          <w:b/>
          <w:bCs/>
          <w:sz w:val="24"/>
          <w:szCs w:val="24"/>
        </w:rPr>
        <w:t xml:space="preserve">La ripartizione è istruttiva. Ciò che sappiamo dei luoghi e dei corpi è solido; ciò che sappiamo delle persone e delle loro azioni individuali poggia in misura preponderante su ciò che alcune di quelle persone hanno dichiarato, in tempi successivi e con revisioni.</w:t>
      </w:r>
    </w:p>
    <w:p>
      <w:pPr>
        <w:pStyle w:val="Heading2"/>
        <w:spacing w:after="100" w:before="200"/>
      </w:pPr>
      <w:r>
        <w:rPr>
          <w:rFonts w:ascii="Barlow Semi Condensed" w:cs="Barlow Semi Condensed" w:eastAsia="Barlow Semi Condensed" w:hAnsi="Barlow Semi Condensed"/>
          <w:sz w:val="24"/>
          <w:szCs w:val="24"/>
        </w:rPr>
        <w:t xml:space="preserve">Ciò che si consegna</w:t>
      </w:r>
    </w:p>
    <w:p>
      <w:pPr>
        <w:spacing w:after="120" w:line="276"/>
        <w:jc w:val="both"/>
      </w:pPr>
      <w:r>
        <w:rPr>
          <w:rFonts w:ascii="Barlow Semi Condensed" w:cs="Barlow Semi Condensed" w:eastAsia="Barlow Semi Condensed" w:hAnsi="Barlow Semi Condensed"/>
          <w:b/>
          <w:bCs/>
          <w:sz w:val="24"/>
          <w:szCs w:val="24"/>
        </w:rPr>
        <w:t xml:space="preserve">Si consegna alle Fasi Quinta e Sesta lo scarto misurato al Capitolo ventiquattresimo: due capacità manifestate con via di acquisizione non documentata, tre letture aperte, nessun elemento discriminante prodotto da questa Fase.</w:t>
      </w:r>
    </w:p>
    <w:p>
      <w:pPr>
        <w:spacing w:after="120" w:line="276"/>
        <w:jc w:val="both"/>
      </w:pPr>
      <w:r>
        <w:rPr>
          <w:rFonts w:ascii="Barlow Semi Condensed" w:cs="Barlow Semi Condensed" w:eastAsia="Barlow Semi Condensed" w:hAnsi="Barlow Semi Condensed"/>
          <w:b/>
          <w:bCs/>
          <w:sz w:val="24"/>
          <w:szCs w:val="24"/>
        </w:rPr>
        <w:t xml:space="preserve">Si consegna alla Fase Quarta la materia delle carte, con l'avvertenza del Capitolo ventisettesimo: il loro contenuto non è stato impiegato in questa Fase, per difetto di qualificazione preliminare quanto allo statuto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Si consegna alla Fase Quinta la materia dei Capitoli ventottesimo e ventinovesimo: il comunicato apocrifo, le due circostanze relative a via Gradoli, l'esito nullo della ricerca eccezionale, e il marcatore di spoliazione apposto al rinvenimento documentale. Sono i quattro elementi che, secondo la matrice del Capitolo diciannovesimo, costituiscono il terreno di massimo rendimento istruttorio.</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Terza, il fatto. Materia: agguato, trasferimento, prigionia, comunicazioni, rinvenimento. Esito: dodici acquisizioni in stato di sciolto; nove in stato di dubbio; scarto misurato su due capacità; ripartizione delle acquisizioni fra rilievo materiale e dichiarazione.</w:t>
      </w:r>
    </w:p>
    <w:p>
      <w:pPr>
        <w:spacing w:after="120" w:line="276"/>
        <w:jc w:val="both"/>
      </w:pPr>
      <w:r>
        <w:rPr>
          <w:rFonts w:ascii="Barlow Semi Condensed" w:cs="Barlow Semi Condensed" w:eastAsia="Barlow Semi Condensed" w:hAnsi="Barlow Semi Condensed"/>
          <w:b/>
          <w:bCs/>
          <w:sz w:val="24"/>
          <w:szCs w:val="24"/>
        </w:rPr>
        <w:t xml:space="preserve">Riga di esito nullo. La ricerca condotta per cinquantacinque giorni con risorse eccezionali non produsse la localizzazione del prigioniero. L'esito nullo è registrato come acquisizione di pieno valore, e la sua spiegazione — inefficienza, ostacolo o simulazione — non è data in questa Fase, che non ne ha competenza.</w:t>
      </w:r>
    </w:p>
    <w:p>
      <w:pPr>
        <w:spacing w:after="120" w:line="276"/>
        <w:jc w:val="both"/>
      </w:pPr>
      <w:r>
        <w:rPr>
          <w:rFonts w:ascii="Barlow Semi Condensed" w:cs="Barlow Semi Condensed" w:eastAsia="Barlow Semi Condensed" w:hAnsi="Barlow Semi Condensed"/>
          <w:b/>
          <w:bCs/>
          <w:sz w:val="24"/>
          <w:szCs w:val="24"/>
        </w:rPr>
        <w:t xml:space="preserve">Riga di marcatore. È apposto al rinvenimento documentale della base settentrionale il marcatore di spoliazione, per accertata incompletezza della prima operazione. Il marcatore non si rimuove.</w:t>
      </w:r>
    </w:p>
    <w:p>
      <w:pPr>
        <w:spacing w:after="120" w:line="276"/>
        <w:jc w:val="both"/>
      </w:pPr>
      <w:r>
        <w:rPr>
          <w:rFonts w:ascii="Barlow Semi Condensed" w:cs="Barlow Semi Condensed" w:eastAsia="Barlow Semi Condensed" w:hAnsi="Barlow Semi Condensed"/>
          <w:b/>
          <w:bCs/>
          <w:sz w:val="24"/>
          <w:szCs w:val="24"/>
        </w:rPr>
        <w:t xml:space="preserve">Riga di avvertenza. Nessuna delle proposizioni di questa Fase attribuisce responsabilità oltre quanto accertato in sede giudiziaria. Le revisioni intervenute nella ricostruzione sono state segnalate ove incidano, e la loro segnalazione non implica giudizio sulla buona fede di chi le rese necessarie.</w:t>
      </w:r>
    </w:p>
    <w:p>
      <w:pPr>
        <w:pStyle w:val="Heading2"/>
        <w:spacing w:after="100" w:before="200"/>
      </w:pPr>
      <w:r>
        <w:rPr>
          <w:rFonts w:ascii="Barlow Semi Condensed" w:cs="Barlow Semi Condensed" w:eastAsia="Barlow Semi Condensed" w:hAnsi="Barlow Semi Condensed"/>
          <w:sz w:val="24"/>
          <w:szCs w:val="24"/>
        </w:rPr>
        <w:t xml:space="preserve">FASE QUARTA — LE CARTE</w:t>
      </w:r>
    </w:p>
    <w:p>
      <w:pPr>
        <w:spacing w:after="120" w:line="276"/>
        <w:jc w:val="both"/>
      </w:pPr>
      <w:r>
        <w:rPr>
          <w:rFonts w:ascii="Barlow Semi Condensed" w:cs="Barlow Semi Condensed" w:eastAsia="Barlow Semi Condensed" w:hAnsi="Barlow Semi Condensed"/>
          <w:b/>
          <w:bCs/>
          <w:sz w:val="24"/>
          <w:szCs w:val="24"/>
        </w:rPr>
        <w:t xml:space="preserve">Dove si stabilisce lo statuto degli enunciati scritti sotto vincolo, si gradua il vincolo per proposizione e non per documento, e si dichiara che cosa le carte provino e che cosa non provino.</w:t>
      </w:r>
    </w:p>
    <w:p>
      <w:pPr>
        <w:pStyle w:val="Heading2"/>
        <w:spacing w:after="100" w:before="200"/>
      </w:pPr>
      <w:r>
        <w:rPr>
          <w:rFonts w:ascii="Barlow Semi Condensed" w:cs="Barlow Semi Condensed" w:eastAsia="Barlow Semi Condensed" w:hAnsi="Barlow Semi Condensed"/>
          <w:sz w:val="24"/>
          <w:szCs w:val="24"/>
        </w:rPr>
        <w:t xml:space="preserve">Capitolo trentunesimo — Lo statuto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Questa Fase ha per oggetto le carte: le lettere scritte durante la prigionia, gli scritti di natura diversa complessivamente denominati memoriale, e i documenti rinvenuti in epoche successive.</w:t>
      </w:r>
    </w:p>
    <w:p>
      <w:pPr>
        <w:spacing w:after="120" w:line="276"/>
        <w:jc w:val="both"/>
      </w:pPr>
      <w:r>
        <w:rPr>
          <w:rFonts w:ascii="Barlow Semi Condensed" w:cs="Barlow Semi Condensed" w:eastAsia="Barlow Semi Condensed" w:hAnsi="Barlow Semi Condensed"/>
          <w:b/>
          <w:bCs/>
          <w:sz w:val="24"/>
          <w:szCs w:val="24"/>
        </w:rPr>
        <w:t xml:space="preserve">Essa richiede una disciplina propria, e la richiede per una ragione che va esposta prima di ogni altra cosa, perché senza di essa ogni uso delle carte è arbitrario.</w:t>
      </w:r>
    </w:p>
    <w:p>
      <w:pPr>
        <w:pStyle w:val="Heading2"/>
        <w:spacing w:after="100" w:before="200"/>
      </w:pPr>
      <w:r>
        <w:rPr>
          <w:rFonts w:ascii="Barlow Semi Condensed" w:cs="Barlow Semi Condensed" w:eastAsia="Barlow Semi Condensed" w:hAnsi="Barlow Semi Condensed"/>
          <w:sz w:val="24"/>
          <w:szCs w:val="24"/>
        </w:rPr>
        <w:t xml:space="preserve">Il problema</w:t>
      </w:r>
    </w:p>
    <w:p>
      <w:pPr>
        <w:spacing w:after="120" w:line="276"/>
        <w:jc w:val="both"/>
      </w:pPr>
      <w:r>
        <w:rPr>
          <w:rFonts w:ascii="Barlow Semi Condensed" w:cs="Barlow Semi Condensed" w:eastAsia="Barlow Semi Condensed" w:hAnsi="Barlow Semi Condensed"/>
          <w:b/>
          <w:bCs/>
          <w:sz w:val="24"/>
          <w:szCs w:val="24"/>
        </w:rPr>
        <w:t xml:space="preserve">Un uomo scrive. Ciò che scrive è di suo pugno, e ciò è verificabile. Ma scrive mentre è prigioniero di chi ha ucciso i suoi uomini e può uccidere lui; scrive sapendo che i suoi scritti saranno letti da chi lo custodisce prima che dai destinatari; scrive potendo essere indotto, per persuasione o per necessità, a trattare taluni argomenti e a tacerne altri.</w:t>
      </w:r>
    </w:p>
    <w:p>
      <w:pPr>
        <w:pStyle w:val="Heading2"/>
        <w:spacing w:after="100" w:before="200"/>
      </w:pPr>
      <w:r>
        <w:rPr>
          <w:rFonts w:ascii="Barlow Semi Condensed" w:cs="Barlow Semi Condensed" w:eastAsia="Barlow Semi Condensed" w:hAnsi="Barlow Semi Condensed"/>
          <w:sz w:val="24"/>
          <w:szCs w:val="24"/>
        </w:rPr>
        <w:t xml:space="preserve">Che statuto hanno tali enunciati?</w:t>
      </w:r>
    </w:p>
    <w:p>
      <w:pPr>
        <w:spacing w:after="120" w:line="276"/>
        <w:jc w:val="both"/>
      </w:pPr>
      <w:r>
        <w:rPr>
          <w:rFonts w:ascii="Barlow Semi Condensed" w:cs="Barlow Semi Condensed" w:eastAsia="Barlow Semi Condensed" w:hAnsi="Barlow Semi Condensed"/>
          <w:b/>
          <w:bCs/>
          <w:sz w:val="24"/>
          <w:szCs w:val="24"/>
        </w:rPr>
        <w:t xml:space="preserve">Due risposte estreme sono state date, e sono entrambe insostenibili.</w:t>
      </w:r>
    </w:p>
    <w:p>
      <w:pPr>
        <w:spacing w:after="120" w:line="276"/>
        <w:jc w:val="both"/>
      </w:pPr>
      <w:r>
        <w:rPr>
          <w:rFonts w:ascii="Barlow Semi Condensed" w:cs="Barlow Semi Condensed" w:eastAsia="Barlow Semi Condensed" w:hAnsi="Barlow Semi Condensed"/>
          <w:b/>
          <w:bCs/>
          <w:sz w:val="24"/>
          <w:szCs w:val="24"/>
        </w:rPr>
        <w:t xml:space="preserve">La prima risposta dice: non è lui che parla. Gli scritti sono prodotti dalla condizione e non dalla persona; non esprimono il pensiero di chi li verga, ma la volontà di chi lo detiene; vanno dunque letti come documenti dei rapitori e non del rapito.</w:t>
      </w:r>
    </w:p>
    <w:p>
      <w:pPr>
        <w:spacing w:after="120" w:line="276"/>
        <w:jc w:val="both"/>
      </w:pPr>
      <w:r>
        <w:rPr>
          <w:rFonts w:ascii="Barlow Semi Condensed" w:cs="Barlow Semi Condensed" w:eastAsia="Barlow Semi Condensed" w:hAnsi="Barlow Semi Condensed"/>
          <w:b/>
          <w:bCs/>
          <w:sz w:val="24"/>
          <w:szCs w:val="24"/>
        </w:rPr>
        <w:t xml:space="preserve">La seconda risposta dice: è lui e nient'altro. Gli scritti sono autografi, il pensiero è riconoscibile, la coerenza con le posizioni anteriori è verificabile; vanno dunque letti come si leggerebbe qualunque suo scritto.</w:t>
      </w:r>
    </w:p>
    <w:p>
      <w:pPr>
        <w:pStyle w:val="Heading2"/>
        <w:spacing w:after="100" w:before="200"/>
      </w:pPr>
      <w:r>
        <w:rPr>
          <w:rFonts w:ascii="Barlow Semi Condensed" w:cs="Barlow Semi Condensed" w:eastAsia="Barlow Semi Condensed" w:hAnsi="Barlow Semi Condensed"/>
          <w:sz w:val="24"/>
          <w:szCs w:val="24"/>
        </w:rPr>
        <w:t xml:space="preserve">Perché entrambe le risposte sono insostenibili</w:t>
      </w:r>
    </w:p>
    <w:p>
      <w:pPr>
        <w:spacing w:after="120" w:line="276"/>
        <w:jc w:val="both"/>
      </w:pPr>
      <w:r>
        <w:rPr>
          <w:rFonts w:ascii="Barlow Semi Condensed" w:cs="Barlow Semi Condensed" w:eastAsia="Barlow Semi Condensed" w:hAnsi="Barlow Semi Condensed"/>
          <w:b/>
          <w:bCs/>
          <w:sz w:val="24"/>
          <w:szCs w:val="24"/>
        </w:rPr>
        <w:t xml:space="preserve">La prima è insostenibile perché prova troppo. Se la condizione di prigionia annullasse la soggettività dell'autore, allora nessun enunciato reso in condizione di costrizione avrebbe mai alcun valore, e si dovrebbero scartare interi generi di fonte sui quali la storia si fonda: le deposizioni sotto interrogatorio, le confessioni, le corrispondenze censurate, le testimonianze dei sopravvissuti. Il vincolo condiziona ciò che si dice; non trasforma automaticamente chi lo dice in un altro.</w:t>
      </w:r>
    </w:p>
    <w:p>
      <w:pPr>
        <w:spacing w:after="120" w:line="276"/>
        <w:jc w:val="both"/>
      </w:pPr>
      <w:r>
        <w:rPr>
          <w:rFonts w:ascii="Barlow Semi Condensed" w:cs="Barlow Semi Condensed" w:eastAsia="Barlow Semi Condensed" w:hAnsi="Barlow Semi Condensed"/>
          <w:b/>
          <w:bCs/>
          <w:sz w:val="24"/>
          <w:szCs w:val="24"/>
        </w:rPr>
        <w:t xml:space="preserve">Vi è inoltre una conseguenza che occorre nominare senza reticenze, perché essa fu tratta all'epoca e ha pesato: se si stabilisce che l'uomo prigioniero non è più sé stesso, se ne ricava che ciò che egli chiede non va ascoltato. La tesi dell'inautenticità non fu, in quei cinquantacinque giorni, una tesi filologica: fu un argomento con conseguenze pratiche immediate sulla vita di una persona. Quest'opera non giudica chi la sostenne, perché il giudizio è morale e politico. Registra che la questione filologica non era, in quel contesto, filologica soltanto.</w:t>
      </w:r>
    </w:p>
    <w:p>
      <w:pPr>
        <w:spacing w:after="120" w:line="276"/>
        <w:jc w:val="both"/>
      </w:pPr>
      <w:r>
        <w:rPr>
          <w:rFonts w:ascii="Barlow Semi Condensed" w:cs="Barlow Semi Condensed" w:eastAsia="Barlow Semi Condensed" w:hAnsi="Barlow Semi Condensed"/>
          <w:b/>
          <w:bCs/>
          <w:sz w:val="24"/>
          <w:szCs w:val="24"/>
        </w:rPr>
        <w:t xml:space="preserve">La seconda risposta è insostenibile per la ragione opposta: essa ignora un dato di fatto accertato, cioè che gli scritti furono composti in condizioni che ne condizionavano il contenuto. Leggere un enunciato reso sotto vincolo come se fosse reso liberamente significa attribuire all'autore intenzioni che le circostanze possono avergli imposto.</w:t>
      </w:r>
    </w:p>
    <w:p>
      <w:pPr>
        <w:pStyle w:val="Heading2"/>
        <w:spacing w:after="100" w:before="200"/>
      </w:pPr>
      <w:r>
        <w:rPr>
          <w:rFonts w:ascii="Barlow Semi Condensed" w:cs="Barlow Semi Condensed" w:eastAsia="Barlow Semi Condensed" w:hAnsi="Barlow Semi Condensed"/>
          <w:sz w:val="24"/>
          <w:szCs w:val="24"/>
        </w:rPr>
        <w:t xml:space="preserve">La soluzione: il vincolo si gradua, non si presume</w:t>
      </w:r>
    </w:p>
    <w:p>
      <w:pPr>
        <w:spacing w:after="120" w:line="276"/>
        <w:jc w:val="both"/>
      </w:pPr>
      <w:r>
        <w:rPr>
          <w:rFonts w:ascii="Barlow Semi Condensed" w:cs="Barlow Semi Condensed" w:eastAsia="Barlow Semi Condensed" w:hAnsi="Barlow Semi Condensed"/>
          <w:b/>
          <w:bCs/>
          <w:sz w:val="24"/>
          <w:szCs w:val="24"/>
        </w:rPr>
        <w:t xml:space="preserve">La disciplina che quest'opera adotta è la seguente: il vincolo non annulla l'enunciato e non lo lascia intatto; esso lo grava in misura variabile, e la misura si accerta enunciato per enunciato anziché presumersi per il documento intero.</w:t>
      </w:r>
    </w:p>
    <w:p>
      <w:pPr>
        <w:spacing w:after="120" w:line="276"/>
        <w:jc w:val="both"/>
      </w:pPr>
      <w:r>
        <w:rPr>
          <w:rFonts w:ascii="Barlow Semi Condensed" w:cs="Barlow Semi Condensed" w:eastAsia="Barlow Semi Condensed" w:hAnsi="Barlow Semi Condensed"/>
          <w:b/>
          <w:bCs/>
          <w:sz w:val="24"/>
          <w:szCs w:val="24"/>
        </w:rPr>
        <w:t xml:space="preserve">Ne segue che la domanda corretta non è se le lettere siano autentiche — questione che, come si vedrà, ha risposta pacifica — né se siano libere — questione mal posta, perché la libertà non è una proprietà binaria. La domanda corretta è: per ciascun enunciato, quale grado di vincolo è ragionevolmente accertabile, e quali usi esso consente.</w:t>
      </w:r>
    </w:p>
    <w:p>
      <w:pPr>
        <w:spacing w:after="120" w:line="276"/>
        <w:jc w:val="both"/>
      </w:pPr>
      <w:r>
        <w:rPr>
          <w:rFonts w:ascii="Barlow Semi Condensed" w:cs="Barlow Semi Condensed" w:eastAsia="Barlow Semi Condensed" w:hAnsi="Barlow Semi Condensed"/>
          <w:b/>
          <w:bCs/>
          <w:sz w:val="24"/>
          <w:szCs w:val="24"/>
        </w:rPr>
        <w:t xml:space="preserve">La scala del vincolo sarà esposta nel Capitolo trentaquattresimo. Qui si fissano le tre conseguenze generali.</w:t>
      </w:r>
    </w:p>
    <w:p>
      <w:pPr>
        <w:spacing w:after="120" w:line="276"/>
        <w:jc w:val="both"/>
      </w:pPr>
      <w:r>
        <w:rPr>
          <w:rFonts w:ascii="Barlow Semi Condensed" w:cs="Barlow Semi Condensed" w:eastAsia="Barlow Semi Condensed" w:hAnsi="Barlow Semi Condensed"/>
          <w:b/>
          <w:bCs/>
          <w:sz w:val="24"/>
          <w:szCs w:val="24"/>
        </w:rPr>
        <w:t xml:space="preserve">Prima conseguenza: nessun enunciato delle carte è impiegato in quest'opera come prova di un fatto esterno senza riscontro indipendente. Ciò che le carte attestano con certezza è ciò che l'autore scrisse; che ciò che scrisse corrisponda al vero è proposizione ulteriore, che richiede prova propria come per qualunque altra fonte dichiarativa.</w:t>
      </w:r>
    </w:p>
    <w:p>
      <w:pPr>
        <w:spacing w:after="120" w:line="276"/>
        <w:jc w:val="both"/>
      </w:pPr>
      <w:r>
        <w:rPr>
          <w:rFonts w:ascii="Barlow Semi Condensed" w:cs="Barlow Semi Condensed" w:eastAsia="Barlow Semi Condensed" w:hAnsi="Barlow Semi Condensed"/>
          <w:b/>
          <w:bCs/>
          <w:sz w:val="24"/>
          <w:szCs w:val="24"/>
        </w:rPr>
        <w:t xml:space="preserve">Seconda conseguenza: nessun enunciato delle carte è scartato per la sola ragione di essere stato scritto in prigionia. Lo scarto richiede motivazione specifica, e la motivazione va data.</w:t>
      </w:r>
    </w:p>
    <w:p>
      <w:pPr>
        <w:spacing w:after="120" w:line="276"/>
        <w:jc w:val="both"/>
      </w:pPr>
      <w:r>
        <w:rPr>
          <w:rFonts w:ascii="Barlow Semi Condensed" w:cs="Barlow Semi Condensed" w:eastAsia="Barlow Semi Condensed" w:hAnsi="Barlow Semi Condensed"/>
          <w:b/>
          <w:bCs/>
          <w:sz w:val="24"/>
          <w:szCs w:val="24"/>
        </w:rPr>
        <w:t xml:space="preserve">Terza conseguenza: gli enunciati sono trattati per classi e non in blocco, secondo la scala del vincolo.</w:t>
      </w:r>
    </w:p>
    <w:p>
      <w:pPr>
        <w:pStyle w:val="Heading2"/>
        <w:spacing w:after="100" w:before="200"/>
      </w:pPr>
      <w:r>
        <w:rPr>
          <w:rFonts w:ascii="Barlow Semi Condensed" w:cs="Barlow Semi Condensed" w:eastAsia="Barlow Semi Condensed" w:hAnsi="Barlow Semi Condensed"/>
          <w:sz w:val="24"/>
          <w:szCs w:val="24"/>
        </w:rPr>
        <w:t xml:space="preserve">Una avvertenza sulla riproduzione</w:t>
      </w:r>
    </w:p>
    <w:p>
      <w:pPr>
        <w:spacing w:after="120" w:line="276"/>
        <w:jc w:val="both"/>
      </w:pPr>
      <w:r>
        <w:rPr>
          <w:rFonts w:ascii="Barlow Semi Condensed" w:cs="Barlow Semi Condensed" w:eastAsia="Barlow Semi Condensed" w:hAnsi="Barlow Semi Condensed"/>
          <w:b/>
          <w:bCs/>
          <w:sz w:val="24"/>
          <w:szCs w:val="24"/>
        </w:rPr>
        <w:t xml:space="preserve">Si avverte infine che quest'opera non riproduce il testo delle carte. Esse sono pubblicate in edizioni critiche accessibili, alle quali si rinvia per la lettura; e la loro riproduzione non aggiungerebbe nulla al lavoro qui condotto, che verte sullo statuto degli enunciati e non sulla loro esposizione.</w:t>
      </w:r>
    </w:p>
    <w:p>
      <w:pPr>
        <w:spacing w:after="120" w:line="276"/>
        <w:jc w:val="both"/>
      </w:pPr>
      <w:r>
        <w:rPr>
          <w:rFonts w:ascii="Barlow Semi Condensed" w:cs="Barlow Semi Condensed" w:eastAsia="Barlow Semi Condensed" w:hAnsi="Barlow Semi Condensed"/>
          <w:b/>
          <w:bCs/>
          <w:sz w:val="24"/>
          <w:szCs w:val="24"/>
        </w:rPr>
        <w:t xml:space="preserve">La scelta ha anche una ragione di misura. Le carte di un uomo prigioniero sono state, in cinquant'anni, citate, frammentate, contrapposte e impiegate a sostegno di tesi opposte, con una frequenza che ha finito per consumarle. Un registro che le maneggi ancora una volta per estrarne frasi non rende un servizio.</w:t>
      </w:r>
    </w:p>
    <w:p>
      <w:pPr>
        <w:pStyle w:val="Heading2"/>
        <w:spacing w:after="100" w:before="200"/>
      </w:pPr>
      <w:r>
        <w:rPr>
          <w:rFonts w:ascii="Barlow Semi Condensed" w:cs="Barlow Semi Condensed" w:eastAsia="Barlow Semi Condensed" w:hAnsi="Barlow Semi Condensed"/>
          <w:sz w:val="24"/>
          <w:szCs w:val="24"/>
        </w:rPr>
        <w:t xml:space="preserve">Capitolo trentaduesimo — Il corpus delle carte: consistenza e vie di trasmissione</w:t>
      </w:r>
    </w:p>
    <w:p>
      <w:pPr>
        <w:pStyle w:val="Heading2"/>
        <w:spacing w:after="100" w:before="200"/>
      </w:pPr>
      <w:r>
        <w:rPr>
          <w:rFonts w:ascii="Barlow Semi Condensed" w:cs="Barlow Semi Condensed" w:eastAsia="Barlow Semi Condensed" w:hAnsi="Barlow Semi Condensed"/>
          <w:sz w:val="24"/>
          <w:szCs w:val="24"/>
        </w:rPr>
        <w:t xml:space="preserve">Le classi documentali</w:t>
      </w:r>
    </w:p>
    <w:p>
      <w:pPr>
        <w:spacing w:after="120" w:line="276"/>
        <w:jc w:val="both"/>
      </w:pPr>
      <w:r>
        <w:rPr>
          <w:rFonts w:ascii="Barlow Semi Condensed" w:cs="Barlow Semi Condensed" w:eastAsia="Barlow Semi Condensed" w:hAnsi="Barlow Semi Condensed"/>
          <w:b/>
          <w:bCs/>
          <w:sz w:val="24"/>
          <w:szCs w:val="24"/>
        </w:rPr>
        <w:t xml:space="preserve">Le carte riferibili alla prigionia si ripartiscono in tre classi, distinte per natura e per via di trasmissione, e la distinzione è essenziale perché ciascuna classe ha un diverso statuto probatorio.</w:t>
      </w:r>
    </w:p>
    <w:p>
      <w:pPr>
        <w:spacing w:after="120" w:line="276"/>
        <w:jc w:val="both"/>
      </w:pPr>
      <w:r>
        <w:rPr>
          <w:rFonts w:ascii="Barlow Semi Condensed" w:cs="Barlow Semi Condensed" w:eastAsia="Barlow Semi Condensed" w:hAnsi="Barlow Semi Condensed"/>
          <w:b/>
          <w:bCs/>
          <w:sz w:val="24"/>
          <w:szCs w:val="24"/>
        </w:rPr>
        <w:t xml:space="preserve">La prima classe comprende le lettere recapitate durante i cinquantacinque giorni. Esse furono materialmente consegnate ai destinatari o resi pubblici nel corso del periodo, e la loro esistenza fu contemporanea ai fatti.</w:t>
      </w:r>
    </w:p>
    <w:p>
      <w:pPr>
        <w:spacing w:after="120" w:line="276"/>
        <w:jc w:val="both"/>
      </w:pPr>
      <w:r>
        <w:rPr>
          <w:rFonts w:ascii="Barlow Semi Condensed" w:cs="Barlow Semi Condensed" w:eastAsia="Barlow Semi Condensed" w:hAnsi="Barlow Semi Condensed"/>
          <w:b/>
          <w:bCs/>
          <w:sz w:val="24"/>
          <w:szCs w:val="24"/>
        </w:rPr>
        <w:t xml:space="preserve">La seconda classe comprende gli scritti non recapitati durante il periodo e rinvenuti successivamente, in occasione delle operazioni condotte su basi dell'organizzazione. Essi non furono conosciuti dai destinatari e non incisero sulle decisioni assunte in quei giorni.</w:t>
      </w:r>
    </w:p>
    <w:p>
      <w:pPr>
        <w:spacing w:after="120" w:line="276"/>
        <w:jc w:val="both"/>
      </w:pPr>
      <w:r>
        <w:rPr>
          <w:rFonts w:ascii="Barlow Semi Condensed" w:cs="Barlow Semi Condensed" w:eastAsia="Barlow Semi Condensed" w:hAnsi="Barlow Semi Condensed"/>
          <w:b/>
          <w:bCs/>
          <w:sz w:val="24"/>
          <w:szCs w:val="24"/>
        </w:rPr>
        <w:t xml:space="preserve">La terza classe comprende gli scritti di natura non epistolare, complessivamente denominati memoriale, dei quali si dirà nel Capitolo trentasettesimo.</w:t>
      </w:r>
    </w:p>
    <w:p>
      <w:pPr>
        <w:pStyle w:val="Heading2"/>
        <w:spacing w:after="100" w:before="200"/>
      </w:pPr>
      <w:r>
        <w:rPr>
          <w:rFonts w:ascii="Barlow Semi Condensed" w:cs="Barlow Semi Condensed" w:eastAsia="Barlow Semi Condensed" w:hAnsi="Barlow Semi Condensed"/>
          <w:sz w:val="24"/>
          <w:szCs w:val="24"/>
        </w:rPr>
        <w:t xml:space="preserve">La consistenza</w:t>
      </w:r>
    </w:p>
    <w:p>
      <w:pPr>
        <w:spacing w:after="120" w:line="276"/>
        <w:jc w:val="both"/>
      </w:pPr>
      <w:r>
        <w:rPr>
          <w:rFonts w:ascii="Barlow Semi Condensed" w:cs="Barlow Semi Condensed" w:eastAsia="Barlow Semi Condensed" w:hAnsi="Barlow Semi Condensed"/>
          <w:b/>
          <w:bCs/>
          <w:sz w:val="24"/>
          <w:szCs w:val="24"/>
        </w:rPr>
        <w:t xml:space="preserve">Il numero complessivo degli scritti riferibili alla prigionia si colloca nell'ordine di alcune decine per la parte epistolare, ai quali si aggiunge il materiale non epistolare.</w:t>
      </w:r>
    </w:p>
    <w:p>
      <w:pPr>
        <w:spacing w:after="120" w:line="276"/>
        <w:jc w:val="both"/>
      </w:pPr>
      <w:r>
        <w:rPr>
          <w:rFonts w:ascii="Barlow Semi Condensed" w:cs="Barlow Semi Condensed" w:eastAsia="Barlow Semi Condensed" w:hAnsi="Barlow Semi Condensed"/>
          <w:b/>
          <w:bCs/>
          <w:sz w:val="24"/>
          <w:szCs w:val="24"/>
        </w:rPr>
        <w:t xml:space="preserve">Si evita in questa sede di indicare una cifra puntuale, e conviene dire perché. La consistenza dipende da scelte di computo che non sono neutre: se si contino separatamente le minute e le versioni; se si computino gli scritti frammentari; se si includano gli scritti rinvenuti nella seconda operazione. Le edizioni critiche adottano criteri dichiarati e giungono a cifre lievemente diverse.</w:t>
      </w:r>
    </w:p>
    <w:p>
      <w:pPr>
        <w:spacing w:after="120" w:line="276"/>
        <w:jc w:val="both"/>
      </w:pPr>
      <w:r>
        <w:rPr>
          <w:rFonts w:ascii="Barlow Semi Condensed" w:cs="Barlow Semi Condensed" w:eastAsia="Barlow Semi Condensed" w:hAnsi="Barlow Semi Condensed"/>
          <w:b/>
          <w:bCs/>
          <w:sz w:val="24"/>
          <w:szCs w:val="24"/>
        </w:rPr>
        <w:t xml:space="preserve">Una cifra puntuale enunciata senza il criterio di computo che la genera è un dato che appare preciso ed è indeterminato. Si rinvia dunque alle edizioni critiche, che il criterio lo dichiarano.</w:t>
      </w:r>
    </w:p>
    <w:p>
      <w:pPr>
        <w:pStyle w:val="Heading2"/>
        <w:spacing w:after="100" w:before="200"/>
      </w:pPr>
      <w:r>
        <w:rPr>
          <w:rFonts w:ascii="Barlow Semi Condensed" w:cs="Barlow Semi Condensed" w:eastAsia="Barlow Semi Condensed" w:hAnsi="Barlow Semi Condensed"/>
          <w:sz w:val="24"/>
          <w:szCs w:val="24"/>
        </w:rPr>
        <w:t xml:space="preserve">Le vie di trasmissione</w:t>
      </w:r>
    </w:p>
    <w:p>
      <w:pPr>
        <w:spacing w:after="120" w:line="276"/>
        <w:jc w:val="both"/>
      </w:pPr>
      <w:r>
        <w:rPr>
          <w:rFonts w:ascii="Barlow Semi Condensed" w:cs="Barlow Semi Condensed" w:eastAsia="Barlow Semi Condensed" w:hAnsi="Barlow Semi Condensed"/>
          <w:b/>
          <w:bCs/>
          <w:sz w:val="24"/>
          <w:szCs w:val="24"/>
        </w:rPr>
        <w:t xml:space="preserve">Le lettere della prima classe furono trasmesse mediante recapito, secondo modalità che consentivano il ritiro senza esposizione di chi consegnava.</w:t>
      </w:r>
    </w:p>
    <w:p>
      <w:pPr>
        <w:spacing w:after="120" w:line="276"/>
        <w:jc w:val="both"/>
      </w:pPr>
      <w:r>
        <w:rPr>
          <w:rFonts w:ascii="Barlow Semi Condensed" w:cs="Barlow Semi Condensed" w:eastAsia="Barlow Semi Condensed" w:hAnsi="Barlow Semi Condensed"/>
          <w:b/>
          <w:bCs/>
          <w:sz w:val="24"/>
          <w:szCs w:val="24"/>
        </w:rPr>
        <w:t xml:space="preserve">La via di trasmissione rileva per due ragioni che vanno esplicitate.</w:t>
      </w:r>
    </w:p>
    <w:p>
      <w:pPr>
        <w:spacing w:after="120" w:line="276"/>
        <w:jc w:val="both"/>
      </w:pPr>
      <w:r>
        <w:rPr>
          <w:rFonts w:ascii="Barlow Semi Condensed" w:cs="Barlow Semi Condensed" w:eastAsia="Barlow Semi Condensed" w:hAnsi="Barlow Semi Condensed"/>
          <w:b/>
          <w:bCs/>
          <w:sz w:val="24"/>
          <w:szCs w:val="24"/>
        </w:rPr>
        <w:t xml:space="preserve">La prima è che essa comporta il passaggio dello scritto attraverso le mani di chi custodiva l'autore. Ne segue che la trasmissione fu selettiva: giunse ciò che fu fatto giungere. La selettività è accertata per constatazione, poiché l'esistenza della seconda classe — scritti non recapitati e rinvenuti dopo — dimostra che una selezione fu operata.</w:t>
      </w:r>
    </w:p>
    <w:p>
      <w:pPr>
        <w:spacing w:after="120" w:line="276"/>
        <w:jc w:val="both"/>
      </w:pPr>
      <w:r>
        <w:rPr>
          <w:rFonts w:ascii="Barlow Semi Condensed" w:cs="Barlow Semi Condensed" w:eastAsia="Barlow Semi Condensed" w:hAnsi="Barlow Semi Condensed"/>
          <w:b/>
          <w:bCs/>
          <w:sz w:val="24"/>
          <w:szCs w:val="24"/>
        </w:rPr>
        <w:t xml:space="preserve">La seconda è che la selettività della trasmissione incide sulla lettura del corpus recapitato. Chi legga le sole lettere pervenute legge un insieme selezionato, e la selezione non fu operata dall'autore.</w:t>
      </w:r>
    </w:p>
    <w:p>
      <w:pPr>
        <w:spacing w:after="120" w:line="276"/>
        <w:jc w:val="both"/>
      </w:pPr>
      <w:r>
        <w:rPr>
          <w:rFonts w:ascii="Barlow Semi Condensed" w:cs="Barlow Semi Condensed" w:eastAsia="Barlow Semi Condensed" w:hAnsi="Barlow Semi Condensed"/>
          <w:b/>
          <w:bCs/>
          <w:sz w:val="24"/>
          <w:szCs w:val="24"/>
        </w:rPr>
        <w:t xml:space="preserve">Questo è un punto che merita di essere fissato, perché è frequentemente trascurato: le valutazioni espresse in quei giorni sul contenuto delle lettere furono formulate su un corpus selezionato da chi deteneva l'autore, e chi le formulava non poteva sapere quale parte gli fosse stata sottratta.</w:t>
      </w:r>
    </w:p>
    <w:p>
      <w:pPr>
        <w:pStyle w:val="Heading2"/>
        <w:spacing w:after="100" w:before="200"/>
      </w:pPr>
      <w:r>
        <w:rPr>
          <w:rFonts w:ascii="Barlow Semi Condensed" w:cs="Barlow Semi Condensed" w:eastAsia="Barlow Semi Condensed" w:hAnsi="Barlow Semi Condensed"/>
          <w:sz w:val="24"/>
          <w:szCs w:val="24"/>
        </w:rPr>
        <w:t xml:space="preserve">Conseguenza per l'uso</w:t>
      </w:r>
    </w:p>
    <w:p>
      <w:pPr>
        <w:spacing w:after="120" w:line="276"/>
        <w:jc w:val="both"/>
      </w:pPr>
      <w:r>
        <w:rPr>
          <w:rFonts w:ascii="Barlow Semi Condensed" w:cs="Barlow Semi Condensed" w:eastAsia="Barlow Semi Condensed" w:hAnsi="Barlow Semi Condensed"/>
          <w:b/>
          <w:bCs/>
          <w:sz w:val="24"/>
          <w:szCs w:val="24"/>
        </w:rPr>
        <w:t xml:space="preserve">Ne segue una regola d'uso che questa Fase osserverà: le due classi non si sommano indistintamente.</w:t>
      </w:r>
    </w:p>
    <w:p>
      <w:pPr>
        <w:spacing w:after="120" w:line="276"/>
        <w:jc w:val="both"/>
      </w:pPr>
      <w:r>
        <w:rPr>
          <w:rFonts w:ascii="Barlow Semi Condensed" w:cs="Barlow Semi Condensed" w:eastAsia="Barlow Semi Condensed" w:hAnsi="Barlow Semi Condensed"/>
          <w:b/>
          <w:bCs/>
          <w:sz w:val="24"/>
          <w:szCs w:val="24"/>
        </w:rPr>
        <w:t xml:space="preserve">Quando si tratta di ricostruire il pensiero dell'autore, entrambe le classi concorrono, con i gradi di vincolo propri di ciascun enunciato.</w:t>
      </w:r>
    </w:p>
    <w:p>
      <w:pPr>
        <w:spacing w:after="120" w:line="276"/>
        <w:jc w:val="both"/>
      </w:pPr>
      <w:r>
        <w:rPr>
          <w:rFonts w:ascii="Barlow Semi Condensed" w:cs="Barlow Semi Condensed" w:eastAsia="Barlow Semi Condensed" w:hAnsi="Barlow Semi Condensed"/>
          <w:b/>
          <w:bCs/>
          <w:sz w:val="24"/>
          <w:szCs w:val="24"/>
        </w:rPr>
        <w:t xml:space="preserve">Quando si tratta di ricostruire ciò che i destinatari conobbero e su cui deliberarono, concorre la sola prima classe. Impiegare la seconda per giudicare le decisioni assunte in quei giorni significherebbe rimproverare a chi decise di non avere tenuto conto di ciò che non poteva conoscere.</w:t>
      </w:r>
    </w:p>
    <w:p>
      <w:pPr>
        <w:spacing w:after="120" w:line="276"/>
        <w:jc w:val="both"/>
      </w:pPr>
      <w:r>
        <w:rPr>
          <w:rFonts w:ascii="Barlow Semi Condensed" w:cs="Barlow Semi Condensed" w:eastAsia="Barlow Semi Condensed" w:hAnsi="Barlow Semi Condensed"/>
          <w:b/>
          <w:bCs/>
          <w:sz w:val="24"/>
          <w:szCs w:val="24"/>
        </w:rPr>
        <w:t xml:space="preserve">La distinzione è elementare e viene violata con regolarità.</w:t>
      </w:r>
    </w:p>
    <w:p>
      <w:pPr>
        <w:pStyle w:val="Heading2"/>
        <w:spacing w:after="100" w:before="200"/>
      </w:pPr>
      <w:r>
        <w:rPr>
          <w:rFonts w:ascii="Barlow Semi Condensed" w:cs="Barlow Semi Condensed" w:eastAsia="Barlow Semi Condensed" w:hAnsi="Barlow Semi Condensed"/>
          <w:sz w:val="24"/>
          <w:szCs w:val="24"/>
        </w:rPr>
        <w:t xml:space="preserve">Capitolo trentatreesimo — La questione dell'autenticità</w:t>
      </w:r>
    </w:p>
    <w:p>
      <w:pPr>
        <w:pStyle w:val="Heading2"/>
        <w:spacing w:after="100" w:before="200"/>
      </w:pPr>
      <w:r>
        <w:rPr>
          <w:rFonts w:ascii="Barlow Semi Condensed" w:cs="Barlow Semi Condensed" w:eastAsia="Barlow Semi Condensed" w:hAnsi="Barlow Semi Condensed"/>
          <w:sz w:val="24"/>
          <w:szCs w:val="24"/>
        </w:rPr>
        <w:t xml:space="preserve">La questione e la sua soluzione</w:t>
      </w:r>
    </w:p>
    <w:p>
      <w:pPr>
        <w:spacing w:after="120" w:line="276"/>
        <w:jc w:val="both"/>
      </w:pPr>
      <w:r>
        <w:rPr>
          <w:rFonts w:ascii="Barlow Semi Condensed" w:cs="Barlow Semi Condensed" w:eastAsia="Barlow Semi Condensed" w:hAnsi="Barlow Semi Condensed"/>
          <w:b/>
          <w:bCs/>
          <w:sz w:val="24"/>
          <w:szCs w:val="24"/>
        </w:rPr>
        <w:t xml:space="preserve">La questione dell'autenticità materiale delle carte — se siano di mano dell'autore — ha risposta pacifica ed è in stato di sciolto.</w:t>
      </w:r>
    </w:p>
    <w:p>
      <w:pPr>
        <w:spacing w:after="120" w:line="276"/>
        <w:jc w:val="both"/>
      </w:pPr>
      <w:r>
        <w:rPr>
          <w:rFonts w:ascii="Barlow Semi Condensed" w:cs="Barlow Semi Condensed" w:eastAsia="Barlow Semi Condensed" w:hAnsi="Barlow Semi Condensed"/>
          <w:b/>
          <w:bCs/>
          <w:sz w:val="24"/>
          <w:szCs w:val="24"/>
        </w:rPr>
        <w:t xml:space="preserve">Gli scritti sono autografi. La circostanza è stata accertata mediante gli ordinari strumenti di verifica e non è stata seriamente contestata in alcuna sede. Le edizioni critiche, condotte sugli originali e sulle riproduzioni, ne hanno confermato la mano.</w:t>
      </w:r>
    </w:p>
    <w:p>
      <w:pPr>
        <w:spacing w:after="120" w:line="276"/>
        <w:jc w:val="both"/>
      </w:pPr>
      <w:r>
        <w:rPr>
          <w:rFonts w:ascii="Barlow Semi Condensed" w:cs="Barlow Semi Condensed" w:eastAsia="Barlow Semi Condensed" w:hAnsi="Barlow Semi Condensed"/>
          <w:b/>
          <w:bCs/>
          <w:sz w:val="24"/>
          <w:szCs w:val="24"/>
        </w:rPr>
        <w:t xml:space="preserve">Si registra dunque: le carte sono materialmente autentiche. Chi ne abbia dubitato in tempi remoti lo ha fatto in assenza degli elementi oggi disponibili.</w:t>
      </w:r>
    </w:p>
    <w:p>
      <w:pPr>
        <w:pStyle w:val="Heading2"/>
        <w:spacing w:after="100" w:before="200"/>
      </w:pPr>
      <w:r>
        <w:rPr>
          <w:rFonts w:ascii="Barlow Semi Condensed" w:cs="Barlow Semi Condensed" w:eastAsia="Barlow Semi Condensed" w:hAnsi="Barlow Semi Condensed"/>
          <w:sz w:val="24"/>
          <w:szCs w:val="24"/>
        </w:rPr>
        <w:t xml:space="preserve">La questione che fu posta all'epoca</w:t>
      </w:r>
    </w:p>
    <w:p>
      <w:pPr>
        <w:spacing w:after="120" w:line="276"/>
        <w:jc w:val="both"/>
      </w:pPr>
      <w:r>
        <w:rPr>
          <w:rFonts w:ascii="Barlow Semi Condensed" w:cs="Barlow Semi Condensed" w:eastAsia="Barlow Semi Condensed" w:hAnsi="Barlow Semi Condensed"/>
          <w:b/>
          <w:bCs/>
          <w:sz w:val="24"/>
          <w:szCs w:val="24"/>
        </w:rPr>
        <w:t xml:space="preserve">La questione sollevata durante i cinquantacinque giorni era però diversa, e la confusione fra le due ha generato equivoci durevoli.</w:t>
      </w:r>
    </w:p>
    <w:p>
      <w:pPr>
        <w:spacing w:after="120" w:line="276"/>
        <w:jc w:val="both"/>
      </w:pPr>
      <w:r>
        <w:rPr>
          <w:rFonts w:ascii="Barlow Semi Condensed" w:cs="Barlow Semi Condensed" w:eastAsia="Barlow Semi Condensed" w:hAnsi="Barlow Semi Condensed"/>
          <w:b/>
          <w:bCs/>
          <w:sz w:val="24"/>
          <w:szCs w:val="24"/>
        </w:rPr>
        <w:t xml:space="preserve">Non si sosteneva, se non marginalmente, che gli scritti fossero falsi materiali. Si sosteneva che, pur essendo di mano dell'autore, essi non esprimessero la sua volontà: che l'uomo che scriveva non fosse più, per effetto della condizione, l'uomo che si conosceva.</w:t>
      </w:r>
    </w:p>
    <w:p>
      <w:pPr>
        <w:spacing w:after="120" w:line="276"/>
        <w:jc w:val="both"/>
      </w:pPr>
      <w:r>
        <w:rPr>
          <w:rFonts w:ascii="Barlow Semi Condensed" w:cs="Barlow Semi Condensed" w:eastAsia="Barlow Semi Condensed" w:hAnsi="Barlow Semi Condensed"/>
          <w:b/>
          <w:bCs/>
          <w:sz w:val="24"/>
          <w:szCs w:val="24"/>
        </w:rPr>
        <w:t xml:space="preserve">Questa tesi ebbe formulazioni di diverso rigore. Alcune erano argomentate su elementi testuali: mutamenti di stile, di lessico, di argomentazione rispetto agli scritti anteriori. Altre erano asserzioni di ordine psicologico non sostenute da analisi.</w:t>
      </w:r>
    </w:p>
    <w:p>
      <w:pPr>
        <w:pStyle w:val="Heading2"/>
        <w:spacing w:after="100" w:before="200"/>
      </w:pPr>
      <w:r>
        <w:rPr>
          <w:rFonts w:ascii="Barlow Semi Condensed" w:cs="Barlow Semi Condensed" w:eastAsia="Barlow Semi Condensed" w:hAnsi="Barlow Semi Condensed"/>
          <w:sz w:val="24"/>
          <w:szCs w:val="24"/>
        </w:rPr>
        <w:t xml:space="preserve">Che cosa se ne può dire oggi</w:t>
      </w:r>
    </w:p>
    <w:p>
      <w:pPr>
        <w:spacing w:after="120" w:line="276"/>
        <w:jc w:val="both"/>
      </w:pPr>
      <w:r>
        <w:rPr>
          <w:rFonts w:ascii="Barlow Semi Condensed" w:cs="Barlow Semi Condensed" w:eastAsia="Barlow Semi Condensed" w:hAnsi="Barlow Semi Condensed"/>
          <w:b/>
          <w:bCs/>
          <w:sz w:val="24"/>
          <w:szCs w:val="24"/>
        </w:rPr>
        <w:t xml:space="preserve">Quanto alle formulazioni argomentate su elementi testuali, esse sono state sottoposte a verifica dalle edizioni critiche, che hanno potuto operare sul corpus integrale — comprensivo degli scritti non recapitati — e con gli strumenti della filologia.</w:t>
      </w:r>
    </w:p>
    <w:p>
      <w:pPr>
        <w:spacing w:after="120" w:line="276"/>
        <w:jc w:val="both"/>
      </w:pPr>
      <w:r>
        <w:rPr>
          <w:rFonts w:ascii="Barlow Semi Condensed" w:cs="Barlow Semi Condensed" w:eastAsia="Barlow Semi Condensed" w:hAnsi="Barlow Semi Condensed"/>
          <w:b/>
          <w:bCs/>
          <w:sz w:val="24"/>
          <w:szCs w:val="24"/>
        </w:rPr>
        <w:t xml:space="preserve">L'esito di tali verifiche, per la parte accessibile, non ha confermato la tesi dell'estraneità dell'autore ai propri scritti. Sono state invece riconosciute variazioni di registro e di argomentazione riconducibili alla condizione e all'evolvere di essa nel corso delle settimane.</w:t>
      </w:r>
    </w:p>
    <w:p>
      <w:pPr>
        <w:spacing w:after="120" w:line="276"/>
        <w:jc w:val="both"/>
      </w:pPr>
      <w:r>
        <w:rPr>
          <w:rFonts w:ascii="Barlow Semi Condensed" w:cs="Barlow Semi Condensed" w:eastAsia="Barlow Semi Condensed" w:hAnsi="Barlow Semi Condensed"/>
          <w:b/>
          <w:bCs/>
          <w:sz w:val="24"/>
          <w:szCs w:val="24"/>
        </w:rPr>
        <w:t xml:space="preserve">Quest'opera registra tale esito come acquisizione di sede qualificata, e non ne fa questione propria: la filologia dei testi appartiene alle edizioni critiche, e un registro che pretendesse di riformularla senza gli originali si arrogherebbe una competenza che non ha.</w:t>
      </w:r>
    </w:p>
    <w:p>
      <w:pPr>
        <w:spacing w:after="120" w:line="276"/>
        <w:jc w:val="both"/>
      </w:pPr>
      <w:r>
        <w:rPr>
          <w:rFonts w:ascii="Barlow Semi Condensed" w:cs="Barlow Semi Condensed" w:eastAsia="Barlow Semi Condensed" w:hAnsi="Barlow Semi Condensed"/>
          <w:b/>
          <w:bCs/>
          <w:sz w:val="24"/>
          <w:szCs w:val="24"/>
        </w:rPr>
        <w:t xml:space="preserve">Quanto alle asserzioni di ordine psicologico non argomentate, esse sono inammissibili in questa opera per effetto della prima clausola di disciplina esposta nel Capitolo secondo: l'opera ausculta archivi e non psicoanalizza persone. Ciò vale a maggior ragione per la persona del rapito.</w:t>
      </w:r>
    </w:p>
    <w:p>
      <w:pPr>
        <w:pStyle w:val="Heading2"/>
        <w:spacing w:after="100" w:before="200"/>
      </w:pPr>
      <w:r>
        <w:rPr>
          <w:rFonts w:ascii="Barlow Semi Condensed" w:cs="Barlow Semi Condensed" w:eastAsia="Barlow Semi Condensed" w:hAnsi="Barlow Semi Condensed"/>
          <w:sz w:val="24"/>
          <w:szCs w:val="24"/>
        </w:rPr>
        <w:t xml:space="preserve">Il punto che resta e che non è filologico</w:t>
      </w:r>
    </w:p>
    <w:p>
      <w:pPr>
        <w:spacing w:after="120" w:line="276"/>
        <w:jc w:val="both"/>
      </w:pPr>
      <w:r>
        <w:rPr>
          <w:rFonts w:ascii="Barlow Semi Condensed" w:cs="Barlow Semi Condensed" w:eastAsia="Barlow Semi Condensed" w:hAnsi="Barlow Semi Condensed"/>
          <w:b/>
          <w:bCs/>
          <w:sz w:val="24"/>
          <w:szCs w:val="24"/>
        </w:rPr>
        <w:t xml:space="preserve">Resta un punto, e non è di autenticità.</w:t>
      </w:r>
    </w:p>
    <w:p>
      <w:pPr>
        <w:spacing w:after="120" w:line="276"/>
        <w:jc w:val="both"/>
      </w:pPr>
      <w:r>
        <w:rPr>
          <w:rFonts w:ascii="Barlow Semi Condensed" w:cs="Barlow Semi Condensed" w:eastAsia="Barlow Semi Condensed" w:hAnsi="Barlow Semi Condensed"/>
          <w:b/>
          <w:bCs/>
          <w:sz w:val="24"/>
          <w:szCs w:val="24"/>
        </w:rPr>
        <w:t xml:space="preserve">È accertato che l'autore scrisse sapendo di essere letto da chi lo deteneva. È accertato che la trasmissione fu selettiva. È dunque accertato che egli scriveva in una condizione nella quale il calcolo su ciò che sarebbe stato trasmesso, e su ciò che sarebbe stato letto dai custodi, poteva incidere sulla formulazione.</w:t>
      </w:r>
    </w:p>
    <w:p>
      <w:pPr>
        <w:spacing w:after="120" w:line="276"/>
        <w:jc w:val="both"/>
      </w:pPr>
      <w:r>
        <w:rPr>
          <w:rFonts w:ascii="Barlow Semi Condensed" w:cs="Barlow Semi Condensed" w:eastAsia="Barlow Semi Condensed" w:hAnsi="Barlow Semi Condensed"/>
          <w:b/>
          <w:bCs/>
          <w:sz w:val="24"/>
          <w:szCs w:val="24"/>
        </w:rPr>
        <w:t xml:space="preserve">Questo non tocca l'autenticità: tocca il vincolo, e il vincolo si gradua. È l'oggetto del Capitolo seguente.</w:t>
      </w:r>
    </w:p>
    <w:p>
      <w:pPr>
        <w:pStyle w:val="Heading2"/>
        <w:spacing w:after="100" w:before="200"/>
      </w:pPr>
      <w:r>
        <w:rPr>
          <w:rFonts w:ascii="Barlow Semi Condensed" w:cs="Barlow Semi Condensed" w:eastAsia="Barlow Semi Condensed" w:hAnsi="Barlow Semi Condensed"/>
          <w:sz w:val="24"/>
          <w:szCs w:val="24"/>
        </w:rPr>
        <w:t xml:space="preserve">Capitolo trentaquattresimo — La scala del vincolo</w:t>
      </w:r>
    </w:p>
    <w:p>
      <w:pPr>
        <w:spacing w:after="120" w:line="276"/>
        <w:jc w:val="both"/>
      </w:pPr>
      <w:r>
        <w:rPr>
          <w:rFonts w:ascii="Barlow Semi Condensed" w:cs="Barlow Semi Condensed" w:eastAsia="Barlow Semi Condensed" w:hAnsi="Barlow Semi Condensed"/>
          <w:b/>
          <w:bCs/>
          <w:sz w:val="24"/>
          <w:szCs w:val="24"/>
        </w:rPr>
        <w:t xml:space="preserve">Si espone qui lo strumento centrale della Fase: la scala mediante la quale si accerta, enunciato per enunciato, il grado di condizionamento e gli usi che esso consente.</w:t>
      </w:r>
    </w:p>
    <w:p>
      <w:pPr>
        <w:spacing w:after="120" w:line="276"/>
        <w:jc w:val="both"/>
      </w:pPr>
      <w:r>
        <w:rPr>
          <w:rFonts w:ascii="Barlow Semi Condensed" w:cs="Barlow Semi Condensed" w:eastAsia="Barlow Semi Condensed" w:hAnsi="Barlow Semi Condensed"/>
          <w:b/>
          <w:bCs/>
          <w:sz w:val="24"/>
          <w:szCs w:val="24"/>
        </w:rPr>
        <w:t xml:space="preserve">La scala ha quattro gradi. Essa non misura la verità dell'enunciato: misura la misura in cui la condizione può averne determinato la formulazione. Un enunciato fortemente vincolato può essere vero; uno debolmente vincolato può essere falso. La scala dice soltanto quanto peso si possa attribuire alla forma in cui l'enunciato si presenta.</w:t>
      </w:r>
    </w:p>
    <w:p>
      <w:pPr>
        <w:pStyle w:val="Heading2"/>
        <w:spacing w:after="100" w:before="200"/>
      </w:pPr>
      <w:r>
        <w:rPr>
          <w:rFonts w:ascii="Barlow Semi Condensed" w:cs="Barlow Semi Condensed" w:eastAsia="Barlow Semi Condensed" w:hAnsi="Barlow Semi Condensed"/>
          <w:sz w:val="24"/>
          <w:szCs w:val="24"/>
        </w:rPr>
        <w:t xml:space="preserve">Primo grado: enunciato non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il cui contenuto è indifferente rispetto agli interessi di chi deteneva l'autore, e che non potevano essere oggetto di sollecitazione né di censura.</w:t>
      </w:r>
    </w:p>
    <w:p>
      <w:pPr>
        <w:spacing w:after="120" w:line="276"/>
        <w:jc w:val="both"/>
      </w:pPr>
      <w:r>
        <w:rPr>
          <w:rFonts w:ascii="Barlow Semi Condensed" w:cs="Barlow Semi Condensed" w:eastAsia="Barlow Semi Condensed" w:hAnsi="Barlow Semi Condensed"/>
          <w:b/>
          <w:bCs/>
          <w:sz w:val="24"/>
          <w:szCs w:val="24"/>
        </w:rPr>
        <w:t xml:space="preserve">Vi rientrano in prevalenza gli enunciati di natura personale e domestica: riferimenti a persone della famiglia, a oggetti, a consuetudini private, a stati fisici.</w:t>
      </w:r>
    </w:p>
    <w:p>
      <w:pPr>
        <w:spacing w:after="120" w:line="276"/>
        <w:jc w:val="both"/>
      </w:pPr>
      <w:r>
        <w:rPr>
          <w:rFonts w:ascii="Barlow Semi Condensed" w:cs="Barlow Semi Condensed" w:eastAsia="Barlow Semi Condensed" w:hAnsi="Barlow Semi Condensed"/>
          <w:b/>
          <w:bCs/>
          <w:sz w:val="24"/>
          <w:szCs w:val="24"/>
        </w:rPr>
        <w:t xml:space="preserve">Uso consentito: tali enunciati possono essere impiegati come espressione diretta dell'autore, con la sola cautela ordinaria che si applica a qualunque scritto personale.</w:t>
      </w:r>
    </w:p>
    <w:p>
      <w:pPr>
        <w:pStyle w:val="Heading2"/>
        <w:spacing w:after="100" w:before="200"/>
      </w:pPr>
      <w:r>
        <w:rPr>
          <w:rFonts w:ascii="Barlow Semi Condensed" w:cs="Barlow Semi Condensed" w:eastAsia="Barlow Semi Condensed" w:hAnsi="Barlow Semi Condensed"/>
          <w:sz w:val="24"/>
          <w:szCs w:val="24"/>
        </w:rPr>
        <w:t xml:space="preserve">Secondo grado: enunciato debolmente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che riguardano materie sulle quali i detentori avevano interesse generico ma non specifico, e che sono coerenti con posizioni documentate dell'autore anteriori alla prigionia.</w:t>
      </w:r>
    </w:p>
    <w:p>
      <w:pPr>
        <w:spacing w:after="120" w:line="276"/>
        <w:jc w:val="both"/>
      </w:pPr>
      <w:r>
        <w:rPr>
          <w:rFonts w:ascii="Barlow Semi Condensed" w:cs="Barlow Semi Condensed" w:eastAsia="Barlow Semi Condensed" w:hAnsi="Barlow Semi Condensed"/>
          <w:b/>
          <w:bCs/>
          <w:sz w:val="24"/>
          <w:szCs w:val="24"/>
        </w:rPr>
        <w:t xml:space="preserve">La coerenza con l'anteriore è qui il criterio operativo, e conviene precisarne il valore. Essa non prova la libertà dell'enunciato: chi voglia indurre uno scritto credibile induce enunciati coerenti con l'autore. Ma la coerenza esclude una delle due ipotesi di condizionamento, quella dell'imposizione di contenuti estranei, e lascia aperta soltanto l'altra, quella della sollecitazione di contenuti propri.</w:t>
      </w:r>
    </w:p>
    <w:p>
      <w:pPr>
        <w:spacing w:after="120" w:line="276"/>
        <w:jc w:val="both"/>
      </w:pPr>
      <w:r>
        <w:rPr>
          <w:rFonts w:ascii="Barlow Semi Condensed" w:cs="Barlow Semi Condensed" w:eastAsia="Barlow Semi Condensed" w:hAnsi="Barlow Semi Condensed"/>
          <w:b/>
          <w:bCs/>
          <w:sz w:val="24"/>
          <w:szCs w:val="24"/>
        </w:rPr>
        <w:t xml:space="preserve">Uso consentito: tali enunciati possono essere impiegati come espressione dell'autore, con menzione del grado.</w:t>
      </w:r>
    </w:p>
    <w:p>
      <w:pPr>
        <w:pStyle w:val="Heading2"/>
        <w:spacing w:after="100" w:before="200"/>
      </w:pPr>
      <w:r>
        <w:rPr>
          <w:rFonts w:ascii="Barlow Semi Condensed" w:cs="Barlow Semi Condensed" w:eastAsia="Barlow Semi Condensed" w:hAnsi="Barlow Semi Condensed"/>
          <w:sz w:val="24"/>
          <w:szCs w:val="24"/>
        </w:rPr>
        <w:t xml:space="preserve">Terzo grado: enunciato fortemente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che riguardano materie di interesse diretto dei detentori: la condotta da tenere, le richieste da avanzare, la valutazione dell'operato delle istituzioni, la sollecitazione a determinate decisioni.</w:t>
      </w:r>
    </w:p>
    <w:p>
      <w:pPr>
        <w:spacing w:after="120" w:line="276"/>
        <w:jc w:val="both"/>
      </w:pPr>
      <w:r>
        <w:rPr>
          <w:rFonts w:ascii="Barlow Semi Condensed" w:cs="Barlow Semi Condensed" w:eastAsia="Barlow Semi Condensed" w:hAnsi="Barlow Semi Condensed"/>
          <w:b/>
          <w:bCs/>
          <w:sz w:val="24"/>
          <w:szCs w:val="24"/>
        </w:rPr>
        <w:t xml:space="preserve">Tali enunciati sono quelli sui quali la sollecitazione era più probabile e più utile a chi deteneva.</w:t>
      </w:r>
    </w:p>
    <w:p>
      <w:pPr>
        <w:spacing w:after="120" w:line="276"/>
        <w:jc w:val="both"/>
      </w:pPr>
      <w:r>
        <w:rPr>
          <w:rFonts w:ascii="Barlow Semi Condensed" w:cs="Barlow Semi Condensed" w:eastAsia="Barlow Semi Condensed" w:hAnsi="Barlow Semi Condensed"/>
          <w:b/>
          <w:bCs/>
          <w:sz w:val="24"/>
          <w:szCs w:val="24"/>
        </w:rPr>
        <w:t xml:space="preserve">Uso consentito: essi attestano che l'autore scrisse quelle parole, e null'altro. Non possono essere impiegati né per attribuirgli una convinzione né per negargliela. In particolare, non possono essere impiegati per sostenere che egli avesse mutato le proprie posizioni anteriori, né per sostenere che le avesse conservate.</w:t>
      </w:r>
    </w:p>
    <w:p>
      <w:pPr>
        <w:pStyle w:val="Heading2"/>
        <w:spacing w:after="100" w:before="200"/>
      </w:pPr>
      <w:r>
        <w:rPr>
          <w:rFonts w:ascii="Barlow Semi Condensed" w:cs="Barlow Semi Condensed" w:eastAsia="Barlow Semi Condensed" w:hAnsi="Barlow Semi Condensed"/>
          <w:sz w:val="24"/>
          <w:szCs w:val="24"/>
        </w:rPr>
        <w:t xml:space="preserve">Quarto grado: enunciato di provenienza dubbia</w:t>
      </w:r>
    </w:p>
    <w:p>
      <w:pPr>
        <w:spacing w:after="120" w:line="276"/>
        <w:jc w:val="both"/>
      </w:pPr>
      <w:r>
        <w:rPr>
          <w:rFonts w:ascii="Barlow Semi Condensed" w:cs="Barlow Semi Condensed" w:eastAsia="Barlow Semi Condensed" w:hAnsi="Barlow Semi Condensed"/>
          <w:b/>
          <w:bCs/>
          <w:sz w:val="24"/>
          <w:szCs w:val="24"/>
        </w:rPr>
        <w:t xml:space="preserve">Vi appartengono gli enunciati per i quali elementi testuali o circostanziali suggeriscono derivazione da sollecitazione specifica o da materiale fornito.</w:t>
      </w:r>
    </w:p>
    <w:p>
      <w:pPr>
        <w:spacing w:after="120" w:line="276"/>
        <w:jc w:val="both"/>
      </w:pPr>
      <w:r>
        <w:rPr>
          <w:rFonts w:ascii="Barlow Semi Condensed" w:cs="Barlow Semi Condensed" w:eastAsia="Barlow Semi Condensed" w:hAnsi="Barlow Semi Condensed"/>
          <w:b/>
          <w:bCs/>
          <w:sz w:val="24"/>
          <w:szCs w:val="24"/>
        </w:rPr>
        <w:t xml:space="preserve">Uso consentito: nessuno, se non la registrazione della loro esistenza e del dubbio che vi si appunta.</w:t>
      </w:r>
    </w:p>
    <w:p>
      <w:pPr>
        <w:pStyle w:val="Heading2"/>
        <w:spacing w:after="100" w:before="200"/>
      </w:pPr>
      <w:r>
        <w:rPr>
          <w:rFonts w:ascii="Barlow Semi Condensed" w:cs="Barlow Semi Condensed" w:eastAsia="Barlow Semi Condensed" w:hAnsi="Barlow Semi Condensed"/>
          <w:sz w:val="24"/>
          <w:szCs w:val="24"/>
        </w:rPr>
        <w:t xml:space="preserve">L'applicazione e i suoi limiti</w:t>
      </w:r>
    </w:p>
    <w:p>
      <w:pPr>
        <w:spacing w:after="120" w:line="276"/>
        <w:jc w:val="both"/>
      </w:pPr>
      <w:r>
        <w:rPr>
          <w:rFonts w:ascii="Barlow Semi Condensed" w:cs="Barlow Semi Condensed" w:eastAsia="Barlow Semi Condensed" w:hAnsi="Barlow Semi Condensed"/>
          <w:b/>
          <w:bCs/>
          <w:sz w:val="24"/>
          <w:szCs w:val="24"/>
        </w:rPr>
        <w:t xml:space="preserve">Occorre dichiarare i limiti di questo strumento, perché uno strumento del quale non si dichiarino i limiti comincia a comandare.</w:t>
      </w:r>
    </w:p>
    <w:p>
      <w:pPr>
        <w:spacing w:after="120" w:line="276"/>
        <w:jc w:val="both"/>
      </w:pPr>
      <w:r>
        <w:rPr>
          <w:rFonts w:ascii="Barlow Semi Condensed" w:cs="Barlow Semi Condensed" w:eastAsia="Barlow Semi Condensed" w:hAnsi="Barlow Semi Condensed"/>
          <w:b/>
          <w:bCs/>
          <w:sz w:val="24"/>
          <w:szCs w:val="24"/>
        </w:rPr>
        <w:t xml:space="preserve">Primo limite: l'attribuzione del grado non è meccanica. Essa richiede una valutazione, e la valutazione è dell'autore di quest'opera. Essa è dunque, essa stessa, interpretazione dichiarata e non dato.</w:t>
      </w:r>
    </w:p>
    <w:p>
      <w:pPr>
        <w:spacing w:after="120" w:line="276"/>
        <w:jc w:val="both"/>
      </w:pPr>
      <w:r>
        <w:rPr>
          <w:rFonts w:ascii="Barlow Semi Condensed" w:cs="Barlow Semi Condensed" w:eastAsia="Barlow Semi Condensed" w:hAnsi="Barlow Semi Condensed"/>
          <w:b/>
          <w:bCs/>
          <w:sz w:val="24"/>
          <w:szCs w:val="24"/>
        </w:rPr>
        <w:t xml:space="preserve">Secondo limite: la scala non è applicabile a documenti nel loro insieme. Una medesima lettera contiene ordinariamente enunciati di gradi diversi, e trattarla unitariamente vanifica lo strumento. Questa è la ragione per la quale le controversie sulle lettere sono state a lungo sterili: esse vertevano su documenti interi, dei quali si affermava o si negava in blocco l'attendibilità, mentre la questione si pone per proposizioni.</w:t>
      </w:r>
    </w:p>
    <w:p>
      <w:pPr>
        <w:spacing w:after="120" w:line="276"/>
        <w:jc w:val="both"/>
      </w:pPr>
      <w:r>
        <w:rPr>
          <w:rFonts w:ascii="Barlow Semi Condensed" w:cs="Barlow Semi Condensed" w:eastAsia="Barlow Semi Condensed" w:hAnsi="Barlow Semi Condensed"/>
          <w:b/>
          <w:bCs/>
          <w:sz w:val="24"/>
          <w:szCs w:val="24"/>
        </w:rPr>
        <w:t xml:space="preserve">Terzo limite, e più severo: la scala non consente in alcun caso di stabilire ciò che l'autore pensava e non scrisse. Il silenzio delle carte su una materia non attesta né ignoranza né reticenza né sollecitazione a tacere. Esso non attesta nulla, e ogni argomentazione fondata su ciò che nelle carte non si trova è inammissibile in quest'opera.</w:t>
      </w:r>
    </w:p>
    <w:p>
      <w:pPr>
        <w:spacing w:after="120" w:line="276"/>
        <w:jc w:val="both"/>
      </w:pPr>
      <w:r>
        <w:rPr>
          <w:rFonts w:ascii="Barlow Semi Condensed" w:cs="Barlow Semi Condensed" w:eastAsia="Barlow Semi Condensed" w:hAnsi="Barlow Semi Condensed"/>
          <w:b/>
          <w:bCs/>
          <w:sz w:val="24"/>
          <w:szCs w:val="24"/>
        </w:rPr>
        <w:t xml:space="preserve">Quest'ultimo limite merita di essere sottolineato, perché una parte considerevole della letteratura sulle carte verte precisamente su ciò che in esse non c'è.</w:t>
      </w:r>
    </w:p>
    <w:p>
      <w:pPr>
        <w:pStyle w:val="Heading2"/>
        <w:spacing w:after="100" w:before="200"/>
      </w:pPr>
      <w:r>
        <w:rPr>
          <w:rFonts w:ascii="Barlow Semi Condensed" w:cs="Barlow Semi Condensed" w:eastAsia="Barlow Semi Condensed" w:hAnsi="Barlow Semi Condensed"/>
          <w:sz w:val="24"/>
          <w:szCs w:val="24"/>
        </w:rPr>
        <w:t xml:space="preserve">Capitolo trentacinquesimo — Le lettere ai familiari</w:t>
      </w:r>
    </w:p>
    <w:p>
      <w:pPr>
        <w:pStyle w:val="Heading2"/>
        <w:spacing w:after="100" w:before="200"/>
      </w:pPr>
      <w:r>
        <w:rPr>
          <w:rFonts w:ascii="Barlow Semi Condensed" w:cs="Barlow Semi Condensed" w:eastAsia="Barlow Semi Condensed" w:hAnsi="Barlow Semi Condensed"/>
          <w:sz w:val="24"/>
          <w:szCs w:val="24"/>
        </w:rPr>
        <w:t xml:space="preserve">La classe e il suo statuto</w:t>
      </w:r>
    </w:p>
    <w:p>
      <w:pPr>
        <w:spacing w:after="120" w:line="276"/>
        <w:jc w:val="both"/>
      </w:pPr>
      <w:r>
        <w:rPr>
          <w:rFonts w:ascii="Barlow Semi Condensed" w:cs="Barlow Semi Condensed" w:eastAsia="Barlow Semi Condensed" w:hAnsi="Barlow Semi Condensed"/>
          <w:b/>
          <w:bCs/>
          <w:sz w:val="24"/>
          <w:szCs w:val="24"/>
        </w:rPr>
        <w:t xml:space="preserve">Le lettere indirizzate a persone della famiglia costituiscono la classe alla quale la scala del vincolo assegna in prevalenza il primo e il secondo grado.</w:t>
      </w:r>
    </w:p>
    <w:p>
      <w:pPr>
        <w:spacing w:after="120" w:line="276"/>
        <w:jc w:val="both"/>
      </w:pPr>
      <w:r>
        <w:rPr>
          <w:rFonts w:ascii="Barlow Semi Condensed" w:cs="Barlow Semi Condensed" w:eastAsia="Barlow Semi Condensed" w:hAnsi="Barlow Semi Condensed"/>
          <w:b/>
          <w:bCs/>
          <w:sz w:val="24"/>
          <w:szCs w:val="24"/>
        </w:rPr>
        <w:t xml:space="preserve">La ragione è di interesse: i detentori non avevano interesse specifico al contenuto di comunicazioni domestiche, e la loro sollecitazione non avrebbe prodotto alcun effetto utile. Ove tale interesse compaia — nelle parti in cui la lettera domestica tocca la condotta da tenere o sollecita interventi — il grado si eleva, e va elevato per quelle proposizioni e non per l'intera lettera.</w:t>
      </w:r>
    </w:p>
    <w:p>
      <w:pPr>
        <w:pStyle w:val="Heading2"/>
        <w:spacing w:after="100" w:before="200"/>
      </w:pPr>
      <w:r>
        <w:rPr>
          <w:rFonts w:ascii="Barlow Semi Condensed" w:cs="Barlow Semi Condensed" w:eastAsia="Barlow Semi Condensed" w:hAnsi="Barlow Semi Condensed"/>
          <w:sz w:val="24"/>
          <w:szCs w:val="24"/>
        </w:rPr>
        <w:t xml:space="preserve">Che cosa esse attestano</w:t>
      </w:r>
    </w:p>
    <w:p>
      <w:pPr>
        <w:spacing w:after="120" w:line="276"/>
        <w:jc w:val="both"/>
      </w:pPr>
      <w:r>
        <w:rPr>
          <w:rFonts w:ascii="Barlow Semi Condensed" w:cs="Barlow Semi Condensed" w:eastAsia="Barlow Semi Condensed" w:hAnsi="Barlow Semi Condensed"/>
          <w:b/>
          <w:bCs/>
          <w:sz w:val="24"/>
          <w:szCs w:val="24"/>
        </w:rPr>
        <w:t xml:space="preserve">Esse attestano, in stato di sciolto, che l'autore fu mantenuto in condizioni che gli consentivano di scrivere per l'intero periodo; che conservò capacità di formulazione articolata; che ebbe conoscenza, sia pur parziale e mediata, dell'andamento delle vicende esterne.</w:t>
      </w:r>
    </w:p>
    <w:p>
      <w:pPr>
        <w:spacing w:after="120" w:line="276"/>
        <w:jc w:val="both"/>
      </w:pPr>
      <w:r>
        <w:rPr>
          <w:rFonts w:ascii="Barlow Semi Condensed" w:cs="Barlow Semi Condensed" w:eastAsia="Barlow Semi Condensed" w:hAnsi="Barlow Semi Condensed"/>
          <w:b/>
          <w:bCs/>
          <w:sz w:val="24"/>
          <w:szCs w:val="24"/>
        </w:rPr>
        <w:t xml:space="preserve">Quest'ultimo elemento rileva per la ricostruzione materiale e va segnalato: che il prigioniero mostrasse consapevolezza di sviluppi esterni comporta che gli fossero fornite informazioni, il che è dato sulla gestione della detenzione e non sul suo pensiero.</w:t>
      </w:r>
    </w:p>
    <w:p>
      <w:pPr>
        <w:pStyle w:val="Heading2"/>
        <w:spacing w:after="100" w:before="200"/>
      </w:pPr>
      <w:r>
        <w:rPr>
          <w:rFonts w:ascii="Barlow Semi Condensed" w:cs="Barlow Semi Condensed" w:eastAsia="Barlow Semi Condensed" w:hAnsi="Barlow Semi Condensed"/>
          <w:sz w:val="24"/>
          <w:szCs w:val="24"/>
        </w:rPr>
        <w:t xml:space="preserve">Il carattere della classe</w:t>
      </w:r>
    </w:p>
    <w:p>
      <w:pPr>
        <w:spacing w:after="120" w:line="276"/>
        <w:jc w:val="both"/>
      </w:pPr>
      <w:r>
        <w:rPr>
          <w:rFonts w:ascii="Barlow Semi Condensed" w:cs="Barlow Semi Condensed" w:eastAsia="Barlow Semi Condensed" w:hAnsi="Barlow Semi Condensed"/>
          <w:b/>
          <w:bCs/>
          <w:sz w:val="24"/>
          <w:szCs w:val="24"/>
        </w:rPr>
        <w:t xml:space="preserve">Va detta una cosa sul carattere di queste lettere, e va detta con misura.</w:t>
      </w:r>
    </w:p>
    <w:p>
      <w:pPr>
        <w:spacing w:after="120" w:line="276"/>
        <w:jc w:val="both"/>
      </w:pPr>
      <w:r>
        <w:rPr>
          <w:rFonts w:ascii="Barlow Semi Condensed" w:cs="Barlow Semi Condensed" w:eastAsia="Barlow Semi Condensed" w:hAnsi="Barlow Semi Condensed"/>
          <w:b/>
          <w:bCs/>
          <w:sz w:val="24"/>
          <w:szCs w:val="24"/>
        </w:rPr>
        <w:t xml:space="preserve">Esse sono, per larga parte, comunicazioni private di un uomo alla propria famiglia in condizioni di pericolo mortale. Contengono disposizioni pratiche, raccomandazioni, espressioni di affetto, preoccupazioni per il dopo.</w:t>
      </w:r>
    </w:p>
    <w:p>
      <w:pPr>
        <w:spacing w:after="120" w:line="276"/>
        <w:jc w:val="both"/>
      </w:pPr>
      <w:r>
        <w:rPr>
          <w:rFonts w:ascii="Barlow Semi Condensed" w:cs="Barlow Semi Condensed" w:eastAsia="Barlow Semi Condensed" w:hAnsi="Barlow Semi Condensed"/>
          <w:b/>
          <w:bCs/>
          <w:sz w:val="24"/>
          <w:szCs w:val="24"/>
        </w:rPr>
        <w:t xml:space="preserve">Quest'opera non le analizza oltre quanto serve al proprio ufficio, e non ne estrae elementi di colore. La ragione è che esse non furono scritte per essere lette da chi qui scrive né da chi qui legge; che la loro pubblicazione fu conseguenza della vicenda e non volontà dell'autore; e che un registro il quale ne facesse materia di commento supererebbe il limite oltre il quale la ricerca su una persona diventa esposizione della sua vita privata.</w:t>
      </w:r>
    </w:p>
    <w:p>
      <w:pPr>
        <w:spacing w:after="120" w:line="276"/>
        <w:jc w:val="both"/>
      </w:pPr>
      <w:r>
        <w:rPr>
          <w:rFonts w:ascii="Barlow Semi Condensed" w:cs="Barlow Semi Condensed" w:eastAsia="Barlow Semi Condensed" w:hAnsi="Barlow Semi Condensed"/>
          <w:b/>
          <w:bCs/>
          <w:sz w:val="24"/>
          <w:szCs w:val="24"/>
        </w:rPr>
        <w:t xml:space="preserve">Si registra dunque la classe, il suo statuto, e ciò che essa attesta ai fini della ricostruzione. Null'altro.</w:t>
      </w:r>
    </w:p>
    <w:p>
      <w:pPr>
        <w:pStyle w:val="Heading2"/>
        <w:spacing w:after="100" w:before="200"/>
      </w:pPr>
      <w:r>
        <w:rPr>
          <w:rFonts w:ascii="Barlow Semi Condensed" w:cs="Barlow Semi Condensed" w:eastAsia="Barlow Semi Condensed" w:hAnsi="Barlow Semi Condensed"/>
          <w:sz w:val="24"/>
          <w:szCs w:val="24"/>
        </w:rPr>
        <w:t xml:space="preserve">Una disposizione dell'autore</w:t>
      </w:r>
    </w:p>
    <w:p>
      <w:pPr>
        <w:spacing w:after="120" w:line="276"/>
        <w:jc w:val="both"/>
      </w:pPr>
      <w:r>
        <w:rPr>
          <w:rFonts w:ascii="Barlow Semi Condensed" w:cs="Barlow Semi Condensed" w:eastAsia="Barlow Semi Condensed" w:hAnsi="Barlow Semi Condensed"/>
          <w:b/>
          <w:bCs/>
          <w:sz w:val="24"/>
          <w:szCs w:val="24"/>
        </w:rPr>
        <w:t xml:space="preserve">Vi è, fra le disposizioni contenute in questa classe, una che rileva per la ricostruzione degli eventi successivi e che pertanto va menzionata: l'autore espresse volontà relative alle modalità delle proprie esequie e alla partecipazione delle autorità.</w:t>
      </w:r>
    </w:p>
    <w:p>
      <w:pPr>
        <w:spacing w:after="120" w:line="276"/>
        <w:jc w:val="both"/>
      </w:pPr>
      <w:r>
        <w:rPr>
          <w:rFonts w:ascii="Barlow Semi Condensed" w:cs="Barlow Semi Condensed" w:eastAsia="Barlow Semi Condensed" w:hAnsi="Barlow Semi Condensed"/>
          <w:b/>
          <w:bCs/>
          <w:sz w:val="24"/>
          <w:szCs w:val="24"/>
        </w:rPr>
        <w:t xml:space="preserve">Il fatto che tale volontà sia stata espressa è accertato. Le vicende conseguenti appartengono alla Fase Settima, che tratta ciò che resta.</w:t>
      </w:r>
    </w:p>
    <w:p>
      <w:pPr>
        <w:pStyle w:val="Heading2"/>
        <w:spacing w:after="100" w:before="200"/>
      </w:pPr>
      <w:r>
        <w:rPr>
          <w:rFonts w:ascii="Barlow Semi Condensed" w:cs="Barlow Semi Condensed" w:eastAsia="Barlow Semi Condensed" w:hAnsi="Barlow Semi Condensed"/>
          <w:sz w:val="24"/>
          <w:szCs w:val="24"/>
        </w:rPr>
        <w:t xml:space="preserve">Capitolo trentaseiesimo — Le lettere ai destinatari politici e istituzionali</w:t>
      </w:r>
    </w:p>
    <w:p>
      <w:pPr>
        <w:pStyle w:val="Heading2"/>
        <w:spacing w:after="100" w:before="200"/>
      </w:pPr>
      <w:r>
        <w:rPr>
          <w:rFonts w:ascii="Barlow Semi Condensed" w:cs="Barlow Semi Condensed" w:eastAsia="Barlow Semi Condensed" w:hAnsi="Barlow Semi Condensed"/>
          <w:sz w:val="24"/>
          <w:szCs w:val="24"/>
        </w:rPr>
        <w:t xml:space="preserve">La classe e il suo statuto</w:t>
      </w:r>
    </w:p>
    <w:p>
      <w:pPr>
        <w:spacing w:after="120" w:line="276"/>
        <w:jc w:val="both"/>
      </w:pPr>
      <w:r>
        <w:rPr>
          <w:rFonts w:ascii="Barlow Semi Condensed" w:cs="Barlow Semi Condensed" w:eastAsia="Barlow Semi Condensed" w:hAnsi="Barlow Semi Condensed"/>
          <w:b/>
          <w:bCs/>
          <w:sz w:val="24"/>
          <w:szCs w:val="24"/>
        </w:rPr>
        <w:t xml:space="preserve">Le lettere indirizzate a uomini politici, a organi di partito e a istituzioni costituiscono la classe alla quale la scala assegna in prevalenza il terzo grado, e in taluni punti il quarto.</w:t>
      </w:r>
    </w:p>
    <w:p>
      <w:pPr>
        <w:spacing w:after="120" w:line="276"/>
        <w:jc w:val="both"/>
      </w:pPr>
      <w:r>
        <w:rPr>
          <w:rFonts w:ascii="Barlow Semi Condensed" w:cs="Barlow Semi Condensed" w:eastAsia="Barlow Semi Condensed" w:hAnsi="Barlow Semi Condensed"/>
          <w:b/>
          <w:bCs/>
          <w:sz w:val="24"/>
          <w:szCs w:val="24"/>
        </w:rPr>
        <w:t xml:space="preserve">La ragione è simmetrica a quella del Capitolo precedente: qui l'interesse dei detentori era diretto e specifico. Ottenere che il prigioniero sollecitasse determinate condotte era, per chi lo deteneva, l'utilità principale della sua capacità di scrivere.</w:t>
      </w:r>
    </w:p>
    <w:p>
      <w:pPr>
        <w:pStyle w:val="Heading2"/>
        <w:spacing w:after="100" w:before="200"/>
      </w:pPr>
      <w:r>
        <w:rPr>
          <w:rFonts w:ascii="Barlow Semi Condensed" w:cs="Barlow Semi Condensed" w:eastAsia="Barlow Semi Condensed" w:hAnsi="Barlow Semi Condensed"/>
          <w:sz w:val="24"/>
          <w:szCs w:val="24"/>
        </w:rPr>
        <w:t xml:space="preserve">La conseguenza sull'uso</w:t>
      </w:r>
    </w:p>
    <w:p>
      <w:pPr>
        <w:spacing w:after="120" w:line="276"/>
        <w:jc w:val="both"/>
      </w:pPr>
      <w:r>
        <w:rPr>
          <w:rFonts w:ascii="Barlow Semi Condensed" w:cs="Barlow Semi Condensed" w:eastAsia="Barlow Semi Condensed" w:hAnsi="Barlow Semi Condensed"/>
          <w:b/>
          <w:bCs/>
          <w:sz w:val="24"/>
          <w:szCs w:val="24"/>
        </w:rPr>
        <w:t xml:space="preserve">Ne discende la disposizione più severa di questa Fase, e conviene enunciarla senza attenuazioni.</w:t>
      </w:r>
    </w:p>
    <w:p>
      <w:pPr>
        <w:spacing w:after="120" w:line="276"/>
        <w:jc w:val="both"/>
      </w:pPr>
      <w:r>
        <w:rPr>
          <w:rFonts w:ascii="Barlow Semi Condensed" w:cs="Barlow Semi Condensed" w:eastAsia="Barlow Semi Condensed" w:hAnsi="Barlow Semi Condensed"/>
          <w:b/>
          <w:bCs/>
          <w:sz w:val="24"/>
          <w:szCs w:val="24"/>
        </w:rPr>
        <w:t xml:space="preserve">Gli enunciati di questa classe che riguardano la condotta da tenere, la valutazione dell'operato delle istituzioni e la sollecitazione a decisioni determinate attestano che l'autore scrisse quelle parole, e null'altro.</w:t>
      </w:r>
    </w:p>
    <w:p>
      <w:pPr>
        <w:spacing w:after="120" w:line="276"/>
        <w:jc w:val="both"/>
      </w:pPr>
      <w:r>
        <w:rPr>
          <w:rFonts w:ascii="Barlow Semi Condensed" w:cs="Barlow Semi Condensed" w:eastAsia="Barlow Semi Condensed" w:hAnsi="Barlow Semi Condensed"/>
          <w:b/>
          <w:bCs/>
          <w:sz w:val="24"/>
          <w:szCs w:val="24"/>
        </w:rPr>
        <w:t xml:space="preserve">Essi non possono essere impiegati per sostenere che l'autore avesse mutato le proprie posizioni. Non possono essere impiegati per sostenere che le avesse conservate. Non possono essere impiegati per accreditare né per screditare la linea che prevalse nelle sedi di governo.</w:t>
      </w:r>
    </w:p>
    <w:p>
      <w:pPr>
        <w:spacing w:after="120" w:line="276"/>
        <w:jc w:val="both"/>
      </w:pPr>
      <w:r>
        <w:rPr>
          <w:rFonts w:ascii="Barlow Semi Condensed" w:cs="Barlow Semi Condensed" w:eastAsia="Barlow Semi Condensed" w:hAnsi="Barlow Semi Condensed"/>
          <w:b/>
          <w:bCs/>
          <w:sz w:val="24"/>
          <w:szCs w:val="24"/>
        </w:rPr>
        <w:t xml:space="preserve">Questa disposizione ha una conseguenza che va detta apertamente: essa esclude dall'uso probatorio la parte del corpus sulla quale si è discusso di più in cinquant'anni. Le lettere politiche della prigionia sono state impiegate, alternativamente, per dimostrare che l'uomo era stato piegato e per dimostrare che era rimasto sé stesso; per accusare chi non trattò e per giustificarlo. Nessuno di questi usi è ammesso in quest'opera, e non perché le tesi siano false, ma perché la fonte non le sostiene né le contraddice.</w:t>
      </w:r>
    </w:p>
    <w:p>
      <w:pPr>
        <w:pStyle w:val="Heading2"/>
        <w:spacing w:after="100" w:before="200"/>
      </w:pPr>
      <w:r>
        <w:rPr>
          <w:rFonts w:ascii="Barlow Semi Condensed" w:cs="Barlow Semi Condensed" w:eastAsia="Barlow Semi Condensed" w:hAnsi="Barlow Semi Condensed"/>
          <w:sz w:val="24"/>
          <w:szCs w:val="24"/>
        </w:rPr>
        <w:t xml:space="preserve">Che cosa dunque questa classe attesta</w:t>
      </w:r>
    </w:p>
    <w:p>
      <w:pPr>
        <w:spacing w:after="120" w:line="276"/>
        <w:jc w:val="both"/>
      </w:pPr>
      <w:r>
        <w:rPr>
          <w:rFonts w:ascii="Barlow Semi Condensed" w:cs="Barlow Semi Condensed" w:eastAsia="Barlow Semi Condensed" w:hAnsi="Barlow Semi Condensed"/>
          <w:b/>
          <w:bCs/>
          <w:sz w:val="24"/>
          <w:szCs w:val="24"/>
        </w:rPr>
        <w:t xml:space="preserve">Attesta, in stato di sciolto, che tali lettere furono scritte e trasmesse; a chi furono indirizzate; in quale sequenza temporale; e che una parte di esse non fu trasmessa e fu rinvenuta in seguito.</w:t>
      </w:r>
    </w:p>
    <w:p>
      <w:pPr>
        <w:spacing w:after="120" w:line="276"/>
        <w:jc w:val="both"/>
      </w:pPr>
      <w:r>
        <w:rPr>
          <w:rFonts w:ascii="Barlow Semi Condensed" w:cs="Barlow Semi Condensed" w:eastAsia="Barlow Semi Condensed" w:hAnsi="Barlow Semi Condensed"/>
          <w:b/>
          <w:bCs/>
          <w:sz w:val="24"/>
          <w:szCs w:val="24"/>
        </w:rPr>
        <w:t xml:space="preserve">La sequenza temporale e la selezione operata sulla trasmissione sono dati di rilievo, e appartengono alla ricostruzione della gestione della prigionia da parte dei detentori. Essi sono utilizzabili senza restrizione, perché non dipendono dal contenuto degli enunciati ma dalla loro esistenza e circolazione.</w:t>
      </w:r>
    </w:p>
    <w:p>
      <w:pPr>
        <w:pStyle w:val="Heading2"/>
        <w:spacing w:after="100" w:before="200"/>
      </w:pPr>
      <w:r>
        <w:rPr>
          <w:rFonts w:ascii="Barlow Semi Condensed" w:cs="Barlow Semi Condensed" w:eastAsia="Barlow Semi Condensed" w:hAnsi="Barlow Semi Condensed"/>
          <w:sz w:val="24"/>
          <w:szCs w:val="24"/>
        </w:rPr>
        <w:t xml:space="preserve">Il dibattito pubblico e il suo statuto</w:t>
      </w:r>
    </w:p>
    <w:p>
      <w:pPr>
        <w:spacing w:after="120" w:line="276"/>
        <w:jc w:val="both"/>
      </w:pPr>
      <w:r>
        <w:rPr>
          <w:rFonts w:ascii="Barlow Semi Condensed" w:cs="Barlow Semi Condensed" w:eastAsia="Barlow Semi Condensed" w:hAnsi="Barlow Semi Condensed"/>
          <w:b/>
          <w:bCs/>
          <w:sz w:val="24"/>
          <w:szCs w:val="24"/>
        </w:rPr>
        <w:t xml:space="preserve">Il contenuto di queste lettere fu, all'epoca, oggetto di dibattito pubblico immediato, e il dibattito ebbe conseguenze sulle decisioni assunte.</w:t>
      </w:r>
    </w:p>
    <w:p>
      <w:pPr>
        <w:spacing w:after="120" w:line="276"/>
        <w:jc w:val="both"/>
      </w:pPr>
      <w:r>
        <w:rPr>
          <w:rFonts w:ascii="Barlow Semi Condensed" w:cs="Barlow Semi Condensed" w:eastAsia="Barlow Semi Condensed" w:hAnsi="Barlow Semi Condensed"/>
          <w:b/>
          <w:bCs/>
          <w:sz w:val="24"/>
          <w:szCs w:val="24"/>
        </w:rPr>
        <w:t xml:space="preserve">Che tale dibattito vi fu, e quali posizioni vi si confrontarono, è materia accertata e appartiene alla ricostruzione degli eventi. Esso sarà trattato nella Fase Settima quanto agli esiti.</w:t>
      </w:r>
    </w:p>
    <w:p>
      <w:pPr>
        <w:spacing w:after="120" w:line="276"/>
        <w:jc w:val="both"/>
      </w:pPr>
      <w:r>
        <w:rPr>
          <w:rFonts w:ascii="Barlow Semi Condensed" w:cs="Barlow Semi Condensed" w:eastAsia="Barlow Semi Condensed" w:hAnsi="Barlow Semi Condensed"/>
          <w:b/>
          <w:bCs/>
          <w:sz w:val="24"/>
          <w:szCs w:val="24"/>
        </w:rPr>
        <w:t xml:space="preserve">Si segnala qui una sola circostanza, perché incide sulla valutazione di quel dibattito ed è stata esposta nel Capitolo trentaduesimo: coloro che allora valutarono le lettere lo fecero su un corpus selezionato da chi deteneva l'autore, e non potevano sapere quale parte fosse stata sottratta. Questa circostanza non muta il giudizio sulle decisioni, che appartiene ad altri; muta però la descrizione delle condizioni in cui furono prese, e la descrizione appartiene a quest'opera.</w:t>
      </w:r>
    </w:p>
    <w:p>
      <w:pPr>
        <w:pStyle w:val="Heading2"/>
        <w:spacing w:after="100" w:before="200"/>
      </w:pPr>
      <w:r>
        <w:rPr>
          <w:rFonts w:ascii="Barlow Semi Condensed" w:cs="Barlow Semi Condensed" w:eastAsia="Barlow Semi Condensed" w:hAnsi="Barlow Semi Condensed"/>
          <w:sz w:val="24"/>
          <w:szCs w:val="24"/>
        </w:rPr>
        <w:t xml:space="preserve">Capitolo trentasettesimo — Il memoriale: natura e statuto</w:t>
      </w:r>
    </w:p>
    <w:p>
      <w:pPr>
        <w:pStyle w:val="Heading2"/>
        <w:spacing w:after="100" w:before="200"/>
      </w:pPr>
      <w:r>
        <w:rPr>
          <w:rFonts w:ascii="Barlow Semi Condensed" w:cs="Barlow Semi Condensed" w:eastAsia="Barlow Semi Condensed" w:hAnsi="Barlow Semi Condensed"/>
          <w:sz w:val="24"/>
          <w:szCs w:val="24"/>
        </w:rPr>
        <w:t xml:space="preserve">Che cosa si intende</w:t>
      </w:r>
    </w:p>
    <w:p>
      <w:pPr>
        <w:spacing w:after="120" w:line="276"/>
        <w:jc w:val="both"/>
      </w:pPr>
      <w:r>
        <w:rPr>
          <w:rFonts w:ascii="Barlow Semi Condensed" w:cs="Barlow Semi Condensed" w:eastAsia="Barlow Semi Condensed" w:hAnsi="Barlow Semi Condensed"/>
          <w:b/>
          <w:bCs/>
          <w:sz w:val="24"/>
          <w:szCs w:val="24"/>
        </w:rPr>
        <w:t xml:space="preserve">Con il termine memoriale si designa complessivamente il materiale non epistolare riferibile alla prigionia: scritti di natura ricostruttiva e argomentativa, di estensione maggiore delle lettere, vertenti su materie politiche e istituzionali.</w:t>
      </w:r>
    </w:p>
    <w:p>
      <w:pPr>
        <w:spacing w:after="120" w:line="276"/>
        <w:jc w:val="both"/>
      </w:pPr>
      <w:r>
        <w:rPr>
          <w:rFonts w:ascii="Barlow Semi Condensed" w:cs="Barlow Semi Condensed" w:eastAsia="Barlow Semi Condensed" w:hAnsi="Barlow Semi Condensed"/>
          <w:b/>
          <w:bCs/>
          <w:sz w:val="24"/>
          <w:szCs w:val="24"/>
        </w:rPr>
        <w:t xml:space="preserve">Il termine è d'uso corrente e non è dell'autore. Si adotta per convenzione, e si dichiara che esso raggruppa materiali che potrebbero non costituire un'opera unitaria.</w:t>
      </w:r>
    </w:p>
    <w:p>
      <w:pPr>
        <w:pStyle w:val="Heading2"/>
        <w:spacing w:after="100" w:before="200"/>
      </w:pPr>
      <w:r>
        <w:rPr>
          <w:rFonts w:ascii="Barlow Semi Condensed" w:cs="Barlow Semi Condensed" w:eastAsia="Barlow Semi Condensed" w:hAnsi="Barlow Semi Condensed"/>
          <w:sz w:val="24"/>
          <w:szCs w:val="24"/>
        </w:rPr>
        <w:t xml:space="preserve">La natura del materiale</w:t>
      </w:r>
    </w:p>
    <w:p>
      <w:pPr>
        <w:spacing w:after="120" w:line="276"/>
        <w:jc w:val="both"/>
      </w:pPr>
      <w:r>
        <w:rPr>
          <w:rFonts w:ascii="Barlow Semi Condensed" w:cs="Barlow Semi Condensed" w:eastAsia="Barlow Semi Condensed" w:hAnsi="Barlow Semi Condensed"/>
          <w:b/>
          <w:bCs/>
          <w:sz w:val="24"/>
          <w:szCs w:val="24"/>
        </w:rPr>
        <w:t xml:space="preserve">Il materiale ha carattere in prevalenza ricostruttivo: esso espone vicende, rapporti, valutazioni relative alla vita politica e istituzionale del periodo anteriore.</w:t>
      </w:r>
    </w:p>
    <w:p>
      <w:pPr>
        <w:spacing w:after="120" w:line="276"/>
        <w:jc w:val="both"/>
      </w:pPr>
      <w:r>
        <w:rPr>
          <w:rFonts w:ascii="Barlow Semi Condensed" w:cs="Barlow Semi Condensed" w:eastAsia="Barlow Semi Condensed" w:hAnsi="Barlow Semi Condensed"/>
          <w:b/>
          <w:bCs/>
          <w:sz w:val="24"/>
          <w:szCs w:val="24"/>
        </w:rPr>
        <w:t xml:space="preserve">Occorre precisare una circostanza che ne determina lo statuto e che è frequentemente trascurata: il materiale fu prodotto in risposta a un interrogatorio. Chi deteneva l'autore condusse su di lui un procedimento che essi medesimi qualificarono come processo, e il materiale costituisce, in misura considerevole, la risposta a domande poste.</w:t>
      </w:r>
    </w:p>
    <w:p>
      <w:pPr>
        <w:spacing w:after="120" w:line="276"/>
        <w:jc w:val="both"/>
      </w:pPr>
      <w:r>
        <w:rPr>
          <w:rFonts w:ascii="Barlow Semi Condensed" w:cs="Barlow Semi Condensed" w:eastAsia="Barlow Semi Condensed" w:hAnsi="Barlow Semi Condensed"/>
          <w:b/>
          <w:bCs/>
          <w:sz w:val="24"/>
          <w:szCs w:val="24"/>
        </w:rPr>
        <w:t xml:space="preserve">Questa circostanza non è secondaria. Un testo scritto in risposta a domande altrui riflette, nella propria struttura, la struttura delle domande. Ciò che vi si trova trattato non è necessariamente ciò che l'autore avrebbe scelto di trattare; e l'assenza di una materia non attesta che egli non avesse nulla da dirne, ma può attestare che non gli fu chiesto.</w:t>
      </w:r>
    </w:p>
    <w:p>
      <w:pPr>
        <w:pStyle w:val="Heading2"/>
        <w:spacing w:after="100" w:before="200"/>
      </w:pPr>
      <w:r>
        <w:rPr>
          <w:rFonts w:ascii="Barlow Semi Condensed" w:cs="Barlow Semi Condensed" w:eastAsia="Barlow Semi Condensed" w:hAnsi="Barlow Semi Condensed"/>
          <w:sz w:val="24"/>
          <w:szCs w:val="24"/>
        </w:rPr>
        <w:t xml:space="preserve">Lo statuto secondo la scala</w:t>
      </w:r>
    </w:p>
    <w:p>
      <w:pPr>
        <w:spacing w:after="120" w:line="276"/>
        <w:jc w:val="both"/>
      </w:pPr>
      <w:r>
        <w:rPr>
          <w:rFonts w:ascii="Barlow Semi Condensed" w:cs="Barlow Semi Condensed" w:eastAsia="Barlow Semi Condensed" w:hAnsi="Barlow Semi Condensed"/>
          <w:b/>
          <w:bCs/>
          <w:sz w:val="24"/>
          <w:szCs w:val="24"/>
        </w:rPr>
        <w:t xml:space="preserve">La collocazione del memoriale nella scala del vincolo è la seguente.</w:t>
      </w:r>
    </w:p>
    <w:p>
      <w:pPr>
        <w:spacing w:after="120" w:line="276"/>
        <w:jc w:val="both"/>
      </w:pPr>
      <w:r>
        <w:rPr>
          <w:rFonts w:ascii="Barlow Semi Condensed" w:cs="Barlow Semi Condensed" w:eastAsia="Barlow Semi Condensed" w:hAnsi="Barlow Semi Condensed"/>
          <w:b/>
          <w:bCs/>
          <w:sz w:val="24"/>
          <w:szCs w:val="24"/>
        </w:rPr>
        <w:t xml:space="preserve">Quanto alla struttura e alla selezione delle materie, esso è di terzo grado: la scelta degli argomenti fu in misura rilevante determinata dall'interrogatorio.</w:t>
      </w:r>
    </w:p>
    <w:p>
      <w:pPr>
        <w:spacing w:after="120" w:line="276"/>
        <w:jc w:val="both"/>
      </w:pPr>
      <w:r>
        <w:rPr>
          <w:rFonts w:ascii="Barlow Semi Condensed" w:cs="Barlow Semi Condensed" w:eastAsia="Barlow Semi Condensed" w:hAnsi="Barlow Semi Condensed"/>
          <w:b/>
          <w:bCs/>
          <w:sz w:val="24"/>
          <w:szCs w:val="24"/>
        </w:rPr>
        <w:t xml:space="preserve">Quanto agli enunciati di fatto ivi contenuti — riferimenti a vicende, a rapporti, a circostanze — la collocazione va operata proposizione per proposizione, e non in blocco. Enunciati coerenti con documentazione indipendente si collocano al secondo grado; enunciati privi di riscontro indipendente e di interesse per i detentori si collocano al terzo.</w:t>
      </w:r>
    </w:p>
    <w:p>
      <w:pPr>
        <w:pStyle w:val="Heading2"/>
        <w:spacing w:after="100" w:before="200"/>
      </w:pPr>
      <w:r>
        <w:rPr>
          <w:rFonts w:ascii="Barlow Semi Condensed" w:cs="Barlow Semi Condensed" w:eastAsia="Barlow Semi Condensed" w:hAnsi="Barlow Semi Condensed"/>
          <w:sz w:val="24"/>
          <w:szCs w:val="24"/>
        </w:rPr>
        <w:t xml:space="preserve">La regola d'uso e la sua severità</w:t>
      </w:r>
    </w:p>
    <w:p>
      <w:pPr>
        <w:spacing w:after="120" w:line="276"/>
        <w:jc w:val="both"/>
      </w:pPr>
      <w:r>
        <w:rPr>
          <w:rFonts w:ascii="Barlow Semi Condensed" w:cs="Barlow Semi Condensed" w:eastAsia="Barlow Semi Condensed" w:hAnsi="Barlow Semi Condensed"/>
          <w:b/>
          <w:bCs/>
          <w:sz w:val="24"/>
          <w:szCs w:val="24"/>
        </w:rPr>
        <w:t xml:space="preserve">Si applica qui, con particolare rigore, la regola generale enunciata nel Capitolo trentunesimo: nessun enunciato delle carte è impiegato come prova di un fatto esterno senza riscontro indipendente.</w:t>
      </w:r>
    </w:p>
    <w:p>
      <w:pPr>
        <w:spacing w:after="120" w:line="276"/>
        <w:jc w:val="both"/>
      </w:pPr>
      <w:r>
        <w:rPr>
          <w:rFonts w:ascii="Barlow Semi Condensed" w:cs="Barlow Semi Condensed" w:eastAsia="Barlow Semi Condensed" w:hAnsi="Barlow Semi Condensed"/>
          <w:b/>
          <w:bCs/>
          <w:sz w:val="24"/>
          <w:szCs w:val="24"/>
        </w:rPr>
        <w:t xml:space="preserve">La severità è motivata dalla natura della fonte. Il memoriale è, dal punto di vista formale, una dichiarazione resa da persona sottoposta a costrizione in risposta a domande dei costrittori. Nessun ordinamento tratterebbe una dichiarazione siffatta come prova autosufficiente di fatti esterni, e nessun registro deve farlo.</w:t>
      </w:r>
    </w:p>
    <w:p>
      <w:pPr>
        <w:spacing w:after="120" w:line="276"/>
        <w:jc w:val="both"/>
      </w:pPr>
      <w:r>
        <w:rPr>
          <w:rFonts w:ascii="Barlow Semi Condensed" w:cs="Barlow Semi Condensed" w:eastAsia="Barlow Semi Condensed" w:hAnsi="Barlow Semi Condensed"/>
          <w:b/>
          <w:bCs/>
          <w:sz w:val="24"/>
          <w:szCs w:val="24"/>
        </w:rPr>
        <w:t xml:space="preserve">Ne segue che gli enunciati del memoriale relativi a vicende della vita politica italiana valgono, in quest'opera, come indicazione di ricerca e non come accertamento. Essi indicano dove guardare; il guardare va fatto altrove.</w:t>
      </w:r>
    </w:p>
    <w:p>
      <w:pPr>
        <w:spacing w:after="120" w:line="276"/>
        <w:jc w:val="both"/>
      </w:pPr>
      <w:r>
        <w:rPr>
          <w:rFonts w:ascii="Barlow Semi Condensed" w:cs="Barlow Semi Condensed" w:eastAsia="Barlow Semi Condensed" w:hAnsi="Barlow Semi Condensed"/>
          <w:b/>
          <w:bCs/>
          <w:sz w:val="24"/>
          <w:szCs w:val="24"/>
        </w:rPr>
        <w:t xml:space="preserve">Questa disposizione esclude dall'uso probatorio diretto le proposizioni del memoriale che sono state più frequentemente citate. Si conferma la disposizione e se ne dichiara la conseguenza: quest'opera non certifica alcun fatto esterno sulla sola base del memoriale.</w:t>
      </w:r>
    </w:p>
    <w:p>
      <w:pPr>
        <w:pStyle w:val="Heading2"/>
        <w:spacing w:after="100" w:before="200"/>
      </w:pPr>
      <w:r>
        <w:rPr>
          <w:rFonts w:ascii="Barlow Semi Condensed" w:cs="Barlow Semi Condensed" w:eastAsia="Barlow Semi Condensed" w:hAnsi="Barlow Semi Condensed"/>
          <w:sz w:val="24"/>
          <w:szCs w:val="24"/>
        </w:rPr>
        <w:t xml:space="preserve">Un elemento che invece rileva</w:t>
      </w:r>
    </w:p>
    <w:p>
      <w:pPr>
        <w:spacing w:after="120" w:line="276"/>
        <w:jc w:val="both"/>
      </w:pPr>
      <w:r>
        <w:rPr>
          <w:rFonts w:ascii="Barlow Semi Condensed" w:cs="Barlow Semi Condensed" w:eastAsia="Barlow Semi Condensed" w:hAnsi="Barlow Semi Condensed"/>
          <w:b/>
          <w:bCs/>
          <w:sz w:val="24"/>
          <w:szCs w:val="24"/>
        </w:rPr>
        <w:t xml:space="preserve">Vi è però un elemento del memoriale che rileva pienamente e senza le restrizioni predette, ed è di natura diversa dal contenuto.</w:t>
      </w:r>
    </w:p>
    <w:p>
      <w:pPr>
        <w:spacing w:after="120" w:line="276"/>
        <w:jc w:val="both"/>
      </w:pPr>
      <w:r>
        <w:rPr>
          <w:rFonts w:ascii="Barlow Semi Condensed" w:cs="Barlow Semi Condensed" w:eastAsia="Barlow Semi Condensed" w:hAnsi="Barlow Semi Condensed"/>
          <w:b/>
          <w:bCs/>
          <w:sz w:val="24"/>
          <w:szCs w:val="24"/>
        </w:rPr>
        <w:t xml:space="preserve">Esso riguarda ciò che il materiale attesta circa la conduzione della prigionia: che un interrogatorio fu condotto; che esso ebbe struttura e continuità; che vertette su determinate materie; che l'autore vi rispose in forma scritta ed estesa.</w:t>
      </w:r>
    </w:p>
    <w:p>
      <w:pPr>
        <w:spacing w:after="120" w:line="276"/>
        <w:jc w:val="both"/>
      </w:pPr>
      <w:r>
        <w:rPr>
          <w:rFonts w:ascii="Barlow Semi Condensed" w:cs="Barlow Semi Condensed" w:eastAsia="Barlow Semi Condensed" w:hAnsi="Barlow Semi Condensed"/>
          <w:b/>
          <w:bCs/>
          <w:sz w:val="24"/>
          <w:szCs w:val="24"/>
        </w:rPr>
        <w:t xml:space="preserve">Questi elementi non dipendono dalla veridicità di ciò che l'autore scrisse: dipendono dall'esistenza e dalla forma del materiale. Essi sono in stato di sciolto e sono utilizzabili senza restrizione, e appartengono alla ricostruzione materiale della prigionia più che alla ricostruzione del pensiero.</w:t>
      </w:r>
    </w:p>
    <w:p>
      <w:pPr>
        <w:pStyle w:val="Heading2"/>
        <w:spacing w:after="100" w:before="200"/>
      </w:pPr>
      <w:r>
        <w:rPr>
          <w:rFonts w:ascii="Barlow Semi Condensed" w:cs="Barlow Semi Condensed" w:eastAsia="Barlow Semi Condensed" w:hAnsi="Barlow Semi Condensed"/>
          <w:sz w:val="24"/>
          <w:szCs w:val="24"/>
        </w:rPr>
        <w:t xml:space="preserve">Capitolo trentottesimo — I due rinvenimenti e il problema della completezza</w:t>
      </w:r>
    </w:p>
    <w:p>
      <w:pPr>
        <w:pStyle w:val="Heading2"/>
        <w:spacing w:after="100" w:before="200"/>
      </w:pPr>
      <w:r>
        <w:rPr>
          <w:rFonts w:ascii="Barlow Semi Condensed" w:cs="Barlow Semi Condensed" w:eastAsia="Barlow Semi Condensed" w:hAnsi="Barlow Semi Condensed"/>
          <w:sz w:val="24"/>
          <w:szCs w:val="24"/>
        </w:rPr>
        <w:t xml:space="preserve">I fatti</w:t>
      </w:r>
    </w:p>
    <w:p>
      <w:pPr>
        <w:spacing w:after="120" w:line="276"/>
        <w:jc w:val="both"/>
      </w:pPr>
      <w:r>
        <w:rPr>
          <w:rFonts w:ascii="Barlow Semi Condensed" w:cs="Barlow Semi Condensed" w:eastAsia="Barlow Semi Condensed" w:hAnsi="Barlow Semi Condensed"/>
          <w:b/>
          <w:bCs/>
          <w:sz w:val="24"/>
          <w:szCs w:val="24"/>
        </w:rPr>
        <w:t xml:space="preserve">Nell'ottobre del 1978 fu individuata, a Milano, una base dell'organizzazione, e vi fu rinvenuto materiale riferibile alla prigionia, comprendente riproduzioni di scritti dell'autore.</w:t>
      </w:r>
    </w:p>
    <w:p>
      <w:pPr>
        <w:spacing w:after="120" w:line="276"/>
        <w:jc w:val="both"/>
      </w:pPr>
      <w:r>
        <w:rPr>
          <w:rFonts w:ascii="Barlow Semi Condensed" w:cs="Barlow Semi Condensed" w:eastAsia="Barlow Semi Condensed" w:hAnsi="Barlow Semi Condensed"/>
          <w:b/>
          <w:bCs/>
          <w:sz w:val="24"/>
          <w:szCs w:val="24"/>
        </w:rPr>
        <w:t xml:space="preserve">Nell'ottobre del 1990, nel corso di lavori edilizi eseguiti nel medesimo immobile, fu effettuato un secondo rinvenimento: ulteriori documenti, che si trovavano collocati in una intercapedine, e che non erano stati reperiti nella prima operazione.</w:t>
      </w:r>
    </w:p>
    <w:p>
      <w:pPr>
        <w:spacing w:after="120" w:line="276"/>
        <w:jc w:val="both"/>
      </w:pPr>
      <w:r>
        <w:rPr>
          <w:rFonts w:ascii="Barlow Semi Condensed" w:cs="Barlow Semi Condensed" w:eastAsia="Barlow Semi Condensed" w:hAnsi="Barlow Semi Condensed"/>
          <w:b/>
          <w:bCs/>
          <w:sz w:val="24"/>
          <w:szCs w:val="24"/>
        </w:rPr>
        <w:t xml:space="preserve">Entrambi i rinvenimenti sono accertati. La distanza fra essi è di dodici anni.</w:t>
      </w:r>
    </w:p>
    <w:p>
      <w:pPr>
        <w:pStyle w:val="Heading2"/>
        <w:spacing w:after="100" w:before="200"/>
      </w:pPr>
      <w:r>
        <w:rPr>
          <w:rFonts w:ascii="Barlow Semi Condensed" w:cs="Barlow Semi Condensed" w:eastAsia="Barlow Semi Condensed" w:hAnsi="Barlow Semi Condensed"/>
          <w:sz w:val="24"/>
          <w:szCs w:val="24"/>
        </w:rPr>
        <w:t xml:space="preserve">La conseguenza necessaria</w:t>
      </w:r>
    </w:p>
    <w:p>
      <w:pPr>
        <w:spacing w:after="120" w:line="276"/>
        <w:jc w:val="both"/>
      </w:pPr>
      <w:r>
        <w:rPr>
          <w:rFonts w:ascii="Barlow Semi Condensed" w:cs="Barlow Semi Condensed" w:eastAsia="Barlow Semi Condensed" w:hAnsi="Barlow Semi Condensed"/>
          <w:b/>
          <w:bCs/>
          <w:sz w:val="24"/>
          <w:szCs w:val="24"/>
        </w:rPr>
        <w:t xml:space="preserve">Da questi fatti discende una conseguenza che non richiede alcuna ipotesi ulteriore e che va enunciata come tale: la prima operazione non fu esaustiva. Ciò è dimostrato dalla seconda, e non è materia di opinione.</w:t>
      </w:r>
    </w:p>
    <w:p>
      <w:pPr>
        <w:spacing w:after="120" w:line="276"/>
        <w:jc w:val="both"/>
      </w:pPr>
      <w:r>
        <w:rPr>
          <w:rFonts w:ascii="Barlow Semi Condensed" w:cs="Barlow Semi Condensed" w:eastAsia="Barlow Semi Condensed" w:hAnsi="Barlow Semi Condensed"/>
          <w:b/>
          <w:bCs/>
          <w:sz w:val="24"/>
          <w:szCs w:val="24"/>
        </w:rPr>
        <w:t xml:space="preserve">Quest'opera appone a tale accertamento un marcatore permanente, già introdotto nel Capitolo ventinovesimo e qui confermato nella sua sede propria.</w:t>
      </w:r>
    </w:p>
    <w:p>
      <w:pPr>
        <w:spacing w:after="120" w:line="276"/>
        <w:jc w:val="both"/>
      </w:pPr>
      <w:r>
        <w:rPr>
          <w:rFonts w:ascii="Barlow Semi Condensed" w:cs="Barlow Semi Condensed" w:eastAsia="Barlow Semi Condensed" w:hAnsi="Barlow Semi Condensed"/>
          <w:b/>
          <w:bCs/>
          <w:sz w:val="24"/>
          <w:szCs w:val="24"/>
        </w:rPr>
        <w:t xml:space="preserve">Il marcatore ha due proprietà.</w:t>
      </w:r>
    </w:p>
    <w:p>
      <w:pPr>
        <w:spacing w:after="120" w:line="276"/>
        <w:jc w:val="both"/>
      </w:pPr>
      <w:r>
        <w:rPr>
          <w:rFonts w:ascii="Barlow Semi Condensed" w:cs="Barlow Semi Condensed" w:eastAsia="Barlow Semi Condensed" w:hAnsi="Barlow Semi Condensed"/>
          <w:b/>
          <w:bCs/>
          <w:sz w:val="24"/>
          <w:szCs w:val="24"/>
        </w:rPr>
        <w:t xml:space="preserve">Prima proprietà: esso è delimitato. Esso attesta l'incompletezza della prima operazione in quel luogo, e nulla oltre. Non si estende ad altre operazioni, non qualifica la condotta di chi la condusse, non attribuisce responsabilità.</w:t>
      </w:r>
    </w:p>
    <w:p>
      <w:pPr>
        <w:spacing w:after="120" w:line="276"/>
        <w:jc w:val="both"/>
      </w:pPr>
      <w:r>
        <w:rPr>
          <w:rFonts w:ascii="Barlow Semi Condensed" w:cs="Barlow Semi Condensed" w:eastAsia="Barlow Semi Condensed" w:hAnsi="Barlow Semi Condensed"/>
          <w:b/>
          <w:bCs/>
          <w:sz w:val="24"/>
          <w:szCs w:val="24"/>
        </w:rPr>
        <w:t xml:space="preserve">Seconda proprietà: esso non si rimuove. Nessuna dichiarazione successiva, di chiunque provenga e quale che ne sia il contenuto, può ripristinare la presunzione di completezza di una ricerca della cui incompletezza esiste prova materiale. Un accertamento negativo di questo genere è irreversibile per la natura stessa della prova che lo sostiene.</w:t>
      </w:r>
    </w:p>
    <w:p>
      <w:pPr>
        <w:pStyle w:val="Heading2"/>
        <w:spacing w:after="100" w:before="200"/>
      </w:pPr>
      <w:r>
        <w:rPr>
          <w:rFonts w:ascii="Barlow Semi Condensed" w:cs="Barlow Semi Condensed" w:eastAsia="Barlow Semi Condensed" w:hAnsi="Barlow Semi Condensed"/>
          <w:sz w:val="24"/>
          <w:szCs w:val="24"/>
        </w:rPr>
        <w:t xml:space="preserve">Le tre spiegazioni possibili e il loro statuto</w:t>
      </w:r>
    </w:p>
    <w:p>
      <w:pPr>
        <w:spacing w:after="120" w:line="276"/>
        <w:jc w:val="both"/>
      </w:pPr>
      <w:r>
        <w:rPr>
          <w:rFonts w:ascii="Barlow Semi Condensed" w:cs="Barlow Semi Condensed" w:eastAsia="Barlow Semi Condensed" w:hAnsi="Barlow Semi Condensed"/>
          <w:b/>
          <w:bCs/>
          <w:sz w:val="24"/>
          <w:szCs w:val="24"/>
        </w:rPr>
        <w:t xml:space="preserve">L'incompletezza è accertata; la sua causa non lo è. Tre spiegazioni sono possibili e nessuna è, allo stato, accertata.</w:t>
      </w:r>
    </w:p>
    <w:p>
      <w:pPr>
        <w:spacing w:after="120" w:line="276"/>
        <w:jc w:val="both"/>
      </w:pPr>
      <w:r>
        <w:rPr>
          <w:rFonts w:ascii="Barlow Semi Condensed" w:cs="Barlow Semi Condensed" w:eastAsia="Barlow Semi Condensed" w:hAnsi="Barlow Semi Condensed"/>
          <w:b/>
          <w:bCs/>
          <w:sz w:val="24"/>
          <w:szCs w:val="24"/>
        </w:rPr>
        <w:t xml:space="preserve">Prima: limite tecnico. Gli strumenti e le modalità della prima ricerca non consentirono di rilevare una intercapedine.</w:t>
      </w:r>
    </w:p>
    <w:p>
      <w:pPr>
        <w:spacing w:after="120" w:line="276"/>
        <w:jc w:val="both"/>
      </w:pPr>
      <w:r>
        <w:rPr>
          <w:rFonts w:ascii="Barlow Semi Condensed" w:cs="Barlow Semi Condensed" w:eastAsia="Barlow Semi Condensed" w:hAnsi="Barlow Semi Condensed"/>
          <w:b/>
          <w:bCs/>
          <w:sz w:val="24"/>
          <w:szCs w:val="24"/>
        </w:rPr>
        <w:t xml:space="preserve">Seconda: limite di conduzione. La ricerca fu condotta con criteri che non prevedevano l'esame delle strutture murarie.</w:t>
      </w:r>
    </w:p>
    <w:p>
      <w:pPr>
        <w:spacing w:after="120" w:line="276"/>
        <w:jc w:val="both"/>
      </w:pPr>
      <w:r>
        <w:rPr>
          <w:rFonts w:ascii="Barlow Semi Condensed" w:cs="Barlow Semi Condensed" w:eastAsia="Barlow Semi Condensed" w:hAnsi="Barlow Semi Condensed"/>
          <w:b/>
          <w:bCs/>
          <w:sz w:val="24"/>
          <w:szCs w:val="24"/>
        </w:rPr>
        <w:t xml:space="preserve">Terza: condotta deliberata. Il materiale fu rilevato e non acquisito.</w:t>
      </w:r>
    </w:p>
    <w:p>
      <w:pPr>
        <w:spacing w:after="120" w:line="276"/>
        <w:jc w:val="both"/>
      </w:pPr>
      <w:r>
        <w:rPr>
          <w:rFonts w:ascii="Barlow Semi Condensed" w:cs="Barlow Semi Condensed" w:eastAsia="Barlow Semi Condensed" w:hAnsi="Barlow Semi Condensed"/>
          <w:b/>
          <w:bCs/>
          <w:sz w:val="24"/>
          <w:szCs w:val="24"/>
        </w:rPr>
        <w:t xml:space="preserve">Quest'opera non sceglie. Registra le tre e indica la condizione di scioglimento: la documentazione contemporanea della prima operazione — verbali, rilievi, descrizione delle modalità e degli strumenti impiegati — confrontata con quella della seconda.</w:t>
      </w:r>
    </w:p>
    <w:p>
      <w:pPr>
        <w:spacing w:after="120" w:line="276"/>
        <w:jc w:val="both"/>
      </w:pPr>
      <w:r>
        <w:rPr>
          <w:rFonts w:ascii="Barlow Semi Condensed" w:cs="Barlow Semi Condensed" w:eastAsia="Barlow Semi Condensed" w:hAnsi="Barlow Semi Condensed"/>
          <w:b/>
          <w:bCs/>
          <w:sz w:val="24"/>
          <w:szCs w:val="24"/>
        </w:rPr>
        <w:t xml:space="preserve">Si segnala, perché appartiene alla disciplina degli Stati Zero, che tale documentazione non è stata acquisita nella presente campagna, e che la sua acquisizione è iscritta in tavola.</w:t>
      </w:r>
    </w:p>
    <w:p>
      <w:pPr>
        <w:pStyle w:val="Heading2"/>
        <w:spacing w:after="100" w:before="200"/>
      </w:pPr>
      <w:r>
        <w:rPr>
          <w:rFonts w:ascii="Barlow Semi Condensed" w:cs="Barlow Semi Condensed" w:eastAsia="Barlow Semi Condensed" w:hAnsi="Barlow Semi Condensed"/>
          <w:sz w:val="24"/>
          <w:szCs w:val="24"/>
        </w:rPr>
        <w:t xml:space="preserve">La conseguenza generale sul corpus</w:t>
      </w:r>
    </w:p>
    <w:p>
      <w:pPr>
        <w:spacing w:after="120" w:line="276"/>
        <w:jc w:val="both"/>
      </w:pPr>
      <w:r>
        <w:rPr>
          <w:rFonts w:ascii="Barlow Semi Condensed" w:cs="Barlow Semi Condensed" w:eastAsia="Barlow Semi Condensed" w:hAnsi="Barlow Semi Condensed"/>
          <w:b/>
          <w:bCs/>
          <w:sz w:val="24"/>
          <w:szCs w:val="24"/>
        </w:rPr>
        <w:t xml:space="preserve">Vi è infine una conseguenza che eccede il singolo episodio e che governa l'intera valutazione delle carte.</w:t>
      </w:r>
    </w:p>
    <w:p>
      <w:pPr>
        <w:spacing w:after="120" w:line="276"/>
        <w:jc w:val="both"/>
      </w:pPr>
      <w:r>
        <w:rPr>
          <w:rFonts w:ascii="Barlow Semi Condensed" w:cs="Barlow Semi Condensed" w:eastAsia="Barlow Semi Condensed" w:hAnsi="Barlow Semi Condensed"/>
          <w:b/>
          <w:bCs/>
          <w:sz w:val="24"/>
          <w:szCs w:val="24"/>
        </w:rPr>
        <w:t xml:space="preserve">Se un rinvenimento documentale relativo a questa vicenda si è rivelato incompleto dopo dodici anni, la completezza del corpus complessivamente disponibile non può essere presunta. Ciò non significa che manchi qualcosa: significa che non si può affermare che nulla manchi.</w:t>
      </w:r>
    </w:p>
    <w:p>
      <w:pPr>
        <w:spacing w:after="120" w:line="276"/>
        <w:jc w:val="both"/>
      </w:pPr>
      <w:r>
        <w:rPr>
          <w:rFonts w:ascii="Barlow Semi Condensed" w:cs="Barlow Semi Condensed" w:eastAsia="Barlow Semi Condensed" w:hAnsi="Barlow Semi Condensed"/>
          <w:b/>
          <w:bCs/>
          <w:sz w:val="24"/>
          <w:szCs w:val="24"/>
        </w:rPr>
        <w:t xml:space="preserve">La distinzione è capitale per gli argomenti fondati sul silenzio delle carte. Il Capitolo trentaquattresimo ha già dichiarato inammissibile ogni argomentazione fondata su ciò che nelle carte non si trova; questo Capitolo ne fornisce la ragione materiale, oltre a quella logica: non è accertato che il corpus disponibile sia il corpus esistente.</w:t>
      </w:r>
    </w:p>
    <w:p>
      <w:pPr>
        <w:pStyle w:val="Heading2"/>
        <w:spacing w:after="100" w:before="200"/>
      </w:pPr>
      <w:r>
        <w:rPr>
          <w:rFonts w:ascii="Barlow Semi Condensed" w:cs="Barlow Semi Condensed" w:eastAsia="Barlow Semi Condensed" w:hAnsi="Barlow Semi Condensed"/>
          <w:sz w:val="24"/>
          <w:szCs w:val="24"/>
        </w:rPr>
        <w:t xml:space="preserve">Capitolo trentanovesimo — Ciò che le carte provano e ciò che non provano</w:t>
      </w:r>
    </w:p>
    <w:p>
      <w:pPr>
        <w:spacing w:after="120" w:line="276"/>
        <w:jc w:val="both"/>
      </w:pPr>
      <w:r>
        <w:rPr>
          <w:rFonts w:ascii="Barlow Semi Condensed" w:cs="Barlow Semi Condensed" w:eastAsia="Barlow Semi Condensed" w:hAnsi="Barlow Semi Condensed"/>
          <w:b/>
          <w:bCs/>
          <w:sz w:val="24"/>
          <w:szCs w:val="24"/>
        </w:rPr>
        <w:t xml:space="preserve">Si tira qui il bilancio dell'uso, distinguendo per classi e per gradi.</w:t>
      </w:r>
    </w:p>
    <w:p>
      <w:pPr>
        <w:pStyle w:val="Heading2"/>
        <w:spacing w:after="100" w:before="200"/>
      </w:pPr>
      <w:r>
        <w:rPr>
          <w:rFonts w:ascii="Barlow Semi Condensed" w:cs="Barlow Semi Condensed" w:eastAsia="Barlow Semi Condensed" w:hAnsi="Barlow Semi Condensed"/>
          <w:sz w:val="24"/>
          <w:szCs w:val="24"/>
        </w:rPr>
        <w:t xml:space="preserve">Ciò che le carte provano</w:t>
      </w:r>
    </w:p>
    <w:p>
      <w:pPr>
        <w:spacing w:after="120" w:line="276"/>
        <w:jc w:val="both"/>
      </w:pPr>
      <w:r>
        <w:rPr>
          <w:rFonts w:ascii="Barlow Semi Condensed" w:cs="Barlow Semi Condensed" w:eastAsia="Barlow Semi Condensed" w:hAnsi="Barlow Semi Condensed"/>
          <w:b/>
          <w:bCs/>
          <w:sz w:val="24"/>
          <w:szCs w:val="24"/>
        </w:rPr>
        <w:t xml:space="preserve">Le carte provano, in stato di sciolto, un insieme di fatti che riguardano la loro stessa esistenza e circolazione, e che non dipendono dalla veridicità di ciò che contengono.</w:t>
      </w:r>
    </w:p>
    <w:p>
      <w:pPr>
        <w:spacing w:after="120" w:line="276"/>
        <w:jc w:val="both"/>
      </w:pPr>
      <w:r>
        <w:rPr>
          <w:rFonts w:ascii="Barlow Semi Condensed" w:cs="Barlow Semi Condensed" w:eastAsia="Barlow Semi Condensed" w:hAnsi="Barlow Semi Condensed"/>
          <w:b/>
          <w:bCs/>
          <w:sz w:val="24"/>
          <w:szCs w:val="24"/>
        </w:rPr>
        <w:t xml:space="preserve">Provano che l'autore fu mantenuto in vita per l'intero periodo e in condizioni che gli consentivano di scrivere in forma articolata ed estesa.</w:t>
      </w:r>
    </w:p>
    <w:p>
      <w:pPr>
        <w:spacing w:after="120" w:line="276"/>
        <w:jc w:val="both"/>
      </w:pPr>
      <w:r>
        <w:rPr>
          <w:rFonts w:ascii="Barlow Semi Condensed" w:cs="Barlow Semi Condensed" w:eastAsia="Barlow Semi Condensed" w:hAnsi="Barlow Semi Condensed"/>
          <w:b/>
          <w:bCs/>
          <w:sz w:val="24"/>
          <w:szCs w:val="24"/>
        </w:rPr>
        <w:t xml:space="preserve">Provano che gli fu consentito di scrivere ripetutamente e a destinatari diversi.</w:t>
      </w:r>
    </w:p>
    <w:p>
      <w:pPr>
        <w:spacing w:after="120" w:line="276"/>
        <w:jc w:val="both"/>
      </w:pPr>
      <w:r>
        <w:rPr>
          <w:rFonts w:ascii="Barlow Semi Condensed" w:cs="Barlow Semi Condensed" w:eastAsia="Barlow Semi Condensed" w:hAnsi="Barlow Semi Condensed"/>
          <w:b/>
          <w:bCs/>
          <w:sz w:val="24"/>
          <w:szCs w:val="24"/>
        </w:rPr>
        <w:t xml:space="preserve">Provano che la trasmissione degli scritti fu selettiva, essendovi scritti non trasmessi e rinvenuti in seguito.</w:t>
      </w:r>
    </w:p>
    <w:p>
      <w:pPr>
        <w:spacing w:after="120" w:line="276"/>
        <w:jc w:val="both"/>
      </w:pPr>
      <w:r>
        <w:rPr>
          <w:rFonts w:ascii="Barlow Semi Condensed" w:cs="Barlow Semi Condensed" w:eastAsia="Barlow Semi Condensed" w:hAnsi="Barlow Semi Condensed"/>
          <w:b/>
          <w:bCs/>
          <w:sz w:val="24"/>
          <w:szCs w:val="24"/>
        </w:rPr>
        <w:t xml:space="preserve">Provano che gli furono fornite informazioni sull'andamento delle vicende esterne.</w:t>
      </w:r>
    </w:p>
    <w:p>
      <w:pPr>
        <w:spacing w:after="120" w:line="276"/>
        <w:jc w:val="both"/>
      </w:pPr>
      <w:r>
        <w:rPr>
          <w:rFonts w:ascii="Barlow Semi Condensed" w:cs="Barlow Semi Condensed" w:eastAsia="Barlow Semi Condensed" w:hAnsi="Barlow Semi Condensed"/>
          <w:b/>
          <w:bCs/>
          <w:sz w:val="24"/>
          <w:szCs w:val="24"/>
        </w:rPr>
        <w:t xml:space="preserve">Provano che fu condotto su di lui un interrogatorio strutturato e continuativo, vertente su materie politiche e istituzionali.</w:t>
      </w:r>
    </w:p>
    <w:p>
      <w:pPr>
        <w:spacing w:after="120" w:line="276"/>
        <w:jc w:val="both"/>
      </w:pPr>
      <w:r>
        <w:rPr>
          <w:rFonts w:ascii="Barlow Semi Condensed" w:cs="Barlow Semi Condensed" w:eastAsia="Barlow Semi Condensed" w:hAnsi="Barlow Semi Condensed"/>
          <w:b/>
          <w:bCs/>
          <w:sz w:val="24"/>
          <w:szCs w:val="24"/>
        </w:rPr>
        <w:t xml:space="preserve">Provano, quanto agli enunciati del primo e secondo grado, ciò che l'autore espresse in materie prive di interesse specifico per i detentori.</w:t>
      </w:r>
    </w:p>
    <w:p>
      <w:pPr>
        <w:pStyle w:val="Heading2"/>
        <w:spacing w:after="100" w:before="200"/>
      </w:pPr>
      <w:r>
        <w:rPr>
          <w:rFonts w:ascii="Barlow Semi Condensed" w:cs="Barlow Semi Condensed" w:eastAsia="Barlow Semi Condensed" w:hAnsi="Barlow Semi Condensed"/>
          <w:sz w:val="24"/>
          <w:szCs w:val="24"/>
        </w:rPr>
        <w:t xml:space="preserve">Ciò che le carte non provano</w:t>
      </w:r>
    </w:p>
    <w:p>
      <w:pPr>
        <w:spacing w:after="120" w:line="276"/>
        <w:jc w:val="both"/>
      </w:pPr>
      <w:r>
        <w:rPr>
          <w:rFonts w:ascii="Barlow Semi Condensed" w:cs="Barlow Semi Condensed" w:eastAsia="Barlow Semi Condensed" w:hAnsi="Barlow Semi Condensed"/>
          <w:b/>
          <w:bCs/>
          <w:sz w:val="24"/>
          <w:szCs w:val="24"/>
        </w:rPr>
        <w:t xml:space="preserve">Non provano alcun fatto esterno alla prigionia, in assenza di riscontro indipendente. Ciò vale per la totalità degli enunciati del memoriale relativi a vicende della vita politica, quale che sia la loro plausibilità.</w:t>
      </w:r>
    </w:p>
    <w:p>
      <w:pPr>
        <w:spacing w:after="120" w:line="276"/>
        <w:jc w:val="both"/>
      </w:pPr>
      <w:r>
        <w:rPr>
          <w:rFonts w:ascii="Barlow Semi Condensed" w:cs="Barlow Semi Condensed" w:eastAsia="Barlow Semi Condensed" w:hAnsi="Barlow Semi Condensed"/>
          <w:b/>
          <w:bCs/>
          <w:sz w:val="24"/>
          <w:szCs w:val="24"/>
        </w:rPr>
        <w:t xml:space="preserve">Non provano che l'autore avesse mutato le proprie posizioni anteriori, né che le avesse conservate. Gli enunciati che sarebbero pertinenti a tale questione sono di terzo grado.</w:t>
      </w:r>
    </w:p>
    <w:p>
      <w:pPr>
        <w:spacing w:after="120" w:line="276"/>
        <w:jc w:val="both"/>
      </w:pPr>
      <w:r>
        <w:rPr>
          <w:rFonts w:ascii="Barlow Semi Condensed" w:cs="Barlow Semi Condensed" w:eastAsia="Barlow Semi Condensed" w:hAnsi="Barlow Semi Condensed"/>
          <w:b/>
          <w:bCs/>
          <w:sz w:val="24"/>
          <w:szCs w:val="24"/>
        </w:rPr>
        <w:t xml:space="preserve">Non provano alcunché circa la correttezza o l'erroneità della linea che prevalse nelle sedi di governo. La fonte non sostiene né contraddice quel giudizio.</w:t>
      </w:r>
    </w:p>
    <w:p>
      <w:pPr>
        <w:spacing w:after="120" w:line="276"/>
        <w:jc w:val="both"/>
      </w:pPr>
      <w:r>
        <w:rPr>
          <w:rFonts w:ascii="Barlow Semi Condensed" w:cs="Barlow Semi Condensed" w:eastAsia="Barlow Semi Condensed" w:hAnsi="Barlow Semi Condensed"/>
          <w:b/>
          <w:bCs/>
          <w:sz w:val="24"/>
          <w:szCs w:val="24"/>
        </w:rPr>
        <w:t xml:space="preserve">Non provano nulla per ciò che in esse non si trova. Ogni argomentazione fondata sul silenzio delle carte è inammissibile, per la ragione logica del Capitolo trentaquattresimo e per la ragione materiale del Capitolo trentottesimo.</w:t>
      </w:r>
    </w:p>
    <w:p>
      <w:pPr>
        <w:pStyle w:val="Heading2"/>
        <w:spacing w:after="100" w:before="200"/>
      </w:pPr>
      <w:r>
        <w:rPr>
          <w:rFonts w:ascii="Barlow Semi Condensed" w:cs="Barlow Semi Condensed" w:eastAsia="Barlow Semi Condensed" w:hAnsi="Barlow Semi Condensed"/>
          <w:sz w:val="24"/>
          <w:szCs w:val="24"/>
        </w:rPr>
        <w:t xml:space="preserve">Il risultato principale della Fase</w:t>
      </w:r>
    </w:p>
    <w:p>
      <w:pPr>
        <w:spacing w:after="120" w:line="276"/>
        <w:jc w:val="both"/>
      </w:pPr>
      <w:r>
        <w:rPr>
          <w:rFonts w:ascii="Barlow Semi Condensed" w:cs="Barlow Semi Condensed" w:eastAsia="Barlow Semi Condensed" w:hAnsi="Barlow Semi Condensed"/>
          <w:b/>
          <w:bCs/>
          <w:sz w:val="24"/>
          <w:szCs w:val="24"/>
        </w:rPr>
        <w:t xml:space="preserve">Il risultato principale di questa Fase è di natura restrittiva, e conviene dichiararlo come tale senza presentarlo come una conquista.</w:t>
      </w:r>
    </w:p>
    <w:p>
      <w:pPr>
        <w:spacing w:after="120" w:line="276"/>
        <w:jc w:val="both"/>
      </w:pPr>
      <w:r>
        <w:rPr>
          <w:rFonts w:ascii="Barlow Semi Condensed" w:cs="Barlow Semi Condensed" w:eastAsia="Barlow Semi Condensed" w:hAnsi="Barlow Semi Condensed"/>
          <w:b/>
          <w:bCs/>
          <w:sz w:val="24"/>
          <w:szCs w:val="24"/>
        </w:rPr>
        <w:t xml:space="preserve">La Fase ha escluso dall'uso probatorio diretto la parte del corpus sulla quale si è discusso di più. Ha stabilito che le lettere politiche e il memoriale, che sono le carte più citate, non provano fatti esterni; e che le carte che provano qualcosa senza restrizione sono quelle che provano fatti relativi alla conduzione della prigionia.</w:t>
      </w:r>
    </w:p>
    <w:p>
      <w:pPr>
        <w:spacing w:after="120" w:line="276"/>
        <w:jc w:val="both"/>
      </w:pPr>
      <w:r>
        <w:rPr>
          <w:rFonts w:ascii="Barlow Semi Condensed" w:cs="Barlow Semi Condensed" w:eastAsia="Barlow Semi Condensed" w:hAnsi="Barlow Semi Condensed"/>
          <w:b/>
          <w:bCs/>
          <w:sz w:val="24"/>
          <w:szCs w:val="24"/>
        </w:rPr>
        <w:t xml:space="preserve">Vi è in ciò un rovesciamento rispetto all'uso corrente, e va nominato. L'uso corrente impiega le carte per stabilire che cosa Moro pensasse e che cosa sapesse. Quest'opera stabilisce che per tale uso esse sono, in larga parte, inservibili; e che sono invece pienamente servibili per stabilire come fu condotta la prigionia — materia sulla quale sono raramente interrogate.</w:t>
      </w:r>
    </w:p>
    <w:p>
      <w:pPr>
        <w:spacing w:after="120" w:line="276"/>
        <w:jc w:val="both"/>
      </w:pPr>
      <w:r>
        <w:rPr>
          <w:rFonts w:ascii="Barlow Semi Condensed" w:cs="Barlow Semi Condensed" w:eastAsia="Barlow Semi Condensed" w:hAnsi="Barlow Semi Condensed"/>
          <w:b/>
          <w:bCs/>
          <w:sz w:val="24"/>
          <w:szCs w:val="24"/>
        </w:rPr>
        <w:t xml:space="preserve">La fonte è dunque ricca là dove non la si interroga e povera là dove la si interroga. È un esito frequente nel lavoro documentale, ed è quasi sempre il segno che la domanda posta alla fonte non era la domanda che quella fonte poteva soddisfare.</w:t>
      </w:r>
    </w:p>
    <w:p>
      <w:pPr>
        <w:pStyle w:val="Heading2"/>
        <w:spacing w:after="100" w:before="200"/>
      </w:pPr>
      <w:r>
        <w:rPr>
          <w:rFonts w:ascii="Barlow Semi Condensed" w:cs="Barlow Semi Condensed" w:eastAsia="Barlow Semi Condensed" w:hAnsi="Barlow Semi Condensed"/>
          <w:sz w:val="24"/>
          <w:szCs w:val="24"/>
        </w:rPr>
        <w:t xml:space="preserve">Capitolo quarantesimo — Bilancio della Fase Quarta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le carte sono materialmente autentiche.</w:t>
      </w:r>
    </w:p>
    <w:p>
      <w:pPr>
        <w:spacing w:after="120" w:line="276"/>
        <w:jc w:val="both"/>
      </w:pPr>
      <w:r>
        <w:rPr>
          <w:rFonts w:ascii="Barlow Semi Condensed" w:cs="Barlow Semi Condensed" w:eastAsia="Barlow Semi Condensed" w:hAnsi="Barlow Semi Condensed"/>
          <w:b/>
          <w:bCs/>
          <w:sz w:val="24"/>
          <w:szCs w:val="24"/>
        </w:rPr>
        <w:t xml:space="preserve">È accertato che esse si ripartiscono in tre classi — scritti recapitati, scritti non recapitati e rinvenuti dopo, materiale non epistolare — e che le classi hanno statuti probatori distinti.</w:t>
      </w:r>
    </w:p>
    <w:p>
      <w:pPr>
        <w:spacing w:after="120" w:line="276"/>
        <w:jc w:val="both"/>
      </w:pPr>
      <w:r>
        <w:rPr>
          <w:rFonts w:ascii="Barlow Semi Condensed" w:cs="Barlow Semi Condensed" w:eastAsia="Barlow Semi Condensed" w:hAnsi="Barlow Semi Condensed"/>
          <w:b/>
          <w:bCs/>
          <w:sz w:val="24"/>
          <w:szCs w:val="24"/>
        </w:rPr>
        <w:t xml:space="preserve">È accertato che la trasmissione fu selettiva, e che coloro i quali valutarono le lettere durante i cinquantacinque giorni operarono su un corpus selezionato da chi deteneva l'autore, ignorando quale parte fosse stata sottratta.</w:t>
      </w:r>
    </w:p>
    <w:p>
      <w:pPr>
        <w:spacing w:after="120" w:line="276"/>
        <w:jc w:val="both"/>
      </w:pPr>
      <w:r>
        <w:rPr>
          <w:rFonts w:ascii="Barlow Semi Condensed" w:cs="Barlow Semi Condensed" w:eastAsia="Barlow Semi Condensed" w:hAnsi="Barlow Semi Condensed"/>
          <w:b/>
          <w:bCs/>
          <w:sz w:val="24"/>
          <w:szCs w:val="24"/>
        </w:rPr>
        <w:t xml:space="preserve">È accertato che fu condotto sull'autore un interrogatorio strutturato e continuativo, e che il materiale non epistolare ne costituisce in misura considerevole la risposta.</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di Milano non fu esaustivo, e che l'incompletezza è dimostrata dal rinvenimento successivo di dodici anni dopo.</w:t>
      </w:r>
    </w:p>
    <w:p>
      <w:pPr>
        <w:pStyle w:val="Heading2"/>
        <w:spacing w:after="100" w:before="200"/>
      </w:pPr>
      <w:r>
        <w:rPr>
          <w:rFonts w:ascii="Barlow Semi Condensed" w:cs="Barlow Semi Condensed" w:eastAsia="Barlow Semi Condensed" w:hAnsi="Barlow Semi Condensed"/>
          <w:sz w:val="24"/>
          <w:szCs w:val="24"/>
        </w:rPr>
        <w:t xml:space="preserve">Ciò che è dubbio</w:t>
      </w:r>
    </w:p>
    <w:p>
      <w:pPr>
        <w:spacing w:after="120" w:line="276"/>
        <w:jc w:val="both"/>
      </w:pPr>
      <w:r>
        <w:rPr>
          <w:rFonts w:ascii="Barlow Semi Condensed" w:cs="Barlow Semi Condensed" w:eastAsia="Barlow Semi Condensed" w:hAnsi="Barlow Semi Condensed"/>
          <w:b/>
          <w:bCs/>
          <w:sz w:val="24"/>
          <w:szCs w:val="24"/>
        </w:rPr>
        <w:t xml:space="preserve">Resta in stato di dubbio la causa dell'incompletezza del primo rinvenimento, con tre spiegazioni aperte e condizione di scioglimento indicata.</w:t>
      </w:r>
    </w:p>
    <w:p>
      <w:pPr>
        <w:spacing w:after="120" w:line="276"/>
        <w:jc w:val="both"/>
      </w:pPr>
      <w:r>
        <w:rPr>
          <w:rFonts w:ascii="Barlow Semi Condensed" w:cs="Barlow Semi Condensed" w:eastAsia="Barlow Semi Condensed" w:hAnsi="Barlow Semi Condensed"/>
          <w:b/>
          <w:bCs/>
          <w:sz w:val="24"/>
          <w:szCs w:val="24"/>
        </w:rPr>
        <w:t xml:space="preserve">Resta in stato di dubbio la completezza del corpus complessivamente disponibile, che non può essere presunta.</w:t>
      </w:r>
    </w:p>
    <w:p>
      <w:pPr>
        <w:spacing w:after="120" w:line="276"/>
        <w:jc w:val="both"/>
      </w:pPr>
      <w:r>
        <w:rPr>
          <w:rFonts w:ascii="Barlow Semi Condensed" w:cs="Barlow Semi Condensed" w:eastAsia="Barlow Semi Condensed" w:hAnsi="Barlow Semi Condensed"/>
          <w:b/>
          <w:bCs/>
          <w:sz w:val="24"/>
          <w:szCs w:val="24"/>
        </w:rPr>
        <w:t xml:space="preserve">Resta in stato di dubbio, e vi resterà, ogni proposizione relativa a ciò che l'autore pensava e non scrisse.</w:t>
      </w:r>
    </w:p>
    <w:p>
      <w:pPr>
        <w:pStyle w:val="Heading2"/>
        <w:spacing w:after="100" w:before="200"/>
      </w:pPr>
      <w:r>
        <w:rPr>
          <w:rFonts w:ascii="Barlow Semi Condensed" w:cs="Barlow Semi Condensed" w:eastAsia="Barlow Semi Condensed" w:hAnsi="Barlow Semi Condensed"/>
          <w:sz w:val="24"/>
          <w:szCs w:val="24"/>
        </w:rPr>
        <w:t xml:space="preserve">Ciò che è escluso dall'uso</w:t>
      </w:r>
    </w:p>
    <w:p>
      <w:pPr>
        <w:spacing w:after="120" w:line="276"/>
        <w:jc w:val="both"/>
      </w:pPr>
      <w:r>
        <w:rPr>
          <w:rFonts w:ascii="Barlow Semi Condensed" w:cs="Barlow Semi Condensed" w:eastAsia="Barlow Semi Condensed" w:hAnsi="Barlow Semi Condensed"/>
          <w:b/>
          <w:bCs/>
          <w:sz w:val="24"/>
          <w:szCs w:val="24"/>
        </w:rPr>
        <w:t xml:space="preserve">Sono esclusi dall'uso probatorio diretto: gli enunciati del memoriale relativi a fatti esterni, in assenza di riscontro indipendente; gli enunciati di terzo grado delle lettere politiche, quanto alle convinzioni dell'autore; ogni argomentazione fondata sul silenzio delle carte.</w:t>
      </w:r>
    </w:p>
    <w:p>
      <w:pPr>
        <w:pStyle w:val="Heading2"/>
        <w:spacing w:after="100" w:before="200"/>
      </w:pPr>
      <w:r>
        <w:rPr>
          <w:rFonts w:ascii="Barlow Semi Condensed" w:cs="Barlow Semi Condensed" w:eastAsia="Barlow Semi Condensed" w:hAnsi="Barlow Semi Condensed"/>
          <w:sz w:val="24"/>
          <w:szCs w:val="24"/>
        </w:rPr>
        <w:t xml:space="preserve">Lo strumento istituito</w:t>
      </w:r>
    </w:p>
    <w:p>
      <w:pPr>
        <w:spacing w:after="120" w:line="276"/>
        <w:jc w:val="both"/>
      </w:pPr>
      <w:r>
        <w:rPr>
          <w:rFonts w:ascii="Barlow Semi Condensed" w:cs="Barlow Semi Condensed" w:eastAsia="Barlow Semi Condensed" w:hAnsi="Barlow Semi Condensed"/>
          <w:b/>
          <w:bCs/>
          <w:sz w:val="24"/>
          <w:szCs w:val="24"/>
        </w:rPr>
        <w:t xml:space="preserve">La Fase istituisce, per le Fasi successive e per le edizioni future, la scala del vincolo in quattro gradi, con la regola della sua applicazione per enunciato e non per documento, e con la dichiarazione dei suoi tre limiti.</w:t>
      </w:r>
    </w:p>
    <w:p>
      <w:pPr>
        <w:spacing w:after="120" w:line="276"/>
        <w:jc w:val="both"/>
      </w:pPr>
      <w:r>
        <w:rPr>
          <w:rFonts w:ascii="Barlow Semi Condensed" w:cs="Barlow Semi Condensed" w:eastAsia="Barlow Semi Condensed" w:hAnsi="Barlow Semi Condensed"/>
          <w:b/>
          <w:bCs/>
          <w:sz w:val="24"/>
          <w:szCs w:val="24"/>
        </w:rPr>
        <w:t xml:space="preserve">Se ne raccomanda l'applicazione, oltre che alle carte della prigionia, a ogni altra fonte dichiarativa resa in condizione di costrizione che l'opera dovesse incontrare, ivi comprese le dichiarazioni rese in stato di detenzione dalle persone coinvolte, delle quali le Fasi Terza e Sesta hanno segnalato il peso determinante nella ricostruzione.</w:t>
      </w:r>
    </w:p>
    <w:p>
      <w:pPr>
        <w:spacing w:after="120" w:line="276"/>
        <w:jc w:val="both"/>
      </w:pPr>
      <w:r>
        <w:rPr>
          <w:rFonts w:ascii="Barlow Semi Condensed" w:cs="Barlow Semi Condensed" w:eastAsia="Barlow Semi Condensed" w:hAnsi="Barlow Semi Condensed"/>
          <w:b/>
          <w:bCs/>
          <w:sz w:val="24"/>
          <w:szCs w:val="24"/>
        </w:rPr>
        <w:t xml:space="preserve">Quest'ultima raccomandazione ha una portata che va esplicitata. La Fase Terza ha accertato che una parte considerevole della ricostruzione del fatto poggia su dichiarazioni di persone coinvolte, rese in tempi successivi e con revisioni. Tali dichiarazioni sono anch'esse enunciati resi sotto vincolo, di natura diversa da quello della prigionia ma non per questo assente: chi dichiara mentre è sottoposto a procedimento, o mentre ne attende gli effetti, dichiara in condizione che incide sulla formulazione. La scala del vincolo va applicata anche a esse.</w:t>
      </w:r>
    </w:p>
    <w:p>
      <w:pPr>
        <w:pStyle w:val="Heading2"/>
        <w:spacing w:after="100" w:before="200"/>
      </w:pPr>
      <w:r>
        <w:rPr>
          <w:rFonts w:ascii="Barlow Semi Condensed" w:cs="Barlow Semi Condensed" w:eastAsia="Barlow Semi Condensed" w:hAnsi="Barlow Semi Condensed"/>
          <w:sz w:val="24"/>
          <w:szCs w:val="24"/>
        </w:rPr>
        <w:t xml:space="preserve">Ciò che si consegna</w:t>
      </w:r>
    </w:p>
    <w:p>
      <w:pPr>
        <w:spacing w:after="120" w:line="276"/>
        <w:jc w:val="both"/>
      </w:pPr>
      <w:r>
        <w:rPr>
          <w:rFonts w:ascii="Barlow Semi Condensed" w:cs="Barlow Semi Condensed" w:eastAsia="Barlow Semi Condensed" w:hAnsi="Barlow Semi Condensed"/>
          <w:b/>
          <w:bCs/>
          <w:sz w:val="24"/>
          <w:szCs w:val="24"/>
        </w:rPr>
        <w:t xml:space="preserve">Si consegna alla Fase Quinta l'accertamento del Capitolo trentottesimo: l'incompletezza del primo rinvenimento documentale, con il marcatore permanente e le tre spiegazioni aperte. È materia di omissione e vi sarà trattata.</w:t>
      </w:r>
    </w:p>
    <w:p>
      <w:pPr>
        <w:spacing w:after="120" w:line="276"/>
        <w:jc w:val="both"/>
      </w:pPr>
      <w:r>
        <w:rPr>
          <w:rFonts w:ascii="Barlow Semi Condensed" w:cs="Barlow Semi Condensed" w:eastAsia="Barlow Semi Condensed" w:hAnsi="Barlow Semi Condensed"/>
          <w:b/>
          <w:bCs/>
          <w:sz w:val="24"/>
          <w:szCs w:val="24"/>
        </w:rPr>
        <w:t xml:space="preserve">Si consegna alla Fase Sesta la raccomandazione di applicare la scala del vincolo alle dichiarazioni delle persone coinvolte, dalle quali dipende in misura preponderante l'attribuzione individuale delle condotte.</w:t>
      </w:r>
    </w:p>
    <w:p>
      <w:pPr>
        <w:spacing w:after="120" w:line="276"/>
        <w:jc w:val="both"/>
      </w:pPr>
      <w:r>
        <w:rPr>
          <w:rFonts w:ascii="Barlow Semi Condensed" w:cs="Barlow Semi Condensed" w:eastAsia="Barlow Semi Condensed" w:hAnsi="Barlow Semi Condensed"/>
          <w:b/>
          <w:bCs/>
          <w:sz w:val="24"/>
          <w:szCs w:val="24"/>
        </w:rPr>
        <w:t xml:space="preserve">Si consegna alla Fase Settima la questione delle volontà espresse dall'autore quanto alle proprie esequie, e la vicenda conseguente.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Quarta, le carte. Materia: statuto degli enunciati sotto vincolo, consistenza e vie di trasmissione, autenticità, scala del vincolo, classi documentali, memoriale, rinvenimenti.</w:t>
      </w:r>
    </w:p>
    <w:p>
      <w:pPr>
        <w:spacing w:after="120" w:line="276"/>
        <w:jc w:val="both"/>
      </w:pPr>
      <w:r>
        <w:rPr>
          <w:rFonts w:ascii="Barlow Semi Condensed" w:cs="Barlow Semi Condensed" w:eastAsia="Barlow Semi Condensed" w:hAnsi="Barlow Semi Condensed"/>
          <w:b/>
          <w:bCs/>
          <w:sz w:val="24"/>
          <w:szCs w:val="24"/>
        </w:rPr>
        <w:t xml:space="preserve">Esito: cinque acquisizioni in stato di sciolto; tre dubbi con condizioni di scioglimento indicate; tre classi di enunciati escluse dall'uso probatorio diretto; uno strumento istituito.</w:t>
      </w:r>
    </w:p>
    <w:p>
      <w:pPr>
        <w:spacing w:after="120" w:line="276"/>
        <w:jc w:val="both"/>
      </w:pPr>
      <w:r>
        <w:rPr>
          <w:rFonts w:ascii="Barlow Semi Condensed" w:cs="Barlow Semi Condensed" w:eastAsia="Barlow Semi Condensed" w:hAnsi="Barlow Semi Condensed"/>
          <w:b/>
          <w:bCs/>
          <w:sz w:val="24"/>
          <w:szCs w:val="24"/>
        </w:rPr>
        <w:t xml:space="preserve">Riga di esito nullo. La documentazione contemporanea della prima operazione di rinvenimento non è stata acquisita nella presente campagna, e la sua acquisizione è iscritta in tavola. Il silenzio su di essa non depone per alcuna delle tre spiegazioni.</w:t>
      </w:r>
    </w:p>
    <w:p>
      <w:pPr>
        <w:spacing w:after="120" w:line="276"/>
        <w:jc w:val="both"/>
      </w:pPr>
      <w:r>
        <w:rPr>
          <w:rFonts w:ascii="Barlow Semi Condensed" w:cs="Barlow Semi Condensed" w:eastAsia="Barlow Semi Condensed" w:hAnsi="Barlow Semi Condensed"/>
          <w:b/>
          <w:bCs/>
          <w:sz w:val="24"/>
          <w:szCs w:val="24"/>
        </w:rPr>
        <w:t xml:space="preserve">Riga di avvertenza. Quest'opera non ha riprodotto il testo delle carte, rinviando alle edizioni critiche. La scelta è motivata al Capitolo trentunesimo e non è di comodo: le carte di un uomo prigioniero sono state, in cinquant'anni, frammentate e contrapposte fino a consumarle, e un registro che le maneggiasse ancora una volta per estrarne frasi non renderebbe un servizio.</w:t>
      </w:r>
    </w:p>
    <w:p>
      <w:pPr>
        <w:pStyle w:val="Heading2"/>
        <w:spacing w:after="100" w:before="200"/>
      </w:pPr>
      <w:r>
        <w:rPr>
          <w:rFonts w:ascii="Barlow Semi Condensed" w:cs="Barlow Semi Condensed" w:eastAsia="Barlow Semi Condensed" w:hAnsi="Barlow Semi Condensed"/>
          <w:sz w:val="24"/>
          <w:szCs w:val="24"/>
        </w:rPr>
        <w:t xml:space="preserve">FASE QUINTA — LE OMISSIONI</w:t>
      </w:r>
    </w:p>
    <w:p>
      <w:pPr>
        <w:spacing w:after="120" w:line="276"/>
        <w:jc w:val="both"/>
      </w:pPr>
      <w:r>
        <w:rPr>
          <w:rFonts w:ascii="Barlow Semi Condensed" w:cs="Barlow Semi Condensed" w:eastAsia="Barlow Semi Condensed" w:hAnsi="Barlow Semi Condensed"/>
          <w:b/>
          <w:bCs/>
          <w:sz w:val="24"/>
          <w:szCs w:val="24"/>
        </w:rPr>
        <w:t xml:space="preserve">Dove si accerta, per ciascuna omissione, il dovere, l'inadempimento e la sua spiegabilita; e dove si stabiliscono le condizioni alle quali l'argomento dell'accumulo e valido.</w:t>
      </w:r>
    </w:p>
    <w:p>
      <w:pPr>
        <w:pStyle w:val="Heading2"/>
        <w:spacing w:after="100" w:before="200"/>
      </w:pPr>
      <w:r>
        <w:rPr>
          <w:rFonts w:ascii="Barlow Semi Condensed" w:cs="Barlow Semi Condensed" w:eastAsia="Barlow Semi Condensed" w:hAnsi="Barlow Semi Condensed"/>
          <w:sz w:val="24"/>
          <w:szCs w:val="24"/>
        </w:rPr>
        <w:t xml:space="preserve">Capitolo quarantunesimo — L'oggetto della Fase e il test in tre tempi</w:t>
      </w:r>
    </w:p>
    <w:p>
      <w:pPr>
        <w:spacing w:after="120" w:line="276"/>
        <w:jc w:val="both"/>
      </w:pPr>
      <w:r>
        <w:rPr>
          <w:rFonts w:ascii="Barlow Semi Condensed" w:cs="Barlow Semi Condensed" w:eastAsia="Barlow Semi Condensed" w:hAnsi="Barlow Semi Condensed"/>
          <w:b/>
          <w:bCs/>
          <w:sz w:val="24"/>
          <w:szCs w:val="24"/>
        </w:rPr>
        <w:t xml:space="preserve">Questa Fase ha per oggetto le omissioni: ciò che non fu fatto da chi doveva farlo, e ciò che fu fatto per impedire che altro si facesse.</w:t>
      </w:r>
    </w:p>
    <w:p>
      <w:pPr>
        <w:spacing w:after="120" w:line="276"/>
        <w:jc w:val="both"/>
      </w:pPr>
      <w:r>
        <w:rPr>
          <w:rFonts w:ascii="Barlow Semi Condensed" w:cs="Barlow Semi Condensed" w:eastAsia="Barlow Semi Condensed" w:hAnsi="Barlow Semi Condensed"/>
          <w:b/>
          <w:bCs/>
          <w:sz w:val="24"/>
          <w:szCs w:val="24"/>
        </w:rPr>
        <w:t xml:space="preserve">Ad essa tre Fasi hanno consegnato il proprio carico. La Fase Seconda vi ha indicato il terreno di massimo rendimento istruttorio, avendo accertato che le omissioni sono, fra le evidenze disponibili, quelle di maggiore potere discriminante fra i quattro generi di ipotesi. La Fase Terza vi ha consegnato quattro elementi materiali. La Fase Quarta vi ha consegnato l'accertamento sull'incompletezza del rinvenimento documentale.</w:t>
      </w:r>
    </w:p>
    <w:p>
      <w:pPr>
        <w:pStyle w:val="Heading2"/>
        <w:spacing w:after="100" w:before="200"/>
      </w:pPr>
      <w:r>
        <w:rPr>
          <w:rFonts w:ascii="Barlow Semi Condensed" w:cs="Barlow Semi Condensed" w:eastAsia="Barlow Semi Condensed" w:hAnsi="Barlow Semi Condensed"/>
          <w:sz w:val="24"/>
          <w:szCs w:val="24"/>
        </w:rPr>
        <w:t xml:space="preserve">Perché l'omissione è terreno diverso dagli altri</w:t>
      </w:r>
    </w:p>
    <w:p>
      <w:pPr>
        <w:spacing w:after="120" w:line="276"/>
        <w:jc w:val="both"/>
      </w:pPr>
      <w:r>
        <w:rPr>
          <w:rFonts w:ascii="Barlow Semi Condensed" w:cs="Barlow Semi Condensed" w:eastAsia="Barlow Semi Condensed" w:hAnsi="Barlow Semi Condensed"/>
          <w:b/>
          <w:bCs/>
          <w:sz w:val="24"/>
          <w:szCs w:val="24"/>
        </w:rPr>
        <w:t xml:space="preserve">L'omissione ha una proprietà che la rende, dal punto di vista probatorio, più trattabile del concorso attivo, e conviene dirla perché è la ragione per la quale questa Fase può produrre più delle precedenti.</w:t>
      </w:r>
    </w:p>
    <w:p>
      <w:pPr>
        <w:spacing w:after="120" w:line="276"/>
        <w:jc w:val="both"/>
      </w:pPr>
      <w:r>
        <w:rPr>
          <w:rFonts w:ascii="Barlow Semi Condensed" w:cs="Barlow Semi Condensed" w:eastAsia="Barlow Semi Condensed" w:hAnsi="Barlow Semi Condensed"/>
          <w:b/>
          <w:bCs/>
          <w:sz w:val="24"/>
          <w:szCs w:val="24"/>
        </w:rPr>
        <w:t xml:space="preserve">Il concorso attivo richiede la prova di una condotta positiva: che qualcuno fornì, informò, agevolò. Tale prova, in materia coperta da segreto e in ambienti che distruggono le proprie tracce, è quasi sempre irraggiungibile.</w:t>
      </w:r>
    </w:p>
    <w:p>
      <w:pPr>
        <w:spacing w:after="120" w:line="276"/>
        <w:jc w:val="both"/>
      </w:pPr>
      <w:r>
        <w:rPr>
          <w:rFonts w:ascii="Barlow Semi Condensed" w:cs="Barlow Semi Condensed" w:eastAsia="Barlow Semi Condensed" w:hAnsi="Barlow Semi Condensed"/>
          <w:b/>
          <w:bCs/>
          <w:sz w:val="24"/>
          <w:szCs w:val="24"/>
        </w:rPr>
        <w:t xml:space="preserve">L'omissione richiede una prova di natura diversa. Essa non richiede di dimostrare che qualcuno fece: richiede di dimostrare che qualcuno non fece ciò che doveva. E il dovere, a differenza della condotta clandestina, è documentato: esso risulta da norme, da ordini di servizio, da prassi accertate, da atti di organizzazione. Le omissioni lasciano tracce negli atti d'ufficio, perché l'ufficio produce carte anche quando non agisce.</w:t>
      </w:r>
    </w:p>
    <w:p>
      <w:pPr>
        <w:spacing w:after="120" w:line="276"/>
        <w:jc w:val="both"/>
      </w:pPr>
      <w:r>
        <w:rPr>
          <w:rFonts w:ascii="Barlow Semi Condensed" w:cs="Barlow Semi Condensed" w:eastAsia="Barlow Semi Condensed" w:hAnsi="Barlow Semi Condensed"/>
          <w:b/>
          <w:bCs/>
          <w:sz w:val="24"/>
          <w:szCs w:val="24"/>
        </w:rPr>
        <w:t xml:space="preserve">Questa è la ragione per la quale il lavoro rende qui e non altrove. Non è che le omissioni siano più gravi del concorso: è che sono più documentabili.</w:t>
      </w:r>
    </w:p>
    <w:p>
      <w:pPr>
        <w:pStyle w:val="Heading2"/>
        <w:spacing w:after="100" w:before="200"/>
      </w:pPr>
      <w:r>
        <w:rPr>
          <w:rFonts w:ascii="Barlow Semi Condensed" w:cs="Barlow Semi Condensed" w:eastAsia="Barlow Semi Condensed" w:hAnsi="Barlow Semi Condensed"/>
          <w:sz w:val="24"/>
          <w:szCs w:val="24"/>
        </w:rPr>
        <w:t xml:space="preserve">Il test in tre tempi</w:t>
      </w:r>
    </w:p>
    <w:p>
      <w:pPr>
        <w:spacing w:after="120" w:line="276"/>
        <w:jc w:val="both"/>
      </w:pPr>
      <w:r>
        <w:rPr>
          <w:rFonts w:ascii="Barlow Semi Condensed" w:cs="Barlow Semi Condensed" w:eastAsia="Barlow Semi Condensed" w:hAnsi="Barlow Semi Condensed"/>
          <w:b/>
          <w:bCs/>
          <w:sz w:val="24"/>
          <w:szCs w:val="24"/>
        </w:rPr>
        <w:t xml:space="preserve">Ogni omissione è esaminata mediante un test in tre tempi, e nessun tempo si salta.</w:t>
      </w:r>
    </w:p>
    <w:p>
      <w:pPr>
        <w:spacing w:after="120" w:line="276"/>
        <w:jc w:val="both"/>
      </w:pPr>
      <w:r>
        <w:rPr>
          <w:rFonts w:ascii="Barlow Semi Condensed" w:cs="Barlow Semi Condensed" w:eastAsia="Barlow Semi Condensed" w:hAnsi="Barlow Semi Condensed"/>
          <w:b/>
          <w:bCs/>
          <w:sz w:val="24"/>
          <w:szCs w:val="24"/>
        </w:rPr>
        <w:t xml:space="preserve">Primo tempo: l'accertamento del dovere. Si stabilisce se esistesse un obbligo di agire, quale fosse la sua fonte, su chi gravasse e in quale momento. Se il dovere non è accertato, non vi è omissione ma soltanto un fatto che non accadde, e l'esame si arresta.</w:t>
      </w:r>
    </w:p>
    <w:p>
      <w:pPr>
        <w:spacing w:after="120" w:line="276"/>
        <w:jc w:val="both"/>
      </w:pPr>
      <w:r>
        <w:rPr>
          <w:rFonts w:ascii="Barlow Semi Condensed" w:cs="Barlow Semi Condensed" w:eastAsia="Barlow Semi Condensed" w:hAnsi="Barlow Semi Condensed"/>
          <w:b/>
          <w:bCs/>
          <w:sz w:val="24"/>
          <w:szCs w:val="24"/>
        </w:rPr>
        <w:t xml:space="preserve">Secondo tempo: l'accertamento dell'inadempimento. Si stabilisce se l'atto dovuto fu compiuto, se fu compiuto in modo inidoneo, o se non fu compiuto affatto. Anche qui l'accertamento è documentale: si esamina che cosa risulti dagli atti, e non che cosa sarebbe stato ragionevole fare.</w:t>
      </w:r>
    </w:p>
    <w:p>
      <w:pPr>
        <w:spacing w:after="120" w:line="276"/>
        <w:jc w:val="both"/>
      </w:pPr>
      <w:r>
        <w:rPr>
          <w:rFonts w:ascii="Barlow Semi Condensed" w:cs="Barlow Semi Condensed" w:eastAsia="Barlow Semi Condensed" w:hAnsi="Barlow Semi Condensed"/>
          <w:b/>
          <w:bCs/>
          <w:sz w:val="24"/>
          <w:szCs w:val="24"/>
        </w:rPr>
        <w:t xml:space="preserve">Terzo tempo: l'accertamento della spiegabilità. Si stabilisce se l'inadempimento sia spiegabile con l'errore, con l'inefficienza, con il difetto di coordinamento, ovvero se tali spiegazioni risultino insufficienti. Questo terzo tempo è il più delicato e sarà oggetto del Capitolo quarantasettesimo, che ne espone il problema centrale.</w:t>
      </w:r>
    </w:p>
    <w:p>
      <w:pPr>
        <w:pStyle w:val="Heading2"/>
        <w:spacing w:after="100" w:before="200"/>
      </w:pPr>
      <w:r>
        <w:rPr>
          <w:rFonts w:ascii="Barlow Semi Condensed" w:cs="Barlow Semi Condensed" w:eastAsia="Barlow Semi Condensed" w:hAnsi="Barlow Semi Condensed"/>
          <w:sz w:val="24"/>
          <w:szCs w:val="24"/>
        </w:rPr>
        <w:t xml:space="preserve">Ciò che il test può e non può stabilire</w:t>
      </w:r>
    </w:p>
    <w:p>
      <w:pPr>
        <w:spacing w:after="120" w:line="276"/>
        <w:jc w:val="both"/>
      </w:pPr>
      <w:r>
        <w:rPr>
          <w:rFonts w:ascii="Barlow Semi Condensed" w:cs="Barlow Semi Condensed" w:eastAsia="Barlow Semi Condensed" w:hAnsi="Barlow Semi Condensed"/>
          <w:b/>
          <w:bCs/>
          <w:sz w:val="24"/>
          <w:szCs w:val="24"/>
        </w:rPr>
        <w:t xml:space="preserve">Occorre dichiarare subito il limite del test, perché esso è quello che l'intera Fase deve rispettare.</w:t>
      </w:r>
    </w:p>
    <w:p>
      <w:pPr>
        <w:spacing w:after="120" w:line="276"/>
        <w:jc w:val="both"/>
      </w:pPr>
      <w:r>
        <w:rPr>
          <w:rFonts w:ascii="Barlow Semi Condensed" w:cs="Barlow Semi Condensed" w:eastAsia="Barlow Semi Condensed" w:hAnsi="Barlow Semi Condensed"/>
          <w:b/>
          <w:bCs/>
          <w:sz w:val="24"/>
          <w:szCs w:val="24"/>
        </w:rPr>
        <w:t xml:space="preserve">Il test può stabilire che un dovere esisteva, che non fu adempiuto, e che l'inadempimento non è spiegabile con l'errore. Questo è il massimo che esso produce, ed è già molto.</w:t>
      </w:r>
    </w:p>
    <w:p>
      <w:pPr>
        <w:spacing w:after="120" w:line="276"/>
        <w:jc w:val="both"/>
      </w:pPr>
      <w:r>
        <w:rPr>
          <w:rFonts w:ascii="Barlow Semi Condensed" w:cs="Barlow Semi Condensed" w:eastAsia="Barlow Semi Condensed" w:hAnsi="Barlow Semi Condensed"/>
          <w:b/>
          <w:bCs/>
          <w:sz w:val="24"/>
          <w:szCs w:val="24"/>
        </w:rPr>
        <w:t xml:space="preserve">Il test non può stabilire perché l'inadempimento avvenne, né a beneficio di chi, né su istruzione di chi. Un inadempimento non spiegabile con l'errore è un inadempimento non spiegabile con l'errore: non è, per ciò solo, un inadempimento deliberato in favore dei rapitori.</w:t>
      </w:r>
    </w:p>
    <w:p>
      <w:pPr>
        <w:spacing w:after="120" w:line="276"/>
        <w:jc w:val="both"/>
      </w:pPr>
      <w:r>
        <w:rPr>
          <w:rFonts w:ascii="Barlow Semi Condensed" w:cs="Barlow Semi Condensed" w:eastAsia="Barlow Semi Condensed" w:hAnsi="Barlow Semi Condensed"/>
          <w:b/>
          <w:bCs/>
          <w:sz w:val="24"/>
          <w:szCs w:val="24"/>
        </w:rPr>
        <w:t xml:space="preserve">Il passaggio dall'inspiegabilità alla deliberazione, e dalla deliberazione alla finalità, richiede prove ulteriori e di natura diversa. Il Capitolo quarantottesimo indicherà quali.</w:t>
      </w:r>
    </w:p>
    <w:p>
      <w:pPr>
        <w:pStyle w:val="Heading2"/>
        <w:spacing w:after="100" w:before="200"/>
      </w:pPr>
      <w:r>
        <w:rPr>
          <w:rFonts w:ascii="Barlow Semi Condensed" w:cs="Barlow Semi Condensed" w:eastAsia="Barlow Semi Condensed" w:hAnsi="Barlow Semi Condensed"/>
          <w:sz w:val="24"/>
          <w:szCs w:val="24"/>
        </w:rPr>
        <w:t xml:space="preserve">Una avvertenza sulle persone</w:t>
      </w:r>
    </w:p>
    <w:p>
      <w:pPr>
        <w:spacing w:after="120" w:line="276"/>
        <w:jc w:val="both"/>
      </w:pPr>
      <w:r>
        <w:rPr>
          <w:rFonts w:ascii="Barlow Semi Condensed" w:cs="Barlow Semi Condensed" w:eastAsia="Barlow Semi Condensed" w:hAnsi="Barlow Semi Condensed"/>
          <w:b/>
          <w:bCs/>
          <w:sz w:val="24"/>
          <w:szCs w:val="24"/>
        </w:rPr>
        <w:t xml:space="preserve">Si applica in questa Fase, con particolare rigore, la disciplina generale dell'opera sulla designazione.</w:t>
      </w:r>
    </w:p>
    <w:p>
      <w:pPr>
        <w:spacing w:after="120" w:line="276"/>
        <w:jc w:val="both"/>
      </w:pPr>
      <w:r>
        <w:rPr>
          <w:rFonts w:ascii="Barlow Semi Condensed" w:cs="Barlow Semi Condensed" w:eastAsia="Barlow Semi Condensed" w:hAnsi="Barlow Semi Condensed"/>
          <w:b/>
          <w:bCs/>
          <w:sz w:val="24"/>
          <w:szCs w:val="24"/>
        </w:rPr>
        <w:t xml:space="preserve">Le omissioni sono attribuite a funzioni e non a persone. La ragione, già esposta al Capitolo quinto, vale qui al massimo grado: ciò che l'atto documenta è che quella funzione non compì quell'atto. Che la persona fisica che allora la esercitava sia responsabile di ciò che l'omissione significa è proposizione ulteriore, che domanda prova ulteriore e sede propria, la quale non è questa.</w:t>
      </w:r>
    </w:p>
    <w:p>
      <w:pPr>
        <w:spacing w:after="120" w:line="276"/>
        <w:jc w:val="both"/>
      </w:pPr>
      <w:r>
        <w:rPr>
          <w:rFonts w:ascii="Barlow Semi Condensed" w:cs="Barlow Semi Condensed" w:eastAsia="Barlow Semi Condensed" w:hAnsi="Barlow Semi Condensed"/>
          <w:b/>
          <w:bCs/>
          <w:sz w:val="24"/>
          <w:szCs w:val="24"/>
        </w:rPr>
        <w:t xml:space="preserve">Si aggiunga una considerazione di misura. Molte delle persone che esercitavano quelle funzioni sono defunte e non possono replicare; altre hanno reso dichiarazioni che sono agli atti. Un registro che attribuisse loro nominativamente condotte non accertate compirebbe, in nome dell'accertamento, un atto che l'accertamento non autorizza.</w:t>
      </w:r>
    </w:p>
    <w:p>
      <w:pPr>
        <w:pStyle w:val="Heading2"/>
        <w:spacing w:after="100" w:before="200"/>
      </w:pPr>
      <w:r>
        <w:rPr>
          <w:rFonts w:ascii="Barlow Semi Condensed" w:cs="Barlow Semi Condensed" w:eastAsia="Barlow Semi Condensed" w:hAnsi="Barlow Semi Condensed"/>
          <w:sz w:val="24"/>
          <w:szCs w:val="24"/>
        </w:rPr>
        <w:t xml:space="preserve">Capitolo quarantaduesimo — La tipologia delle omissioni</w:t>
      </w:r>
    </w:p>
    <w:p>
      <w:pPr>
        <w:spacing w:after="120" w:line="276"/>
        <w:jc w:val="both"/>
      </w:pPr>
      <w:r>
        <w:rPr>
          <w:rFonts w:ascii="Barlow Semi Condensed" w:cs="Barlow Semi Condensed" w:eastAsia="Barlow Semi Condensed" w:hAnsi="Barlow Semi Condensed"/>
          <w:b/>
          <w:bCs/>
          <w:sz w:val="24"/>
          <w:szCs w:val="24"/>
        </w:rPr>
        <w:t xml:space="preserve">Le omissioni rilevanti in questa materia si ripartiscono in quattro tipologie, distinte per struttura e per prova richiesta. La distinzione non è classificatoria per gusto: ciascuna tipologia richiede un test diverso, e confonderle produce errori di valutazione.</w:t>
      </w:r>
    </w:p>
    <w:p>
      <w:pPr>
        <w:pStyle w:val="Heading2"/>
        <w:spacing w:after="100" w:before="200"/>
      </w:pPr>
      <w:r>
        <w:rPr>
          <w:rFonts w:ascii="Barlow Semi Condensed" w:cs="Barlow Semi Condensed" w:eastAsia="Barlow Semi Condensed" w:hAnsi="Barlow Semi Condensed"/>
          <w:sz w:val="24"/>
          <w:szCs w:val="24"/>
        </w:rPr>
        <w:t xml:space="preserve">Prima tipologia: l'omissione di attivazione</w:t>
      </w:r>
    </w:p>
    <w:p>
      <w:pPr>
        <w:spacing w:after="120" w:line="276"/>
        <w:jc w:val="both"/>
      </w:pPr>
      <w:r>
        <w:rPr>
          <w:rFonts w:ascii="Barlow Semi Condensed" w:cs="Barlow Semi Condensed" w:eastAsia="Barlow Semi Condensed" w:hAnsi="Barlow Semi Condensed"/>
          <w:b/>
          <w:bCs/>
          <w:sz w:val="24"/>
          <w:szCs w:val="24"/>
        </w:rPr>
        <w:t xml:space="preserve">Vi appartiene il caso in cui un obbligo di agire sorge e non è seguito da alcuna condotta.</w:t>
      </w:r>
    </w:p>
    <w:p>
      <w:pPr>
        <w:spacing w:after="120" w:line="276"/>
        <w:jc w:val="both"/>
      </w:pPr>
      <w:r>
        <w:rPr>
          <w:rFonts w:ascii="Barlow Semi Condensed" w:cs="Barlow Semi Condensed" w:eastAsia="Barlow Semi Condensed" w:hAnsi="Barlow Semi Condensed"/>
          <w:b/>
          <w:bCs/>
          <w:sz w:val="24"/>
          <w:szCs w:val="24"/>
        </w:rPr>
        <w:t xml:space="preserve">La prova richiesta è duplice: che l'obbligo sia sorto, il che presuppone che l'informazione attivante sia pervenuta; e che nulla sia stato fatto.</w:t>
      </w:r>
    </w:p>
    <w:p>
      <w:pPr>
        <w:spacing w:after="120" w:line="276"/>
        <w:jc w:val="both"/>
      </w:pPr>
      <w:r>
        <w:rPr>
          <w:rFonts w:ascii="Barlow Semi Condensed" w:cs="Barlow Semi Condensed" w:eastAsia="Barlow Semi Condensed" w:hAnsi="Barlow Semi Condensed"/>
          <w:b/>
          <w:bCs/>
          <w:sz w:val="24"/>
          <w:szCs w:val="24"/>
        </w:rPr>
        <w:t xml:space="preserve">Il punto critico di questa tipologia è il primo. Un obbligo di agire sorge dalla conoscenza, e la conoscenza va provata. Chi sostenga una omissione di attivazione deve anzitutto provare che l'informazione pervenne, a chi, e quando; e tale prova è, in materia informativa, spesso la parte più difficile.</w:t>
      </w:r>
    </w:p>
    <w:p>
      <w:pPr>
        <w:pStyle w:val="Heading2"/>
        <w:spacing w:after="100" w:before="200"/>
      </w:pPr>
      <w:r>
        <w:rPr>
          <w:rFonts w:ascii="Barlow Semi Condensed" w:cs="Barlow Semi Condensed" w:eastAsia="Barlow Semi Condensed" w:hAnsi="Barlow Semi Condensed"/>
          <w:sz w:val="24"/>
          <w:szCs w:val="24"/>
        </w:rPr>
        <w:t xml:space="preserve">Seconda tipologia: l'omissione di adeguatezza</w:t>
      </w:r>
    </w:p>
    <w:p>
      <w:pPr>
        <w:spacing w:after="120" w:line="276"/>
        <w:jc w:val="both"/>
      </w:pPr>
      <w:r>
        <w:rPr>
          <w:rFonts w:ascii="Barlow Semi Condensed" w:cs="Barlow Semi Condensed" w:eastAsia="Barlow Semi Condensed" w:hAnsi="Barlow Semi Condensed"/>
          <w:b/>
          <w:bCs/>
          <w:sz w:val="24"/>
          <w:szCs w:val="24"/>
        </w:rPr>
        <w:t xml:space="preserve">Vi appartiene il caso in cui una condotta fu tenuta, ma con modalità inidonee allo scopo.</w:t>
      </w:r>
    </w:p>
    <w:p>
      <w:pPr>
        <w:spacing w:after="120" w:line="276"/>
        <w:jc w:val="both"/>
      </w:pPr>
      <w:r>
        <w:rPr>
          <w:rFonts w:ascii="Barlow Semi Condensed" w:cs="Barlow Semi Condensed" w:eastAsia="Barlow Semi Condensed" w:hAnsi="Barlow Semi Condensed"/>
          <w:b/>
          <w:bCs/>
          <w:sz w:val="24"/>
          <w:szCs w:val="24"/>
        </w:rPr>
        <w:t xml:space="preserve">La prova richiesta è più impegnativa e più insidiosa. Non basta constatare che la condotta non produsse l'esito: occorre stabilire che le modalità impiegate erano inidonee secondo criteri conoscibili all'epoca, e non secondo criteri formatisi dopo.</w:t>
      </w:r>
    </w:p>
    <w:p>
      <w:pPr>
        <w:spacing w:after="120" w:line="276"/>
        <w:jc w:val="both"/>
      </w:pPr>
      <w:r>
        <w:rPr>
          <w:rFonts w:ascii="Barlow Semi Condensed" w:cs="Barlow Semi Condensed" w:eastAsia="Barlow Semi Condensed" w:hAnsi="Barlow Semi Condensed"/>
          <w:b/>
          <w:bCs/>
          <w:sz w:val="24"/>
          <w:szCs w:val="24"/>
        </w:rPr>
        <w:t xml:space="preserve">Il punto critico è il pericolo del giudizio a posteriori. Sapendo dove si trovava ciò che si cercava, ogni ricerca che non lo trovò appare inadeguata. Ma l'inadeguatezza va misurata sulle conoscenze disponibili al momento, e non sull'esito.</w:t>
      </w:r>
    </w:p>
    <w:p>
      <w:pPr>
        <w:pStyle w:val="Heading2"/>
        <w:spacing w:after="100" w:before="200"/>
      </w:pPr>
      <w:r>
        <w:rPr>
          <w:rFonts w:ascii="Barlow Semi Condensed" w:cs="Barlow Semi Condensed" w:eastAsia="Barlow Semi Condensed" w:hAnsi="Barlow Semi Condensed"/>
          <w:sz w:val="24"/>
          <w:szCs w:val="24"/>
        </w:rPr>
        <w:t xml:space="preserve">Terza tipologia: l'omissione di trasmissione</w:t>
      </w:r>
    </w:p>
    <w:p>
      <w:pPr>
        <w:spacing w:after="120" w:line="276"/>
        <w:jc w:val="both"/>
      </w:pPr>
      <w:r>
        <w:rPr>
          <w:rFonts w:ascii="Barlow Semi Condensed" w:cs="Barlow Semi Condensed" w:eastAsia="Barlow Semi Condensed" w:hAnsi="Barlow Semi Condensed"/>
          <w:b/>
          <w:bCs/>
          <w:sz w:val="24"/>
          <w:szCs w:val="24"/>
        </w:rPr>
        <w:t xml:space="preserve">Vi appartiene il caso in cui una informazione fu acquisita da un ufficio e non fu trasmessa a chi doveva riceverla.</w:t>
      </w:r>
    </w:p>
    <w:p>
      <w:pPr>
        <w:spacing w:after="120" w:line="276"/>
        <w:jc w:val="both"/>
      </w:pPr>
      <w:r>
        <w:rPr>
          <w:rFonts w:ascii="Barlow Semi Condensed" w:cs="Barlow Semi Condensed" w:eastAsia="Barlow Semi Condensed" w:hAnsi="Barlow Semi Condensed"/>
          <w:b/>
          <w:bCs/>
          <w:sz w:val="24"/>
          <w:szCs w:val="24"/>
        </w:rPr>
        <w:t xml:space="preserve">È la tipologia più documentabile delle quattro, perché la trasmissione produce carte e la sua assenza è rilevabile per confronto: si accerta che l'informazione entrò in un ufficio e non si rinviene l'atto di trasmissione.</w:t>
      </w:r>
    </w:p>
    <w:p>
      <w:pPr>
        <w:spacing w:after="120" w:line="276"/>
        <w:jc w:val="both"/>
      </w:pPr>
      <w:r>
        <w:rPr>
          <w:rFonts w:ascii="Barlow Semi Condensed" w:cs="Barlow Semi Condensed" w:eastAsia="Barlow Semi Condensed" w:hAnsi="Barlow Semi Condensed"/>
          <w:b/>
          <w:bCs/>
          <w:sz w:val="24"/>
          <w:szCs w:val="24"/>
        </w:rPr>
        <w:t xml:space="preserve">Il punto critico è la ricostruzione dei flussi obbligati: occorre stabilire che la trasmissione fosse dovuta, e non semplicemente opportuna.</w:t>
      </w:r>
    </w:p>
    <w:p>
      <w:pPr>
        <w:pStyle w:val="Heading2"/>
        <w:spacing w:after="100" w:before="200"/>
      </w:pPr>
      <w:r>
        <w:rPr>
          <w:rFonts w:ascii="Barlow Semi Condensed" w:cs="Barlow Semi Condensed" w:eastAsia="Barlow Semi Condensed" w:hAnsi="Barlow Semi Condensed"/>
          <w:sz w:val="24"/>
          <w:szCs w:val="24"/>
        </w:rPr>
        <w:t xml:space="preserve">Quarta tipologia: la produzione attiva di ostacolo</w:t>
      </w:r>
    </w:p>
    <w:p>
      <w:pPr>
        <w:spacing w:after="120" w:line="276"/>
        <w:jc w:val="both"/>
      </w:pPr>
      <w:r>
        <w:rPr>
          <w:rFonts w:ascii="Barlow Semi Condensed" w:cs="Barlow Semi Condensed" w:eastAsia="Barlow Semi Condensed" w:hAnsi="Barlow Semi Condensed"/>
          <w:b/>
          <w:bCs/>
          <w:sz w:val="24"/>
          <w:szCs w:val="24"/>
        </w:rPr>
        <w:t xml:space="preserve">Vi appartiene il caso in cui non si ha una omissione in senso proprio ma una condotta positiva diretta a impedire o deviare l'accertamento: produzione di falso, distruzione di elementi, immissione di piste infondate.</w:t>
      </w:r>
    </w:p>
    <w:p>
      <w:pPr>
        <w:spacing w:after="120" w:line="276"/>
        <w:jc w:val="both"/>
      </w:pPr>
      <w:r>
        <w:rPr>
          <w:rFonts w:ascii="Barlow Semi Condensed" w:cs="Barlow Semi Condensed" w:eastAsia="Barlow Semi Condensed" w:hAnsi="Barlow Semi Condensed"/>
          <w:b/>
          <w:bCs/>
          <w:sz w:val="24"/>
          <w:szCs w:val="24"/>
        </w:rPr>
        <w:t xml:space="preserve">Essa è compresa in questa Fase perché il suo effetto è omissivo — impedisce che si accerti — sebbene la sua struttura sia commissiva.</w:t>
      </w:r>
    </w:p>
    <w:p>
      <w:pPr>
        <w:spacing w:after="120" w:line="276"/>
        <w:jc w:val="both"/>
      </w:pPr>
      <w:r>
        <w:rPr>
          <w:rFonts w:ascii="Barlow Semi Condensed" w:cs="Barlow Semi Condensed" w:eastAsia="Barlow Semi Condensed" w:hAnsi="Barlow Semi Condensed"/>
          <w:b/>
          <w:bCs/>
          <w:sz w:val="24"/>
          <w:szCs w:val="24"/>
        </w:rPr>
        <w:t xml:space="preserve">Il punto critico è che qui la prova richiesta è quella del concorso attivo, con tutte le sue difficoltà; ma con una differenza favorevole: l'atto positivo lascia un oggetto. Un documento falso esiste, e la sua esistenza è essa stessa un fatto accertabile, ancorché il suo autore resti ignoto.</w:t>
      </w:r>
    </w:p>
    <w:p>
      <w:pPr>
        <w:pStyle w:val="Heading2"/>
        <w:spacing w:after="100" w:before="200"/>
      </w:pPr>
      <w:r>
        <w:rPr>
          <w:rFonts w:ascii="Barlow Semi Condensed" w:cs="Barlow Semi Condensed" w:eastAsia="Barlow Semi Condensed" w:hAnsi="Barlow Semi Condensed"/>
          <w:sz w:val="24"/>
          <w:szCs w:val="24"/>
        </w:rPr>
        <w:t xml:space="preserve">Le quattro tipologie e i quattro elementi consegnati</w:t>
      </w:r>
    </w:p>
    <w:p>
      <w:pPr>
        <w:spacing w:after="120" w:line="276"/>
        <w:jc w:val="both"/>
      </w:pPr>
      <w:r>
        <w:rPr>
          <w:rFonts w:ascii="Barlow Semi Condensed" w:cs="Barlow Semi Condensed" w:eastAsia="Barlow Semi Condensed" w:hAnsi="Barlow Semi Condensed"/>
          <w:b/>
          <w:bCs/>
          <w:sz w:val="24"/>
          <w:szCs w:val="24"/>
        </w:rPr>
        <w:t xml:space="preserve">Gli elementi consegnati a questa Fase si distribuiscono così.</w:t>
      </w:r>
    </w:p>
    <w:p>
      <w:pPr>
        <w:spacing w:after="120" w:line="276"/>
        <w:jc w:val="both"/>
      </w:pPr>
      <w:r>
        <w:rPr>
          <w:rFonts w:ascii="Barlow Semi Condensed" w:cs="Barlow Semi Condensed" w:eastAsia="Barlow Semi Condensed" w:hAnsi="Barlow Semi Condensed"/>
          <w:b/>
          <w:bCs/>
          <w:sz w:val="24"/>
          <w:szCs w:val="24"/>
        </w:rPr>
        <w:t xml:space="preserve">Le due circostanze di via Gradoli appartengono, rispettivamente, alla seconda e alla terza tipologia, e sono trattate nel Capitolo quarantatreesimo.</w:t>
      </w:r>
    </w:p>
    <w:p>
      <w:pPr>
        <w:spacing w:after="120" w:line="276"/>
        <w:jc w:val="both"/>
      </w:pPr>
      <w:r>
        <w:rPr>
          <w:rFonts w:ascii="Barlow Semi Condensed" w:cs="Barlow Semi Condensed" w:eastAsia="Barlow Semi Condensed" w:hAnsi="Barlow Semi Condensed"/>
          <w:b/>
          <w:bCs/>
          <w:sz w:val="24"/>
          <w:szCs w:val="24"/>
        </w:rPr>
        <w:t xml:space="preserve">Il comunicato apocrifo appartiene alla quarta ed è trattato nel Capitolo quarantaquattresimo.</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appartiene alla seconda ed è trattato nel Capitolo quarantacinquesimo.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documentale appartiene alla seconda o alla quarta secondo quale delle tre spiegazioni aperte risulti fondata, ed è trattata nel Capitolo quarantaseiesimo.</w:t>
      </w:r>
    </w:p>
    <w:p>
      <w:pPr>
        <w:pStyle w:val="Heading2"/>
        <w:spacing w:after="100" w:before="200"/>
      </w:pPr>
      <w:r>
        <w:rPr>
          <w:rFonts w:ascii="Barlow Semi Condensed" w:cs="Barlow Semi Condensed" w:eastAsia="Barlow Semi Condensed" w:hAnsi="Barlow Semi Condensed"/>
          <w:sz w:val="24"/>
          <w:szCs w:val="24"/>
        </w:rPr>
        <w:t xml:space="preserve">Capitolo quarantatreesimo — Le due circostanze di via Gradoli</w:t>
      </w:r>
    </w:p>
    <w:p>
      <w:pPr>
        <w:pStyle w:val="Heading2"/>
        <w:spacing w:after="100" w:before="200"/>
      </w:pPr>
      <w:r>
        <w:rPr>
          <w:rFonts w:ascii="Barlow Semi Condensed" w:cs="Barlow Semi Condensed" w:eastAsia="Barlow Semi Condensed" w:hAnsi="Barlow Semi Condensed"/>
          <w:sz w:val="24"/>
          <w:szCs w:val="24"/>
        </w:rPr>
        <w:t xml:space="preserve">Il fatto centrale</w:t>
      </w:r>
    </w:p>
    <w:p>
      <w:pPr>
        <w:spacing w:after="120" w:line="276"/>
        <w:jc w:val="both"/>
      </w:pPr>
      <w:r>
        <w:rPr>
          <w:rFonts w:ascii="Barlow Semi Condensed" w:cs="Barlow Semi Condensed" w:eastAsia="Barlow Semi Condensed" w:hAnsi="Barlow Semi Condensed"/>
          <w:b/>
          <w:bCs/>
          <w:sz w:val="24"/>
          <w:szCs w:val="24"/>
        </w:rPr>
        <w:t xml:space="preserve">È accertato che un appartamento sito in via Gradoli, a Roma, era una base dell'organizzazione; che fu individuato nella seconda metà del periodo di prigionia, quando il prigioniero era ancora in vita; e che l'individuazione avvenne per una circostanza fortuita — una perdita d'acqua che rese necessario l'accesso — e non per attività di indagine.</w:t>
      </w:r>
    </w:p>
    <w:p>
      <w:pPr>
        <w:spacing w:after="120" w:line="276"/>
        <w:jc w:val="both"/>
      </w:pPr>
      <w:r>
        <w:rPr>
          <w:rFonts w:ascii="Barlow Semi Condensed" w:cs="Barlow Semi Condensed" w:eastAsia="Barlow Semi Condensed" w:hAnsi="Barlow Semi Condensed"/>
          <w:b/>
          <w:bCs/>
          <w:sz w:val="24"/>
          <w:szCs w:val="24"/>
        </w:rPr>
        <w:t xml:space="preserve">Attorno a questo fatto si collocano due circostanze, che vanno esaminate separatamente perché appartengono a tipologie diverse e richiedono test diversi.</w:t>
      </w:r>
    </w:p>
    <w:p>
      <w:pPr>
        <w:pStyle w:val="Heading2"/>
        <w:spacing w:after="100" w:before="200"/>
      </w:pPr>
      <w:r>
        <w:rPr>
          <w:rFonts w:ascii="Barlow Semi Condensed" w:cs="Barlow Semi Condensed" w:eastAsia="Barlow Semi Condensed" w:hAnsi="Barlow Semi Condensed"/>
          <w:sz w:val="24"/>
          <w:szCs w:val="24"/>
        </w:rPr>
        <w:t xml:space="preserve">Prima circostanza: il controllo nella via</w:t>
      </w:r>
    </w:p>
    <w:p>
      <w:pPr>
        <w:spacing w:after="120" w:line="276"/>
        <w:jc w:val="both"/>
      </w:pPr>
      <w:r>
        <w:rPr>
          <w:rFonts w:ascii="Barlow Semi Condensed" w:cs="Barlow Semi Condensed" w:eastAsia="Barlow Semi Condensed" w:hAnsi="Barlow Semi Condensed"/>
          <w:b/>
          <w:bCs/>
          <w:sz w:val="24"/>
          <w:szCs w:val="24"/>
        </w:rPr>
        <w:t xml:space="preserve">È accertato che nelle settimane precedenti fu effettuato un controllo nella medesima via, e che esso non condusse all'individuazione della base.</w:t>
      </w:r>
    </w:p>
    <w:p>
      <w:pPr>
        <w:spacing w:after="120" w:line="276"/>
        <w:jc w:val="both"/>
      </w:pPr>
      <w:r>
        <w:rPr>
          <w:rFonts w:ascii="Barlow Semi Condensed" w:cs="Barlow Semi Condensed" w:eastAsia="Barlow Semi Condensed" w:hAnsi="Barlow Semi Condensed"/>
          <w:b/>
          <w:bCs/>
          <w:sz w:val="24"/>
          <w:szCs w:val="24"/>
        </w:rPr>
        <w:t xml:space="preserve">Test in tre tempi.</w:t>
      </w:r>
    </w:p>
    <w:p>
      <w:pPr>
        <w:spacing w:after="120" w:line="276"/>
        <w:jc w:val="both"/>
      </w:pPr>
      <w:r>
        <w:rPr>
          <w:rFonts w:ascii="Barlow Semi Condensed" w:cs="Barlow Semi Condensed" w:eastAsia="Barlow Semi Condensed" w:hAnsi="Barlow Semi Condensed"/>
          <w:b/>
          <w:bCs/>
          <w:sz w:val="24"/>
          <w:szCs w:val="24"/>
        </w:rPr>
        <w:t xml:space="preserve">Primo tempo, il dovere. Il dovere di effettuare controlli sussisteva ed è documentato: erano in corso ricerche generalizzate disposte a livello nazionale. Il dovere è accertato quanto all'an. Quanto al quomodo — con quale grado di penetrazione i controlli dovessero essere condotti — occorre riferirsi alle direttive impartite, che costituiscono la fonte del dovere specifico.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che il controllo fu effettuato e che non produsse l'individuazione. Se ciò costituisca inadempimento dipende dal quomodo dovuto: un controllo condotto secondo le modalità prescritte che non produca l'esito non è inadempimento, è insuccesso.</w:t>
      </w:r>
    </w:p>
    <w:p>
      <w:pPr>
        <w:spacing w:after="120" w:line="276"/>
        <w:jc w:val="both"/>
      </w:pPr>
      <w:r>
        <w:rPr>
          <w:rFonts w:ascii="Barlow Semi Condensed" w:cs="Barlow Semi Condensed" w:eastAsia="Barlow Semi Condensed" w:hAnsi="Barlow Semi Condensed"/>
          <w:b/>
          <w:bCs/>
          <w:sz w:val="24"/>
          <w:szCs w:val="24"/>
        </w:rPr>
        <w:t xml:space="preserve">Terzo tempo, la spiegabilità. Non si perviene al terzo tempo, perché il secondo non è concluso: allo stato degli atti che quest'opera ha potuto interrogare, non risultano acquisiti gli elementi che consentirebbero di stabilire quali modalità fossero prescritte e quali furono impiegate.</w:t>
      </w:r>
    </w:p>
    <w:p>
      <w:pPr>
        <w:spacing w:after="120" w:line="276"/>
        <w:jc w:val="both"/>
      </w:pPr>
      <w:r>
        <w:rPr>
          <w:rFonts w:ascii="Barlow Semi Condensed" w:cs="Barlow Semi Condensed" w:eastAsia="Barlow Semi Condensed" w:hAnsi="Barlow Semi Condensed"/>
          <w:b/>
          <w:bCs/>
          <w:sz w:val="24"/>
          <w:szCs w:val="24"/>
        </w:rPr>
        <w:t xml:space="preserve">Si registra pertanto: circostanza accertata quanto al fatto; qualificazione come omissione non accertata; condizione di scioglimento indicata, consistente nell'acquisizione delle direttive impartite e della documentazione del controllo effettuato.</w:t>
      </w:r>
    </w:p>
    <w:p>
      <w:pPr>
        <w:pStyle w:val="Heading2"/>
        <w:spacing w:after="100" w:before="200"/>
      </w:pPr>
      <w:r>
        <w:rPr>
          <w:rFonts w:ascii="Barlow Semi Condensed" w:cs="Barlow Semi Condensed" w:eastAsia="Barlow Semi Condensed" w:hAnsi="Barlow Semi Condensed"/>
          <w:sz w:val="24"/>
          <w:szCs w:val="24"/>
        </w:rPr>
        <w:t xml:space="preserve">Seconda circostanza: l'indicazione del nome e la sua destinazione</w:t>
      </w:r>
    </w:p>
    <w:p>
      <w:pPr>
        <w:spacing w:after="120" w:line="276"/>
        <w:jc w:val="both"/>
      </w:pPr>
      <w:r>
        <w:rPr>
          <w:rFonts w:ascii="Barlow Semi Condensed" w:cs="Barlow Semi Condensed" w:eastAsia="Barlow Semi Condensed" w:hAnsi="Barlow Semi Condensed"/>
          <w:b/>
          <w:bCs/>
          <w:sz w:val="24"/>
          <w:szCs w:val="24"/>
        </w:rPr>
        <w:t xml:space="preserve">È accertato che il nome Gradoli fu indicato, nel corso del periodo, in una sede e per una via che non appartengono all'attività di indagine ordinaria; e che le ricerche conseguenti furono indirizzate verso una località omonima anziché verso la via romana.</w:t>
      </w:r>
    </w:p>
    <w:p>
      <w:pPr>
        <w:spacing w:after="120" w:line="276"/>
        <w:jc w:val="both"/>
      </w:pPr>
      <w:r>
        <w:rPr>
          <w:rFonts w:ascii="Barlow Semi Condensed" w:cs="Barlow Semi Condensed" w:eastAsia="Barlow Semi Condensed" w:hAnsi="Barlow Semi Condensed"/>
          <w:b/>
          <w:bCs/>
          <w:sz w:val="24"/>
          <w:szCs w:val="24"/>
        </w:rPr>
        <w:t xml:space="preserve">Test in tre tempi.</w:t>
      </w:r>
    </w:p>
    <w:p>
      <w:pPr>
        <w:spacing w:after="120" w:line="276"/>
        <w:jc w:val="both"/>
      </w:pPr>
      <w:r>
        <w:rPr>
          <w:rFonts w:ascii="Barlow Semi Condensed" w:cs="Barlow Semi Condensed" w:eastAsia="Barlow Semi Condensed" w:hAnsi="Barlow Semi Condensed"/>
          <w:b/>
          <w:bCs/>
          <w:sz w:val="24"/>
          <w:szCs w:val="24"/>
        </w:rPr>
        <w:t xml:space="preserve">Primo tempo, il dovere. Pervenuta una indicazione toponomastica in una indagine in corso, sussiste il dovere di verificarne le referenze possibili. Il dovere è accertato.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che fu verificata una referenza e non l'altra. Che la referenza verificata fosse quella meno probabile è valutazione che dipende dal contesto della ricerca: essendo l'indagine centrata su Roma, la referenza romana era, secondo criteri conoscibili all'epoca, quella da verificare per prima. L'inadempimento appare, a questo livello, accertato quanto alla incompletezza della verifica.</w:t>
      </w:r>
    </w:p>
    <w:p>
      <w:pPr>
        <w:spacing w:after="120" w:line="276"/>
        <w:jc w:val="both"/>
      </w:pPr>
      <w:r>
        <w:rPr>
          <w:rFonts w:ascii="Barlow Semi Condensed" w:cs="Barlow Semi Condensed" w:eastAsia="Barlow Semi Condensed" w:hAnsi="Barlow Semi Condensed"/>
          <w:b/>
          <w:bCs/>
          <w:sz w:val="24"/>
          <w:szCs w:val="24"/>
        </w:rPr>
        <w:t xml:space="preserve">Terzo tempo, la spiegabilità. Qui il test si arresta e occorre dirlo con esattezza. L'inadempimento è spiegabile con più di una causa: l'errore materiale nella lettura di una indicazione; il difetto di coordinamento fra uffici; la scarsa considerazione attribuita alla fonte dell'indicazione, che era di natura non ordinaria e poteva essere ritenuta priva di serietà.</w:t>
      </w:r>
    </w:p>
    <w:p>
      <w:pPr>
        <w:spacing w:after="120" w:line="276"/>
        <w:jc w:val="both"/>
      </w:pPr>
      <w:r>
        <w:rPr>
          <w:rFonts w:ascii="Barlow Semi Condensed" w:cs="Barlow Semi Condensed" w:eastAsia="Barlow Semi Condensed" w:hAnsi="Barlow Semi Condensed"/>
          <w:b/>
          <w:bCs/>
          <w:sz w:val="24"/>
          <w:szCs w:val="24"/>
        </w:rPr>
        <w:t xml:space="preserve">Nessuna di queste spiegazioni è esclusa dagli atti disponibili. Nessuna è confermata.</w:t>
      </w:r>
    </w:p>
    <w:p>
      <w:pPr>
        <w:pStyle w:val="Heading2"/>
        <w:spacing w:after="100" w:before="200"/>
      </w:pPr>
      <w:r>
        <w:rPr>
          <w:rFonts w:ascii="Barlow Semi Condensed" w:cs="Barlow Semi Condensed" w:eastAsia="Barlow Semi Condensed" w:hAnsi="Barlow Semi Condensed"/>
          <w:sz w:val="24"/>
          <w:szCs w:val="24"/>
        </w:rPr>
        <w:t xml:space="preserve">Che cosa risulta</w:t>
      </w:r>
    </w:p>
    <w:p>
      <w:pPr>
        <w:spacing w:after="120" w:line="276"/>
        <w:jc w:val="both"/>
      </w:pPr>
      <w:r>
        <w:rPr>
          <w:rFonts w:ascii="Barlow Semi Condensed" w:cs="Barlow Semi Condensed" w:eastAsia="Barlow Semi Condensed" w:hAnsi="Barlow Semi Condensed"/>
          <w:b/>
          <w:bCs/>
          <w:sz w:val="24"/>
          <w:szCs w:val="24"/>
        </w:rPr>
        <w:t xml:space="preserve">Risulta accertato: che una base dell'organizzazione era in quella via; che fu individuata per caso e non per indagine, in costanza di prigionia; che un controllo era stato effettuato in quella via senza esito; che una indicazione toponomastica fu verificata in una sola delle sue referenze possibili.</w:t>
      </w:r>
    </w:p>
    <w:p>
      <w:pPr>
        <w:spacing w:after="120" w:line="276"/>
        <w:jc w:val="both"/>
      </w:pPr>
      <w:r>
        <w:rPr>
          <w:rFonts w:ascii="Barlow Semi Condensed" w:cs="Barlow Semi Condensed" w:eastAsia="Barlow Semi Condensed" w:hAnsi="Barlow Semi Condensed"/>
          <w:b/>
          <w:bCs/>
          <w:sz w:val="24"/>
          <w:szCs w:val="24"/>
        </w:rPr>
        <w:t xml:space="preserve">Non risulta accertato: che alcuna delle due circostanze costituisca omissione deliberata.</w:t>
      </w:r>
    </w:p>
    <w:p>
      <w:pPr>
        <w:spacing w:after="120" w:line="276"/>
        <w:jc w:val="both"/>
      </w:pPr>
      <w:r>
        <w:rPr>
          <w:rFonts w:ascii="Barlow Semi Condensed" w:cs="Barlow Semi Condensed" w:eastAsia="Barlow Semi Condensed" w:hAnsi="Barlow Semi Condensed"/>
          <w:b/>
          <w:bCs/>
          <w:sz w:val="24"/>
          <w:szCs w:val="24"/>
        </w:rPr>
        <w:t xml:space="preserve">Si osservi che questo esito non è una assoluzione né una accusa. È il risultato di un test condotto per intero, che si è arrestato al terzo tempo per difetto di elementi; e la disciplina impone di dichiarare l'arresto anziché di sostituirvi una valutazione.</w:t>
      </w:r>
    </w:p>
    <w:p>
      <w:pPr>
        <w:pStyle w:val="Heading2"/>
        <w:spacing w:after="100" w:before="200"/>
      </w:pPr>
      <w:r>
        <w:rPr>
          <w:rFonts w:ascii="Barlow Semi Condensed" w:cs="Barlow Semi Condensed" w:eastAsia="Barlow Semi Condensed" w:hAnsi="Barlow Semi Condensed"/>
          <w:sz w:val="24"/>
          <w:szCs w:val="24"/>
        </w:rPr>
        <w:t xml:space="preserve">Ciò che scioglierebbe il dubbio</w:t>
      </w:r>
    </w:p>
    <w:p>
      <w:pPr>
        <w:spacing w:after="120" w:line="276"/>
        <w:jc w:val="both"/>
      </w:pPr>
      <w:r>
        <w:rPr>
          <w:rFonts w:ascii="Barlow Semi Condensed" w:cs="Barlow Semi Condensed" w:eastAsia="Barlow Semi Condensed" w:hAnsi="Barlow Semi Condensed"/>
          <w:b/>
          <w:bCs/>
          <w:sz w:val="24"/>
          <w:szCs w:val="24"/>
        </w:rPr>
        <w:t xml:space="preserve">Si indicano le evidenze che scioglierebbero il dubbio, in un senso o nell'altro: le direttive impartite per i controlli e la documentazione del controllo effettuato in quella via; gli atti relativi alla ricezione dell'indicazione toponomastica, alla sua valutazione e alla decisione sulla destinazione delle ricerche; la documentazione dei flussi informativi fra gli uffici coinvolti nel periodo.</w:t>
      </w:r>
    </w:p>
    <w:p>
      <w:pPr>
        <w:spacing w:after="120" w:line="276"/>
        <w:jc w:val="both"/>
      </w:pPr>
      <w:r>
        <w:rPr>
          <w:rFonts w:ascii="Barlow Semi Condensed" w:cs="Barlow Semi Condensed" w:eastAsia="Barlow Semi Condensed" w:hAnsi="Barlow Semi Condensed"/>
          <w:b/>
          <w:bCs/>
          <w:sz w:val="24"/>
          <w:szCs w:val="24"/>
        </w:rPr>
        <w:t xml:space="preserve">Nessuno di tali elementi è stato acquisito nella presente campagna. L'assenza è iscritta in tavola.</w:t>
      </w:r>
    </w:p>
    <w:p>
      <w:pPr>
        <w:pStyle w:val="Heading2"/>
        <w:spacing w:after="100" w:before="200"/>
      </w:pPr>
      <w:r>
        <w:rPr>
          <w:rFonts w:ascii="Barlow Semi Condensed" w:cs="Barlow Semi Condensed" w:eastAsia="Barlow Semi Condensed" w:hAnsi="Barlow Semi Condensed"/>
          <w:sz w:val="24"/>
          <w:szCs w:val="24"/>
        </w:rPr>
        <w:t xml:space="preserve">Capitolo quarantaquattresimo — La produzione di falso in indagine in corso</w:t>
      </w:r>
    </w:p>
    <w:p>
      <w:pPr>
        <w:pStyle w:val="Heading2"/>
        <w:spacing w:after="100" w:before="200"/>
      </w:pPr>
      <w:r>
        <w:rPr>
          <w:rFonts w:ascii="Barlow Semi Condensed" w:cs="Barlow Semi Condensed" w:eastAsia="Barlow Semi Condensed" w:hAnsi="Barlow Semi Condensed"/>
          <w:sz w:val="24"/>
          <w:szCs w:val="24"/>
        </w:rPr>
        <w:t xml:space="preserve">Il fatto</w:t>
      </w:r>
    </w:p>
    <w:p>
      <w:pPr>
        <w:spacing w:after="120" w:line="276"/>
        <w:jc w:val="both"/>
      </w:pPr>
      <w:r>
        <w:rPr>
          <w:rFonts w:ascii="Barlow Semi Condensed" w:cs="Barlow Semi Condensed" w:eastAsia="Barlow Semi Condensed" w:hAnsi="Barlow Semi Condensed"/>
          <w:b/>
          <w:bCs/>
          <w:sz w:val="24"/>
          <w:szCs w:val="24"/>
        </w:rPr>
        <w:t xml:space="preserve">È accertato che fu diffuso, nel corso del periodo, un comunicato apocrifo che annunciava la morte del prigioniero e ne indicava il luogo di rinvenimento; che esso non proveniva dall'organizzazione, la quale lo smentì; che furono disposte in conseguenza operazioni di ricerca con impiego di mezzi; e che tali operazioni ebbero esito negativo.</w:t>
      </w:r>
    </w:p>
    <w:p>
      <w:pPr>
        <w:pStyle w:val="Heading2"/>
        <w:spacing w:after="100" w:before="200"/>
      </w:pPr>
      <w:r>
        <w:rPr>
          <w:rFonts w:ascii="Barlow Semi Condensed" w:cs="Barlow Semi Condensed" w:eastAsia="Barlow Semi Condensed" w:hAnsi="Barlow Semi Condensed"/>
          <w:sz w:val="24"/>
          <w:szCs w:val="24"/>
        </w:rPr>
        <w:t xml:space="preserve">La qualificazione della natura dell'atto</w:t>
      </w:r>
    </w:p>
    <w:p>
      <w:pPr>
        <w:spacing w:after="120" w:line="276"/>
        <w:jc w:val="both"/>
      </w:pPr>
      <w:r>
        <w:rPr>
          <w:rFonts w:ascii="Barlow Semi Condensed" w:cs="Barlow Semi Condensed" w:eastAsia="Barlow Semi Condensed" w:hAnsi="Barlow Semi Condensed"/>
          <w:b/>
          <w:bCs/>
          <w:sz w:val="24"/>
          <w:szCs w:val="24"/>
        </w:rPr>
        <w:t xml:space="preserve">Questa è la sola omissione della Fase la cui natura sia accertata senza residuo, e conviene dirlo perché è un punto fermo raro.</w:t>
      </w:r>
    </w:p>
    <w:p>
      <w:pPr>
        <w:spacing w:after="120" w:line="276"/>
        <w:jc w:val="both"/>
      </w:pPr>
      <w:r>
        <w:rPr>
          <w:rFonts w:ascii="Barlow Semi Condensed" w:cs="Barlow Semi Condensed" w:eastAsia="Barlow Semi Condensed" w:hAnsi="Barlow Semi Condensed"/>
          <w:b/>
          <w:bCs/>
          <w:sz w:val="24"/>
          <w:szCs w:val="24"/>
        </w:rPr>
        <w:t xml:space="preserve">Un comunicato apocrifo non si forma per errore. Esso richiede che qualcuno lo confezioni, lo confezioni in modo da risultare credibile, e lo immetta nel circuito in cui sarà ricevuto come autentico. Ciascuna di queste operazioni è deliberata per necessità logica.</w:t>
      </w:r>
    </w:p>
    <w:p>
      <w:pPr>
        <w:spacing w:after="120" w:line="276"/>
        <w:jc w:val="both"/>
      </w:pPr>
      <w:r>
        <w:rPr>
          <w:rFonts w:ascii="Barlow Semi Condensed" w:cs="Barlow Semi Condensed" w:eastAsia="Barlow Semi Condensed" w:hAnsi="Barlow Semi Condensed"/>
          <w:b/>
          <w:bCs/>
          <w:sz w:val="24"/>
          <w:szCs w:val="24"/>
        </w:rPr>
        <w:t xml:space="preserve">È dunque accertato, in stato di sciolto, che nel corso delle indagini fu compiuto un atto deliberato di produzione di falso.</w:t>
      </w:r>
    </w:p>
    <w:p>
      <w:pPr>
        <w:spacing w:after="120" w:line="276"/>
        <w:jc w:val="both"/>
      </w:pPr>
      <w:r>
        <w:rPr>
          <w:rFonts w:ascii="Barlow Semi Condensed" w:cs="Barlow Semi Condensed" w:eastAsia="Barlow Semi Condensed" w:hAnsi="Barlow Semi Condensed"/>
          <w:b/>
          <w:bCs/>
          <w:sz w:val="24"/>
          <w:szCs w:val="24"/>
        </w:rPr>
        <w:t xml:space="preserve">Si tratta della quarta tipologia del Capitolo quarantaduesimo: struttura commissiva, effetto omissivo.</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sono accertati né l'autore né la finalità.</w:t>
      </w:r>
    </w:p>
    <w:p>
      <w:pPr>
        <w:spacing w:after="120" w:line="276"/>
        <w:jc w:val="both"/>
      </w:pPr>
      <w:r>
        <w:rPr>
          <w:rFonts w:ascii="Barlow Semi Condensed" w:cs="Barlow Semi Condensed" w:eastAsia="Barlow Semi Condensed" w:hAnsi="Barlow Semi Condensed"/>
          <w:b/>
          <w:bCs/>
          <w:sz w:val="24"/>
          <w:szCs w:val="24"/>
        </w:rPr>
        <w:t xml:space="preserve">Le finalità astrattamente possibili sono più d'una, e conviene enumerarle perché la letteratura ne privilegia una sola.</w:t>
      </w:r>
    </w:p>
    <w:p>
      <w:pPr>
        <w:spacing w:after="120" w:line="276"/>
        <w:jc w:val="both"/>
      </w:pPr>
      <w:r>
        <w:rPr>
          <w:rFonts w:ascii="Barlow Semi Condensed" w:cs="Barlow Semi Condensed" w:eastAsia="Barlow Semi Condensed" w:hAnsi="Barlow Semi Condensed"/>
          <w:b/>
          <w:bCs/>
          <w:sz w:val="24"/>
          <w:szCs w:val="24"/>
        </w:rPr>
        <w:t xml:space="preserve">Prima: distrarre le ricerche da una zona verso un'altra.</w:t>
      </w:r>
    </w:p>
    <w:p>
      <w:pPr>
        <w:spacing w:after="120" w:line="276"/>
        <w:jc w:val="both"/>
      </w:pPr>
      <w:r>
        <w:rPr>
          <w:rFonts w:ascii="Barlow Semi Condensed" w:cs="Barlow Semi Condensed" w:eastAsia="Barlow Semi Condensed" w:hAnsi="Barlow Semi Condensed"/>
          <w:b/>
          <w:bCs/>
          <w:sz w:val="24"/>
          <w:szCs w:val="24"/>
        </w:rPr>
        <w:t xml:space="preserve">Seconda: saggiare la reazione delle istituzioni e dell'opinione pubblica all'annuncio della morte, in vista di essa.</w:t>
      </w:r>
    </w:p>
    <w:p>
      <w:pPr>
        <w:spacing w:after="120" w:line="276"/>
        <w:jc w:val="both"/>
      </w:pPr>
      <w:r>
        <w:rPr>
          <w:rFonts w:ascii="Barlow Semi Condensed" w:cs="Barlow Semi Condensed" w:eastAsia="Barlow Semi Condensed" w:hAnsi="Barlow Semi Condensed"/>
          <w:b/>
          <w:bCs/>
          <w:sz w:val="24"/>
          <w:szCs w:val="24"/>
        </w:rPr>
        <w:t xml:space="preserve">Terza: produrre un effetto psicologico sui destinatari e sulle trattative in corso.</w:t>
      </w:r>
    </w:p>
    <w:p>
      <w:pPr>
        <w:spacing w:after="120" w:line="276"/>
        <w:jc w:val="both"/>
      </w:pPr>
      <w:r>
        <w:rPr>
          <w:rFonts w:ascii="Barlow Semi Condensed" w:cs="Barlow Semi Condensed" w:eastAsia="Barlow Semi Condensed" w:hAnsi="Barlow Semi Condensed"/>
          <w:b/>
          <w:bCs/>
          <w:sz w:val="24"/>
          <w:szCs w:val="24"/>
        </w:rPr>
        <w:t xml:space="preserve">Quarta: agire per finalità estranee alla vicenda, quali il discredito di un ufficio o la produzione di confusione fine a sé stessa.</w:t>
      </w:r>
    </w:p>
    <w:p>
      <w:pPr>
        <w:spacing w:after="120" w:line="276"/>
        <w:jc w:val="both"/>
      </w:pPr>
      <w:r>
        <w:rPr>
          <w:rFonts w:ascii="Barlow Semi Condensed" w:cs="Barlow Semi Condensed" w:eastAsia="Barlow Semi Condensed" w:hAnsi="Barlow Semi Condensed"/>
          <w:b/>
          <w:bCs/>
          <w:sz w:val="24"/>
          <w:szCs w:val="24"/>
        </w:rPr>
        <w:t xml:space="preserve">Nessuna di queste è accertata e nessuna è esclusa. La materia è stata oggetto di accertamenti in sede giudiziaria e parlamentare che non hanno prodotto un accertamento definitivo dell'autore.</w:t>
      </w:r>
    </w:p>
    <w:p>
      <w:pPr>
        <w:pStyle w:val="Heading2"/>
        <w:spacing w:after="100" w:before="200"/>
      </w:pPr>
      <w:r>
        <w:rPr>
          <w:rFonts w:ascii="Barlow Semi Condensed" w:cs="Barlow Semi Condensed" w:eastAsia="Barlow Semi Condensed" w:hAnsi="Barlow Semi Condensed"/>
          <w:sz w:val="24"/>
          <w:szCs w:val="24"/>
        </w:rPr>
        <w:t xml:space="preserve">Il rilievo probatorio dell'accertato</w:t>
      </w:r>
    </w:p>
    <w:p>
      <w:pPr>
        <w:spacing w:after="120" w:line="276"/>
        <w:jc w:val="both"/>
      </w:pPr>
      <w:r>
        <w:rPr>
          <w:rFonts w:ascii="Barlow Semi Condensed" w:cs="Barlow Semi Condensed" w:eastAsia="Barlow Semi Condensed" w:hAnsi="Barlow Semi Condensed"/>
          <w:b/>
          <w:bCs/>
          <w:sz w:val="24"/>
          <w:szCs w:val="24"/>
        </w:rPr>
        <w:t xml:space="preserve">Occorre misurare esattamente che cosa questo elemento fornisca alla matrice, perché è quello che se ne discosta di più.</w:t>
      </w:r>
    </w:p>
    <w:p>
      <w:pPr>
        <w:spacing w:after="120" w:line="276"/>
        <w:jc w:val="both"/>
      </w:pPr>
      <w:r>
        <w:rPr>
          <w:rFonts w:ascii="Barlow Semi Condensed" w:cs="Barlow Semi Condensed" w:eastAsia="Barlow Semi Condensed" w:hAnsi="Barlow Semi Condensed"/>
          <w:b/>
          <w:bCs/>
          <w:sz w:val="24"/>
          <w:szCs w:val="24"/>
        </w:rPr>
        <w:t xml:space="preserve">Esso fornisce un dato che gli altri tre elementi non forniscono: la prova che, durante i cinquantacinque giorni, un soggetto rimasto ignoto compì un atto deliberato di interferenza nelle indagini.</w:t>
      </w:r>
    </w:p>
    <w:p>
      <w:pPr>
        <w:spacing w:after="120" w:line="276"/>
        <w:jc w:val="both"/>
      </w:pPr>
      <w:r>
        <w:rPr>
          <w:rFonts w:ascii="Barlow Semi Condensed" w:cs="Barlow Semi Condensed" w:eastAsia="Barlow Semi Condensed" w:hAnsi="Barlow Semi Condensed"/>
          <w:b/>
          <w:bCs/>
          <w:sz w:val="24"/>
          <w:szCs w:val="24"/>
        </w:rPr>
        <w:t xml:space="preserve">Questo è più di un errore e più di una inefficienza. È l'accertamento che, oltre ai rapitori e alle istituzioni, operò sulla vicenda un terzo soggetto con capacità di immettere falso nel circuito e con interesse a farlo.</w:t>
      </w:r>
    </w:p>
    <w:p>
      <w:pPr>
        <w:spacing w:after="120" w:line="276"/>
        <w:jc w:val="both"/>
      </w:pPr>
      <w:r>
        <w:rPr>
          <w:rFonts w:ascii="Barlow Semi Condensed" w:cs="Barlow Semi Condensed" w:eastAsia="Barlow Semi Condensed" w:hAnsi="Barlow Semi Condensed"/>
          <w:b/>
          <w:bCs/>
          <w:sz w:val="24"/>
          <w:szCs w:val="24"/>
        </w:rPr>
        <w:t xml:space="preserve">Che tale soggetto abbia avuto rapporto con i rapitori, con le istituzioni, con entrambi o con nessuno dei due, non è accertato. Ma la sua esistenza sì.</w:t>
      </w:r>
    </w:p>
    <w:p>
      <w:pPr>
        <w:pStyle w:val="Heading2"/>
        <w:spacing w:after="100" w:before="200"/>
      </w:pPr>
      <w:r>
        <w:rPr>
          <w:rFonts w:ascii="Barlow Semi Condensed" w:cs="Barlow Semi Condensed" w:eastAsia="Barlow Semi Condensed" w:hAnsi="Barlow Semi Condensed"/>
          <w:sz w:val="24"/>
          <w:szCs w:val="24"/>
        </w:rPr>
        <w:t xml:space="preserve">La conseguenza per la matrice</w:t>
      </w:r>
    </w:p>
    <w:p>
      <w:pPr>
        <w:spacing w:after="120" w:line="276"/>
        <w:jc w:val="both"/>
      </w:pPr>
      <w:r>
        <w:rPr>
          <w:rFonts w:ascii="Barlow Semi Condensed" w:cs="Barlow Semi Condensed" w:eastAsia="Barlow Semi Condensed" w:hAnsi="Barlow Semi Condensed"/>
          <w:b/>
          <w:bCs/>
          <w:sz w:val="24"/>
          <w:szCs w:val="24"/>
        </w:rPr>
        <w:t xml:space="preserve">Il Capitolo quarantanovesimo riprenderà l'elemento in sede di revisione della matrice. Si anticipa qui la ragione della sua rilevanza: il primo genere di ipotesi della Fase Seconda — movente dichiarato, esecuzione autonoma — deve spiegare questo elemento come atto di un terzo estraneo, il che è possibile ma costituisce una aggiunta al genere; mentre il secondo e il quarto genere lo assorbono senza aggiunte.</w:t>
      </w:r>
    </w:p>
    <w:p>
      <w:pPr>
        <w:spacing w:after="120" w:line="276"/>
        <w:jc w:val="both"/>
      </w:pPr>
      <w:r>
        <w:rPr>
          <w:rFonts w:ascii="Barlow Semi Condensed" w:cs="Barlow Semi Condensed" w:eastAsia="Barlow Semi Condensed" w:hAnsi="Barlow Semi Condensed"/>
          <w:b/>
          <w:bCs/>
          <w:sz w:val="24"/>
          <w:szCs w:val="24"/>
        </w:rPr>
        <w:t xml:space="preserve">Non si tratta di una prova a favore di alcuno dei generi. Si tratta di un elemento che ha costo diverso per generi diversi, e il costo è misurabile.</w:t>
      </w:r>
    </w:p>
    <w:p>
      <w:pPr>
        <w:pStyle w:val="Heading2"/>
        <w:spacing w:after="100" w:before="200"/>
      </w:pPr>
      <w:r>
        <w:rPr>
          <w:rFonts w:ascii="Barlow Semi Condensed" w:cs="Barlow Semi Condensed" w:eastAsia="Barlow Semi Condensed" w:hAnsi="Barlow Semi Condensed"/>
          <w:sz w:val="24"/>
          <w:szCs w:val="24"/>
        </w:rPr>
        <w:t xml:space="preserve">Capitolo quarantacinquesimo — L'esito nullo della ricerca eccezionale</w:t>
      </w:r>
    </w:p>
    <w:p>
      <w:pPr>
        <w:pStyle w:val="Heading2"/>
        <w:spacing w:after="100" w:before="200"/>
      </w:pPr>
      <w:r>
        <w:rPr>
          <w:rFonts w:ascii="Barlow Semi Condensed" w:cs="Barlow Semi Condensed" w:eastAsia="Barlow Semi Condensed" w:hAnsi="Barlow Semi Condensed"/>
          <w:sz w:val="24"/>
          <w:szCs w:val="24"/>
        </w:rPr>
        <w:t xml:space="preserve">Il fatto</w:t>
      </w:r>
    </w:p>
    <w:p>
      <w:pPr>
        <w:spacing w:after="120" w:line="276"/>
        <w:jc w:val="both"/>
      </w:pPr>
      <w:r>
        <w:rPr>
          <w:rFonts w:ascii="Barlow Semi Condensed" w:cs="Barlow Semi Condensed" w:eastAsia="Barlow Semi Condensed" w:hAnsi="Barlow Semi Condensed"/>
          <w:b/>
          <w:bCs/>
          <w:sz w:val="24"/>
          <w:szCs w:val="24"/>
        </w:rPr>
        <w:t xml:space="preserve">È accertato che per cinquantacinque giorni fu condotta una ricerca di dimensioni senza precedenti nella storia repubblicana, con impiego di risorse eccezionali, e che essa non produsse la localizzazione del prigioniero.</w:t>
      </w:r>
    </w:p>
    <w:p>
      <w:pPr>
        <w:pStyle w:val="Heading2"/>
        <w:spacing w:after="100" w:before="200"/>
      </w:pPr>
      <w:r>
        <w:rPr>
          <w:rFonts w:ascii="Barlow Semi Condensed" w:cs="Barlow Semi Condensed" w:eastAsia="Barlow Semi Condensed" w:hAnsi="Barlow Semi Condensed"/>
          <w:sz w:val="24"/>
          <w:szCs w:val="24"/>
        </w:rPr>
        <w:t xml:space="preserve">Il test e la sua difficoltà propria</w:t>
      </w:r>
    </w:p>
    <w:p>
      <w:pPr>
        <w:spacing w:after="120" w:line="276"/>
        <w:jc w:val="both"/>
      </w:pPr>
      <w:r>
        <w:rPr>
          <w:rFonts w:ascii="Barlow Semi Condensed" w:cs="Barlow Semi Condensed" w:eastAsia="Barlow Semi Condensed" w:hAnsi="Barlow Semi Condensed"/>
          <w:b/>
          <w:bCs/>
          <w:sz w:val="24"/>
          <w:szCs w:val="24"/>
        </w:rPr>
        <w:t xml:space="preserve">Questo elemento appartiene alla seconda tipologia — omissione di adeguatezza — ed è quello nel quale il pericolo del giudizio a posteriori è massimo.</w:t>
      </w:r>
    </w:p>
    <w:p>
      <w:pPr>
        <w:spacing w:after="120" w:line="276"/>
        <w:jc w:val="both"/>
      </w:pPr>
      <w:r>
        <w:rPr>
          <w:rFonts w:ascii="Barlow Semi Condensed" w:cs="Barlow Semi Condensed" w:eastAsia="Barlow Semi Condensed" w:hAnsi="Barlow Semi Condensed"/>
          <w:b/>
          <w:bCs/>
          <w:sz w:val="24"/>
          <w:szCs w:val="24"/>
        </w:rPr>
        <w:t xml:space="preserve">Primo tempo, il dovere. Sussisteva il dovere di ricercare, ed è documentato. Il dovere di trovare non sussiste e non può sussistere: nessun ordinamento impone un risultato che non dipende soltanto da chi deve conseguirlo.</w:t>
      </w:r>
    </w:p>
    <w:p>
      <w:pPr>
        <w:spacing w:after="120" w:line="276"/>
        <w:jc w:val="both"/>
      </w:pPr>
      <w:r>
        <w:rPr>
          <w:rFonts w:ascii="Barlow Semi Condensed" w:cs="Barlow Semi Condensed" w:eastAsia="Barlow Semi Condensed" w:hAnsi="Barlow Semi Condensed"/>
          <w:b/>
          <w:bCs/>
          <w:sz w:val="24"/>
          <w:szCs w:val="24"/>
        </w:rPr>
        <w:t xml:space="preserve">Secondo tempo, l'inadempimento. Qui occorre la massima cautela. Il mancato conseguimento del risultato non è, di per sé, inadempimento. Perché lo sia, occorre stabilire che le modalità impiegate fossero inidonee secondo criteri conoscibili all'epoca.</w:t>
      </w:r>
    </w:p>
    <w:p>
      <w:pPr>
        <w:spacing w:after="120" w:line="276"/>
        <w:jc w:val="both"/>
      </w:pPr>
      <w:r>
        <w:rPr>
          <w:rFonts w:ascii="Barlow Semi Condensed" w:cs="Barlow Semi Condensed" w:eastAsia="Barlow Semi Condensed" w:hAnsi="Barlow Semi Condensed"/>
          <w:b/>
          <w:bCs/>
          <w:sz w:val="24"/>
          <w:szCs w:val="24"/>
        </w:rPr>
        <w:t xml:space="preserve">Terzo tempo, la spiegabilità. Vi si perviene solo se il secondo è concluso positivamente.</w:t>
      </w:r>
    </w:p>
    <w:p>
      <w:pPr>
        <w:pStyle w:val="Heading2"/>
        <w:spacing w:after="100" w:before="200"/>
      </w:pPr>
      <w:r>
        <w:rPr>
          <w:rFonts w:ascii="Barlow Semi Condensed" w:cs="Barlow Semi Condensed" w:eastAsia="Barlow Semi Condensed" w:hAnsi="Barlow Semi Condensed"/>
          <w:sz w:val="24"/>
          <w:szCs w:val="24"/>
        </w:rPr>
        <w:t xml:space="preserve">Il problema del riferimento</w:t>
      </w:r>
    </w:p>
    <w:p>
      <w:pPr>
        <w:spacing w:after="120" w:line="276"/>
        <w:jc w:val="both"/>
      </w:pPr>
      <w:r>
        <w:rPr>
          <w:rFonts w:ascii="Barlow Semi Condensed" w:cs="Barlow Semi Condensed" w:eastAsia="Barlow Semi Condensed" w:hAnsi="Barlow Semi Condensed"/>
          <w:b/>
          <w:bCs/>
          <w:sz w:val="24"/>
          <w:szCs w:val="24"/>
        </w:rPr>
        <w:t xml:space="preserve">Il secondo tempo non si conclude, in questo caso, per una ragione che va esposta perché è istruttiva e vale oltre il caso.</w:t>
      </w:r>
    </w:p>
    <w:p>
      <w:pPr>
        <w:spacing w:after="120" w:line="276"/>
        <w:jc w:val="both"/>
      </w:pPr>
      <w:r>
        <w:rPr>
          <w:rFonts w:ascii="Barlow Semi Condensed" w:cs="Barlow Semi Condensed" w:eastAsia="Barlow Semi Condensed" w:hAnsi="Barlow Semi Condensed"/>
          <w:b/>
          <w:bCs/>
          <w:sz w:val="24"/>
          <w:szCs w:val="24"/>
        </w:rPr>
        <w:t xml:space="preserve">Per stabilire che una ricerca fu inadeguata occorre un termine di riferimento: quale esito avrebbe prodotto una ricerca adeguata nelle medesime condizioni. Tale termine non è disponibile, e non lo è per ragioni strutturali.</w:t>
      </w:r>
    </w:p>
    <w:p>
      <w:pPr>
        <w:spacing w:after="120" w:line="276"/>
        <w:jc w:val="both"/>
      </w:pPr>
      <w:r>
        <w:rPr>
          <w:rFonts w:ascii="Barlow Semi Condensed" w:cs="Barlow Semi Condensed" w:eastAsia="Barlow Semi Condensed" w:hAnsi="Barlow Semi Condensed"/>
          <w:b/>
          <w:bCs/>
          <w:sz w:val="24"/>
          <w:szCs w:val="24"/>
        </w:rPr>
        <w:t xml:space="preserve">La ricerca di una persona occultata in un appartamento di una città di milioni di abitanti, da parte di una organizzazione dotata di capacità di occultamento documentata, è impresa il cui tasso di riuscita non è noto perché i casi comparabili sono pochissimi. Non esiste, per questo genere di operazione, una base statistica che consenta di dire quale esito sia normale e quale anomalo.</w:t>
      </w:r>
    </w:p>
    <w:p>
      <w:pPr>
        <w:spacing w:after="120" w:line="276"/>
        <w:jc w:val="both"/>
      </w:pPr>
      <w:r>
        <w:rPr>
          <w:rFonts w:ascii="Barlow Semi Condensed" w:cs="Barlow Semi Condensed" w:eastAsia="Barlow Semi Condensed" w:hAnsi="Barlow Semi Condensed"/>
          <w:b/>
          <w:bCs/>
          <w:sz w:val="24"/>
          <w:szCs w:val="24"/>
        </w:rPr>
        <w:t xml:space="preserve">Ne segue che l'affermazione secondo cui la ricerca avrebbe dovuto riuscire non è verificabile. Essa poggia su una intuizione — con tante risorse impiegate, era impossibile non trovare — che è precisamente il tipo di intuizione che il metodo esiste per non accettare.</w:t>
      </w:r>
    </w:p>
    <w:p>
      <w:pPr>
        <w:pStyle w:val="Heading2"/>
        <w:spacing w:after="100" w:before="200"/>
      </w:pPr>
      <w:r>
        <w:rPr>
          <w:rFonts w:ascii="Barlow Semi Condensed" w:cs="Barlow Semi Condensed" w:eastAsia="Barlow Semi Condensed" w:hAnsi="Barlow Semi Condensed"/>
          <w:sz w:val="24"/>
          <w:szCs w:val="24"/>
        </w:rPr>
        <w:t xml:space="preserve">Che cosa si registra</w:t>
      </w:r>
    </w:p>
    <w:p>
      <w:pPr>
        <w:spacing w:after="120" w:line="276"/>
        <w:jc w:val="both"/>
      </w:pPr>
      <w:r>
        <w:rPr>
          <w:rFonts w:ascii="Barlow Semi Condensed" w:cs="Barlow Semi Condensed" w:eastAsia="Barlow Semi Condensed" w:hAnsi="Barlow Semi Condensed"/>
          <w:b/>
          <w:bCs/>
          <w:sz w:val="24"/>
          <w:szCs w:val="24"/>
        </w:rPr>
        <w:t xml:space="preserve">Si registra dunque: esito nullo accertato; dimensione eccezionale delle risorse accertata; inadeguatezza non accertata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Si registra altresì che tale difetto non è colmabile con l'argomentazione, ma soltanto con l'esame analitico degli atti: quali zone furono controllate, con quali modalità, secondo quali criteri di selezione, e se il criterio di selezione delle zone escluse fosse motivato.</w:t>
      </w:r>
    </w:p>
    <w:p>
      <w:pPr>
        <w:spacing w:after="120" w:line="276"/>
        <w:jc w:val="both"/>
      </w:pPr>
      <w:r>
        <w:rPr>
          <w:rFonts w:ascii="Barlow Semi Condensed" w:cs="Barlow Semi Condensed" w:eastAsia="Barlow Semi Condensed" w:hAnsi="Barlow Semi Condensed"/>
          <w:b/>
          <w:bCs/>
          <w:sz w:val="24"/>
          <w:szCs w:val="24"/>
        </w:rPr>
        <w:t xml:space="preserve">Questo esame non è stato condotto nella presente campagna, e la documentazione che lo consentirebbe non è stata acquisita. È iscritto in tavola come la prima delle voci di questa Fase, perché è quella dalla quale dipende la qualificazione dell'elemento di maggior peso apparente dell'intero caso.</w:t>
      </w:r>
    </w:p>
    <w:p>
      <w:pPr>
        <w:pStyle w:val="Heading2"/>
        <w:spacing w:after="100" w:before="200"/>
      </w:pPr>
      <w:r>
        <w:rPr>
          <w:rFonts w:ascii="Barlow Semi Condensed" w:cs="Barlow Semi Condensed" w:eastAsia="Barlow Semi Condensed" w:hAnsi="Barlow Semi Condensed"/>
          <w:sz w:val="24"/>
          <w:szCs w:val="24"/>
        </w:rPr>
        <w:t xml:space="preserve">Una osservazione sulla natura dell'esito nullo</w:t>
      </w:r>
    </w:p>
    <w:p>
      <w:pPr>
        <w:spacing w:after="120" w:line="276"/>
        <w:jc w:val="both"/>
      </w:pPr>
      <w:r>
        <w:rPr>
          <w:rFonts w:ascii="Barlow Semi Condensed" w:cs="Barlow Semi Condensed" w:eastAsia="Barlow Semi Condensed" w:hAnsi="Barlow Semi Condensed"/>
          <w:b/>
          <w:bCs/>
          <w:sz w:val="24"/>
          <w:szCs w:val="24"/>
        </w:rPr>
        <w:t xml:space="preserve">Va aggiunta una osservazione che appartiene alla disciplina degli Stati Zero.</w:t>
      </w:r>
    </w:p>
    <w:p>
      <w:pPr>
        <w:spacing w:after="120" w:line="276"/>
        <w:jc w:val="both"/>
      </w:pPr>
      <w:r>
        <w:rPr>
          <w:rFonts w:ascii="Barlow Semi Condensed" w:cs="Barlow Semi Condensed" w:eastAsia="Barlow Semi Condensed" w:hAnsi="Barlow Semi Condensed"/>
          <w:b/>
          <w:bCs/>
          <w:sz w:val="24"/>
          <w:szCs w:val="24"/>
        </w:rPr>
        <w:t xml:space="preserve">L'esito nullo di questa ricerca è, come tutti gli esiti nulli, una acquisizione di pieno valore. Ma il suo valore è quello di un dato che chiede spiegazione, non quello di una spiegazione. Esso è compatibile con tutte e tre le ipotesi — inefficienza, ostacolo, simulazione — e non discrimina fra esse.</w:t>
      </w:r>
    </w:p>
    <w:p>
      <w:pPr>
        <w:spacing w:after="120" w:line="276"/>
        <w:jc w:val="both"/>
      </w:pPr>
      <w:r>
        <w:rPr>
          <w:rFonts w:ascii="Barlow Semi Condensed" w:cs="Barlow Semi Condensed" w:eastAsia="Barlow Semi Condensed" w:hAnsi="Barlow Semi Condensed"/>
          <w:b/>
          <w:bCs/>
          <w:sz w:val="24"/>
          <w:szCs w:val="24"/>
        </w:rPr>
        <w:t xml:space="preserve">Chi lo impieghi come se discriminasse compie l'operazione che il Capitolo diciottesimo ha descritta a proposito dello scarto: colma una lacuna esplicativa con un soggetto, e attribuisce alla lacuna la selezione del soggetto che invece proviene da altrove.</w:t>
      </w:r>
    </w:p>
    <w:p>
      <w:pPr>
        <w:pStyle w:val="Heading2"/>
        <w:spacing w:after="100" w:before="200"/>
      </w:pPr>
      <w:r>
        <w:rPr>
          <w:rFonts w:ascii="Barlow Semi Condensed" w:cs="Barlow Semi Condensed" w:eastAsia="Barlow Semi Condensed" w:hAnsi="Barlow Semi Condensed"/>
          <w:sz w:val="24"/>
          <w:szCs w:val="24"/>
        </w:rPr>
        <w:t xml:space="preserve">Capitolo quarantaseiesimo — L'incompletezza del rinvenimento documentale</w:t>
      </w:r>
    </w:p>
    <w:p>
      <w:pPr>
        <w:pStyle w:val="Heading2"/>
        <w:spacing w:after="100" w:before="200"/>
      </w:pPr>
      <w:r>
        <w:rPr>
          <w:rFonts w:ascii="Barlow Semi Condensed" w:cs="Barlow Semi Condensed" w:eastAsia="Barlow Semi Condensed" w:hAnsi="Barlow Semi Condensed"/>
          <w:sz w:val="24"/>
          <w:szCs w:val="24"/>
        </w:rPr>
        <w:t xml:space="preserve">Il fatto e il marcatore</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effettuato a Milano nell'ottobre 1978 non fu esaustivo, essendo stato effettuato nel medesimo immobile, dodici anni dopo, un secondo rinvenimento di documenti collocati in una intercapedine.</w:t>
      </w:r>
    </w:p>
    <w:p>
      <w:pPr>
        <w:spacing w:after="120" w:line="276"/>
        <w:jc w:val="both"/>
      </w:pPr>
      <w:r>
        <w:rPr>
          <w:rFonts w:ascii="Barlow Semi Condensed" w:cs="Barlow Semi Condensed" w:eastAsia="Barlow Semi Condensed" w:hAnsi="Barlow Semi Condensed"/>
          <w:b/>
          <w:bCs/>
          <w:sz w:val="24"/>
          <w:szCs w:val="24"/>
        </w:rPr>
        <w:t xml:space="preserve">Il marcatore di spoliazione, apposto nella Fase Terza e confermato nella Fase Quarta, è qui esaminato nella sua sede propria.</w:t>
      </w:r>
    </w:p>
    <w:p>
      <w:pPr>
        <w:pStyle w:val="Heading2"/>
        <w:spacing w:after="100" w:before="200"/>
      </w:pPr>
      <w:r>
        <w:rPr>
          <w:rFonts w:ascii="Barlow Semi Condensed" w:cs="Barlow Semi Condensed" w:eastAsia="Barlow Semi Condensed" w:hAnsi="Barlow Semi Condensed"/>
          <w:sz w:val="24"/>
          <w:szCs w:val="24"/>
        </w:rPr>
        <w:t xml:space="preserve">Il test</w:t>
      </w:r>
    </w:p>
    <w:p>
      <w:pPr>
        <w:spacing w:after="120" w:line="276"/>
        <w:jc w:val="both"/>
      </w:pPr>
      <w:r>
        <w:rPr>
          <w:rFonts w:ascii="Barlow Semi Condensed" w:cs="Barlow Semi Condensed" w:eastAsia="Barlow Semi Condensed" w:hAnsi="Barlow Semi Condensed"/>
          <w:b/>
          <w:bCs/>
          <w:sz w:val="24"/>
          <w:szCs w:val="24"/>
        </w:rPr>
        <w:t xml:space="preserve">Primo tempo, il dovere. Sussisteva il dovere di procedere a perquisizione completa dei luoghi. La fonte del dovere è normativa e non richiede accertamento specifico.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in modo incontrovertibile: materiale rilevante era nel luogo e non fu acquisito. A differenza del Capitolo precedente, qui non vi è problema di termine di riferimento, perché non si tratta di valutare se una ricerca avrebbe dovuto riuscire: si tratta di constatare che ciò che era nel luogo perquisito non fu rinvenuto. L'inadempimento è accertato.</w:t>
      </w:r>
    </w:p>
    <w:p>
      <w:pPr>
        <w:spacing w:after="120" w:line="276"/>
        <w:jc w:val="both"/>
      </w:pPr>
      <w:r>
        <w:rPr>
          <w:rFonts w:ascii="Barlow Semi Condensed" w:cs="Barlow Semi Condensed" w:eastAsia="Barlow Semi Condensed" w:hAnsi="Barlow Semi Condensed"/>
          <w:b/>
          <w:bCs/>
          <w:sz w:val="24"/>
          <w:szCs w:val="24"/>
        </w:rPr>
        <w:t xml:space="preserve">Terzo tempo, la spiegabilità. Tre spiegazioni sono aperte, già enunciate nella Fase Quarta: limite tecnico degli strumenti impiegati; limite di conduzione, per criteri che non prevedevano l'esame delle strutture murarie; condotta deliberata, con rilievo del materiale e mancata acquisizione.</w:t>
      </w:r>
    </w:p>
    <w:p>
      <w:pPr>
        <w:pStyle w:val="Heading2"/>
        <w:spacing w:after="100" w:before="200"/>
      </w:pPr>
      <w:r>
        <w:rPr>
          <w:rFonts w:ascii="Barlow Semi Condensed" w:cs="Barlow Semi Condensed" w:eastAsia="Barlow Semi Condensed" w:hAnsi="Barlow Semi Condensed"/>
          <w:sz w:val="24"/>
          <w:szCs w:val="24"/>
        </w:rPr>
        <w:t xml:space="preserve">La discriminazione fra le tre spiegazioni</w:t>
      </w:r>
    </w:p>
    <w:p>
      <w:pPr>
        <w:spacing w:after="120" w:line="276"/>
        <w:jc w:val="both"/>
      </w:pPr>
      <w:r>
        <w:rPr>
          <w:rFonts w:ascii="Barlow Semi Condensed" w:cs="Barlow Semi Condensed" w:eastAsia="Barlow Semi Condensed" w:hAnsi="Barlow Semi Condensed"/>
          <w:b/>
          <w:bCs/>
          <w:sz w:val="24"/>
          <w:szCs w:val="24"/>
        </w:rPr>
        <w:t xml:space="preserve">A differenza degli altri elementi di questa Fase, qui la discriminazione è possibile in linea di principio, e conviene indicare come.</w:t>
      </w:r>
    </w:p>
    <w:p>
      <w:pPr>
        <w:spacing w:after="120" w:line="276"/>
        <w:jc w:val="both"/>
      </w:pPr>
      <w:r>
        <w:rPr>
          <w:rFonts w:ascii="Barlow Semi Condensed" w:cs="Barlow Semi Condensed" w:eastAsia="Barlow Semi Condensed" w:hAnsi="Barlow Semi Condensed"/>
          <w:b/>
          <w:bCs/>
          <w:sz w:val="24"/>
          <w:szCs w:val="24"/>
        </w:rPr>
        <w:t xml:space="preserve">Le prime due spiegazioni predicono che la documentazione della prima operazione non contenga menzione di esame delle strutture murarie, e che gli strumenti impiegati non fossero idonei a rilevare intercapedini.</w:t>
      </w:r>
    </w:p>
    <w:p>
      <w:pPr>
        <w:spacing w:after="120" w:line="276"/>
        <w:jc w:val="both"/>
      </w:pPr>
      <w:r>
        <w:rPr>
          <w:rFonts w:ascii="Barlow Semi Condensed" w:cs="Barlow Semi Condensed" w:eastAsia="Barlow Semi Condensed" w:hAnsi="Barlow Semi Condensed"/>
          <w:b/>
          <w:bCs/>
          <w:sz w:val="24"/>
          <w:szCs w:val="24"/>
        </w:rPr>
        <w:t xml:space="preserve">La terza spiegazione predice che l'esame vi fu, o che gli strumenti fossero idonei, e che ciò nondimeno il materiale non fu acquisito.</w:t>
      </w:r>
    </w:p>
    <w:p>
      <w:pPr>
        <w:spacing w:after="120" w:line="276"/>
        <w:jc w:val="both"/>
      </w:pPr>
      <w:r>
        <w:rPr>
          <w:rFonts w:ascii="Barlow Semi Condensed" w:cs="Barlow Semi Condensed" w:eastAsia="Barlow Semi Condensed" w:hAnsi="Barlow Semi Condensed"/>
          <w:b/>
          <w:bCs/>
          <w:sz w:val="24"/>
          <w:szCs w:val="24"/>
        </w:rPr>
        <w:t xml:space="preserve">Le due predizioni sono incompatibili e sono verificabili sui medesimi atti: i verbali della prima operazione, la descrizione delle modalità, l'elenco degli strumenti impiegati.</w:t>
      </w:r>
    </w:p>
    <w:p>
      <w:pPr>
        <w:spacing w:after="120" w:line="276"/>
        <w:jc w:val="both"/>
      </w:pPr>
      <w:r>
        <w:rPr>
          <w:rFonts w:ascii="Barlow Semi Condensed" w:cs="Barlow Semi Condensed" w:eastAsia="Barlow Semi Condensed" w:hAnsi="Barlow Semi Condensed"/>
          <w:b/>
          <w:bCs/>
          <w:sz w:val="24"/>
          <w:szCs w:val="24"/>
        </w:rPr>
        <w:t xml:space="preserve">Questo è, allo stato, il punto dell'intera Fase nel quale una acquisizione documentale determinata produrrebbe uno scioglimento determinato. Si segnala come tale, perché la pressione indica dove il lavoro rende, e qui rende più che altrove.</w:t>
      </w:r>
    </w:p>
    <w:p>
      <w:pPr>
        <w:pStyle w:val="Heading2"/>
        <w:spacing w:after="100" w:before="200"/>
      </w:pPr>
      <w:r>
        <w:rPr>
          <w:rFonts w:ascii="Barlow Semi Condensed" w:cs="Barlow Semi Condensed" w:eastAsia="Barlow Semi Condensed" w:hAnsi="Barlow Semi Condensed"/>
          <w:sz w:val="24"/>
          <w:szCs w:val="24"/>
        </w:rPr>
        <w:t xml:space="preserve">Ciò che il marcatore comporta comunque</w:t>
      </w:r>
    </w:p>
    <w:p>
      <w:pPr>
        <w:spacing w:after="120" w:line="276"/>
        <w:jc w:val="both"/>
      </w:pPr>
      <w:r>
        <w:rPr>
          <w:rFonts w:ascii="Barlow Semi Condensed" w:cs="Barlow Semi Condensed" w:eastAsia="Barlow Semi Condensed" w:hAnsi="Barlow Semi Condensed"/>
          <w:b/>
          <w:bCs/>
          <w:sz w:val="24"/>
          <w:szCs w:val="24"/>
        </w:rPr>
        <w:t xml:space="preserve">Indipendentemente da quale delle tre spiegazioni risulti fondata, il marcatore comporta una conseguenza già enunciata nella Fase Quarta e qui confermata: la completezza del corpus documentale complessivamente disponibile su questa vicenda non può essere presunta.</w:t>
      </w:r>
    </w:p>
    <w:p>
      <w:pPr>
        <w:spacing w:after="120" w:line="276"/>
        <w:jc w:val="both"/>
      </w:pPr>
      <w:r>
        <w:rPr>
          <w:rFonts w:ascii="Barlow Semi Condensed" w:cs="Barlow Semi Condensed" w:eastAsia="Barlow Semi Condensed" w:hAnsi="Barlow Semi Condensed"/>
          <w:b/>
          <w:bCs/>
          <w:sz w:val="24"/>
          <w:szCs w:val="24"/>
        </w:rPr>
        <w:t xml:space="preserve">La conseguenza è generale e permanente. Essa non dipende dalla causa dell'incompletezza accertata, ma dalla sua esistenza: se una operazione si è rivelata incompleta, la presunzione di completezza cade per l'insieme, non perché sia probabile che altre lo siano, ma perché la presunzione era fondata su una fiducia che un caso accertato ha smentito.</w:t>
      </w:r>
    </w:p>
    <w:p>
      <w:pPr>
        <w:pStyle w:val="Heading2"/>
        <w:spacing w:after="100" w:before="200"/>
      </w:pPr>
      <w:r>
        <w:rPr>
          <w:rFonts w:ascii="Barlow Semi Condensed" w:cs="Barlow Semi Condensed" w:eastAsia="Barlow Semi Condensed" w:hAnsi="Barlow Semi Condensed"/>
          <w:sz w:val="24"/>
          <w:szCs w:val="24"/>
        </w:rPr>
        <w:t xml:space="preserve">Il rilievo comparativo</w:t>
      </w:r>
    </w:p>
    <w:p>
      <w:pPr>
        <w:spacing w:after="120" w:line="276"/>
        <w:jc w:val="both"/>
      </w:pPr>
      <w:r>
        <w:rPr>
          <w:rFonts w:ascii="Barlow Semi Condensed" w:cs="Barlow Semi Condensed" w:eastAsia="Barlow Semi Condensed" w:hAnsi="Barlow Semi Condensed"/>
          <w:b/>
          <w:bCs/>
          <w:sz w:val="24"/>
          <w:szCs w:val="24"/>
        </w:rPr>
        <w:t xml:space="preserve">Si osservi la differenza fra questo elemento e quello del Capitolo precedente, perché essa illustra il funzionamento del test.</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ha grande peso apparente e non supera il secondo tempo,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ha peso apparente minore e supera il secondo tempo senza difficoltà, perché non richiede alcuna valutazione di adeguatezza: richiede una constatazione.</w:t>
      </w:r>
    </w:p>
    <w:p>
      <w:pPr>
        <w:spacing w:after="120" w:line="276"/>
        <w:jc w:val="both"/>
      </w:pPr>
      <w:r>
        <w:rPr>
          <w:rFonts w:ascii="Barlow Semi Condensed" w:cs="Barlow Semi Condensed" w:eastAsia="Barlow Semi Condensed" w:hAnsi="Barlow Semi Condensed"/>
          <w:b/>
          <w:bCs/>
          <w:sz w:val="24"/>
          <w:szCs w:val="24"/>
        </w:rPr>
        <w:t xml:space="preserve">Il peso apparente e il rendimento probatorio non coincidono. È una delle ragioni per le quali il metodo esiste.</w:t>
      </w:r>
    </w:p>
    <w:p>
      <w:pPr>
        <w:pStyle w:val="Heading2"/>
        <w:spacing w:after="100" w:before="200"/>
      </w:pPr>
      <w:r>
        <w:rPr>
          <w:rFonts w:ascii="Barlow Semi Condensed" w:cs="Barlow Semi Condensed" w:eastAsia="Barlow Semi Condensed" w:hAnsi="Barlow Semi Condensed"/>
          <w:sz w:val="24"/>
          <w:szCs w:val="24"/>
        </w:rPr>
        <w:t xml:space="preserve">Capitolo quarantasettesimo — Il problema della soglia</w:t>
      </w:r>
    </w:p>
    <w:p>
      <w:pPr>
        <w:spacing w:after="120" w:line="276"/>
        <w:jc w:val="both"/>
      </w:pPr>
      <w:r>
        <w:rPr>
          <w:rFonts w:ascii="Barlow Semi Condensed" w:cs="Barlow Semi Condensed" w:eastAsia="Barlow Semi Condensed" w:hAnsi="Barlow Semi Condensed"/>
          <w:b/>
          <w:bCs/>
          <w:sz w:val="24"/>
          <w:szCs w:val="24"/>
        </w:rPr>
        <w:t xml:space="preserve">Si affronta qui il problema centrale del terzo tempo del test, e il più difficile dell'intera opera: quando l'accumulo di inadempimenti cessi di essere spiegabile con l'errore.</w:t>
      </w:r>
    </w:p>
    <w:p>
      <w:pPr>
        <w:pStyle w:val="Heading2"/>
        <w:spacing w:after="100" w:before="200"/>
      </w:pPr>
      <w:r>
        <w:rPr>
          <w:rFonts w:ascii="Barlow Semi Condensed" w:cs="Barlow Semi Condensed" w:eastAsia="Barlow Semi Condensed" w:hAnsi="Barlow Semi Condensed"/>
          <w:sz w:val="24"/>
          <w:szCs w:val="24"/>
        </w:rPr>
        <w:t xml:space="preserve">L'argomento e la sua forza</w:t>
      </w:r>
    </w:p>
    <w:p>
      <w:pPr>
        <w:spacing w:after="120" w:line="276"/>
        <w:jc w:val="both"/>
      </w:pPr>
      <w:r>
        <w:rPr>
          <w:rFonts w:ascii="Barlow Semi Condensed" w:cs="Barlow Semi Condensed" w:eastAsia="Barlow Semi Condensed" w:hAnsi="Barlow Semi Condensed"/>
          <w:b/>
          <w:bCs/>
          <w:sz w:val="24"/>
          <w:szCs w:val="24"/>
        </w:rPr>
        <w:t xml:space="preserve">L'argomento è noto e ha una forza intuitiva considerevole. Un errore è un errore. Due errori sono due errori. Ma dieci errori, tutti nella medesima direzione, tutti favorevoli al medesimo esito, non sono più dieci errori: sono un disegno.</w:t>
      </w:r>
    </w:p>
    <w:p>
      <w:pPr>
        <w:spacing w:after="120" w:line="276"/>
        <w:jc w:val="both"/>
      </w:pPr>
      <w:r>
        <w:rPr>
          <w:rFonts w:ascii="Barlow Semi Condensed" w:cs="Barlow Semi Condensed" w:eastAsia="Barlow Semi Condensed" w:hAnsi="Barlow Semi Condensed"/>
          <w:b/>
          <w:bCs/>
          <w:sz w:val="24"/>
          <w:szCs w:val="24"/>
        </w:rPr>
        <w:t xml:space="preserve">L'argomento è impiegato costantemente nella letteratura su questa materia, ed è impiegato anche fuori di essa, nella vita corrente e nei tribunali. Esso non è assurdo. La domanda è se sia valido, e a quali condizioni.</w:t>
      </w:r>
    </w:p>
    <w:p>
      <w:pPr>
        <w:pStyle w:val="Heading2"/>
        <w:spacing w:after="100" w:before="200"/>
      </w:pPr>
      <w:r>
        <w:rPr>
          <w:rFonts w:ascii="Barlow Semi Condensed" w:cs="Barlow Semi Condensed" w:eastAsia="Barlow Semi Condensed" w:hAnsi="Barlow Semi Condensed"/>
          <w:sz w:val="24"/>
          <w:szCs w:val="24"/>
        </w:rPr>
        <w:t xml:space="preserve">Le tre condizioni di validità</w:t>
      </w:r>
    </w:p>
    <w:p>
      <w:pPr>
        <w:spacing w:after="120" w:line="276"/>
        <w:jc w:val="both"/>
      </w:pPr>
      <w:r>
        <w:rPr>
          <w:rFonts w:ascii="Barlow Semi Condensed" w:cs="Barlow Semi Condensed" w:eastAsia="Barlow Semi Condensed" w:hAnsi="Barlow Semi Condensed"/>
          <w:b/>
          <w:bCs/>
          <w:sz w:val="24"/>
          <w:szCs w:val="24"/>
        </w:rPr>
        <w:t xml:space="preserve">L'argomento è valido se e solo se tre condizioni sono soddisfatte simultaneamente. Esse sono raramente verificate, e quasi mai dichiarate.</w:t>
      </w:r>
    </w:p>
    <w:p>
      <w:pPr>
        <w:spacing w:after="120" w:line="276"/>
        <w:jc w:val="both"/>
      </w:pPr>
      <w:r>
        <w:rPr>
          <w:rFonts w:ascii="Barlow Semi Condensed" w:cs="Barlow Semi Condensed" w:eastAsia="Barlow Semi Condensed" w:hAnsi="Barlow Semi Condensed"/>
          <w:b/>
          <w:bCs/>
          <w:sz w:val="24"/>
          <w:szCs w:val="24"/>
        </w:rPr>
        <w:t xml:space="preserve">Prima condizione: la base. Occorre conoscere il tasso ordinario di errore in operazioni comparabili. Dire che dieci errori sono troppi presuppone di sapere quanti ne siano normali. Se il tasso ordinario è ignoto, l'affermazione che dieci siano troppi non è una misura: è una impressione.</w:t>
      </w:r>
    </w:p>
    <w:p>
      <w:pPr>
        <w:spacing w:after="120" w:line="276"/>
        <w:jc w:val="both"/>
      </w:pPr>
      <w:r>
        <w:rPr>
          <w:rFonts w:ascii="Barlow Semi Condensed" w:cs="Barlow Semi Condensed" w:eastAsia="Barlow Semi Condensed" w:hAnsi="Barlow Semi Condensed"/>
          <w:b/>
          <w:bCs/>
          <w:sz w:val="24"/>
          <w:szCs w:val="24"/>
        </w:rPr>
        <w:t xml:space="preserve">Seconda condizione: l'indipendenza. Occorre che gli errori siano indipendenti fra loro. Se un errore iniziale ne produce altri per conseguenza — una informazione mal valutata che indirizza tutte le verifiche successive — allora dieci errori conseguenti non sono dieci eventi, ma uno solo con nove ripercussioni. La moltiplicazione apparente è un artefatto del conteggio.</w:t>
      </w:r>
    </w:p>
    <w:p>
      <w:pPr>
        <w:spacing w:after="120" w:line="276"/>
        <w:jc w:val="both"/>
      </w:pPr>
      <w:r>
        <w:rPr>
          <w:rFonts w:ascii="Barlow Semi Condensed" w:cs="Barlow Semi Condensed" w:eastAsia="Barlow Semi Condensed" w:hAnsi="Barlow Semi Condensed"/>
          <w:b/>
          <w:bCs/>
          <w:sz w:val="24"/>
          <w:szCs w:val="24"/>
        </w:rPr>
        <w:t xml:space="preserve">Terza condizione: l'assenza di selezione a posteriori. Ed è la condizione più frequentemente violata, e la più insidiosa.</w:t>
      </w:r>
    </w:p>
    <w:p>
      <w:pPr>
        <w:pStyle w:val="Heading2"/>
        <w:spacing w:after="100" w:before="200"/>
      </w:pPr>
      <w:r>
        <w:rPr>
          <w:rFonts w:ascii="Barlow Semi Condensed" w:cs="Barlow Semi Condensed" w:eastAsia="Barlow Semi Condensed" w:hAnsi="Barlow Semi Condensed"/>
          <w:sz w:val="24"/>
          <w:szCs w:val="24"/>
        </w:rPr>
        <w:t xml:space="preserve">La selezione a posteriori</w:t>
      </w:r>
    </w:p>
    <w:p>
      <w:pPr>
        <w:spacing w:after="120" w:line="276"/>
        <w:jc w:val="both"/>
      </w:pPr>
      <w:r>
        <w:rPr>
          <w:rFonts w:ascii="Barlow Semi Condensed" w:cs="Barlow Semi Condensed" w:eastAsia="Barlow Semi Condensed" w:hAnsi="Barlow Semi Condensed"/>
          <w:b/>
          <w:bCs/>
          <w:sz w:val="24"/>
          <w:szCs w:val="24"/>
        </w:rPr>
        <w:t xml:space="preserve">Occorre svolgere la terza condizione, perché è quella che rovina la maggior parte degli argomenti di questo tipo.</w:t>
      </w:r>
    </w:p>
    <w:p>
      <w:pPr>
        <w:spacing w:after="120" w:line="276"/>
        <w:jc w:val="both"/>
      </w:pPr>
      <w:r>
        <w:rPr>
          <w:rFonts w:ascii="Barlow Semi Condensed" w:cs="Barlow Semi Condensed" w:eastAsia="Barlow Semi Condensed" w:hAnsi="Barlow Semi Condensed"/>
          <w:b/>
          <w:bCs/>
          <w:sz w:val="24"/>
          <w:szCs w:val="24"/>
        </w:rPr>
        <w:t xml:space="preserve">In ogni operazione complessa si commettono numerosissimi errori. La maggior parte di essi non ha conseguenze, e nessuno li nota. Quando l'operazione fallisce, si ripercorre a ritroso il cammino e si isolano gli errori che, con il senno di poi, risultano avere contribuito al fallimento.</w:t>
      </w:r>
    </w:p>
    <w:p>
      <w:pPr>
        <w:spacing w:after="120" w:line="276"/>
        <w:jc w:val="both"/>
      </w:pPr>
      <w:r>
        <w:rPr>
          <w:rFonts w:ascii="Barlow Semi Condensed" w:cs="Barlow Semi Condensed" w:eastAsia="Barlow Semi Condensed" w:hAnsi="Barlow Semi Condensed"/>
          <w:b/>
          <w:bCs/>
          <w:sz w:val="24"/>
          <w:szCs w:val="24"/>
        </w:rPr>
        <w:t xml:space="preserve">Ma questa selezione è operata dall'esito. Non si sta contando quanti errori furono commessi: si sta contando quanti, fra quelli commessi, si rivelarono decisivi. E quella cifra è alta per costruzione, in ogni operazione fallita, indipendentemente dal fatto che vi fosse o meno un disegno.</w:t>
      </w:r>
    </w:p>
    <w:p>
      <w:pPr>
        <w:spacing w:after="120" w:line="276"/>
        <w:jc w:val="both"/>
      </w:pPr>
      <w:r>
        <w:rPr>
          <w:rFonts w:ascii="Barlow Semi Condensed" w:cs="Barlow Semi Condensed" w:eastAsia="Barlow Semi Condensed" w:hAnsi="Barlow Semi Condensed"/>
          <w:b/>
          <w:bCs/>
          <w:sz w:val="24"/>
          <w:szCs w:val="24"/>
        </w:rPr>
        <w:t xml:space="preserve">Ne segue che la constatazione troppi errori nella medesima direzione, quando la direzione è definita dall'esito, non ha valore probatorio alcuno. Essa descrive la struttura del nostro sguardo retrospettivo, non la struttura degli eventi.</w:t>
      </w:r>
    </w:p>
    <w:p>
      <w:pPr>
        <w:spacing w:after="120" w:line="276"/>
        <w:jc w:val="both"/>
      </w:pPr>
      <w:r>
        <w:rPr>
          <w:rFonts w:ascii="Barlow Semi Condensed" w:cs="Barlow Semi Condensed" w:eastAsia="Barlow Semi Condensed" w:hAnsi="Barlow Semi Condensed"/>
          <w:b/>
          <w:bCs/>
          <w:sz w:val="24"/>
          <w:szCs w:val="24"/>
        </w:rPr>
        <w:t xml:space="preserve">Questo è il punto sul quale la letteratura su questa materia sbaglia con maggiore frequenza, ed è un errore che si commette in perfetta buona fede, perché l'operazione mentale che lo produce è invisibile a chi la compie.</w:t>
      </w:r>
    </w:p>
    <w:p>
      <w:pPr>
        <w:pStyle w:val="Heading2"/>
        <w:spacing w:after="100" w:before="200"/>
      </w:pPr>
      <w:r>
        <w:rPr>
          <w:rFonts w:ascii="Barlow Semi Condensed" w:cs="Barlow Semi Condensed" w:eastAsia="Barlow Semi Condensed" w:hAnsi="Barlow Semi Condensed"/>
          <w:sz w:val="24"/>
          <w:szCs w:val="24"/>
        </w:rPr>
        <w:t xml:space="preserve">Che cosa dunque validerebbe l'argomento</w:t>
      </w:r>
    </w:p>
    <w:p>
      <w:pPr>
        <w:spacing w:after="120" w:line="276"/>
        <w:jc w:val="both"/>
      </w:pPr>
      <w:r>
        <w:rPr>
          <w:rFonts w:ascii="Barlow Semi Condensed" w:cs="Barlow Semi Condensed" w:eastAsia="Barlow Semi Condensed" w:hAnsi="Barlow Semi Condensed"/>
          <w:b/>
          <w:bCs/>
          <w:sz w:val="24"/>
          <w:szCs w:val="24"/>
        </w:rPr>
        <w:t xml:space="preserve">L'argomento sarebbe valido se si potesse mostrare che gli inadempimenti sono anomali rispetto a un termine di riferimento indipendente dall'esito.</w:t>
      </w:r>
    </w:p>
    <w:p>
      <w:pPr>
        <w:spacing w:after="120" w:line="276"/>
        <w:jc w:val="both"/>
      </w:pPr>
      <w:r>
        <w:rPr>
          <w:rFonts w:ascii="Barlow Semi Condensed" w:cs="Barlow Semi Condensed" w:eastAsia="Barlow Semi Condensed" w:hAnsi="Barlow Semi Condensed"/>
          <w:b/>
          <w:bCs/>
          <w:sz w:val="24"/>
          <w:szCs w:val="24"/>
        </w:rPr>
        <w:t xml:space="preserve">Due vie sono concepibili.</w:t>
      </w:r>
    </w:p>
    <w:p>
      <w:pPr>
        <w:spacing w:after="120" w:line="276"/>
        <w:jc w:val="both"/>
      </w:pPr>
      <w:r>
        <w:rPr>
          <w:rFonts w:ascii="Barlow Semi Condensed" w:cs="Barlow Semi Condensed" w:eastAsia="Barlow Semi Condensed" w:hAnsi="Barlow Semi Condensed"/>
          <w:b/>
          <w:bCs/>
          <w:sz w:val="24"/>
          <w:szCs w:val="24"/>
        </w:rPr>
        <w:t xml:space="preserve">Prima via: la comparazione con operazioni analoghe condotte dai medesimi uffici nel medesimo periodo e con esito diverso. Se in operazioni comparabili gli uffici non commisero quegli inadempimenti, la loro concentrazione in questa diventa anomala rispetto a un riferimento indipendente.</w:t>
      </w:r>
    </w:p>
    <w:p>
      <w:pPr>
        <w:spacing w:after="120" w:line="276"/>
        <w:jc w:val="both"/>
      </w:pPr>
      <w:r>
        <w:rPr>
          <w:rFonts w:ascii="Barlow Semi Condensed" w:cs="Barlow Semi Condensed" w:eastAsia="Barlow Semi Condensed" w:hAnsi="Barlow Semi Condensed"/>
          <w:b/>
          <w:bCs/>
          <w:sz w:val="24"/>
          <w:szCs w:val="24"/>
        </w:rPr>
        <w:t xml:space="preserve">Seconda via: la comparazione interna. Se all'interno della medesima operazione taluni adempimenti furono compiuti con diligenza e altri no, e la ripartizione non è spiegabile con la difficoltà differenziale, la disomogeneità è essa stessa un dato.</w:t>
      </w:r>
    </w:p>
    <w:p>
      <w:pPr>
        <w:spacing w:after="120" w:line="276"/>
        <w:jc w:val="both"/>
      </w:pPr>
      <w:r>
        <w:rPr>
          <w:rFonts w:ascii="Barlow Semi Condensed" w:cs="Barlow Semi Condensed" w:eastAsia="Barlow Semi Condensed" w:hAnsi="Barlow Semi Condensed"/>
          <w:b/>
          <w:bCs/>
          <w:sz w:val="24"/>
          <w:szCs w:val="24"/>
        </w:rPr>
        <w:t xml:space="preserve">Entrambe le vie richiedono documentazione che non è stata acquisita nella presente campagna. Sono iscritte in tavola.</w:t>
      </w:r>
    </w:p>
    <w:p>
      <w:pPr>
        <w:pStyle w:val="Heading2"/>
        <w:spacing w:after="100" w:before="200"/>
      </w:pPr>
      <w:r>
        <w:rPr>
          <w:rFonts w:ascii="Barlow Semi Condensed" w:cs="Barlow Semi Condensed" w:eastAsia="Barlow Semi Condensed" w:hAnsi="Barlow Semi Condensed"/>
          <w:sz w:val="24"/>
          <w:szCs w:val="24"/>
        </w:rPr>
        <w:t xml:space="preserve">La disposizione che ne discende</w:t>
      </w:r>
    </w:p>
    <w:p>
      <w:pPr>
        <w:spacing w:after="120" w:line="276"/>
        <w:jc w:val="both"/>
      </w:pPr>
      <w:r>
        <w:rPr>
          <w:rFonts w:ascii="Barlow Semi Condensed" w:cs="Barlow Semi Condensed" w:eastAsia="Barlow Semi Condensed" w:hAnsi="Barlow Semi Condensed"/>
          <w:b/>
          <w:bCs/>
          <w:sz w:val="24"/>
          <w:szCs w:val="24"/>
        </w:rPr>
        <w:t xml:space="preserve">Fino a che una di tali comparazioni non sia condotta, quest'opera non impiega l'argomento dell'accumulo.</w:t>
      </w:r>
    </w:p>
    <w:p>
      <w:pPr>
        <w:spacing w:after="120" w:line="276"/>
        <w:jc w:val="both"/>
      </w:pPr>
      <w:r>
        <w:rPr>
          <w:rFonts w:ascii="Barlow Semi Condensed" w:cs="Barlow Semi Condensed" w:eastAsia="Barlow Semi Condensed" w:hAnsi="Barlow Semi Condensed"/>
          <w:b/>
          <w:bCs/>
          <w:sz w:val="24"/>
          <w:szCs w:val="24"/>
        </w:rPr>
        <w:t xml:space="preserve">La disposizione è severa e ha un costo, che si dichiara: essa priva l'opera dell'argomento più efficace e più suggestivo disponibile in questa materia. Ma un argomento che non soddisfi le proprie condizioni di validità non è un argomento debole: è un argomento nullo, e la sua efficacia retorica è inversamente proporzionale al suo valore.</w:t>
      </w:r>
    </w:p>
    <w:p>
      <w:pPr>
        <w:spacing w:after="120" w:line="276"/>
        <w:jc w:val="both"/>
      </w:pPr>
      <w:r>
        <w:rPr>
          <w:rFonts w:ascii="Barlow Semi Condensed" w:cs="Barlow Semi Condensed" w:eastAsia="Barlow Semi Condensed" w:hAnsi="Barlow Semi Condensed"/>
          <w:b/>
          <w:bCs/>
          <w:sz w:val="24"/>
          <w:szCs w:val="24"/>
        </w:rPr>
        <w:t xml:space="preserve">Si aggiunga che questa disposizione non prejudica l'esito. Se la comparazione fosse condotta e mostrasse l'anomalia, l'argomento diverrebbe valido e l'opera lo impiegherebbe. La disposizione non nega la conclusione: nega che la si possa raggiungere per la via breve.</w:t>
      </w:r>
    </w:p>
    <w:p>
      <w:pPr>
        <w:pStyle w:val="Heading2"/>
        <w:spacing w:after="100" w:before="200"/>
      </w:pPr>
      <w:r>
        <w:rPr>
          <w:rFonts w:ascii="Barlow Semi Condensed" w:cs="Barlow Semi Condensed" w:eastAsia="Barlow Semi Condensed" w:hAnsi="Barlow Semi Condensed"/>
          <w:sz w:val="24"/>
          <w:szCs w:val="24"/>
        </w:rPr>
        <w:t xml:space="preserve">Capitolo quarantottesimo — Che cosa proverebbe l'omissione deliberata</w:t>
      </w:r>
    </w:p>
    <w:p>
      <w:pPr>
        <w:spacing w:after="120" w:line="276"/>
        <w:jc w:val="both"/>
      </w:pPr>
      <w:r>
        <w:rPr>
          <w:rFonts w:ascii="Barlow Semi Condensed" w:cs="Barlow Semi Condensed" w:eastAsia="Barlow Semi Condensed" w:hAnsi="Barlow Semi Condensed"/>
          <w:b/>
          <w:bCs/>
          <w:sz w:val="24"/>
          <w:szCs w:val="24"/>
        </w:rPr>
        <w:t xml:space="preserve">Poiché nessuno degli elementi esaminati ha superato il terzo tempo del test, occorre indicare con precisione che cosa lo supererebbe. È l'obbligo che il Capitolo terzo impone a ogni dubbio registrato: accanto a esso deve stare scritto che cosa lo scioglierebbe.</w:t>
      </w:r>
    </w:p>
    <w:p>
      <w:pPr>
        <w:pStyle w:val="Heading2"/>
        <w:spacing w:after="100" w:before="200"/>
      </w:pPr>
      <w:r>
        <w:rPr>
          <w:rFonts w:ascii="Barlow Semi Condensed" w:cs="Barlow Semi Condensed" w:eastAsia="Barlow Semi Condensed" w:hAnsi="Barlow Semi Condensed"/>
          <w:sz w:val="24"/>
          <w:szCs w:val="24"/>
        </w:rPr>
        <w:t xml:space="preserve">Le quattro classi di prova</w:t>
      </w:r>
    </w:p>
    <w:p>
      <w:pPr>
        <w:spacing w:after="120" w:line="276"/>
        <w:jc w:val="both"/>
      </w:pPr>
      <w:r>
        <w:rPr>
          <w:rFonts w:ascii="Barlow Semi Condensed" w:cs="Barlow Semi Condensed" w:eastAsia="Barlow Semi Condensed" w:hAnsi="Barlow Semi Condensed"/>
          <w:b/>
          <w:bCs/>
          <w:sz w:val="24"/>
          <w:szCs w:val="24"/>
        </w:rPr>
        <w:t xml:space="preserve">Sono concepibili quattro classi di prova dell'omissione deliberata, ordinate per forza decrescente.</w:t>
      </w:r>
    </w:p>
    <w:p>
      <w:pPr>
        <w:spacing w:after="120" w:line="276"/>
        <w:jc w:val="both"/>
      </w:pPr>
      <w:r>
        <w:rPr>
          <w:rFonts w:ascii="Barlow Semi Condensed" w:cs="Barlow Semi Condensed" w:eastAsia="Barlow Semi Condensed" w:hAnsi="Barlow Semi Condensed"/>
          <w:b/>
          <w:bCs/>
          <w:sz w:val="24"/>
          <w:szCs w:val="24"/>
        </w:rPr>
        <w:t xml:space="preserve">Prima classe: la prova diretta della decisione. Un atto — ordine, direttiva, annotazione, comunicazione — dal quale risulti che l'inadempimento fu disposto. È la prova più forte e la meno probabile, perché una decisione di tale natura non si documenta se non per errore di chi la assume.</w:t>
      </w:r>
    </w:p>
    <w:p>
      <w:pPr>
        <w:spacing w:after="120" w:line="276"/>
        <w:jc w:val="both"/>
      </w:pPr>
      <w:r>
        <w:rPr>
          <w:rFonts w:ascii="Barlow Semi Condensed" w:cs="Barlow Semi Condensed" w:eastAsia="Barlow Semi Condensed" w:hAnsi="Barlow Semi Condensed"/>
          <w:b/>
          <w:bCs/>
          <w:sz w:val="24"/>
          <w:szCs w:val="24"/>
        </w:rPr>
        <w:t xml:space="preserve">Seconda classe: la prova della conoscenza inutilizzata. Documentazione dalla quale risulti che una informazione idonea a produrre l'esito pervenne a un ufficio e non fu impiegata, senza che l'omesso impiego sia spiegabile con la valutazione di inattendibilità o con difetto di coordinamento documentato. È prova forte e non impossibile, perché la ricezione di informazioni lascia traccia.</w:t>
      </w:r>
    </w:p>
    <w:p>
      <w:pPr>
        <w:spacing w:after="120" w:line="276"/>
        <w:jc w:val="both"/>
      </w:pPr>
      <w:r>
        <w:rPr>
          <w:rFonts w:ascii="Barlow Semi Condensed" w:cs="Barlow Semi Condensed" w:eastAsia="Barlow Semi Condensed" w:hAnsi="Barlow Semi Condensed"/>
          <w:b/>
          <w:bCs/>
          <w:sz w:val="24"/>
          <w:szCs w:val="24"/>
        </w:rPr>
        <w:t xml:space="preserve">Terza classe: la prova comparativa dell'anomalia. È quella descritta nel Capitolo precedente, nelle sue due vie. Essa non prova la deliberazione ma la esclude come improbabile alternativa all'errore, il che è meno ma non è poco.</w:t>
      </w:r>
    </w:p>
    <w:p>
      <w:pPr>
        <w:spacing w:after="120" w:line="276"/>
        <w:jc w:val="both"/>
      </w:pPr>
      <w:r>
        <w:rPr>
          <w:rFonts w:ascii="Barlow Semi Condensed" w:cs="Barlow Semi Condensed" w:eastAsia="Barlow Semi Condensed" w:hAnsi="Barlow Semi Condensed"/>
          <w:b/>
          <w:bCs/>
          <w:sz w:val="24"/>
          <w:szCs w:val="24"/>
        </w:rPr>
        <w:t xml:space="preserve">Quarta classe: la prova per convergenza di indipendenti. Se più elementi, ciascuno insufficiente e ciascuno accertato da fonti reciprocamente indipendenti, convergono sul medesimo punto, la convergenza ha valore proprio.</w:t>
      </w:r>
    </w:p>
    <w:p>
      <w:pPr>
        <w:pStyle w:val="Heading2"/>
        <w:spacing w:after="100" w:before="200"/>
      </w:pPr>
      <w:r>
        <w:rPr>
          <w:rFonts w:ascii="Barlow Semi Condensed" w:cs="Barlow Semi Condensed" w:eastAsia="Barlow Semi Condensed" w:hAnsi="Barlow Semi Condensed"/>
          <w:sz w:val="24"/>
          <w:szCs w:val="24"/>
        </w:rPr>
        <w:t xml:space="preserve">La cautela sulla quarta classe</w:t>
      </w:r>
    </w:p>
    <w:p>
      <w:pPr>
        <w:spacing w:after="120" w:line="276"/>
        <w:jc w:val="both"/>
      </w:pPr>
      <w:r>
        <w:rPr>
          <w:rFonts w:ascii="Barlow Semi Condensed" w:cs="Barlow Semi Condensed" w:eastAsia="Barlow Semi Condensed" w:hAnsi="Barlow Semi Condensed"/>
          <w:b/>
          <w:bCs/>
          <w:sz w:val="24"/>
          <w:szCs w:val="24"/>
        </w:rPr>
        <w:t xml:space="preserve">Sulla quarta classe occorre una avvertenza, perché essa è quella che si presta all'abuso.</w:t>
      </w:r>
    </w:p>
    <w:p>
      <w:pPr>
        <w:spacing w:after="120" w:line="276"/>
        <w:jc w:val="both"/>
      </w:pPr>
      <w:r>
        <w:rPr>
          <w:rFonts w:ascii="Barlow Semi Condensed" w:cs="Barlow Semi Condensed" w:eastAsia="Barlow Semi Condensed" w:hAnsi="Barlow Semi Condensed"/>
          <w:b/>
          <w:bCs/>
          <w:sz w:val="24"/>
          <w:szCs w:val="24"/>
        </w:rPr>
        <w:t xml:space="preserve">La convergenza vale se e solo se le fonti sono realmente indipendenti. Nel caso di specie ciò richiede una verifica che è stata frequentemente omessa: molte delle fonti che appaiono distinte discendono, risalendo la genealogia, da un medesimo evento originario — una medesima dichiarazione, un medesimo sequestro, una medesima ricostruzione poi ripresa da altri.</w:t>
      </w:r>
    </w:p>
    <w:p>
      <w:pPr>
        <w:spacing w:after="120" w:line="276"/>
        <w:jc w:val="both"/>
      </w:pPr>
      <w:r>
        <w:rPr>
          <w:rFonts w:ascii="Barlow Semi Condensed" w:cs="Barlow Semi Condensed" w:eastAsia="Barlow Semi Condensed" w:hAnsi="Barlow Semi Condensed"/>
          <w:b/>
          <w:bCs/>
          <w:sz w:val="24"/>
          <w:szCs w:val="24"/>
        </w:rPr>
        <w:t xml:space="preserve">Prima di computare una convergenza occorre dunque collassare la genealogia delle fonti e verificare quante catene realmente distinte vi siano. Una convergenza di sei fonti che discendano da due eventi originari è una convergenza di due, non di sei.</w:t>
      </w:r>
    </w:p>
    <w:p>
      <w:pPr>
        <w:spacing w:after="120" w:line="276"/>
        <w:jc w:val="both"/>
      </w:pPr>
      <w:r>
        <w:rPr>
          <w:rFonts w:ascii="Barlow Semi Condensed" w:cs="Barlow Semi Condensed" w:eastAsia="Barlow Semi Condensed" w:hAnsi="Barlow Semi Condensed"/>
          <w:b/>
          <w:bCs/>
          <w:sz w:val="24"/>
          <w:szCs w:val="24"/>
        </w:rPr>
        <w:t xml:space="preserve">Questa verifica non è stata condotta sistematicamente sul materiale di questa Fase, ed è iscritta in tavola.</w:t>
      </w:r>
    </w:p>
    <w:p>
      <w:pPr>
        <w:pStyle w:val="Heading2"/>
        <w:spacing w:after="100" w:before="200"/>
      </w:pPr>
      <w:r>
        <w:rPr>
          <w:rFonts w:ascii="Barlow Semi Condensed" w:cs="Barlow Semi Condensed" w:eastAsia="Barlow Semi Condensed" w:hAnsi="Barlow Semi Condensed"/>
          <w:sz w:val="24"/>
          <w:szCs w:val="24"/>
        </w:rPr>
        <w:t xml:space="preserve">Ciò che non proverebbe nulla</w:t>
      </w:r>
    </w:p>
    <w:p>
      <w:pPr>
        <w:spacing w:after="120" w:line="276"/>
        <w:jc w:val="both"/>
      </w:pPr>
      <w:r>
        <w:rPr>
          <w:rFonts w:ascii="Barlow Semi Condensed" w:cs="Barlow Semi Condensed" w:eastAsia="Barlow Semi Condensed" w:hAnsi="Barlow Semi Condensed"/>
          <w:b/>
          <w:bCs/>
          <w:sz w:val="24"/>
          <w:szCs w:val="24"/>
        </w:rPr>
        <w:t xml:space="preserve">Si dichiara altresì, per simmetria, che cosa non proverebbe l'omissione deliberata, poiché tali argomenti sono ricorrenti.</w:t>
      </w:r>
    </w:p>
    <w:p>
      <w:pPr>
        <w:spacing w:after="120" w:line="276"/>
        <w:jc w:val="both"/>
      </w:pPr>
      <w:r>
        <w:rPr>
          <w:rFonts w:ascii="Barlow Semi Condensed" w:cs="Barlow Semi Condensed" w:eastAsia="Barlow Semi Condensed" w:hAnsi="Barlow Semi Condensed"/>
          <w:b/>
          <w:bCs/>
          <w:sz w:val="24"/>
          <w:szCs w:val="24"/>
        </w:rPr>
        <w:t xml:space="preserve">Non la proverebbe la gravità delle conseguenze. Un errore con conseguenze gravissime resta un errore.</w:t>
      </w:r>
    </w:p>
    <w:p>
      <w:pPr>
        <w:spacing w:after="120" w:line="276"/>
        <w:jc w:val="both"/>
      </w:pPr>
      <w:r>
        <w:rPr>
          <w:rFonts w:ascii="Barlow Semi Condensed" w:cs="Barlow Semi Condensed" w:eastAsia="Barlow Semi Condensed" w:hAnsi="Barlow Semi Condensed"/>
          <w:b/>
          <w:bCs/>
          <w:sz w:val="24"/>
          <w:szCs w:val="24"/>
        </w:rPr>
        <w:t xml:space="preserve">Non la proverebbe la posizione di chi omise. L'appartenenza di un funzionario a un ambiente, a una associazione o a una corrente non stabilisce che una sua omissione fosse deliberata. Il passaggio dalla appartenenza alla condotta è lo stesso salto che tutta l'opera vieta, e non diventa lecito perché l'appartenenza sia documentata e sgradevole.</w:t>
      </w:r>
    </w:p>
    <w:p>
      <w:pPr>
        <w:spacing w:after="120" w:line="276"/>
        <w:jc w:val="both"/>
      </w:pPr>
      <w:r>
        <w:rPr>
          <w:rFonts w:ascii="Barlow Semi Condensed" w:cs="Barlow Semi Condensed" w:eastAsia="Barlow Semi Condensed" w:hAnsi="Barlow Semi Condensed"/>
          <w:b/>
          <w:bCs/>
          <w:sz w:val="24"/>
          <w:szCs w:val="24"/>
        </w:rPr>
        <w:t xml:space="preserve">Non la proverebbe la reticenza successiva. Che un ufficio o una persona abbiano opposto resistenza agli accertamenti successivi è un fatto e va registrato come tale; ma la resistenza agli accertamenti ha molte cause, fra le quali la protezione di errori propri, e non stabilisce quale fosse la natura del fatto protetto.</w:t>
      </w:r>
    </w:p>
    <w:p>
      <w:pPr>
        <w:spacing w:after="120" w:line="276"/>
        <w:jc w:val="both"/>
      </w:pPr>
      <w:r>
        <w:rPr>
          <w:rFonts w:ascii="Barlow Semi Condensed" w:cs="Barlow Semi Condensed" w:eastAsia="Barlow Semi Condensed" w:hAnsi="Barlow Semi Condensed"/>
          <w:b/>
          <w:bCs/>
          <w:sz w:val="24"/>
          <w:szCs w:val="24"/>
        </w:rPr>
        <w:t xml:space="preserve">Non la proverebbe l'accumulo, alle condizioni esposte nel Capitolo precedente.</w:t>
      </w:r>
    </w:p>
    <w:p>
      <w:pPr>
        <w:pStyle w:val="Heading2"/>
        <w:spacing w:after="100" w:before="200"/>
      </w:pPr>
      <w:r>
        <w:rPr>
          <w:rFonts w:ascii="Barlow Semi Condensed" w:cs="Barlow Semi Condensed" w:eastAsia="Barlow Semi Condensed" w:hAnsi="Barlow Semi Condensed"/>
          <w:sz w:val="24"/>
          <w:szCs w:val="24"/>
        </w:rPr>
        <w:t xml:space="preserve">Capitolo quarantanovesimo — La matrice riveduta</w:t>
      </w:r>
    </w:p>
    <w:p>
      <w:pPr>
        <w:spacing w:after="120" w:line="276"/>
        <w:jc w:val="both"/>
      </w:pPr>
      <w:r>
        <w:rPr>
          <w:rFonts w:ascii="Barlow Semi Condensed" w:cs="Barlow Semi Condensed" w:eastAsia="Barlow Semi Condensed" w:hAnsi="Barlow Semi Condensed"/>
          <w:b/>
          <w:bCs/>
          <w:sz w:val="24"/>
          <w:szCs w:val="24"/>
        </w:rPr>
        <w:t xml:space="preserve">La Fase Seconda ha costruito una matrice su quattro generi di ipotesi e sette evidenze, e ha indicato la quinta evidenza — le omissioni accertate — come quella di maggiore potere discriminante potenziale. Si verifica ora se il potenziale si sia realizzato.</w:t>
      </w:r>
    </w:p>
    <w:p>
      <w:pPr>
        <w:pStyle w:val="Heading2"/>
        <w:spacing w:after="100" w:before="200"/>
      </w:pPr>
      <w:r>
        <w:rPr>
          <w:rFonts w:ascii="Barlow Semi Condensed" w:cs="Barlow Semi Condensed" w:eastAsia="Barlow Semi Condensed" w:hAnsi="Barlow Semi Condensed"/>
          <w:sz w:val="24"/>
          <w:szCs w:val="24"/>
        </w:rPr>
        <w:t xml:space="preserve">L'esito del test sui quattro elementi</w:t>
      </w:r>
    </w:p>
    <w:p>
      <w:pPr>
        <w:spacing w:after="120" w:line="276"/>
        <w:jc w:val="both"/>
      </w:pPr>
      <w:r>
        <w:rPr>
          <w:rFonts w:ascii="Barlow Semi Condensed" w:cs="Barlow Semi Condensed" w:eastAsia="Barlow Semi Condensed" w:hAnsi="Barlow Semi Condensed"/>
          <w:b/>
          <w:bCs/>
          <w:sz w:val="24"/>
          <w:szCs w:val="24"/>
        </w:rPr>
        <w:t xml:space="preserve">Dei quattro elementi consegnati a questa Fase, l'esito del test è il seguente.</w:t>
      </w:r>
    </w:p>
    <w:p>
      <w:pPr>
        <w:spacing w:after="120" w:line="276"/>
        <w:jc w:val="both"/>
      </w:pPr>
      <w:r>
        <w:rPr>
          <w:rFonts w:ascii="Barlow Semi Condensed" w:cs="Barlow Semi Condensed" w:eastAsia="Barlow Semi Condensed" w:hAnsi="Barlow Semi Condensed"/>
          <w:b/>
          <w:bCs/>
          <w:sz w:val="24"/>
          <w:szCs w:val="24"/>
        </w:rPr>
        <w:t xml:space="preserve">Le due circostanze di via Gradoli: test arrestato al secondo tempo per la prima, al terzo per la seconda, in entrambi i casi per difetto di elementi documentali. Qualificazione come omissione non accertata.</w:t>
      </w:r>
    </w:p>
    <w:p>
      <w:pPr>
        <w:spacing w:after="120" w:line="276"/>
        <w:jc w:val="both"/>
      </w:pPr>
      <w:r>
        <w:rPr>
          <w:rFonts w:ascii="Barlow Semi Condensed" w:cs="Barlow Semi Condensed" w:eastAsia="Barlow Semi Condensed" w:hAnsi="Barlow Semi Condensed"/>
          <w:b/>
          <w:bCs/>
          <w:sz w:val="24"/>
          <w:szCs w:val="24"/>
        </w:rPr>
        <w:t xml:space="preserve">Il comunicato apocrifo: natura deliberata dell'atto accertata in stato di sciolto; autore e finalità non accertati.</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test arrestato al secondo tempo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documentale: inadempimento accertato in stato di sciolto; spiegabilità non accertata, con tre ipotesi aperte e via di discriminazione indicata.</w:t>
      </w:r>
    </w:p>
    <w:p>
      <w:pPr>
        <w:pStyle w:val="Heading2"/>
        <w:spacing w:after="100" w:before="200"/>
      </w:pPr>
      <w:r>
        <w:rPr>
          <w:rFonts w:ascii="Barlow Semi Condensed" w:cs="Barlow Semi Condensed" w:eastAsia="Barlow Semi Condensed" w:hAnsi="Barlow Semi Condensed"/>
          <w:sz w:val="24"/>
          <w:szCs w:val="24"/>
        </w:rPr>
        <w:t xml:space="preserve">La revisione della matrice</w:t>
      </w:r>
    </w:p>
    <w:p>
      <w:pPr>
        <w:spacing w:after="120" w:line="276"/>
        <w:jc w:val="both"/>
      </w:pPr>
      <w:r>
        <w:rPr>
          <w:rFonts w:ascii="Barlow Semi Condensed" w:cs="Barlow Semi Condensed" w:eastAsia="Barlow Semi Condensed" w:hAnsi="Barlow Semi Condensed"/>
          <w:b/>
          <w:bCs/>
          <w:sz w:val="24"/>
          <w:szCs w:val="24"/>
        </w:rPr>
        <w:t xml:space="preserve">Ne discende la revisione seguente.</w:t>
      </w:r>
    </w:p>
    <w:p>
      <w:pPr>
        <w:spacing w:after="120" w:line="276"/>
        <w:jc w:val="both"/>
      </w:pPr>
      <w:r>
        <w:rPr>
          <w:rFonts w:ascii="Barlow Semi Condensed" w:cs="Barlow Semi Condensed" w:eastAsia="Barlow Semi Condensed" w:hAnsi="Barlow Semi Condensed"/>
          <w:b/>
          <w:bCs/>
          <w:sz w:val="24"/>
          <w:szCs w:val="24"/>
        </w:rPr>
        <w:t xml:space="preserve">Rispetto al primo genere — movente dichiarato, esecuzione autonoma — l'elemento del comunicato apocrifo comporta un costo. Il genere deve spiegarlo come atto di un terzo estraneo tanto ai rapitori quanto alle istituzioni, ovvero come atto di un soggetto istituzionale mosso da finalità proprie non collegate alla vicenda. Entrambe le spiegazioni sono possibili; entrambe costituiscono una aggiunta al genere, e le aggiunte hanno un costo.</w:t>
      </w:r>
    </w:p>
    <w:p>
      <w:pPr>
        <w:spacing w:after="120" w:line="276"/>
        <w:jc w:val="both"/>
      </w:pPr>
      <w:r>
        <w:rPr>
          <w:rFonts w:ascii="Barlow Semi Condensed" w:cs="Barlow Semi Condensed" w:eastAsia="Barlow Semi Condensed" w:hAnsi="Barlow Semi Condensed"/>
          <w:b/>
          <w:bCs/>
          <w:sz w:val="24"/>
          <w:szCs w:val="24"/>
        </w:rPr>
        <w:t xml:space="preserve">Rispetto al secondo e al quarto genere — concorso esterno e non impedimento consapevole — l'elemento è assorbito senza aggiunte. Ciò non li conferma: significa soltanto che non impone loro un costo.</w:t>
      </w:r>
    </w:p>
    <w:p>
      <w:pPr>
        <w:spacing w:after="120" w:line="276"/>
        <w:jc w:val="both"/>
      </w:pPr>
      <w:r>
        <w:rPr>
          <w:rFonts w:ascii="Barlow Semi Condensed" w:cs="Barlow Semi Condensed" w:eastAsia="Barlow Semi Condensed" w:hAnsi="Barlow Semi Condensed"/>
          <w:b/>
          <w:bCs/>
          <w:sz w:val="24"/>
          <w:szCs w:val="24"/>
        </w:rPr>
        <w:t xml:space="preserve">Rispetto al terzo genere — regia esterna — l'elemento è coerente ma non aggiunge sostegno, poiché il genere resta gravato dalle tensioni già rilevate nella Fase Seconda.</w:t>
      </w:r>
    </w:p>
    <w:p>
      <w:pPr>
        <w:spacing w:after="120" w:line="276"/>
        <w:jc w:val="both"/>
      </w:pPr>
      <w:r>
        <w:rPr>
          <w:rFonts w:ascii="Barlow Semi Condensed" w:cs="Barlow Semi Condensed" w:eastAsia="Barlow Semi Condensed" w:hAnsi="Barlow Semi Condensed"/>
          <w:b/>
          <w:bCs/>
          <w:sz w:val="24"/>
          <w:szCs w:val="24"/>
        </w:rPr>
        <w:t xml:space="preserve">Gli altri tre elementi non modificano la matrice, non avendo superato il test.</w:t>
      </w:r>
    </w:p>
    <w:p>
      <w:pPr>
        <w:pStyle w:val="Heading2"/>
        <w:spacing w:after="100" w:before="200"/>
      </w:pPr>
      <w:r>
        <w:rPr>
          <w:rFonts w:ascii="Barlow Semi Condensed" w:cs="Barlow Semi Condensed" w:eastAsia="Barlow Semi Condensed" w:hAnsi="Barlow Semi Condensed"/>
          <w:sz w:val="24"/>
          <w:szCs w:val="24"/>
        </w:rPr>
        <w:t xml:space="preserve">L'esito complessivo e la sua onestà</w:t>
      </w:r>
    </w:p>
    <w:p>
      <w:pPr>
        <w:spacing w:after="120" w:line="276"/>
        <w:jc w:val="both"/>
      </w:pPr>
      <w:r>
        <w:rPr>
          <w:rFonts w:ascii="Barlow Semi Condensed" w:cs="Barlow Semi Condensed" w:eastAsia="Barlow Semi Condensed" w:hAnsi="Barlow Semi Condensed"/>
          <w:b/>
          <w:bCs/>
          <w:sz w:val="24"/>
          <w:szCs w:val="24"/>
        </w:rPr>
        <w:t xml:space="preserve">L'esito complessivo di questa Fase, misurato sulla matrice, è dunque modesto rispetto all'attesa. La quinta evidenza aveva il maggiore potere discriminante potenziale; il potenziale si è realizzato in misura limitata, perché tre dei quattro elementi non hanno superato il test per difetto di documentazione.</w:t>
      </w:r>
    </w:p>
    <w:p>
      <w:pPr>
        <w:spacing w:after="120" w:line="276"/>
        <w:jc w:val="both"/>
      </w:pPr>
      <w:r>
        <w:rPr>
          <w:rFonts w:ascii="Barlow Semi Condensed" w:cs="Barlow Semi Condensed" w:eastAsia="Barlow Semi Condensed" w:hAnsi="Barlow Semi Condensed"/>
          <w:b/>
          <w:bCs/>
          <w:sz w:val="24"/>
          <w:szCs w:val="24"/>
        </w:rPr>
        <w:t xml:space="preserve">Occorre dire con esattezza che cosa questo significhi, perché la formulazione si presta a due letture opposte ed entrambe sarebbero errate.</w:t>
      </w:r>
    </w:p>
    <w:p>
      <w:pPr>
        <w:spacing w:after="120" w:line="276"/>
        <w:jc w:val="both"/>
      </w:pPr>
      <w:r>
        <w:rPr>
          <w:rFonts w:ascii="Barlow Semi Condensed" w:cs="Barlow Semi Condensed" w:eastAsia="Barlow Semi Condensed" w:hAnsi="Barlow Semi Condensed"/>
          <w:b/>
          <w:bCs/>
          <w:sz w:val="24"/>
          <w:szCs w:val="24"/>
        </w:rPr>
        <w:t xml:space="preserve">Non significa che le omissioni non vi siano state. Significa che, con gli atti di cui quest'opera dispone, non è accertato che vi siano state.</w:t>
      </w:r>
    </w:p>
    <w:p>
      <w:pPr>
        <w:spacing w:after="120" w:line="276"/>
        <w:jc w:val="both"/>
      </w:pPr>
      <w:r>
        <w:rPr>
          <w:rFonts w:ascii="Barlow Semi Condensed" w:cs="Barlow Semi Condensed" w:eastAsia="Barlow Semi Condensed" w:hAnsi="Barlow Semi Condensed"/>
          <w:b/>
          <w:bCs/>
          <w:sz w:val="24"/>
          <w:szCs w:val="24"/>
        </w:rPr>
        <w:t xml:space="preserve">Non significa che gli accertamenti siano preclusi. Significa che essi richiedono documentazione determinata, che è stata identificata per genere e per sede, e che non è stata acquisita.</w:t>
      </w:r>
    </w:p>
    <w:p>
      <w:pPr>
        <w:spacing w:after="120" w:line="276"/>
        <w:jc w:val="both"/>
      </w:pPr>
      <w:r>
        <w:rPr>
          <w:rFonts w:ascii="Barlow Semi Condensed" w:cs="Barlow Semi Condensed" w:eastAsia="Barlow Semi Condensed" w:hAnsi="Barlow Semi Condensed"/>
          <w:b/>
          <w:bCs/>
          <w:sz w:val="24"/>
          <w:szCs w:val="24"/>
        </w:rPr>
        <w:t xml:space="preserve">La differenza fra queste due letture e quella corretta è la differenza fra un caso chiuso, un caso archiviato e un caso aperto. Questo è un caso aperto, e la Fase lo lascia più aperto di come lo ha trovato, avendo precisato che cosa manchi.</w:t>
      </w:r>
    </w:p>
    <w:p>
      <w:pPr>
        <w:pStyle w:val="Heading2"/>
        <w:spacing w:after="100" w:before="200"/>
      </w:pPr>
      <w:r>
        <w:rPr>
          <w:rFonts w:ascii="Barlow Semi Condensed" w:cs="Barlow Semi Condensed" w:eastAsia="Barlow Semi Condensed" w:hAnsi="Barlow Semi Condensed"/>
          <w:sz w:val="24"/>
          <w:szCs w:val="24"/>
        </w:rPr>
        <w:t xml:space="preserve">Il risultato che la Fase produce comunque</w:t>
      </w:r>
    </w:p>
    <w:p>
      <w:pPr>
        <w:spacing w:after="120" w:line="276"/>
        <w:jc w:val="both"/>
      </w:pPr>
      <w:r>
        <w:rPr>
          <w:rFonts w:ascii="Barlow Semi Condensed" w:cs="Barlow Semi Condensed" w:eastAsia="Barlow Semi Condensed" w:hAnsi="Barlow Semi Condensed"/>
          <w:b/>
          <w:bCs/>
          <w:sz w:val="24"/>
          <w:szCs w:val="24"/>
        </w:rPr>
        <w:t xml:space="preserve">Vi è però un risultato che la Fase produce e che non dipende dall'esito del test, e conviene isolarlo perché è il suo contributo maggiore.</w:t>
      </w:r>
    </w:p>
    <w:p>
      <w:pPr>
        <w:spacing w:after="120" w:line="276"/>
        <w:jc w:val="both"/>
      </w:pPr>
      <w:r>
        <w:rPr>
          <w:rFonts w:ascii="Barlow Semi Condensed" w:cs="Barlow Semi Condensed" w:eastAsia="Barlow Semi Condensed" w:hAnsi="Barlow Semi Condensed"/>
          <w:b/>
          <w:bCs/>
          <w:sz w:val="24"/>
          <w:szCs w:val="24"/>
        </w:rPr>
        <w:t xml:space="preserve">La Fase ha accertato che, durante i cinquantacinque giorni, un soggetto rimasto ignoto compì un atto deliberato di interferenza nelle indagini, immettendo un falso nel circuito informativo.</w:t>
      </w:r>
    </w:p>
    <w:p>
      <w:pPr>
        <w:spacing w:after="120" w:line="276"/>
        <w:jc w:val="both"/>
      </w:pPr>
      <w:r>
        <w:rPr>
          <w:rFonts w:ascii="Barlow Semi Condensed" w:cs="Barlow Semi Condensed" w:eastAsia="Barlow Semi Condensed" w:hAnsi="Barlow Semi Condensed"/>
          <w:b/>
          <w:bCs/>
          <w:sz w:val="24"/>
          <w:szCs w:val="24"/>
        </w:rPr>
        <w:t xml:space="preserve">Questo è accertato in stato di sciolto e non dipende da alcuna ipotesi. Esso stabilisce che sulla vicenda operarono almeno tre soggetti: i rapitori, le istituzioni, e un terzo capace di produrre falso credibile e interessato a produrlo.</w:t>
      </w:r>
    </w:p>
    <w:p>
      <w:pPr>
        <w:spacing w:after="120" w:line="276"/>
        <w:jc w:val="both"/>
      </w:pPr>
      <w:r>
        <w:rPr>
          <w:rFonts w:ascii="Barlow Semi Condensed" w:cs="Barlow Semi Condensed" w:eastAsia="Barlow Semi Condensed" w:hAnsi="Barlow Semi Condensed"/>
          <w:b/>
          <w:bCs/>
          <w:sz w:val="24"/>
          <w:szCs w:val="24"/>
        </w:rPr>
        <w:t xml:space="preserve">Chi fosse tale terzo non è accertato. Che vi fosse, sì. È il fatto più solido che questa Fase consegna, ed è più di quanto le altre tre evidenze abbiano prodotto insieme.</w:t>
      </w:r>
    </w:p>
    <w:p>
      <w:pPr>
        <w:pStyle w:val="Heading2"/>
        <w:spacing w:after="100" w:before="200"/>
      </w:pPr>
      <w:r>
        <w:rPr>
          <w:rFonts w:ascii="Barlow Semi Condensed" w:cs="Barlow Semi Condensed" w:eastAsia="Barlow Semi Condensed" w:hAnsi="Barlow Semi Condensed"/>
          <w:sz w:val="24"/>
          <w:szCs w:val="24"/>
        </w:rPr>
        <w:t xml:space="preserve">Capitolo cinquantesimo — Bilancio della Fase Quinta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durante il periodo fu compiuto un atto deliberato di produzione di falso nel circuito informativo delle indagini, e che ne conseguirono operazioni di ricerca con esito negativo.</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dell'ottobre 1978 non fu esaustivo, e l'inadempimento è accertato in stato di sciolto.</w:t>
      </w:r>
    </w:p>
    <w:p>
      <w:pPr>
        <w:spacing w:after="120" w:line="276"/>
        <w:jc w:val="both"/>
      </w:pPr>
      <w:r>
        <w:rPr>
          <w:rFonts w:ascii="Barlow Semi Condensed" w:cs="Barlow Semi Condensed" w:eastAsia="Barlow Semi Condensed" w:hAnsi="Barlow Semi Condensed"/>
          <w:b/>
          <w:bCs/>
          <w:sz w:val="24"/>
          <w:szCs w:val="24"/>
        </w:rPr>
        <w:t xml:space="preserve">È accertato che una base dell'organizzazione fu individuata per circostanza fortuita e non per attività di indagine, in costanza di prigionia; che un controllo era stato effettuato in quella via senza esito; e che una indicazione toponomastica fu verificata in una sola delle sue referenze possibili.</w:t>
      </w:r>
    </w:p>
    <w:p>
      <w:pPr>
        <w:spacing w:after="120" w:line="276"/>
        <w:jc w:val="both"/>
      </w:pPr>
      <w:r>
        <w:rPr>
          <w:rFonts w:ascii="Barlow Semi Condensed" w:cs="Barlow Semi Condensed" w:eastAsia="Barlow Semi Condensed" w:hAnsi="Barlow Semi Condensed"/>
          <w:b/>
          <w:bCs/>
          <w:sz w:val="24"/>
          <w:szCs w:val="24"/>
        </w:rPr>
        <w:t xml:space="preserve">È accertato che una ricerca di dimensioni eccezionali fu condotta per cinquantacinque giorni senza produrre la localizzazione.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che alcuna delle circostanze esaminate costituisca omissione deliberata.</w:t>
      </w:r>
    </w:p>
    <w:p>
      <w:pPr>
        <w:spacing w:after="120" w:line="276"/>
        <w:jc w:val="both"/>
      </w:pPr>
      <w:r>
        <w:rPr>
          <w:rFonts w:ascii="Barlow Semi Condensed" w:cs="Barlow Semi Condensed" w:eastAsia="Barlow Semi Condensed" w:hAnsi="Barlow Semi Condensed"/>
          <w:b/>
          <w:bCs/>
          <w:sz w:val="24"/>
          <w:szCs w:val="24"/>
        </w:rPr>
        <w:t xml:space="preserve">Non sono accertati l'autore né la finalità della produzione di falso.</w:t>
      </w:r>
    </w:p>
    <w:p>
      <w:pPr>
        <w:spacing w:after="120" w:line="276"/>
        <w:jc w:val="both"/>
      </w:pPr>
      <w:r>
        <w:rPr>
          <w:rFonts w:ascii="Barlow Semi Condensed" w:cs="Barlow Semi Condensed" w:eastAsia="Barlow Semi Condensed" w:hAnsi="Barlow Semi Condensed"/>
          <w:b/>
          <w:bCs/>
          <w:sz w:val="24"/>
          <w:szCs w:val="24"/>
        </w:rPr>
        <w:t xml:space="preserve">Non è accertata la causa dell'incompletezza del rinvenimento documentale, restando aperte tre spiegazioni.</w:t>
      </w:r>
    </w:p>
    <w:p>
      <w:pPr>
        <w:spacing w:after="120" w:line="276"/>
        <w:jc w:val="both"/>
      </w:pPr>
      <w:r>
        <w:rPr>
          <w:rFonts w:ascii="Barlow Semi Condensed" w:cs="Barlow Semi Condensed" w:eastAsia="Barlow Semi Condensed" w:hAnsi="Barlow Semi Condensed"/>
          <w:b/>
          <w:bCs/>
          <w:sz w:val="24"/>
          <w:szCs w:val="24"/>
        </w:rPr>
        <w:t xml:space="preserve">Non è accertata l'inadeguatezza della ricerca, per difetto di termine di riferimento.</w:t>
      </w:r>
    </w:p>
    <w:p>
      <w:pPr>
        <w:pStyle w:val="Heading2"/>
        <w:spacing w:after="100" w:before="200"/>
      </w:pPr>
      <w:r>
        <w:rPr>
          <w:rFonts w:ascii="Barlow Semi Condensed" w:cs="Barlow Semi Condensed" w:eastAsia="Barlow Semi Condensed" w:hAnsi="Barlow Semi Condensed"/>
          <w:sz w:val="24"/>
          <w:szCs w:val="24"/>
        </w:rPr>
        <w:t xml:space="preserve">Gli strumenti istituiti</w:t>
      </w:r>
    </w:p>
    <w:p>
      <w:pPr>
        <w:spacing w:after="120" w:line="276"/>
        <w:jc w:val="both"/>
      </w:pPr>
      <w:r>
        <w:rPr>
          <w:rFonts w:ascii="Barlow Semi Condensed" w:cs="Barlow Semi Condensed" w:eastAsia="Barlow Semi Condensed" w:hAnsi="Barlow Semi Condensed"/>
          <w:b/>
          <w:bCs/>
          <w:sz w:val="24"/>
          <w:szCs w:val="24"/>
        </w:rPr>
        <w:t xml:space="preserve">La Fase istituisce, per le successive e per le edizioni future, tre strumenti.</w:t>
      </w:r>
    </w:p>
    <w:p>
      <w:pPr>
        <w:spacing w:after="120" w:line="276"/>
        <w:jc w:val="both"/>
      </w:pPr>
      <w:r>
        <w:rPr>
          <w:rFonts w:ascii="Barlow Semi Condensed" w:cs="Barlow Semi Condensed" w:eastAsia="Barlow Semi Condensed" w:hAnsi="Barlow Semi Condensed"/>
          <w:b/>
          <w:bCs/>
          <w:sz w:val="24"/>
          <w:szCs w:val="24"/>
        </w:rPr>
        <w:t xml:space="preserve">Il test in tre tempi — dovere, inadempimento, spiegabilità — con la regola che nessun tempo si salta e che l'arresto del test si dichiara anziché sostituirvi una valutazione.</w:t>
      </w:r>
    </w:p>
    <w:p>
      <w:pPr>
        <w:spacing w:after="120" w:line="276"/>
        <w:jc w:val="both"/>
      </w:pPr>
      <w:r>
        <w:rPr>
          <w:rFonts w:ascii="Barlow Semi Condensed" w:cs="Barlow Semi Condensed" w:eastAsia="Barlow Semi Condensed" w:hAnsi="Barlow Semi Condensed"/>
          <w:b/>
          <w:bCs/>
          <w:sz w:val="24"/>
          <w:szCs w:val="24"/>
        </w:rPr>
        <w:t xml:space="preserve">La tipologia in quattro classi delle omissioni, con la prova propria di ciascuna.</w:t>
      </w:r>
    </w:p>
    <w:p>
      <w:pPr>
        <w:spacing w:after="120" w:line="276"/>
        <w:jc w:val="both"/>
      </w:pPr>
      <w:r>
        <w:rPr>
          <w:rFonts w:ascii="Barlow Semi Condensed" w:cs="Barlow Semi Condensed" w:eastAsia="Barlow Semi Condensed" w:hAnsi="Barlow Semi Condensed"/>
          <w:b/>
          <w:bCs/>
          <w:sz w:val="24"/>
          <w:szCs w:val="24"/>
        </w:rPr>
        <w:t xml:space="preserve">Le tre condizioni di validità dell'argomento dell'accumulo — base, indipendenza, assenza di selezione a posteriori — con la disposizione che vieta l'impiego dell'argomento finché non siano soddisfatte.</w:t>
      </w:r>
    </w:p>
    <w:p>
      <w:pPr>
        <w:pStyle w:val="Heading2"/>
        <w:spacing w:after="100" w:before="200"/>
      </w:pPr>
      <w:r>
        <w:rPr>
          <w:rFonts w:ascii="Barlow Semi Condensed" w:cs="Barlow Semi Condensed" w:eastAsia="Barlow Semi Condensed" w:hAnsi="Barlow Semi Condensed"/>
          <w:sz w:val="24"/>
          <w:szCs w:val="24"/>
        </w:rPr>
        <w:t xml:space="preserve">Il costo dichiarato</w:t>
      </w:r>
    </w:p>
    <w:p>
      <w:pPr>
        <w:spacing w:after="120" w:line="276"/>
        <w:jc w:val="both"/>
      </w:pPr>
      <w:r>
        <w:rPr>
          <w:rFonts w:ascii="Barlow Semi Condensed" w:cs="Barlow Semi Condensed" w:eastAsia="Barlow Semi Condensed" w:hAnsi="Barlow Semi Condensed"/>
          <w:b/>
          <w:bCs/>
          <w:sz w:val="24"/>
          <w:szCs w:val="24"/>
        </w:rPr>
        <w:t xml:space="preserve">La terza disposizione priva l'opera dell'argomento più efficace disponibile in questa materia, e il costo si dichiara apertamente.</w:t>
      </w:r>
    </w:p>
    <w:p>
      <w:pPr>
        <w:spacing w:after="120" w:line="276"/>
        <w:jc w:val="both"/>
      </w:pPr>
      <w:r>
        <w:rPr>
          <w:rFonts w:ascii="Barlow Semi Condensed" w:cs="Barlow Semi Condensed" w:eastAsia="Barlow Semi Condensed" w:hAnsi="Barlow Semi Condensed"/>
          <w:b/>
          <w:bCs/>
          <w:sz w:val="24"/>
          <w:szCs w:val="24"/>
        </w:rPr>
        <w:t xml:space="preserve">Si dichiara altresì la ragione per la quale il costo si accetta. L'argomento dell'accumulo, impiegato senza le sue condizioni, non è un argomento debole che rafforzi una tesi fondata: è un argomento nullo che la indebolisce, perché espone la tesi che sostiene alla più facile delle confutazioni. Chi costruisca su di esso costruisce su ciò che il primo lettore avvertito abbatte.</w:t>
      </w:r>
    </w:p>
    <w:p>
      <w:pPr>
        <w:pStyle w:val="Heading2"/>
        <w:spacing w:after="100" w:before="200"/>
      </w:pPr>
      <w:r>
        <w:rPr>
          <w:rFonts w:ascii="Barlow Semi Condensed" w:cs="Barlow Semi Condensed" w:eastAsia="Barlow Semi Condensed" w:hAnsi="Barlow Semi Condensed"/>
          <w:sz w:val="24"/>
          <w:szCs w:val="24"/>
        </w:rPr>
        <w:t xml:space="preserve">La tavola delle acquisizioni mancanti</w:t>
      </w:r>
    </w:p>
    <w:p>
      <w:pPr>
        <w:spacing w:after="120" w:line="276"/>
        <w:jc w:val="both"/>
      </w:pPr>
      <w:r>
        <w:rPr>
          <w:rFonts w:ascii="Barlow Semi Condensed" w:cs="Barlow Semi Condensed" w:eastAsia="Barlow Semi Condensed" w:hAnsi="Barlow Semi Condensed"/>
          <w:b/>
          <w:bCs/>
          <w:sz w:val="24"/>
          <w:szCs w:val="24"/>
        </w:rPr>
        <w:t xml:space="preserve">Si iscrivono in tavola, in ordine di rendimento atteso decrescente, le acquisizioni documentali che questa Fase ha identificate come necessarie.</w:t>
      </w:r>
    </w:p>
    <w:p>
      <w:pPr>
        <w:spacing w:after="120" w:line="276"/>
        <w:jc w:val="both"/>
      </w:pPr>
      <w:r>
        <w:rPr>
          <w:rFonts w:ascii="Barlow Semi Condensed" w:cs="Barlow Semi Condensed" w:eastAsia="Barlow Semi Condensed" w:hAnsi="Barlow Semi Condensed"/>
          <w:b/>
          <w:bCs/>
          <w:sz w:val="24"/>
          <w:szCs w:val="24"/>
        </w:rPr>
        <w:t xml:space="preserve">Prima: i verbali, i rilievi e la descrizione delle modalità e degli strumenti della perquisizione dell'ottobre 1978 nell'immobile milanese, confrontati con quelli dell'ottobre 1990. È l'acquisizione dalla quale dipende uno scioglimento determinato, e la sola della Fase per la quale la via di discriminazione sia indicata con precisione.</w:t>
      </w:r>
    </w:p>
    <w:p>
      <w:pPr>
        <w:spacing w:after="120" w:line="276"/>
        <w:jc w:val="both"/>
      </w:pPr>
      <w:r>
        <w:rPr>
          <w:rFonts w:ascii="Barlow Semi Condensed" w:cs="Barlow Semi Condensed" w:eastAsia="Barlow Semi Condensed" w:hAnsi="Barlow Semi Condensed"/>
          <w:b/>
          <w:bCs/>
          <w:sz w:val="24"/>
          <w:szCs w:val="24"/>
        </w:rPr>
        <w:t xml:space="preserve">Seconda: gli atti relativi alla ricezione dell'indicazione toponomastica, alla sua valutazione e alla decisione sulla destinazione delle ricerche.</w:t>
      </w:r>
    </w:p>
    <w:p>
      <w:pPr>
        <w:spacing w:after="120" w:line="276"/>
        <w:jc w:val="both"/>
      </w:pPr>
      <w:r>
        <w:rPr>
          <w:rFonts w:ascii="Barlow Semi Condensed" w:cs="Barlow Semi Condensed" w:eastAsia="Barlow Semi Condensed" w:hAnsi="Barlow Semi Condensed"/>
          <w:b/>
          <w:bCs/>
          <w:sz w:val="24"/>
          <w:szCs w:val="24"/>
        </w:rPr>
        <w:t xml:space="preserve">Terza: le direttive impartite per i controlli e la documentazione del controllo effettuato in via Gradoli.</w:t>
      </w:r>
    </w:p>
    <w:p>
      <w:pPr>
        <w:spacing w:after="120" w:line="276"/>
        <w:jc w:val="both"/>
      </w:pPr>
      <w:r>
        <w:rPr>
          <w:rFonts w:ascii="Barlow Semi Condensed" w:cs="Barlow Semi Condensed" w:eastAsia="Barlow Semi Condensed" w:hAnsi="Barlow Semi Condensed"/>
          <w:b/>
          <w:bCs/>
          <w:sz w:val="24"/>
          <w:szCs w:val="24"/>
        </w:rPr>
        <w:t xml:space="preserve">Quarta: la documentazione analitica della ricerca condotta nei cinquantacinque giorni — zone controllate, modalità, criteri di selezione, motivazione delle esclusioni — necessaria a colmare il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Quinta: la documentazione idonea alle due vie comparative del Capitolo quarantasettesimo, per operazioni analoghe dei medesimi uffici nel medesimo periodo.</w:t>
      </w:r>
    </w:p>
    <w:p>
      <w:pPr>
        <w:spacing w:after="120" w:line="276"/>
        <w:jc w:val="both"/>
      </w:pPr>
      <w:r>
        <w:rPr>
          <w:rFonts w:ascii="Barlow Semi Condensed" w:cs="Barlow Semi Condensed" w:eastAsia="Barlow Semi Condensed" w:hAnsi="Barlow Semi Condensed"/>
          <w:b/>
          <w:bCs/>
          <w:sz w:val="24"/>
          <w:szCs w:val="24"/>
        </w:rPr>
        <w:t xml:space="preserve">Sesta: il collasso genealogico delle fonti impiegate in questa materia, per verificare quante catene realmente indipendenti sussistano prima di computare qualsiasi convergenza.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Quinta, le omissioni. Materia: quattro elementi consegnati, esaminati con test in tre tempi.</w:t>
      </w:r>
    </w:p>
    <w:p>
      <w:pPr>
        <w:spacing w:after="120" w:line="276"/>
        <w:jc w:val="both"/>
      </w:pPr>
      <w:r>
        <w:rPr>
          <w:rFonts w:ascii="Barlow Semi Condensed" w:cs="Barlow Semi Condensed" w:eastAsia="Barlow Semi Condensed" w:hAnsi="Barlow Semi Condensed"/>
          <w:b/>
          <w:bCs/>
          <w:sz w:val="24"/>
          <w:szCs w:val="24"/>
        </w:rPr>
        <w:t xml:space="preserve">Esito: un accertamento in stato di sciolto quanto alla natura deliberata di un atto di interferenza; un inadempimento accertato con spiegabilità aperta; due test arrestati per difetto di elementi. Tre strumenti istituiti. Sei acquisizioni documentali iscritte in tavola.</w:t>
      </w:r>
    </w:p>
    <w:p>
      <w:pPr>
        <w:spacing w:after="120" w:line="276"/>
        <w:jc w:val="both"/>
      </w:pPr>
      <w:r>
        <w:rPr>
          <w:rFonts w:ascii="Barlow Semi Condensed" w:cs="Barlow Semi Condensed" w:eastAsia="Barlow Semi Condensed" w:hAnsi="Barlow Semi Condensed"/>
          <w:b/>
          <w:bCs/>
          <w:sz w:val="24"/>
          <w:szCs w:val="24"/>
        </w:rPr>
        <w:t xml:space="preserve">Riga di esito nullo. Nessuna delle circostanze esaminate è risultata qualificabile come omissione deliberata allo stato degli atti. L'esito negativo è registrato con la dignità che gli compete e non è una assoluzione: è la constatazione che il test si è arrestato per mancanza di carte, e le carte mancanti sono state nominate.</w:t>
      </w:r>
    </w:p>
    <w:p>
      <w:pPr>
        <w:spacing w:after="120" w:line="276"/>
        <w:jc w:val="both"/>
      </w:pPr>
      <w:r>
        <w:rPr>
          <w:rFonts w:ascii="Barlow Semi Condensed" w:cs="Barlow Semi Condensed" w:eastAsia="Barlow Semi Condensed" w:hAnsi="Barlow Semi Condensed"/>
          <w:b/>
          <w:bCs/>
          <w:sz w:val="24"/>
          <w:szCs w:val="24"/>
        </w:rPr>
        <w:t xml:space="preserve">Riga di avvertenza. La Fase non ha attribuito condotte a persone. Le funzioni sono state designate come tali, e la ragione è enunciata al Capitolo quarantunesimo: ciò che gli atti documentano è che una funzione non compì un atto, non che la persona che la esercitava volle non compierlo.</w:t>
      </w:r>
    </w:p>
    <w:p>
      <w:pPr>
        <w:spacing w:after="120" w:line="276"/>
        <w:jc w:val="both"/>
      </w:pPr>
      <w:r>
        <w:rPr>
          <w:rFonts w:ascii="Barlow Semi Condensed" w:cs="Barlow Semi Condensed" w:eastAsia="Barlow Semi Condensed" w:hAnsi="Barlow Semi Condensed"/>
          <w:b/>
          <w:bCs/>
          <w:sz w:val="24"/>
          <w:szCs w:val="24"/>
        </w:rPr>
        <w:t xml:space="preserve">Riga di consegna. Si consegna alla Fase Sesta l'accertamento dell'esistenza di un terzo soggetto operante sulla vicenda, capace di produrre falso credibile e interessato a produrlo. È il fatto più solido prodotto da questa Fase, ed è alla Fase degli attori che compete stabilire, se sarà possibile, chi esso fosse.</w:t>
      </w:r>
    </w:p>
    <w:p>
      <w:pPr>
        <w:pStyle w:val="Heading2"/>
        <w:spacing w:after="100" w:before="200"/>
      </w:pPr>
      <w:r>
        <w:rPr>
          <w:rFonts w:ascii="Barlow Semi Condensed" w:cs="Barlow Semi Condensed" w:eastAsia="Barlow Semi Condensed" w:hAnsi="Barlow Semi Condensed"/>
          <w:sz w:val="24"/>
          <w:szCs w:val="24"/>
        </w:rPr>
        <w:t xml:space="preserve">FASE SESTA — GLI ATTORI</w:t>
      </w:r>
    </w:p>
    <w:p>
      <w:pPr>
        <w:spacing w:after="120" w:line="276"/>
        <w:jc w:val="both"/>
      </w:pPr>
      <w:r>
        <w:rPr>
          <w:rFonts w:ascii="Barlow Semi Condensed" w:cs="Barlow Semi Condensed" w:eastAsia="Barlow Semi Condensed" w:hAnsi="Barlow Semi Condensed"/>
          <w:b/>
          <w:bCs/>
          <w:sz w:val="24"/>
          <w:szCs w:val="24"/>
        </w:rPr>
        <w:t xml:space="preserve">Dove si separano chi esegui, chi organizzo e chi volle; si applica la scala del vincolo ai dichiaranti; e si dichiara vuoto il terzo livello.</w:t>
      </w:r>
    </w:p>
    <w:p>
      <w:pPr>
        <w:pStyle w:val="Heading2"/>
        <w:spacing w:after="100" w:before="200"/>
      </w:pPr>
      <w:r>
        <w:rPr>
          <w:rFonts w:ascii="Barlow Semi Condensed" w:cs="Barlow Semi Condensed" w:eastAsia="Barlow Semi Condensed" w:hAnsi="Barlow Semi Condensed"/>
          <w:sz w:val="24"/>
          <w:szCs w:val="24"/>
        </w:rPr>
        <w:t xml:space="preserve">Capitolo cinquantunesimo — I tre livelli di responsabilità</w:t>
      </w:r>
    </w:p>
    <w:p>
      <w:pPr>
        <w:spacing w:after="120" w:line="276"/>
        <w:jc w:val="both"/>
      </w:pPr>
      <w:r>
        <w:rPr>
          <w:rFonts w:ascii="Barlow Semi Condensed" w:cs="Barlow Semi Condensed" w:eastAsia="Barlow Semi Condensed" w:hAnsi="Barlow Semi Condensed"/>
          <w:b/>
          <w:bCs/>
          <w:sz w:val="24"/>
          <w:szCs w:val="24"/>
        </w:rPr>
        <w:t xml:space="preserve">Questa Fase ha per oggetto gli attori. Essa è quella nella quale la struttura rinnovata dell'opera si giustifica maggiormente, perché la struttura anteriore teneva insieme in una sola Fase ciò che qui si tiene distinto: chi eseguì, chi organizzò, chi volle.</w:t>
      </w:r>
    </w:p>
    <w:p>
      <w:pPr>
        <w:pStyle w:val="Heading2"/>
        <w:spacing w:after="100" w:before="200"/>
      </w:pPr>
      <w:r>
        <w:rPr>
          <w:rFonts w:ascii="Barlow Semi Condensed" w:cs="Barlow Semi Condensed" w:eastAsia="Barlow Semi Condensed" w:hAnsi="Barlow Semi Condensed"/>
          <w:sz w:val="24"/>
          <w:szCs w:val="24"/>
        </w:rPr>
        <w:t xml:space="preserve">Perché i tre livelli non si confondono</w:t>
      </w:r>
    </w:p>
    <w:p>
      <w:pPr>
        <w:spacing w:after="120" w:line="276"/>
        <w:jc w:val="both"/>
      </w:pPr>
      <w:r>
        <w:rPr>
          <w:rFonts w:ascii="Barlow Semi Condensed" w:cs="Barlow Semi Condensed" w:eastAsia="Barlow Semi Condensed" w:hAnsi="Barlow Semi Condensed"/>
          <w:b/>
          <w:bCs/>
          <w:sz w:val="24"/>
          <w:szCs w:val="24"/>
        </w:rPr>
        <w:t xml:space="preserve">La distinzione non è di grado ma di natura, e ciascun livello richiede una prova diversa.</w:t>
      </w:r>
    </w:p>
    <w:p>
      <w:pPr>
        <w:spacing w:after="120" w:line="276"/>
        <w:jc w:val="both"/>
      </w:pPr>
      <w:r>
        <w:rPr>
          <w:rFonts w:ascii="Barlow Semi Condensed" w:cs="Barlow Semi Condensed" w:eastAsia="Barlow Semi Condensed" w:hAnsi="Barlow Semi Condensed"/>
          <w:b/>
          <w:bCs/>
          <w:sz w:val="24"/>
          <w:szCs w:val="24"/>
        </w:rPr>
        <w:t xml:space="preserve">Il primo livello è l'esecuzione. Chi impugnò le armi, chi guidò i veicoli, chi custodì il prigioniero. La prova richiesta è quella ordinaria del fatto criminoso: rilievi, riscontri, dichiarazioni riscontrate. È il livello sul quale la giurisdizione ha competenza propria e si è pronunciata.</w:t>
      </w:r>
    </w:p>
    <w:p>
      <w:pPr>
        <w:spacing w:after="120" w:line="276"/>
        <w:jc w:val="both"/>
      </w:pPr>
      <w:r>
        <w:rPr>
          <w:rFonts w:ascii="Barlow Semi Condensed" w:cs="Barlow Semi Condensed" w:eastAsia="Barlow Semi Condensed" w:hAnsi="Barlow Semi Condensed"/>
          <w:b/>
          <w:bCs/>
          <w:sz w:val="24"/>
          <w:szCs w:val="24"/>
        </w:rPr>
        <w:t xml:space="preserve">Il secondo livello è l'organizzazione. Chi decise l'operazione, ne stabilì il bersaglio e il momento, ne coordinò le fasi. La prova richiesta è quella dell'appartenenza a un organismo decisionale e della partecipazione alla deliberazione. Essa è più difficile della prima perché non lascia tracce materiali, e poggia in misura prevalente su dichiarazioni.</w:t>
      </w:r>
    </w:p>
    <w:p>
      <w:pPr>
        <w:spacing w:after="120" w:line="276"/>
        <w:jc w:val="both"/>
      </w:pPr>
      <w:r>
        <w:rPr>
          <w:rFonts w:ascii="Barlow Semi Condensed" w:cs="Barlow Semi Condensed" w:eastAsia="Barlow Semi Condensed" w:hAnsi="Barlow Semi Condensed"/>
          <w:b/>
          <w:bCs/>
          <w:sz w:val="24"/>
          <w:szCs w:val="24"/>
        </w:rPr>
        <w:t xml:space="preserve">Il terzo livello è la volontà ultima. Chi volle che l'operazione avvenisse, se diverso da chi la deliberò. La prova richiesta è quella dell'esistenza di una determinazione esterna all'organismo che deliberò, e della sua efficacia su di esso.</w:t>
      </w:r>
    </w:p>
    <w:p>
      <w:pPr>
        <w:pStyle w:val="Heading2"/>
        <w:spacing w:after="100" w:before="200"/>
      </w:pPr>
      <w:r>
        <w:rPr>
          <w:rFonts w:ascii="Barlow Semi Condensed" w:cs="Barlow Semi Condensed" w:eastAsia="Barlow Semi Condensed" w:hAnsi="Barlow Semi Condensed"/>
          <w:sz w:val="24"/>
          <w:szCs w:val="24"/>
        </w:rPr>
        <w:t xml:space="preserve">La confusione da evitare</w:t>
      </w:r>
    </w:p>
    <w:p>
      <w:pPr>
        <w:spacing w:after="120" w:line="276"/>
        <w:jc w:val="both"/>
      </w:pPr>
      <w:r>
        <w:rPr>
          <w:rFonts w:ascii="Barlow Semi Condensed" w:cs="Barlow Semi Condensed" w:eastAsia="Barlow Semi Condensed" w:hAnsi="Barlow Semi Condensed"/>
          <w:b/>
          <w:bCs/>
          <w:sz w:val="24"/>
          <w:szCs w:val="24"/>
        </w:rPr>
        <w:t xml:space="preserve">La confusione più diffusa consiste nel trattare i tre livelli come una scala verso l'alto, sulla quale si sale per gradi: accertati gli esecutori, si risale agli organizzatori; accertati gli organizzatori, si risale ai mandanti.</w:t>
      </w:r>
    </w:p>
    <w:p>
      <w:pPr>
        <w:spacing w:after="120" w:line="276"/>
        <w:jc w:val="both"/>
      </w:pPr>
      <w:r>
        <w:rPr>
          <w:rFonts w:ascii="Barlow Semi Condensed" w:cs="Barlow Semi Condensed" w:eastAsia="Barlow Semi Condensed" w:hAnsi="Barlow Semi Condensed"/>
          <w:b/>
          <w:bCs/>
          <w:sz w:val="24"/>
          <w:szCs w:val="24"/>
        </w:rPr>
        <w:t xml:space="preserve">Questa rappresentazione è ingannevole per una ragione precisa: essa presuppone che il terzo livello esista. Ma l'esistenza del terzo livello è essa stessa una proposizione da provare, e non una conseguenza dei primi due.</w:t>
      </w:r>
    </w:p>
    <w:p>
      <w:pPr>
        <w:spacing w:after="120" w:line="276"/>
        <w:jc w:val="both"/>
      </w:pPr>
      <w:r>
        <w:rPr>
          <w:rFonts w:ascii="Barlow Semi Condensed" w:cs="Barlow Semi Condensed" w:eastAsia="Barlow Semi Condensed" w:hAnsi="Barlow Semi Condensed"/>
          <w:b/>
          <w:bCs/>
          <w:sz w:val="24"/>
          <w:szCs w:val="24"/>
        </w:rPr>
        <w:t xml:space="preserve">Un'operazione può avere due livelli soltanto. Un organismo che deliberi autonomamente e faccia eseguire da propri membri esaurisce la catena. Che vi sia un terzo livello è ipotesi, non struttura necessaria.</w:t>
      </w:r>
    </w:p>
    <w:p>
      <w:pPr>
        <w:spacing w:after="120" w:line="276"/>
        <w:jc w:val="both"/>
      </w:pPr>
      <w:r>
        <w:rPr>
          <w:rFonts w:ascii="Barlow Semi Condensed" w:cs="Barlow Semi Condensed" w:eastAsia="Barlow Semi Condensed" w:hAnsi="Barlow Semi Condensed"/>
          <w:b/>
          <w:bCs/>
          <w:sz w:val="24"/>
          <w:szCs w:val="24"/>
        </w:rPr>
        <w:t xml:space="preserve">Chi tratti la risalita come un cammino obbligato è indotto a cercare il terzo livello perché la scala lo prevede, e a trovarlo perché lo cerca. La scala non lo prevede: la scala ha tanti gradini quanti la prova ne stabilisce.</w:t>
      </w:r>
    </w:p>
    <w:p>
      <w:pPr>
        <w:pStyle w:val="Heading2"/>
        <w:spacing w:after="100" w:before="200"/>
      </w:pPr>
      <w:r>
        <w:rPr>
          <w:rFonts w:ascii="Barlow Semi Condensed" w:cs="Barlow Semi Condensed" w:eastAsia="Barlow Semi Condensed" w:hAnsi="Barlow Semi Condensed"/>
          <w:sz w:val="24"/>
          <w:szCs w:val="24"/>
        </w:rPr>
        <w:t xml:space="preserve">La disposizione della Fase</w:t>
      </w:r>
    </w:p>
    <w:p>
      <w:pPr>
        <w:spacing w:after="120" w:line="276"/>
        <w:jc w:val="both"/>
      </w:pPr>
      <w:r>
        <w:rPr>
          <w:rFonts w:ascii="Barlow Semi Condensed" w:cs="Barlow Semi Condensed" w:eastAsia="Barlow Semi Condensed" w:hAnsi="Barlow Semi Condensed"/>
          <w:b/>
          <w:bCs/>
          <w:sz w:val="24"/>
          <w:szCs w:val="24"/>
        </w:rPr>
        <w:t xml:space="preserve">Ne discende la disposizione seguente. I tre livelli sono esaminati separatamente, ciascuno con la propria prova, e nessuno è impiegato come premessa dell'altro.</w:t>
      </w:r>
    </w:p>
    <w:p>
      <w:pPr>
        <w:spacing w:after="120" w:line="276"/>
        <w:jc w:val="both"/>
      </w:pPr>
      <w:r>
        <w:rPr>
          <w:rFonts w:ascii="Barlow Semi Condensed" w:cs="Barlow Semi Condensed" w:eastAsia="Barlow Semi Condensed" w:hAnsi="Barlow Semi Condensed"/>
          <w:b/>
          <w:bCs/>
          <w:sz w:val="24"/>
          <w:szCs w:val="24"/>
        </w:rPr>
        <w:t xml:space="preserve">In particolare, l'accertamento del primo livello non fonda alcuna presunzione sul secondo, e l'accertamento del secondo non fonda alcuna presunzione sul terzo. Il terzo livello sarà dichiarato accertato se e solo se prove proprie lo sostengono, e sarà dichiarato non accertato in caso contrario, senza che la sua vacanza sia colmata da inferenze.</w:t>
      </w:r>
    </w:p>
    <w:p>
      <w:pPr>
        <w:pStyle w:val="Heading2"/>
        <w:spacing w:after="100" w:before="200"/>
      </w:pPr>
      <w:r>
        <w:rPr>
          <w:rFonts w:ascii="Barlow Semi Condensed" w:cs="Barlow Semi Condensed" w:eastAsia="Barlow Semi Condensed" w:hAnsi="Barlow Semi Condensed"/>
          <w:sz w:val="24"/>
          <w:szCs w:val="24"/>
        </w:rPr>
        <w:t xml:space="preserve">La designazione</w:t>
      </w:r>
    </w:p>
    <w:p>
      <w:pPr>
        <w:spacing w:after="120" w:line="276"/>
        <w:jc w:val="both"/>
      </w:pPr>
      <w:r>
        <w:rPr>
          <w:rFonts w:ascii="Barlow Semi Condensed" w:cs="Barlow Semi Condensed" w:eastAsia="Barlow Semi Condensed" w:hAnsi="Barlow Semi Condensed"/>
          <w:b/>
          <w:bCs/>
          <w:sz w:val="24"/>
          <w:szCs w:val="24"/>
        </w:rPr>
        <w:t xml:space="preserve">Si conferma in questa Fase, e vi si applica con particolare rigore, la disciplina della designazione per funzione.</w:t>
      </w:r>
    </w:p>
    <w:p>
      <w:pPr>
        <w:spacing w:after="120" w:line="276"/>
        <w:jc w:val="both"/>
      </w:pPr>
      <w:r>
        <w:rPr>
          <w:rFonts w:ascii="Barlow Semi Condensed" w:cs="Barlow Semi Condensed" w:eastAsia="Barlow Semi Condensed" w:hAnsi="Barlow Semi Condensed"/>
          <w:b/>
          <w:bCs/>
          <w:sz w:val="24"/>
          <w:szCs w:val="24"/>
        </w:rPr>
        <w:t xml:space="preserve">Le persone condannate con sentenza definitiva per i fatti sono note e i loro nomi sono negli atti pubblici. Quest'opera non li ripete, e conviene dire perché, poiché qui la ragione non è la stessa dei Capitoli precedenti.</w:t>
      </w:r>
    </w:p>
    <w:p>
      <w:pPr>
        <w:spacing w:after="120" w:line="276"/>
        <w:jc w:val="both"/>
      </w:pPr>
      <w:r>
        <w:rPr>
          <w:rFonts w:ascii="Barlow Semi Condensed" w:cs="Barlow Semi Condensed" w:eastAsia="Barlow Semi Condensed" w:hAnsi="Barlow Semi Condensed"/>
          <w:b/>
          <w:bCs/>
          <w:sz w:val="24"/>
          <w:szCs w:val="24"/>
        </w:rPr>
        <w:t xml:space="preserve">Non è per proteggerle: la condanna definitiva è un fatto pubblico e la sua menzione non offende alcuno.</w:t>
      </w:r>
    </w:p>
    <w:p>
      <w:pPr>
        <w:spacing w:after="120" w:line="276"/>
        <w:jc w:val="both"/>
      </w:pPr>
      <w:r>
        <w:rPr>
          <w:rFonts w:ascii="Barlow Semi Condensed" w:cs="Barlow Semi Condensed" w:eastAsia="Barlow Semi Condensed" w:hAnsi="Barlow Semi Condensed"/>
          <w:b/>
          <w:bCs/>
          <w:sz w:val="24"/>
          <w:szCs w:val="24"/>
        </w:rPr>
        <w:t xml:space="preserve">È perché la ripetizione dei nomi non aggiunge nulla all'oggetto di questa Fase, che non è l'individuazione delle persone — già compiuta dalla giurisdizione, che ne ha titolo — ma la ricostruzione della struttura della responsabilità. Per tale ricostruzione ciò che rileva è il ruolo, e il ruolo si designa per funzione.</w:t>
      </w:r>
    </w:p>
    <w:p>
      <w:pPr>
        <w:spacing w:after="120" w:line="276"/>
        <w:jc w:val="both"/>
      </w:pPr>
      <w:r>
        <w:rPr>
          <w:rFonts w:ascii="Barlow Semi Condensed" w:cs="Barlow Semi Condensed" w:eastAsia="Barlow Semi Condensed" w:hAnsi="Barlow Semi Condensed"/>
          <w:b/>
          <w:bCs/>
          <w:sz w:val="24"/>
          <w:szCs w:val="24"/>
        </w:rPr>
        <w:t xml:space="preserve">Vi è inoltre una ragione di misura. Un registro che elenchi nomi di condannati produce, per il solo effetto dell'elenco, un rinnovo di esposizione che nessuna necessità documentale giustifica.</w:t>
      </w:r>
    </w:p>
    <w:p>
      <w:pPr>
        <w:pStyle w:val="Heading2"/>
        <w:spacing w:after="100" w:before="200"/>
      </w:pPr>
      <w:r>
        <w:rPr>
          <w:rFonts w:ascii="Barlow Semi Condensed" w:cs="Barlow Semi Condensed" w:eastAsia="Barlow Semi Condensed" w:hAnsi="Barlow Semi Condensed"/>
          <w:sz w:val="24"/>
          <w:szCs w:val="24"/>
        </w:rPr>
        <w:t xml:space="preserve">Capitolo cinquantaduesimo — La scala del vincolo applicata ai dichiaranti</w:t>
      </w:r>
    </w:p>
    <w:p>
      <w:pPr>
        <w:spacing w:after="120" w:line="276"/>
        <w:jc w:val="both"/>
      </w:pPr>
      <w:r>
        <w:rPr>
          <w:rFonts w:ascii="Barlow Semi Condensed" w:cs="Barlow Semi Condensed" w:eastAsia="Barlow Semi Condensed" w:hAnsi="Barlow Semi Condensed"/>
          <w:b/>
          <w:bCs/>
          <w:sz w:val="24"/>
          <w:szCs w:val="24"/>
        </w:rPr>
        <w:t xml:space="preserve">La Fase Quarta ha raccomandato di applicare la scala del vincolo, istituita per le carte della prigionia, anche alle dichiarazioni delle persone coinvolte. Si dà qui esecuzione alla raccomandazione, perché questa Fase poggia su tali dichiarazioni più di ogni altra.</w:t>
      </w:r>
    </w:p>
    <w:p>
      <w:pPr>
        <w:pStyle w:val="Heading2"/>
        <w:spacing w:after="100" w:before="200"/>
      </w:pPr>
      <w:r>
        <w:rPr>
          <w:rFonts w:ascii="Barlow Semi Condensed" w:cs="Barlow Semi Condensed" w:eastAsia="Barlow Semi Condensed" w:hAnsi="Barlow Semi Condensed"/>
          <w:sz w:val="24"/>
          <w:szCs w:val="24"/>
        </w:rPr>
        <w:t xml:space="preserve">Perché la scala si applica</w:t>
      </w:r>
    </w:p>
    <w:p>
      <w:pPr>
        <w:spacing w:after="120" w:line="276"/>
        <w:jc w:val="both"/>
      </w:pPr>
      <w:r>
        <w:rPr>
          <w:rFonts w:ascii="Barlow Semi Condensed" w:cs="Barlow Semi Condensed" w:eastAsia="Barlow Semi Condensed" w:hAnsi="Barlow Semi Condensed"/>
          <w:b/>
          <w:bCs/>
          <w:sz w:val="24"/>
          <w:szCs w:val="24"/>
        </w:rPr>
        <w:t xml:space="preserve">La Fase Terza ha accertato che una parte preponderante della ricostruzione degli attori poggia su dichiarazioni rese da persone coinvolte, in tempi successivi ai fatti e con revisioni.</w:t>
      </w:r>
    </w:p>
    <w:p>
      <w:pPr>
        <w:spacing w:after="120" w:line="276"/>
        <w:jc w:val="both"/>
      </w:pPr>
      <w:r>
        <w:rPr>
          <w:rFonts w:ascii="Barlow Semi Condensed" w:cs="Barlow Semi Condensed" w:eastAsia="Barlow Semi Condensed" w:hAnsi="Barlow Semi Condensed"/>
          <w:b/>
          <w:bCs/>
          <w:sz w:val="24"/>
          <w:szCs w:val="24"/>
        </w:rPr>
        <w:t xml:space="preserve">Tali dichiarazioni sono enunciati resi sotto vincolo. Il vincolo è di natura diversa da quello della prigionia, ed è di tre specie.</w:t>
      </w:r>
    </w:p>
    <w:p>
      <w:pPr>
        <w:spacing w:after="120" w:line="276"/>
        <w:jc w:val="both"/>
      </w:pPr>
      <w:r>
        <w:rPr>
          <w:rFonts w:ascii="Barlow Semi Condensed" w:cs="Barlow Semi Condensed" w:eastAsia="Barlow Semi Condensed" w:hAnsi="Barlow Semi Condensed"/>
          <w:b/>
          <w:bCs/>
          <w:sz w:val="24"/>
          <w:szCs w:val="24"/>
        </w:rPr>
        <w:t xml:space="preserve">Prima specie: il vincolo processuale. Chi dichiara mentre è sottoposto a procedimento, o ne attende gli effetti, dichiara in condizione nella quale il contenuto incide sulla propria posizione.</w:t>
      </w:r>
    </w:p>
    <w:p>
      <w:pPr>
        <w:spacing w:after="120" w:line="276"/>
        <w:jc w:val="both"/>
      </w:pPr>
      <w:r>
        <w:rPr>
          <w:rFonts w:ascii="Barlow Semi Condensed" w:cs="Barlow Semi Condensed" w:eastAsia="Barlow Semi Condensed" w:hAnsi="Barlow Semi Condensed"/>
          <w:b/>
          <w:bCs/>
          <w:sz w:val="24"/>
          <w:szCs w:val="24"/>
        </w:rPr>
        <w:t xml:space="preserve">Seconda specie: il vincolo di appartenenza. Chi dichiara restando legato, anche solo idealmente, a un gruppo dichiara in condizione nella quale il contenuto incide sui compagni.</w:t>
      </w:r>
    </w:p>
    <w:p>
      <w:pPr>
        <w:spacing w:after="120" w:line="276"/>
        <w:jc w:val="both"/>
      </w:pPr>
      <w:r>
        <w:rPr>
          <w:rFonts w:ascii="Barlow Semi Condensed" w:cs="Barlow Semi Condensed" w:eastAsia="Barlow Semi Condensed" w:hAnsi="Barlow Semi Condensed"/>
          <w:b/>
          <w:bCs/>
          <w:sz w:val="24"/>
          <w:szCs w:val="24"/>
        </w:rPr>
        <w:t xml:space="preserve">Terza specie: il vincolo di coerenza. Chi ha già dichiarato dichiara in condizione nella quale il contenuto incide sulla credibilità delle proprie dichiarazioni anteriori. È il vincolo meno riconosciuto e il più insidioso, perché opera anche su chi non abbia più interesse processuale né appartenenza.</w:t>
      </w:r>
    </w:p>
    <w:p>
      <w:pPr>
        <w:pStyle w:val="Heading2"/>
        <w:spacing w:after="100" w:before="200"/>
      </w:pPr>
      <w:r>
        <w:rPr>
          <w:rFonts w:ascii="Barlow Semi Condensed" w:cs="Barlow Semi Condensed" w:eastAsia="Barlow Semi Condensed" w:hAnsi="Barlow Semi Condensed"/>
          <w:sz w:val="24"/>
          <w:szCs w:val="24"/>
        </w:rPr>
        <w:t xml:space="preserve">I quattro gradi applicati</w:t>
      </w:r>
    </w:p>
    <w:p>
      <w:pPr>
        <w:spacing w:after="120" w:line="276"/>
        <w:jc w:val="both"/>
      </w:pPr>
      <w:r>
        <w:rPr>
          <w:rFonts w:ascii="Barlow Semi Condensed" w:cs="Barlow Semi Condensed" w:eastAsia="Barlow Semi Condensed" w:hAnsi="Barlow Semi Condensed"/>
          <w:b/>
          <w:bCs/>
          <w:sz w:val="24"/>
          <w:szCs w:val="24"/>
        </w:rPr>
        <w:t xml:space="preserve">Primo grado, non vincolato: enunciati il cui contenuto è indifferente rispetto alla posizione del dichiarante, dei suoi compagni e delle sue dichiarazioni anteriori.</w:t>
      </w:r>
    </w:p>
    <w:p>
      <w:pPr>
        <w:spacing w:after="120" w:line="276"/>
        <w:jc w:val="both"/>
      </w:pPr>
      <w:r>
        <w:rPr>
          <w:rFonts w:ascii="Barlow Semi Condensed" w:cs="Barlow Semi Condensed" w:eastAsia="Barlow Semi Condensed" w:hAnsi="Barlow Semi Condensed"/>
          <w:b/>
          <w:bCs/>
          <w:sz w:val="24"/>
          <w:szCs w:val="24"/>
        </w:rPr>
        <w:t xml:space="preserve">Secondo grado, debolmente vincolato: enunciati che incidono su materie di interesse generico, e che sono coerenti con elementi materiali accertati indipendentemente.</w:t>
      </w:r>
    </w:p>
    <w:p>
      <w:pPr>
        <w:spacing w:after="120" w:line="276"/>
        <w:jc w:val="both"/>
      </w:pPr>
      <w:r>
        <w:rPr>
          <w:rFonts w:ascii="Barlow Semi Condensed" w:cs="Barlow Semi Condensed" w:eastAsia="Barlow Semi Condensed" w:hAnsi="Barlow Semi Condensed"/>
          <w:b/>
          <w:bCs/>
          <w:sz w:val="24"/>
          <w:szCs w:val="24"/>
        </w:rPr>
        <w:t xml:space="preserve">Terzo grado, fortemente vincolato: enunciati che attribuiscono condotte, a sé o ad altri, e che incidono su posizioni processuali. Vi rientra la quasi totalità delle attribuzioni individuali.</w:t>
      </w:r>
    </w:p>
    <w:p>
      <w:pPr>
        <w:spacing w:after="120" w:line="276"/>
        <w:jc w:val="both"/>
      </w:pPr>
      <w:r>
        <w:rPr>
          <w:rFonts w:ascii="Barlow Semi Condensed" w:cs="Barlow Semi Condensed" w:eastAsia="Barlow Semi Condensed" w:hAnsi="Barlow Semi Condensed"/>
          <w:b/>
          <w:bCs/>
          <w:sz w:val="24"/>
          <w:szCs w:val="24"/>
        </w:rPr>
        <w:t xml:space="preserve">Quarto grado, di provenienza dubbia: enunciati sopravvenuti che modificano attribuzioni anteriori senza che sia dichiarato il motivo del mutamento.</w:t>
      </w:r>
    </w:p>
    <w:p>
      <w:pPr>
        <w:pStyle w:val="Heading2"/>
        <w:spacing w:after="100" w:before="200"/>
      </w:pPr>
      <w:r>
        <w:rPr>
          <w:rFonts w:ascii="Barlow Semi Condensed" w:cs="Barlow Semi Condensed" w:eastAsia="Barlow Semi Condensed" w:hAnsi="Barlow Semi Condensed"/>
          <w:sz w:val="24"/>
          <w:szCs w:val="24"/>
        </w:rPr>
        <w:t xml:space="preserve">La conseguenza operativa</w:t>
      </w:r>
    </w:p>
    <w:p>
      <w:pPr>
        <w:spacing w:after="120" w:line="276"/>
        <w:jc w:val="both"/>
      </w:pPr>
      <w:r>
        <w:rPr>
          <w:rFonts w:ascii="Barlow Semi Condensed" w:cs="Barlow Semi Condensed" w:eastAsia="Barlow Semi Condensed" w:hAnsi="Barlow Semi Condensed"/>
          <w:b/>
          <w:bCs/>
          <w:sz w:val="24"/>
          <w:szCs w:val="24"/>
        </w:rPr>
        <w:t xml:space="preserve">Ne discende la disposizione che governa questa Fase.</w:t>
      </w:r>
    </w:p>
    <w:p>
      <w:pPr>
        <w:spacing w:after="120" w:line="276"/>
        <w:jc w:val="both"/>
      </w:pPr>
      <w:r>
        <w:rPr>
          <w:rFonts w:ascii="Barlow Semi Condensed" w:cs="Barlow Semi Condensed" w:eastAsia="Barlow Semi Condensed" w:hAnsi="Barlow Semi Condensed"/>
          <w:b/>
          <w:bCs/>
          <w:sz w:val="24"/>
          <w:szCs w:val="24"/>
        </w:rPr>
        <w:t xml:space="preserve">Gli enunciati di terzo grado attestano che il dichiarante li ha resi, e null'altro. Essi non sono impiegati come prova dell'attribuzione che contengono, se non ove riscontrati da elementi indipendenti.</w:t>
      </w:r>
    </w:p>
    <w:p>
      <w:pPr>
        <w:spacing w:after="120" w:line="276"/>
        <w:jc w:val="both"/>
      </w:pPr>
      <w:r>
        <w:rPr>
          <w:rFonts w:ascii="Barlow Semi Condensed" w:cs="Barlow Semi Condensed" w:eastAsia="Barlow Semi Condensed" w:hAnsi="Barlow Semi Condensed"/>
          <w:b/>
          <w:bCs/>
          <w:sz w:val="24"/>
          <w:szCs w:val="24"/>
        </w:rPr>
        <w:t xml:space="preserve">La disposizione ha un effetto che va dichiarato senza attenuazioni: essa priva questa Fase della maggior parte delle attribuzioni individuali correntemente accolte.</w:t>
      </w:r>
    </w:p>
    <w:p>
      <w:pPr>
        <w:spacing w:after="120" w:line="276"/>
        <w:jc w:val="both"/>
      </w:pPr>
      <w:r>
        <w:rPr>
          <w:rFonts w:ascii="Barlow Semi Condensed" w:cs="Barlow Semi Condensed" w:eastAsia="Barlow Semi Condensed" w:hAnsi="Barlow Semi Condensed"/>
          <w:b/>
          <w:bCs/>
          <w:sz w:val="24"/>
          <w:szCs w:val="24"/>
        </w:rPr>
        <w:t xml:space="preserve">Occorre però precisare immediatamente ciò che la disposizione non tocca, perché altrimenti si presterebbe a un fraintendimento grave.</w:t>
      </w:r>
    </w:p>
    <w:p>
      <w:pPr>
        <w:spacing w:after="120" w:line="276"/>
        <w:jc w:val="both"/>
      </w:pPr>
      <w:r>
        <w:rPr>
          <w:rFonts w:ascii="Barlow Semi Condensed" w:cs="Barlow Semi Condensed" w:eastAsia="Barlow Semi Condensed" w:hAnsi="Barlow Semi Condensed"/>
          <w:b/>
          <w:bCs/>
          <w:sz w:val="24"/>
          <w:szCs w:val="24"/>
        </w:rPr>
        <w:t xml:space="preserve">Essa non tocca gli accertamenti giudiziari. Le sentenze definitive hanno accertato responsabilità individuali secondo le regole del processo, che comprendono la valutazione di attendibilità dei dichiaranti condotta nel contraddittorio delle parti, con strumenti che un registro non possiede. Quest'opera non riesamina gli accertamenti giudiziari e non ne mette in discussione la validità.</w:t>
      </w:r>
    </w:p>
    <w:p>
      <w:pPr>
        <w:spacing w:after="120" w:line="276"/>
        <w:jc w:val="both"/>
      </w:pPr>
      <w:r>
        <w:rPr>
          <w:rFonts w:ascii="Barlow Semi Condensed" w:cs="Barlow Semi Condensed" w:eastAsia="Barlow Semi Condensed" w:hAnsi="Barlow Semi Condensed"/>
          <w:b/>
          <w:bCs/>
          <w:sz w:val="24"/>
          <w:szCs w:val="24"/>
        </w:rPr>
        <w:t xml:space="preserve">La disposizione tocca l'uso storiografico delle dichiarazioni oltre il perimetro dell'accertato in giudizio: le attribuzioni non consacrate in sentenza, le ricostruzioni di dettaglio, le versioni successive che modificano il quadro. Su queste, e solo su queste, la scala opera.</w:t>
      </w:r>
    </w:p>
    <w:p>
      <w:pPr>
        <w:pStyle w:val="Heading2"/>
        <w:spacing w:after="100" w:before="200"/>
      </w:pPr>
      <w:r>
        <w:rPr>
          <w:rFonts w:ascii="Barlow Semi Condensed" w:cs="Barlow Semi Condensed" w:eastAsia="Barlow Semi Condensed" w:hAnsi="Barlow Semi Condensed"/>
          <w:sz w:val="24"/>
          <w:szCs w:val="24"/>
        </w:rPr>
        <w:t xml:space="preserve">Capitolo cinquantatreesimo — Il collasso genealogico delle fonti</w:t>
      </w:r>
    </w:p>
    <w:p>
      <w:pPr>
        <w:spacing w:after="120" w:line="276"/>
        <w:jc w:val="both"/>
      </w:pPr>
      <w:r>
        <w:rPr>
          <w:rFonts w:ascii="Barlow Semi Condensed" w:cs="Barlow Semi Condensed" w:eastAsia="Barlow Semi Condensed" w:hAnsi="Barlow Semi Condensed"/>
          <w:b/>
          <w:bCs/>
          <w:sz w:val="24"/>
          <w:szCs w:val="24"/>
        </w:rPr>
        <w:t xml:space="preserve">La Fase Quinta ha iscritto in tavola una verifica che qui si esegue in linea di principio, essendo indispensabile a questa Fase: stabilire quante catene di fonti realmente indipendenti sussistano prima di computare qualsiasi convergenza.</w:t>
      </w:r>
    </w:p>
    <w:p>
      <w:pPr>
        <w:pStyle w:val="Heading2"/>
        <w:spacing w:after="100" w:before="200"/>
      </w:pPr>
      <w:r>
        <w:rPr>
          <w:rFonts w:ascii="Barlow Semi Condensed" w:cs="Barlow Semi Condensed" w:eastAsia="Barlow Semi Condensed" w:hAnsi="Barlow Semi Condensed"/>
          <w:sz w:val="24"/>
          <w:szCs w:val="24"/>
        </w:rPr>
        <w:t xml:space="preserve">Il problema</w:t>
      </w:r>
    </w:p>
    <w:p>
      <w:pPr>
        <w:spacing w:after="120" w:line="276"/>
        <w:jc w:val="both"/>
      </w:pPr>
      <w:r>
        <w:rPr>
          <w:rFonts w:ascii="Barlow Semi Condensed" w:cs="Barlow Semi Condensed" w:eastAsia="Barlow Semi Condensed" w:hAnsi="Barlow Semi Condensed"/>
          <w:b/>
          <w:bCs/>
          <w:sz w:val="24"/>
          <w:szCs w:val="24"/>
        </w:rPr>
        <w:t xml:space="preserve">Una convergenza di fonti ha valore probatorio se e solo se le fonti sono indipendenti. Se sei fonti convergono su un punto, ma tutte e sei discendono da un medesimo evento originario, la convergenza è di uno e non di sei.</w:t>
      </w:r>
    </w:p>
    <w:p>
      <w:pPr>
        <w:spacing w:after="120" w:line="276"/>
        <w:jc w:val="both"/>
      </w:pPr>
      <w:r>
        <w:rPr>
          <w:rFonts w:ascii="Barlow Semi Condensed" w:cs="Barlow Semi Condensed" w:eastAsia="Barlow Semi Condensed" w:hAnsi="Barlow Semi Condensed"/>
          <w:b/>
          <w:bCs/>
          <w:sz w:val="24"/>
          <w:szCs w:val="24"/>
        </w:rPr>
        <w:t xml:space="preserve">Il problema è che la discendenza non è visibile nella forma in cui le fonti si presentano. Una sentenza, una relazione parlamentare, una monografia e un articolo appaiono come quattro fonti distinte, di natura e autorità diverse; ma se tutte e quattro riprendono la medesima dichiarazione, esse sono quattro esposizioni di una fonte sola.</w:t>
      </w:r>
    </w:p>
    <w:p>
      <w:pPr>
        <w:pStyle w:val="Heading2"/>
        <w:spacing w:after="100" w:before="200"/>
      </w:pPr>
      <w:r>
        <w:rPr>
          <w:rFonts w:ascii="Barlow Semi Condensed" w:cs="Barlow Semi Condensed" w:eastAsia="Barlow Semi Condensed" w:hAnsi="Barlow Semi Condensed"/>
          <w:sz w:val="24"/>
          <w:szCs w:val="24"/>
        </w:rPr>
        <w:t xml:space="preserve">La regola del collasso</w:t>
      </w:r>
    </w:p>
    <w:p>
      <w:pPr>
        <w:spacing w:after="120" w:line="276"/>
        <w:jc w:val="both"/>
      </w:pPr>
      <w:r>
        <w:rPr>
          <w:rFonts w:ascii="Barlow Semi Condensed" w:cs="Barlow Semi Condensed" w:eastAsia="Barlow Semi Condensed" w:hAnsi="Barlow Semi Condensed"/>
          <w:b/>
          <w:bCs/>
          <w:sz w:val="24"/>
          <w:szCs w:val="24"/>
        </w:rPr>
        <w:t xml:space="preserve">La regola è la seguente: prima di computare una convergenza, si risale ciascuna fonte fino al suo evento originario, e si contano gli eventi originari, non le fonti.</w:t>
      </w:r>
    </w:p>
    <w:p>
      <w:pPr>
        <w:spacing w:after="120" w:line="276"/>
        <w:jc w:val="both"/>
      </w:pPr>
      <w:r>
        <w:rPr>
          <w:rFonts w:ascii="Barlow Semi Condensed" w:cs="Barlow Semi Condensed" w:eastAsia="Barlow Semi Condensed" w:hAnsi="Barlow Semi Condensed"/>
          <w:b/>
          <w:bCs/>
          <w:sz w:val="24"/>
          <w:szCs w:val="24"/>
        </w:rPr>
        <w:t xml:space="preserve">Un evento originario è un atto irripetibile dal quale l'informazione entrò nel circuito: una dichiarazione resa, un sequestro effettuato, un rilievo eseguito, un documento formato. Tutto ciò che ne discende — riprese, citazioni, elaborazioni, valutazioni di sedi qualificate — non aggiunge una catena.</w:t>
      </w:r>
    </w:p>
    <w:p>
      <w:pPr>
        <w:spacing w:after="120" w:line="276"/>
        <w:jc w:val="both"/>
      </w:pPr>
      <w:r>
        <w:rPr>
          <w:rFonts w:ascii="Barlow Semi Condensed" w:cs="Barlow Semi Condensed" w:eastAsia="Barlow Semi Condensed" w:hAnsi="Barlow Semi Condensed"/>
          <w:b/>
          <w:bCs/>
          <w:sz w:val="24"/>
          <w:szCs w:val="24"/>
        </w:rPr>
        <w:t xml:space="preserve">Ne segue una conseguenza che sorprende e che va enunciata: l'autorevolezza della sede non genera indipendenza. Una relazione parlamentare che riprenda una dichiarazione non costituisce una fonte indipendente rispetto alla dichiarazione. Essa ne costituisce una valutazione qualificata, il che ha valore proprio, ma non è una seconda attestazione del fatto.</w:t>
      </w:r>
    </w:p>
    <w:p>
      <w:pPr>
        <w:pStyle w:val="Heading2"/>
        <w:spacing w:after="100" w:before="200"/>
      </w:pPr>
      <w:r>
        <w:rPr>
          <w:rFonts w:ascii="Barlow Semi Condensed" w:cs="Barlow Semi Condensed" w:eastAsia="Barlow Semi Condensed" w:hAnsi="Barlow Semi Condensed"/>
          <w:sz w:val="24"/>
          <w:szCs w:val="24"/>
        </w:rPr>
        <w:t xml:space="preserve">L'applicazione a questa materia</w:t>
      </w:r>
    </w:p>
    <w:p>
      <w:pPr>
        <w:spacing w:after="120" w:line="276"/>
        <w:jc w:val="both"/>
      </w:pPr>
      <w:r>
        <w:rPr>
          <w:rFonts w:ascii="Barlow Semi Condensed" w:cs="Barlow Semi Condensed" w:eastAsia="Barlow Semi Condensed" w:hAnsi="Barlow Semi Condensed"/>
          <w:b/>
          <w:bCs/>
          <w:sz w:val="24"/>
          <w:szCs w:val="24"/>
        </w:rPr>
        <w:t xml:space="preserve">Applicata alla ricostruzione degli attori, la regola produce un effetto rilevante e va dichiarato per genere, non essendo stata condotta la verifica analitica.</w:t>
      </w:r>
    </w:p>
    <w:p>
      <w:pPr>
        <w:spacing w:after="120" w:line="276"/>
        <w:jc w:val="both"/>
      </w:pPr>
      <w:r>
        <w:rPr>
          <w:rFonts w:ascii="Barlow Semi Condensed" w:cs="Barlow Semi Condensed" w:eastAsia="Barlow Semi Condensed" w:hAnsi="Barlow Semi Condensed"/>
          <w:b/>
          <w:bCs/>
          <w:sz w:val="24"/>
          <w:szCs w:val="24"/>
        </w:rPr>
        <w:t xml:space="preserve">Le attribuzioni individuali relative all'esecuzione, alla custodia e all'uccisione discendono, per la parte non sostenuta da rilievo materiale, da un numero di eventi originari assai minore del numero delle fonti che le espongono. Gli eventi originari sono le dichiarazioni rese dalle persone coinvolte, e sono numericamente pochi.</w:t>
      </w:r>
    </w:p>
    <w:p>
      <w:pPr>
        <w:spacing w:after="120" w:line="276"/>
        <w:jc w:val="both"/>
      </w:pPr>
      <w:r>
        <w:rPr>
          <w:rFonts w:ascii="Barlow Semi Condensed" w:cs="Barlow Semi Condensed" w:eastAsia="Barlow Semi Condensed" w:hAnsi="Barlow Semi Condensed"/>
          <w:b/>
          <w:bCs/>
          <w:sz w:val="24"/>
          <w:szCs w:val="24"/>
        </w:rPr>
        <w:t xml:space="preserve">Ne segue che la sensazione di solidità che il lettore ricava dalla molteplicità delle esposizioni concordanti è, in misura non determinata, un artefatto della propagazione.</w:t>
      </w:r>
    </w:p>
    <w:p>
      <w:pPr>
        <w:pStyle w:val="Heading2"/>
        <w:spacing w:after="100" w:before="200"/>
      </w:pPr>
      <w:r>
        <w:rPr>
          <w:rFonts w:ascii="Barlow Semi Condensed" w:cs="Barlow Semi Condensed" w:eastAsia="Barlow Semi Condensed" w:hAnsi="Barlow Semi Condensed"/>
          <w:sz w:val="24"/>
          <w:szCs w:val="24"/>
        </w:rPr>
        <w:t xml:space="preserve">Il limite di questa applicazione</w:t>
      </w:r>
    </w:p>
    <w:p>
      <w:pPr>
        <w:spacing w:after="120" w:line="276"/>
        <w:jc w:val="both"/>
      </w:pPr>
      <w:r>
        <w:rPr>
          <w:rFonts w:ascii="Barlow Semi Condensed" w:cs="Barlow Semi Condensed" w:eastAsia="Barlow Semi Condensed" w:hAnsi="Barlow Semi Condensed"/>
          <w:b/>
          <w:bCs/>
          <w:sz w:val="24"/>
          <w:szCs w:val="24"/>
        </w:rPr>
        <w:t xml:space="preserve">Si dichiara il limite di quanto qui si afferma.</w:t>
      </w:r>
    </w:p>
    <w:p>
      <w:pPr>
        <w:spacing w:after="120" w:line="276"/>
        <w:jc w:val="both"/>
      </w:pPr>
      <w:r>
        <w:rPr>
          <w:rFonts w:ascii="Barlow Semi Condensed" w:cs="Barlow Semi Condensed" w:eastAsia="Barlow Semi Condensed" w:hAnsi="Barlow Semi Condensed"/>
          <w:b/>
          <w:bCs/>
          <w:sz w:val="24"/>
          <w:szCs w:val="24"/>
        </w:rPr>
        <w:t xml:space="preserve">La verifica genealogica analitica — fonte per fonte, con individuazione dell'evento originario di ciascuna — non è stata condotta. Ciò che si afferma è di genere: che la propagazione vi sia stata, e che il numero degli eventi originari sia minore del numero delle fonti.</w:t>
      </w:r>
    </w:p>
    <w:p>
      <w:pPr>
        <w:spacing w:after="120" w:line="276"/>
        <w:jc w:val="both"/>
      </w:pPr>
      <w:r>
        <w:rPr>
          <w:rFonts w:ascii="Barlow Semi Condensed" w:cs="Barlow Semi Condensed" w:eastAsia="Barlow Semi Condensed" w:hAnsi="Barlow Semi Condensed"/>
          <w:b/>
          <w:bCs/>
          <w:sz w:val="24"/>
          <w:szCs w:val="24"/>
        </w:rPr>
        <w:t xml:space="preserve">La misura di tale scarto non è dichiarata perché non è stata presa. Chiunque volesse contestare l'affermazione avrebbe l'onere agevole di indicare eventi originari ulteriori; e chiunque volesse sostenerla avrebbe l'onere di condurre la verifica.</w:t>
      </w:r>
    </w:p>
    <w:p>
      <w:pPr>
        <w:spacing w:after="120" w:line="276"/>
        <w:jc w:val="both"/>
      </w:pPr>
      <w:r>
        <w:rPr>
          <w:rFonts w:ascii="Barlow Semi Condensed" w:cs="Barlow Semi Condensed" w:eastAsia="Barlow Semi Condensed" w:hAnsi="Barlow Semi Condensed"/>
          <w:b/>
          <w:bCs/>
          <w:sz w:val="24"/>
          <w:szCs w:val="24"/>
        </w:rPr>
        <w:t xml:space="preserve">Si iscrive in tavola come acquisizione necessaria, con la precisazione che essa è condizione preliminare di qualunque computo di convergenza in questa Fase e nelle successive.</w:t>
      </w:r>
    </w:p>
    <w:p>
      <w:pPr>
        <w:pStyle w:val="Heading2"/>
        <w:spacing w:after="100" w:before="200"/>
      </w:pPr>
      <w:r>
        <w:rPr>
          <w:rFonts w:ascii="Barlow Semi Condensed" w:cs="Barlow Semi Condensed" w:eastAsia="Barlow Semi Condensed" w:hAnsi="Barlow Semi Condensed"/>
          <w:sz w:val="24"/>
          <w:szCs w:val="24"/>
        </w:rPr>
        <w:t xml:space="preserve">Capitolo cinquantaquattresimo — Il primo livello: l'esecuzione</w:t>
      </w:r>
    </w:p>
    <w:p>
      <w:pPr>
        <w:pStyle w:val="Heading2"/>
        <w:spacing w:after="100" w:before="200"/>
      </w:pPr>
      <w:r>
        <w:rPr>
          <w:rFonts w:ascii="Barlow Semi Condensed" w:cs="Barlow Semi Condensed" w:eastAsia="Barlow Semi Condensed" w:hAnsi="Barlow Semi Condensed"/>
          <w:sz w:val="24"/>
          <w:szCs w:val="24"/>
        </w:rPr>
        <w:t xml:space="preserve">Ciò che è accertato in sede giudiziaria</w:t>
      </w:r>
    </w:p>
    <w:p>
      <w:pPr>
        <w:spacing w:after="120" w:line="276"/>
        <w:jc w:val="both"/>
      </w:pPr>
      <w:r>
        <w:rPr>
          <w:rFonts w:ascii="Barlow Semi Condensed" w:cs="Barlow Semi Condensed" w:eastAsia="Barlow Semi Condensed" w:hAnsi="Barlow Semi Condensed"/>
          <w:b/>
          <w:bCs/>
          <w:sz w:val="24"/>
          <w:szCs w:val="24"/>
        </w:rPr>
        <w:t xml:space="preserve">È accertato, per sentenza definitiva, che i fatti furono commessi da appartenenti a una organizzazione armata clandestina; che essi agirono in numero plurimo nell'agguato; che la custodia del prigioniero fu effettuata da appartenenti alla medesima organizzazione in un appartamento della città; e che l'uccisione fu commessa da appartenenti a essa.</w:t>
      </w:r>
    </w:p>
    <w:p>
      <w:pPr>
        <w:spacing w:after="120" w:line="276"/>
        <w:jc w:val="both"/>
      </w:pPr>
      <w:r>
        <w:rPr>
          <w:rFonts w:ascii="Barlow Semi Condensed" w:cs="Barlow Semi Condensed" w:eastAsia="Barlow Semi Condensed" w:hAnsi="Barlow Semi Condensed"/>
          <w:b/>
          <w:bCs/>
          <w:sz w:val="24"/>
          <w:szCs w:val="24"/>
        </w:rPr>
        <w:t xml:space="preserve">Le persone ritenute responsabili sono individuate nelle sentenze, che hanno autorità propria e non sono riesaminate in questa sede.</w:t>
      </w:r>
    </w:p>
    <w:p>
      <w:pPr>
        <w:pStyle w:val="Heading2"/>
        <w:spacing w:after="100" w:before="200"/>
      </w:pPr>
      <w:r>
        <w:rPr>
          <w:rFonts w:ascii="Barlow Semi Condensed" w:cs="Barlow Semi Condensed" w:eastAsia="Barlow Semi Condensed" w:hAnsi="Barlow Semi Condensed"/>
          <w:sz w:val="24"/>
          <w:szCs w:val="24"/>
        </w:rPr>
        <w:t xml:space="preserve">Lo statuto di tale accertamento in quest'opera</w:t>
      </w:r>
    </w:p>
    <w:p>
      <w:pPr>
        <w:spacing w:after="120" w:line="276"/>
        <w:jc w:val="both"/>
      </w:pPr>
      <w:r>
        <w:rPr>
          <w:rFonts w:ascii="Barlow Semi Condensed" w:cs="Barlow Semi Condensed" w:eastAsia="Barlow Semi Condensed" w:hAnsi="Barlow Semi Condensed"/>
          <w:b/>
          <w:bCs/>
          <w:sz w:val="24"/>
          <w:szCs w:val="24"/>
        </w:rPr>
        <w:t xml:space="preserve">Un accertamento giudiziario definitivo è, per quest'opera, una fonte di rango elevato, e vi è recepito.</w:t>
      </w:r>
    </w:p>
    <w:p>
      <w:pPr>
        <w:spacing w:after="120" w:line="276"/>
        <w:jc w:val="both"/>
      </w:pPr>
      <w:r>
        <w:rPr>
          <w:rFonts w:ascii="Barlow Semi Condensed" w:cs="Barlow Semi Condensed" w:eastAsia="Barlow Semi Condensed" w:hAnsi="Barlow Semi Condensed"/>
          <w:b/>
          <w:bCs/>
          <w:sz w:val="24"/>
          <w:szCs w:val="24"/>
        </w:rPr>
        <w:t xml:space="preserve">Occorre però precisarne l'estensione, perché il recepimento non è illimitato.</w:t>
      </w:r>
    </w:p>
    <w:p>
      <w:pPr>
        <w:spacing w:after="120" w:line="276"/>
        <w:jc w:val="both"/>
      </w:pPr>
      <w:r>
        <w:rPr>
          <w:rFonts w:ascii="Barlow Semi Condensed" w:cs="Barlow Semi Condensed" w:eastAsia="Barlow Semi Condensed" w:hAnsi="Barlow Semi Condensed"/>
          <w:b/>
          <w:bCs/>
          <w:sz w:val="24"/>
          <w:szCs w:val="24"/>
        </w:rPr>
        <w:t xml:space="preserve">Il processo accerta la responsabilità penale di persone determinate per fatti determinati, e in ciò ha competenza esclusiva e autorità piena. Esso non accerta, e non pretende di accertare, la ricostruzione storica completa dell'evento: molte circostanze irrilevanti ai fini dell'imputazione non sono oggetto di accertamento, e molte questioni restano fuori dal thema decidendum.</w:t>
      </w:r>
    </w:p>
    <w:p>
      <w:pPr>
        <w:spacing w:after="120" w:line="276"/>
        <w:jc w:val="both"/>
      </w:pPr>
      <w:r>
        <w:rPr>
          <w:rFonts w:ascii="Barlow Semi Condensed" w:cs="Barlow Semi Condensed" w:eastAsia="Barlow Semi Condensed" w:hAnsi="Barlow Semi Condensed"/>
          <w:b/>
          <w:bCs/>
          <w:sz w:val="24"/>
          <w:szCs w:val="24"/>
        </w:rPr>
        <w:t xml:space="preserve">Ne segue che l'accertamento del primo livello è pieno quanto alle responsabilità individuali dichiarate, e non copre le circostanze di contorno che le sentenze non hanno dovuto accertare.</w:t>
      </w:r>
    </w:p>
    <w:p>
      <w:pPr>
        <w:pStyle w:val="Heading2"/>
        <w:spacing w:after="100" w:before="200"/>
      </w:pPr>
      <w:r>
        <w:rPr>
          <w:rFonts w:ascii="Barlow Semi Condensed" w:cs="Barlow Semi Condensed" w:eastAsia="Barlow Semi Condensed" w:hAnsi="Barlow Semi Condensed"/>
          <w:sz w:val="24"/>
          <w:szCs w:val="24"/>
        </w:rPr>
        <w:t xml:space="preserve">Ciò che resta non accertato al primo livello</w:t>
      </w:r>
    </w:p>
    <w:p>
      <w:pPr>
        <w:spacing w:after="120" w:line="276"/>
        <w:jc w:val="both"/>
      </w:pPr>
      <w:r>
        <w:rPr>
          <w:rFonts w:ascii="Barlow Semi Condensed" w:cs="Barlow Semi Condensed" w:eastAsia="Barlow Semi Condensed" w:hAnsi="Barlow Semi Condensed"/>
          <w:b/>
          <w:bCs/>
          <w:sz w:val="24"/>
          <w:szCs w:val="24"/>
        </w:rPr>
        <w:t xml:space="preserve">Restano non accertati, come già la Fase Terza ha registrato: il numero esatto dei presenti sul luogo dell'agguato; l'attribuzione individuale dei singoli colpi oltre quanto accertato; la presenza di soggetti ulteriori non identificati.</w:t>
      </w:r>
    </w:p>
    <w:p>
      <w:pPr>
        <w:spacing w:after="120" w:line="276"/>
        <w:jc w:val="both"/>
      </w:pPr>
      <w:r>
        <w:rPr>
          <w:rFonts w:ascii="Barlow Semi Condensed" w:cs="Barlow Semi Condensed" w:eastAsia="Barlow Semi Condensed" w:hAnsi="Barlow Semi Condensed"/>
          <w:b/>
          <w:bCs/>
          <w:sz w:val="24"/>
          <w:szCs w:val="24"/>
        </w:rPr>
        <w:t xml:space="preserve">Su quest'ultimo punto si è a lungo discusso, e conviene indicarne lo statuto con esattezza.</w:t>
      </w:r>
    </w:p>
    <w:p>
      <w:pPr>
        <w:spacing w:after="120" w:line="276"/>
        <w:jc w:val="both"/>
      </w:pPr>
      <w:r>
        <w:rPr>
          <w:rFonts w:ascii="Barlow Semi Condensed" w:cs="Barlow Semi Condensed" w:eastAsia="Barlow Semi Condensed" w:hAnsi="Barlow Semi Condensed"/>
          <w:b/>
          <w:bCs/>
          <w:sz w:val="24"/>
          <w:szCs w:val="24"/>
        </w:rPr>
        <w:t xml:space="preserve">L'ipotesi della presenza di soggetti ulteriori sul luogo dell'agguato è stata formulata sulla base di elementi di natura diversa: testimonianze, valutazioni tecniche, considerazioni sulla dinamica. Essa non è stata accolta negli accertamenti giudiziari; non è stata, per quanto risulta a quest'opera, esclusa in modo definitivo.</w:t>
      </w:r>
    </w:p>
    <w:p>
      <w:pPr>
        <w:spacing w:after="120" w:line="276"/>
        <w:jc w:val="both"/>
      </w:pPr>
      <w:r>
        <w:rPr>
          <w:rFonts w:ascii="Barlow Semi Condensed" w:cs="Barlow Semi Condensed" w:eastAsia="Barlow Semi Condensed" w:hAnsi="Barlow Semi Condensed"/>
          <w:b/>
          <w:bCs/>
          <w:sz w:val="24"/>
          <w:szCs w:val="24"/>
        </w:rPr>
        <w:t xml:space="preserve">Lo statuto è dunque quello del dubbio, e la condizione di scioglimento è indicabile: elementi materiali riferibili a persone diverse da quelle accertate, ovvero dichiarazioni provenienti da eventi originari distinti da quelli già noti e riscontrate indipendentemente.</w:t>
      </w:r>
    </w:p>
    <w:p>
      <w:pPr>
        <w:pStyle w:val="Heading2"/>
        <w:spacing w:after="100" w:before="200"/>
      </w:pPr>
      <w:r>
        <w:rPr>
          <w:rFonts w:ascii="Barlow Semi Condensed" w:cs="Barlow Semi Condensed" w:eastAsia="Barlow Semi Condensed" w:hAnsi="Barlow Semi Condensed"/>
          <w:sz w:val="24"/>
          <w:szCs w:val="24"/>
        </w:rPr>
        <w:t xml:space="preserve">Un rilievo sulla natura della prova disponibile</w:t>
      </w:r>
    </w:p>
    <w:p>
      <w:pPr>
        <w:spacing w:after="120" w:line="276"/>
        <w:jc w:val="both"/>
      </w:pPr>
      <w:r>
        <w:rPr>
          <w:rFonts w:ascii="Barlow Semi Condensed" w:cs="Barlow Semi Condensed" w:eastAsia="Barlow Semi Condensed" w:hAnsi="Barlow Semi Condensed"/>
          <w:b/>
          <w:bCs/>
          <w:sz w:val="24"/>
          <w:szCs w:val="24"/>
        </w:rPr>
        <w:t xml:space="preserve">Si segnala, perché rileva per l'intera Fase, la ripartizione della prova al primo livello.</w:t>
      </w:r>
    </w:p>
    <w:p>
      <w:pPr>
        <w:spacing w:after="120" w:line="276"/>
        <w:jc w:val="both"/>
      </w:pPr>
      <w:r>
        <w:rPr>
          <w:rFonts w:ascii="Barlow Semi Condensed" w:cs="Barlow Semi Condensed" w:eastAsia="Barlow Semi Condensed" w:hAnsi="Barlow Semi Condensed"/>
          <w:b/>
          <w:bCs/>
          <w:sz w:val="24"/>
          <w:szCs w:val="24"/>
        </w:rPr>
        <w:t xml:space="preserve">Poggiano su rilievo materiale: la pluralità degli agenti; le modalità dell'agguato; l'esistenza e la collocazione del luogo di custodia; la causa della morte.</w:t>
      </w:r>
    </w:p>
    <w:p>
      <w:pPr>
        <w:spacing w:after="120" w:line="276"/>
        <w:jc w:val="both"/>
      </w:pPr>
      <w:r>
        <w:rPr>
          <w:rFonts w:ascii="Barlow Semi Condensed" w:cs="Barlow Semi Condensed" w:eastAsia="Barlow Semi Condensed" w:hAnsi="Barlow Semi Condensed"/>
          <w:b/>
          <w:bCs/>
          <w:sz w:val="24"/>
          <w:szCs w:val="24"/>
        </w:rPr>
        <w:t xml:space="preserve">Poggiano in misura preponderante su dichiarazione: l'identità dei singoli partecipanti; la ripartizione dei ruoli; l'identità di chi custodì e di chi uccise.</w:t>
      </w:r>
    </w:p>
    <w:p>
      <w:pPr>
        <w:spacing w:after="120" w:line="276"/>
        <w:jc w:val="both"/>
      </w:pPr>
      <w:r>
        <w:rPr>
          <w:rFonts w:ascii="Barlow Semi Condensed" w:cs="Barlow Semi Condensed" w:eastAsia="Barlow Semi Condensed" w:hAnsi="Barlow Semi Condensed"/>
          <w:b/>
          <w:bCs/>
          <w:sz w:val="24"/>
          <w:szCs w:val="24"/>
        </w:rPr>
        <w:t xml:space="preserve">La ripartizione è la medesima già rilevata dalla Fase Terza e si conferma. Essa comporta che il primo livello sia solido nella sua struttura e meno solido nella sua individuazione: si sa come avvenne meglio di quanto si sappia per mano di chi, e ciò che si sa della seconda materia dipende da chi lo ha dichiarato.</w:t>
      </w:r>
    </w:p>
    <w:p>
      <w:pPr>
        <w:pStyle w:val="Heading2"/>
        <w:spacing w:after="100" w:before="200"/>
      </w:pPr>
      <w:r>
        <w:rPr>
          <w:rFonts w:ascii="Barlow Semi Condensed" w:cs="Barlow Semi Condensed" w:eastAsia="Barlow Semi Condensed" w:hAnsi="Barlow Semi Condensed"/>
          <w:sz w:val="24"/>
          <w:szCs w:val="24"/>
        </w:rPr>
        <w:t xml:space="preserve">Capitolo cinquantacinquesimo — Le revisioni dell'attribuzione e ciò che insegnano</w:t>
      </w:r>
    </w:p>
    <w:p>
      <w:pPr>
        <w:spacing w:after="120" w:line="276"/>
        <w:jc w:val="both"/>
      </w:pPr>
      <w:r>
        <w:rPr>
          <w:rFonts w:ascii="Barlow Semi Condensed" w:cs="Barlow Semi Condensed" w:eastAsia="Barlow Semi Condensed" w:hAnsi="Barlow Semi Condensed"/>
          <w:b/>
          <w:bCs/>
          <w:sz w:val="24"/>
          <w:szCs w:val="24"/>
        </w:rPr>
        <w:t xml:space="preserve">La ricostruzione degli attori ha conosciuto revisioni. Esse costituiscono, di per sé, un dato metodologico di primo rilievo, e vanno esaminate come tale prima e indipendentemente dal loro contenuto.</w:t>
      </w:r>
    </w:p>
    <w:p>
      <w:pPr>
        <w:pStyle w:val="Heading2"/>
        <w:spacing w:after="100" w:before="200"/>
      </w:pPr>
      <w:r>
        <w:rPr>
          <w:rFonts w:ascii="Barlow Semi Condensed" w:cs="Barlow Semi Condensed" w:eastAsia="Barlow Semi Condensed" w:hAnsi="Barlow Semi Condensed"/>
          <w:sz w:val="24"/>
          <w:szCs w:val="24"/>
        </w:rPr>
        <w:t xml:space="preserve">Il fatto delle revisioni</w:t>
      </w:r>
    </w:p>
    <w:p>
      <w:pPr>
        <w:spacing w:after="120" w:line="276"/>
        <w:jc w:val="both"/>
      </w:pPr>
      <w:r>
        <w:rPr>
          <w:rFonts w:ascii="Barlow Semi Condensed" w:cs="Barlow Semi Condensed" w:eastAsia="Barlow Semi Condensed" w:hAnsi="Barlow Semi Condensed"/>
          <w:b/>
          <w:bCs/>
          <w:sz w:val="24"/>
          <w:szCs w:val="24"/>
        </w:rPr>
        <w:t xml:space="preserve">È accertato che la ricostruzione dell'attribuzione individuale delle condotte è mutata in più occasioni nell'arco dei decenni, e che i mutamenti hanno riguardato elementi non marginali: il numero dei presenti, l'identità di chi custodì il prigioniero, l'identità di chi lo uccise.</w:t>
      </w:r>
    </w:p>
    <w:p>
      <w:pPr>
        <w:spacing w:after="120" w:line="276"/>
        <w:jc w:val="both"/>
      </w:pPr>
      <w:r>
        <w:rPr>
          <w:rFonts w:ascii="Barlow Semi Condensed" w:cs="Barlow Semi Condensed" w:eastAsia="Barlow Semi Condensed" w:hAnsi="Barlow Semi Condensed"/>
          <w:b/>
          <w:bCs/>
          <w:sz w:val="24"/>
          <w:szCs w:val="24"/>
        </w:rPr>
        <w:t xml:space="preserve">È accertato che i mutamenti sono derivati in misura preponderante da dichiarazioni sopravvenute di persone coinvolte, e non da acquisizioni materiali.</w:t>
      </w:r>
    </w:p>
    <w:p>
      <w:pPr>
        <w:pStyle w:val="Heading2"/>
        <w:spacing w:after="100" w:before="200"/>
      </w:pPr>
      <w:r>
        <w:rPr>
          <w:rFonts w:ascii="Barlow Semi Condensed" w:cs="Barlow Semi Condensed" w:eastAsia="Barlow Semi Condensed" w:hAnsi="Barlow Semi Condensed"/>
          <w:sz w:val="24"/>
          <w:szCs w:val="24"/>
        </w:rPr>
        <w:t xml:space="preserve">Le tre letture del fatto delle revisioni</w:t>
      </w:r>
    </w:p>
    <w:p>
      <w:pPr>
        <w:spacing w:after="120" w:line="276"/>
        <w:jc w:val="both"/>
      </w:pPr>
      <w:r>
        <w:rPr>
          <w:rFonts w:ascii="Barlow Semi Condensed" w:cs="Barlow Semi Condensed" w:eastAsia="Barlow Semi Condensed" w:hAnsi="Barlow Semi Condensed"/>
          <w:b/>
          <w:bCs/>
          <w:sz w:val="24"/>
          <w:szCs w:val="24"/>
        </w:rPr>
        <w:t xml:space="preserve">Il fatto ammette tre letture, che vanno tenute distinte perché conducono a conseguenze diverse.</w:t>
      </w:r>
    </w:p>
    <w:p>
      <w:pPr>
        <w:spacing w:after="120" w:line="276"/>
        <w:jc w:val="both"/>
      </w:pPr>
      <w:r>
        <w:rPr>
          <w:rFonts w:ascii="Barlow Semi Condensed" w:cs="Barlow Semi Condensed" w:eastAsia="Barlow Semi Condensed" w:hAnsi="Barlow Semi Condensed"/>
          <w:b/>
          <w:bCs/>
          <w:sz w:val="24"/>
          <w:szCs w:val="24"/>
        </w:rPr>
        <w:t xml:space="preserve">Prima lettura: le revisioni sono progresso conoscitivo. Nuove dichiarazioni hanno corretto errori precedenti, e la ricostruzione attuale è più esatta delle anteriori.</w:t>
      </w:r>
    </w:p>
    <w:p>
      <w:pPr>
        <w:spacing w:after="120" w:line="276"/>
        <w:jc w:val="both"/>
      </w:pPr>
      <w:r>
        <w:rPr>
          <w:rFonts w:ascii="Barlow Semi Condensed" w:cs="Barlow Semi Condensed" w:eastAsia="Barlow Semi Condensed" w:hAnsi="Barlow Semi Condensed"/>
          <w:b/>
          <w:bCs/>
          <w:sz w:val="24"/>
          <w:szCs w:val="24"/>
        </w:rPr>
        <w:t xml:space="preserve">Seconda lettura: le revisioni sono assestamento strategico. Le dichiarazioni successive hanno modificato il quadro per ragioni attinenti alla posizione dei dichiaranti, e la ricostruzione attuale non è più vera ma più conveniente.</w:t>
      </w:r>
    </w:p>
    <w:p>
      <w:pPr>
        <w:spacing w:after="120" w:line="276"/>
        <w:jc w:val="both"/>
      </w:pPr>
      <w:r>
        <w:rPr>
          <w:rFonts w:ascii="Barlow Semi Condensed" w:cs="Barlow Semi Condensed" w:eastAsia="Barlow Semi Condensed" w:hAnsi="Barlow Semi Condensed"/>
          <w:b/>
          <w:bCs/>
          <w:sz w:val="24"/>
          <w:szCs w:val="24"/>
        </w:rPr>
        <w:t xml:space="preserve">Terza lettura: le revisioni sono conseguenza della natura della fonte. Una ricostruzione che poggi su dichiarazioni muta quando mutano i dichiaranti, e continuerà a mutare finché la fonte resterà quella. La ricostruzione attuale non è né più vera né meno vera: è la versione corrente di una serie non conclusa.</w:t>
      </w:r>
    </w:p>
    <w:p>
      <w:pPr>
        <w:pStyle w:val="Heading2"/>
        <w:spacing w:after="100" w:before="200"/>
      </w:pPr>
      <w:r>
        <w:rPr>
          <w:rFonts w:ascii="Barlow Semi Condensed" w:cs="Barlow Semi Condensed" w:eastAsia="Barlow Semi Condensed" w:hAnsi="Barlow Semi Condensed"/>
          <w:sz w:val="24"/>
          <w:szCs w:val="24"/>
        </w:rPr>
        <w:t xml:space="preserve">La lettura che quest'opera adotta</w:t>
      </w:r>
    </w:p>
    <w:p>
      <w:pPr>
        <w:spacing w:after="120" w:line="276"/>
        <w:jc w:val="both"/>
      </w:pPr>
      <w:r>
        <w:rPr>
          <w:rFonts w:ascii="Barlow Semi Condensed" w:cs="Barlow Semi Condensed" w:eastAsia="Barlow Semi Condensed" w:hAnsi="Barlow Semi Condensed"/>
          <w:b/>
          <w:bCs/>
          <w:sz w:val="24"/>
          <w:szCs w:val="24"/>
        </w:rPr>
        <w:t xml:space="preserve">Quest'opera adotta la terza lettura, e conviene motivare la scelta perché non è neutra.</w:t>
      </w:r>
    </w:p>
    <w:p>
      <w:pPr>
        <w:spacing w:after="120" w:line="276"/>
        <w:jc w:val="both"/>
      </w:pPr>
      <w:r>
        <w:rPr>
          <w:rFonts w:ascii="Barlow Semi Condensed" w:cs="Barlow Semi Condensed" w:eastAsia="Barlow Semi Condensed" w:hAnsi="Barlow Semi Condensed"/>
          <w:b/>
          <w:bCs/>
          <w:sz w:val="24"/>
          <w:szCs w:val="24"/>
        </w:rPr>
        <w:t xml:space="preserve">La prima lettura presuppone che le dichiarazioni successive siano più attendibili delle anteriori. Nulla lo garantisce: il tempo che passa deteriora la memoria e attenua i vincoli processuali, e i due effetti agiscono in direzioni opposte sulla attendibilità.</w:t>
      </w:r>
    </w:p>
    <w:p>
      <w:pPr>
        <w:spacing w:after="120" w:line="276"/>
        <w:jc w:val="both"/>
      </w:pPr>
      <w:r>
        <w:rPr>
          <w:rFonts w:ascii="Barlow Semi Condensed" w:cs="Barlow Semi Condensed" w:eastAsia="Barlow Semi Condensed" w:hAnsi="Barlow Semi Condensed"/>
          <w:b/>
          <w:bCs/>
          <w:sz w:val="24"/>
          <w:szCs w:val="24"/>
        </w:rPr>
        <w:t xml:space="preserve">La seconda lettura presuppone una intenzione nei dichiaranti che non è accertata e che, ove attribuita senza prova, violerebbe la disciplina dell'opera sulle persone.</w:t>
      </w:r>
    </w:p>
    <w:p>
      <w:pPr>
        <w:spacing w:after="120" w:line="276"/>
        <w:jc w:val="both"/>
      </w:pPr>
      <w:r>
        <w:rPr>
          <w:rFonts w:ascii="Barlow Semi Condensed" w:cs="Barlow Semi Condensed" w:eastAsia="Barlow Semi Condensed" w:hAnsi="Barlow Semi Condensed"/>
          <w:b/>
          <w:bCs/>
          <w:sz w:val="24"/>
          <w:szCs w:val="24"/>
        </w:rPr>
        <w:t xml:space="preserve">La terza lettura non presuppone nulla. Essa constata una proprietà della fonte: le ricostruzioni fondate su dichiarazioni sono revisionabili per costruzione. Ed è una constatazione verificabile, poiché è precisamente ciò che è accaduto.</w:t>
      </w:r>
    </w:p>
    <w:p>
      <w:pPr>
        <w:pStyle w:val="Heading2"/>
        <w:spacing w:after="100" w:before="200"/>
      </w:pPr>
      <w:r>
        <w:rPr>
          <w:rFonts w:ascii="Barlow Semi Condensed" w:cs="Barlow Semi Condensed" w:eastAsia="Barlow Semi Condensed" w:hAnsi="Barlow Semi Condensed"/>
          <w:sz w:val="24"/>
          <w:szCs w:val="24"/>
        </w:rPr>
        <w:t xml:space="preserve">La conseguenza operativa</w:t>
      </w:r>
    </w:p>
    <w:p>
      <w:pPr>
        <w:spacing w:after="120" w:line="276"/>
        <w:jc w:val="both"/>
      </w:pPr>
      <w:r>
        <w:rPr>
          <w:rFonts w:ascii="Barlow Semi Condensed" w:cs="Barlow Semi Condensed" w:eastAsia="Barlow Semi Condensed" w:hAnsi="Barlow Semi Condensed"/>
          <w:b/>
          <w:bCs/>
          <w:sz w:val="24"/>
          <w:szCs w:val="24"/>
        </w:rPr>
        <w:t xml:space="preserve">Ne discende una disposizione che quest'opera adotta e che è, credo, il contributo maggiore di questo Capitolo.</w:t>
      </w:r>
    </w:p>
    <w:p>
      <w:pPr>
        <w:spacing w:after="120" w:line="276"/>
        <w:jc w:val="both"/>
      </w:pPr>
      <w:r>
        <w:rPr>
          <w:rFonts w:ascii="Barlow Semi Condensed" w:cs="Barlow Semi Condensed" w:eastAsia="Barlow Semi Condensed" w:hAnsi="Barlow Semi Condensed"/>
          <w:b/>
          <w:bCs/>
          <w:sz w:val="24"/>
          <w:szCs w:val="24"/>
        </w:rPr>
        <w:t xml:space="preserve">La ricostruzione attuale dell'attribuzione individuale è iscritta come versione corrente e non come acquisizione definitiva. Essa è impiegata con menzione di tale statuto, e la sua eventuale futura revisione non costituirà smentita dell'opera ma conferma della qualificazione qui apposta.</w:t>
      </w:r>
    </w:p>
    <w:p>
      <w:pPr>
        <w:spacing w:after="120" w:line="276"/>
        <w:jc w:val="both"/>
      </w:pPr>
      <w:r>
        <w:rPr>
          <w:rFonts w:ascii="Barlow Semi Condensed" w:cs="Barlow Semi Condensed" w:eastAsia="Barlow Semi Condensed" w:hAnsi="Barlow Semi Condensed"/>
          <w:b/>
          <w:bCs/>
          <w:sz w:val="24"/>
          <w:szCs w:val="24"/>
        </w:rPr>
        <w:t xml:space="preserve">Questa disposizione ha un vantaggio pratico che merita di essere segnalato: essa immunizza l'opera dall'obsolescenza. Un registro che dichiari definitiva una ricostruzione revisionabile è smentito dalla prima revisione; un registro che ne dichiari la natura resta valido attraverso le revisioni, perché ciò che ha affermato è vero anche dopo.</w:t>
      </w:r>
    </w:p>
    <w:p>
      <w:pPr>
        <w:pStyle w:val="Heading2"/>
        <w:spacing w:after="100" w:before="200"/>
      </w:pPr>
      <w:r>
        <w:rPr>
          <w:rFonts w:ascii="Barlow Semi Condensed" w:cs="Barlow Semi Condensed" w:eastAsia="Barlow Semi Condensed" w:hAnsi="Barlow Semi Condensed"/>
          <w:sz w:val="24"/>
          <w:szCs w:val="24"/>
        </w:rPr>
        <w:t xml:space="preserve">Un rilievo sulla direzione delle revisioni</w:t>
      </w:r>
    </w:p>
    <w:p>
      <w:pPr>
        <w:spacing w:after="120" w:line="276"/>
        <w:jc w:val="both"/>
      </w:pPr>
      <w:r>
        <w:rPr>
          <w:rFonts w:ascii="Barlow Semi Condensed" w:cs="Barlow Semi Condensed" w:eastAsia="Barlow Semi Condensed" w:hAnsi="Barlow Semi Condensed"/>
          <w:b/>
          <w:bCs/>
          <w:sz w:val="24"/>
          <w:szCs w:val="24"/>
        </w:rPr>
        <w:t xml:space="preserve">Si segnala infine, come dato non interpretato, una circostanza che merita esame ulteriore.</w:t>
      </w:r>
    </w:p>
    <w:p>
      <w:pPr>
        <w:spacing w:after="120" w:line="276"/>
        <w:jc w:val="both"/>
      </w:pPr>
      <w:r>
        <w:rPr>
          <w:rFonts w:ascii="Barlow Semi Condensed" w:cs="Barlow Semi Condensed" w:eastAsia="Barlow Semi Condensed" w:hAnsi="Barlow Semi Condensed"/>
          <w:b/>
          <w:bCs/>
          <w:sz w:val="24"/>
          <w:szCs w:val="24"/>
        </w:rPr>
        <w:t xml:space="preserve">Le revisioni intervenute hanno avuto, per quanto risulta, direzione prevalente di ampliamento: hanno aggiunto soggetti o modificato attribuzioni verso una maggiore articolazione, anziché ridurre.</w:t>
      </w:r>
    </w:p>
    <w:p>
      <w:pPr>
        <w:spacing w:after="120" w:line="276"/>
        <w:jc w:val="both"/>
      </w:pPr>
      <w:r>
        <w:rPr>
          <w:rFonts w:ascii="Barlow Semi Condensed" w:cs="Barlow Semi Condensed" w:eastAsia="Barlow Semi Condensed" w:hAnsi="Barlow Semi Condensed"/>
          <w:b/>
          <w:bCs/>
          <w:sz w:val="24"/>
          <w:szCs w:val="24"/>
        </w:rPr>
        <w:t xml:space="preserve">Il dato è registrato e non interpretato, perché la sua interpretazione richiederebbe la verifica che l'ampliamento non sia esso stesso un artefatto della selezione — le revisioni che ampliano essendo più notiziabili e dunque più ricordate di quelle che riducono. È il medesimo problema di selezione a posteriori esposto al Capitolo quarantasettesimo, e si applica qui la medesima cautela.</w:t>
      </w:r>
    </w:p>
    <w:p>
      <w:pPr>
        <w:pStyle w:val="Heading2"/>
        <w:spacing w:after="100" w:before="200"/>
      </w:pPr>
      <w:r>
        <w:rPr>
          <w:rFonts w:ascii="Barlow Semi Condensed" w:cs="Barlow Semi Condensed" w:eastAsia="Barlow Semi Condensed" w:hAnsi="Barlow Semi Condensed"/>
          <w:sz w:val="24"/>
          <w:szCs w:val="24"/>
        </w:rPr>
        <w:t xml:space="preserve">Capitolo cinquantaseiesimo — Il secondo livello: l'organizzazione</w:t>
      </w:r>
    </w:p>
    <w:p>
      <w:pPr>
        <w:pStyle w:val="Heading2"/>
        <w:spacing w:after="100" w:before="200"/>
      </w:pPr>
      <w:r>
        <w:rPr>
          <w:rFonts w:ascii="Barlow Semi Condensed" w:cs="Barlow Semi Condensed" w:eastAsia="Barlow Semi Condensed" w:hAnsi="Barlow Semi Condensed"/>
          <w:sz w:val="24"/>
          <w:szCs w:val="24"/>
        </w:rPr>
        <w:t xml:space="preserve">Che cosa si accerta a questo livello</w:t>
      </w:r>
    </w:p>
    <w:p>
      <w:pPr>
        <w:spacing w:after="120" w:line="276"/>
        <w:jc w:val="both"/>
      </w:pPr>
      <w:r>
        <w:rPr>
          <w:rFonts w:ascii="Barlow Semi Condensed" w:cs="Barlow Semi Condensed" w:eastAsia="Barlow Semi Condensed" w:hAnsi="Barlow Semi Condensed"/>
          <w:b/>
          <w:bCs/>
          <w:sz w:val="24"/>
          <w:szCs w:val="24"/>
        </w:rPr>
        <w:t xml:space="preserve">Il secondo livello riguarda chi deliberò l'operazione: la scelta del bersaglio, del momento, delle modalità; la direzione delle fasi; la decisione sull'esito.</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l'organizzazione disponeva di un organismo direttivo; che l'operazione fu deliberata in tale sede; che la sua conduzione fu diretta e non lasciata all'iniziativa degli esecutori; e che le decisioni relative alla gestione dei cinquantacinque giorni, compresa quella finale, furono assunte in sede direttiva.</w:t>
      </w:r>
    </w:p>
    <w:p>
      <w:pPr>
        <w:spacing w:after="120" w:line="276"/>
        <w:jc w:val="both"/>
      </w:pPr>
      <w:r>
        <w:rPr>
          <w:rFonts w:ascii="Barlow Semi Condensed" w:cs="Barlow Semi Condensed" w:eastAsia="Barlow Semi Condensed" w:hAnsi="Barlow Semi Condensed"/>
          <w:b/>
          <w:bCs/>
          <w:sz w:val="24"/>
          <w:szCs w:val="24"/>
        </w:rPr>
        <w:t xml:space="preserve">Questi elementi risultano dagli accertamenti giudiziari e dalle dichiarazioni riscontrate.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con la precisione che il livello richiederebbe, quali persone determinate abbiano concorso a ciascuna deliberazione, in quale sede materiale e con quale procedura.</w:t>
      </w:r>
    </w:p>
    <w:p>
      <w:pPr>
        <w:spacing w:after="120" w:line="276"/>
        <w:jc w:val="both"/>
      </w:pPr>
      <w:r>
        <w:rPr>
          <w:rFonts w:ascii="Barlow Semi Condensed" w:cs="Barlow Semi Condensed" w:eastAsia="Barlow Semi Condensed" w:hAnsi="Barlow Semi Condensed"/>
          <w:b/>
          <w:bCs/>
          <w:sz w:val="24"/>
          <w:szCs w:val="24"/>
        </w:rPr>
        <w:t xml:space="preserve">La ragione è di natura della fonte: le deliberazioni di un organismo clandestino non producono verbali. Ciò che se ne sa proviene da dichiarazioni, e a esse si applica la scala del Capitolo cinquantaduesimo. Gli enunciati che attribuiscono partecipazione a deliberazioni sono, quasi senza eccezione, di terzo grado.</w:t>
      </w:r>
    </w:p>
    <w:p>
      <w:pPr>
        <w:pStyle w:val="Heading2"/>
        <w:spacing w:after="100" w:before="200"/>
      </w:pPr>
      <w:r>
        <w:rPr>
          <w:rFonts w:ascii="Barlow Semi Condensed" w:cs="Barlow Semi Condensed" w:eastAsia="Barlow Semi Condensed" w:hAnsi="Barlow Semi Condensed"/>
          <w:sz w:val="24"/>
          <w:szCs w:val="24"/>
        </w:rPr>
        <w:t xml:space="preserve">La questione della sufficienza</w:t>
      </w:r>
    </w:p>
    <w:p>
      <w:pPr>
        <w:spacing w:after="120" w:line="276"/>
        <w:jc w:val="both"/>
      </w:pPr>
      <w:r>
        <w:rPr>
          <w:rFonts w:ascii="Barlow Semi Condensed" w:cs="Barlow Semi Condensed" w:eastAsia="Barlow Semi Condensed" w:hAnsi="Barlow Semi Condensed"/>
          <w:b/>
          <w:bCs/>
          <w:sz w:val="24"/>
          <w:szCs w:val="24"/>
        </w:rPr>
        <w:t xml:space="preserve">Si pone a questo livello la questione che decide il passaggio al terzo, e va posta con esattezza.</w:t>
      </w:r>
    </w:p>
    <w:p>
      <w:pPr>
        <w:spacing w:after="120" w:line="276"/>
        <w:jc w:val="both"/>
      </w:pPr>
      <w:r>
        <w:rPr>
          <w:rFonts w:ascii="Barlow Semi Condensed" w:cs="Barlow Semi Condensed" w:eastAsia="Barlow Semi Condensed" w:hAnsi="Barlow Semi Condensed"/>
          <w:b/>
          <w:bCs/>
          <w:sz w:val="24"/>
          <w:szCs w:val="24"/>
        </w:rPr>
        <w:t xml:space="preserve">La questione è la seguente: l'organismo direttivo accertato era sufficiente a concepire e condurre l'operazione, ovvero l'operazione eccede ciò che quell'organismo poteva concepire e condurre?</w:t>
      </w:r>
    </w:p>
    <w:p>
      <w:pPr>
        <w:spacing w:after="120" w:line="276"/>
        <w:jc w:val="both"/>
      </w:pPr>
      <w:r>
        <w:rPr>
          <w:rFonts w:ascii="Barlow Semi Condensed" w:cs="Barlow Semi Condensed" w:eastAsia="Barlow Semi Condensed" w:hAnsi="Barlow Semi Condensed"/>
          <w:b/>
          <w:bCs/>
          <w:sz w:val="24"/>
          <w:szCs w:val="24"/>
        </w:rPr>
        <w:t xml:space="preserve">La Fase Terza ha misurato lo scarto e ha stabilito che esso sussiste su due punti: l'esito di fuoco e la composizione simultanea del dispositivo, per entrambi i quali la via di acquisizione della capacità non è documentata.</w:t>
      </w:r>
    </w:p>
    <w:p>
      <w:pPr>
        <w:spacing w:after="120" w:line="276"/>
        <w:jc w:val="both"/>
      </w:pPr>
      <w:r>
        <w:rPr>
          <w:rFonts w:ascii="Barlow Semi Condensed" w:cs="Barlow Semi Condensed" w:eastAsia="Barlow Semi Condensed" w:hAnsi="Barlow Semi Condensed"/>
          <w:b/>
          <w:bCs/>
          <w:sz w:val="24"/>
          <w:szCs w:val="24"/>
        </w:rPr>
        <w:t xml:space="preserve">Occorre qui essere precisi su che cosa lo scarto comporti a questo livello. Esso riguarda la capacità operativa e non la capacità deliberativa. Che manchi documentazione su come una capacità sia stata acquisita non stabilisce che manchi la capacità di decidere di impiegarla.</w:t>
      </w:r>
    </w:p>
    <w:p>
      <w:pPr>
        <w:spacing w:after="120" w:line="276"/>
        <w:jc w:val="both"/>
      </w:pPr>
      <w:r>
        <w:rPr>
          <w:rFonts w:ascii="Barlow Semi Condensed" w:cs="Barlow Semi Condensed" w:eastAsia="Barlow Semi Condensed" w:hAnsi="Barlow Semi Condensed"/>
          <w:b/>
          <w:bCs/>
          <w:sz w:val="24"/>
          <w:szCs w:val="24"/>
        </w:rPr>
        <w:t xml:space="preserve">La distinzione è sottile e decisiva. Un organismo può deliberare autonomamente una operazione avvalendosi di capacità acquisite altrove e in altri tempi. Ciò non lo rende eterodiretto: lo rende dotato.</w:t>
      </w:r>
    </w:p>
    <w:p>
      <w:pPr>
        <w:pStyle w:val="Heading2"/>
        <w:spacing w:after="100" w:before="200"/>
      </w:pPr>
      <w:r>
        <w:rPr>
          <w:rFonts w:ascii="Barlow Semi Condensed" w:cs="Barlow Semi Condensed" w:eastAsia="Barlow Semi Condensed" w:hAnsi="Barlow Semi Condensed"/>
          <w:sz w:val="24"/>
          <w:szCs w:val="24"/>
        </w:rPr>
        <w:t xml:space="preserve">La conclusione del livello</w:t>
      </w:r>
    </w:p>
    <w:p>
      <w:pPr>
        <w:spacing w:after="120" w:line="276"/>
        <w:jc w:val="both"/>
      </w:pPr>
      <w:r>
        <w:rPr>
          <w:rFonts w:ascii="Barlow Semi Condensed" w:cs="Barlow Semi Condensed" w:eastAsia="Barlow Semi Condensed" w:hAnsi="Barlow Semi Condensed"/>
          <w:b/>
          <w:bCs/>
          <w:sz w:val="24"/>
          <w:szCs w:val="24"/>
        </w:rPr>
        <w:t xml:space="preserve">Si conclude dunque: il secondo livello è accertato nella sua esistenza e nella sua funzione; non è accertato nella sua composizione individuale se non nei limiti degli accertamenti giudiziari; e non risulta, dagli elementi disponibili, insufficiente a concepire e dirigere l'operazione.</w:t>
      </w:r>
    </w:p>
    <w:p>
      <w:pPr>
        <w:spacing w:after="120" w:line="276"/>
        <w:jc w:val="both"/>
      </w:pPr>
      <w:r>
        <w:rPr>
          <w:rFonts w:ascii="Barlow Semi Condensed" w:cs="Barlow Semi Condensed" w:eastAsia="Barlow Semi Condensed" w:hAnsi="Barlow Semi Condensed"/>
          <w:b/>
          <w:bCs/>
          <w:sz w:val="24"/>
          <w:szCs w:val="24"/>
        </w:rPr>
        <w:t xml:space="preserve">Quest'ultima proposizione è negativa e va letta come tale: non risulta insufficiente non significa che sia accertato che fosse sufficiente. Significa che gli elementi disponibili non stabiliscono l'insufficienza, e dunque non impongono la ricerca di un livello ulteriore.</w:t>
      </w:r>
    </w:p>
    <w:p>
      <w:pPr>
        <w:spacing w:after="120" w:line="276"/>
        <w:jc w:val="both"/>
      </w:pPr>
      <w:r>
        <w:rPr>
          <w:rFonts w:ascii="Barlow Semi Condensed" w:cs="Barlow Semi Condensed" w:eastAsia="Barlow Semi Condensed" w:hAnsi="Barlow Semi Condensed"/>
          <w:b/>
          <w:bCs/>
          <w:sz w:val="24"/>
          <w:szCs w:val="24"/>
        </w:rPr>
        <w:t xml:space="preserve">Se il livello ulteriore esista è questione autonoma, ed è quella del Capitolo seguente.</w:t>
      </w:r>
    </w:p>
    <w:p>
      <w:pPr>
        <w:pStyle w:val="Heading2"/>
        <w:spacing w:after="100" w:before="200"/>
      </w:pPr>
      <w:r>
        <w:rPr>
          <w:rFonts w:ascii="Barlow Semi Condensed" w:cs="Barlow Semi Condensed" w:eastAsia="Barlow Semi Condensed" w:hAnsi="Barlow Semi Condensed"/>
          <w:sz w:val="24"/>
          <w:szCs w:val="24"/>
        </w:rPr>
        <w:t xml:space="preserve">Capitolo cinquantasettesimo — Il terzo livello, e perché resta vuoto</w:t>
      </w:r>
    </w:p>
    <w:p>
      <w:pPr>
        <w:pStyle w:val="Heading2"/>
        <w:spacing w:after="100" w:before="200"/>
      </w:pPr>
      <w:r>
        <w:rPr>
          <w:rFonts w:ascii="Barlow Semi Condensed" w:cs="Barlow Semi Condensed" w:eastAsia="Barlow Semi Condensed" w:hAnsi="Barlow Semi Condensed"/>
          <w:sz w:val="24"/>
          <w:szCs w:val="24"/>
        </w:rPr>
        <w:t xml:space="preserve">La questione</w:t>
      </w:r>
    </w:p>
    <w:p>
      <w:pPr>
        <w:spacing w:after="120" w:line="276"/>
        <w:jc w:val="both"/>
      </w:pPr>
      <w:r>
        <w:rPr>
          <w:rFonts w:ascii="Barlow Semi Condensed" w:cs="Barlow Semi Condensed" w:eastAsia="Barlow Semi Condensed" w:hAnsi="Barlow Semi Condensed"/>
          <w:b/>
          <w:bCs/>
          <w:sz w:val="24"/>
          <w:szCs w:val="24"/>
        </w:rPr>
        <w:t xml:space="preserve">Il terzo livello riguarda l'esistenza di una volontà esterna all'organismo che deliberò, e la sua efficacia su di esso.</w:t>
      </w:r>
    </w:p>
    <w:p>
      <w:pPr>
        <w:spacing w:after="120" w:line="276"/>
        <w:jc w:val="both"/>
      </w:pPr>
      <w:r>
        <w:rPr>
          <w:rFonts w:ascii="Barlow Semi Condensed" w:cs="Barlow Semi Condensed" w:eastAsia="Barlow Semi Condensed" w:hAnsi="Barlow Semi Condensed"/>
          <w:b/>
          <w:bCs/>
          <w:sz w:val="24"/>
          <w:szCs w:val="24"/>
        </w:rPr>
        <w:t xml:space="preserve">La questione non è se qualcuno avesse interesse all'esito. Molti l'avevano, e la Fase Seconda li ha censiti. La questione è se una volontà esterna abbia determinato la deliberazione.</w:t>
      </w:r>
    </w:p>
    <w:p>
      <w:pPr>
        <w:pStyle w:val="Heading2"/>
        <w:spacing w:after="100" w:before="200"/>
      </w:pPr>
      <w:r>
        <w:rPr>
          <w:rFonts w:ascii="Barlow Semi Condensed" w:cs="Barlow Semi Condensed" w:eastAsia="Barlow Semi Condensed" w:hAnsi="Barlow Semi Condensed"/>
          <w:sz w:val="24"/>
          <w:szCs w:val="24"/>
        </w:rPr>
        <w:t xml:space="preserve">Ciò che occorrerebbe provare</w:t>
      </w:r>
    </w:p>
    <w:p>
      <w:pPr>
        <w:spacing w:after="120" w:line="276"/>
        <w:jc w:val="both"/>
      </w:pPr>
      <w:r>
        <w:rPr>
          <w:rFonts w:ascii="Barlow Semi Condensed" w:cs="Barlow Semi Condensed" w:eastAsia="Barlow Semi Condensed" w:hAnsi="Barlow Semi Condensed"/>
          <w:b/>
          <w:bCs/>
          <w:sz w:val="24"/>
          <w:szCs w:val="24"/>
        </w:rPr>
        <w:t xml:space="preserve">Perché il terzo livello sia accertato occorrono tre proposizioni, ciascuna delle quali richiede prova propria.</w:t>
      </w:r>
    </w:p>
    <w:p>
      <w:pPr>
        <w:spacing w:after="120" w:line="276"/>
        <w:jc w:val="both"/>
      </w:pPr>
      <w:r>
        <w:rPr>
          <w:rFonts w:ascii="Barlow Semi Condensed" w:cs="Barlow Semi Condensed" w:eastAsia="Barlow Semi Condensed" w:hAnsi="Barlow Semi Condensed"/>
          <w:b/>
          <w:bCs/>
          <w:sz w:val="24"/>
          <w:szCs w:val="24"/>
        </w:rPr>
        <w:t xml:space="preserve">Prima: che esistesse un soggetto esterno con volontà determinata quanto all'operazione.</w:t>
      </w:r>
    </w:p>
    <w:p>
      <w:pPr>
        <w:spacing w:after="120" w:line="276"/>
        <w:jc w:val="both"/>
      </w:pPr>
      <w:r>
        <w:rPr>
          <w:rFonts w:ascii="Barlow Semi Condensed" w:cs="Barlow Semi Condensed" w:eastAsia="Barlow Semi Condensed" w:hAnsi="Barlow Semi Condensed"/>
          <w:b/>
          <w:bCs/>
          <w:sz w:val="24"/>
          <w:szCs w:val="24"/>
        </w:rPr>
        <w:t xml:space="preserve">Seconda: che tale volontà si sia trasmessa all'organismo che deliberò.</w:t>
      </w:r>
    </w:p>
    <w:p>
      <w:pPr>
        <w:spacing w:after="120" w:line="276"/>
        <w:jc w:val="both"/>
      </w:pPr>
      <w:r>
        <w:rPr>
          <w:rFonts w:ascii="Barlow Semi Condensed" w:cs="Barlow Semi Condensed" w:eastAsia="Barlow Semi Condensed" w:hAnsi="Barlow Semi Condensed"/>
          <w:b/>
          <w:bCs/>
          <w:sz w:val="24"/>
          <w:szCs w:val="24"/>
        </w:rPr>
        <w:t xml:space="preserve">Terza: che la trasmissione abbia avuto efficacia sulla deliberazione.</w:t>
      </w:r>
    </w:p>
    <w:p>
      <w:pPr>
        <w:spacing w:after="120" w:line="276"/>
        <w:jc w:val="both"/>
      </w:pPr>
      <w:r>
        <w:rPr>
          <w:rFonts w:ascii="Barlow Semi Condensed" w:cs="Barlow Semi Condensed" w:eastAsia="Barlow Semi Condensed" w:hAnsi="Barlow Semi Condensed"/>
          <w:b/>
          <w:bCs/>
          <w:sz w:val="24"/>
          <w:szCs w:val="24"/>
        </w:rPr>
        <w:t xml:space="preserve">Le tre proposizioni sono in sequenza necessaria: la seconda presuppone la prima, la terza presuppone la seconda. Nessuna può essere inferita dalle altre.</w:t>
      </w:r>
    </w:p>
    <w:p>
      <w:pPr>
        <w:pStyle w:val="Heading2"/>
        <w:spacing w:after="100" w:before="200"/>
      </w:pPr>
      <w:r>
        <w:rPr>
          <w:rFonts w:ascii="Barlow Semi Condensed" w:cs="Barlow Semi Condensed" w:eastAsia="Barlow Semi Condensed" w:hAnsi="Barlow Semi Condensed"/>
          <w:sz w:val="24"/>
          <w:szCs w:val="24"/>
        </w:rPr>
        <w:t xml:space="preserve">Lo stato degli atti</w:t>
      </w:r>
    </w:p>
    <w:p>
      <w:pPr>
        <w:spacing w:after="120" w:line="276"/>
        <w:jc w:val="both"/>
      </w:pPr>
      <w:r>
        <w:rPr>
          <w:rFonts w:ascii="Barlow Semi Condensed" w:cs="Barlow Semi Condensed" w:eastAsia="Barlow Semi Condensed" w:hAnsi="Barlow Semi Condensed"/>
          <w:b/>
          <w:bCs/>
          <w:sz w:val="24"/>
          <w:szCs w:val="24"/>
        </w:rPr>
        <w:t xml:space="preserve">Allo stato degli atti che quest'opera ha potuto interrogare, nessuna delle tre proposizioni è accertata.</w:t>
      </w:r>
    </w:p>
    <w:p>
      <w:pPr>
        <w:spacing w:after="120" w:line="276"/>
        <w:jc w:val="both"/>
      </w:pPr>
      <w:r>
        <w:rPr>
          <w:rFonts w:ascii="Barlow Semi Condensed" w:cs="Barlow Semi Condensed" w:eastAsia="Barlow Semi Condensed" w:hAnsi="Barlow Semi Condensed"/>
          <w:b/>
          <w:bCs/>
          <w:sz w:val="24"/>
          <w:szCs w:val="24"/>
        </w:rPr>
        <w:t xml:space="preserve">Sulla prima: non risulta acquisito alcun atto che documenti una volontà esterna determinata quanto all'operazione. Risulta acquisita, e la Fase Seconda l'ha registrata, la documentazione di ostilità politica di più soggetti verso la politica del rapito; ma l'ostilità politica non è volontà determinata quanto a un atto, e il passaggio dall'una all'altra è il salto che l'opera vieta.</w:t>
      </w:r>
    </w:p>
    <w:p>
      <w:pPr>
        <w:spacing w:after="120" w:line="276"/>
        <w:jc w:val="both"/>
      </w:pPr>
      <w:r>
        <w:rPr>
          <w:rFonts w:ascii="Barlow Semi Condensed" w:cs="Barlow Semi Condensed" w:eastAsia="Barlow Semi Condensed" w:hAnsi="Barlow Semi Condensed"/>
          <w:b/>
          <w:bCs/>
          <w:sz w:val="24"/>
          <w:szCs w:val="24"/>
        </w:rPr>
        <w:t xml:space="preserve">Sulla seconda: non risulta acquisito alcun elemento che documenti una via di trasmissione.</w:t>
      </w:r>
    </w:p>
    <w:p>
      <w:pPr>
        <w:spacing w:after="120" w:line="276"/>
        <w:jc w:val="both"/>
      </w:pPr>
      <w:r>
        <w:rPr>
          <w:rFonts w:ascii="Barlow Semi Condensed" w:cs="Barlow Semi Condensed" w:eastAsia="Barlow Semi Condensed" w:hAnsi="Barlow Semi Condensed"/>
          <w:b/>
          <w:bCs/>
          <w:sz w:val="24"/>
          <w:szCs w:val="24"/>
        </w:rPr>
        <w:t xml:space="preserve">Sulla terza: non essendo accertate le prime due, non si pone.</w:t>
      </w:r>
    </w:p>
    <w:p>
      <w:pPr>
        <w:pStyle w:val="Heading2"/>
        <w:spacing w:after="100" w:before="200"/>
      </w:pPr>
      <w:r>
        <w:rPr>
          <w:rFonts w:ascii="Barlow Semi Condensed" w:cs="Barlow Semi Condensed" w:eastAsia="Barlow Semi Condensed" w:hAnsi="Barlow Semi Condensed"/>
          <w:sz w:val="24"/>
          <w:szCs w:val="24"/>
        </w:rPr>
        <w:t xml:space="preserve">La vacanza e il suo statuto</w:t>
      </w:r>
    </w:p>
    <w:p>
      <w:pPr>
        <w:spacing w:after="120" w:line="276"/>
        <w:jc w:val="both"/>
      </w:pPr>
      <w:r>
        <w:rPr>
          <w:rFonts w:ascii="Barlow Semi Condensed" w:cs="Barlow Semi Condensed" w:eastAsia="Barlow Semi Condensed" w:hAnsi="Barlow Semi Condensed"/>
          <w:b/>
          <w:bCs/>
          <w:sz w:val="24"/>
          <w:szCs w:val="24"/>
        </w:rPr>
        <w:t xml:space="preserve">Il terzo livello resta dunque vuoto, e occorre dire con precisione che cosa la vacanza significhi, perché essa è il punto sul quale l'intera opera sarà giudicata.</w:t>
      </w:r>
    </w:p>
    <w:p>
      <w:pPr>
        <w:spacing w:after="120" w:line="276"/>
        <w:jc w:val="both"/>
      </w:pPr>
      <w:r>
        <w:rPr>
          <w:rFonts w:ascii="Barlow Semi Condensed" w:cs="Barlow Semi Condensed" w:eastAsia="Barlow Semi Condensed" w:hAnsi="Barlow Semi Condensed"/>
          <w:b/>
          <w:bCs/>
          <w:sz w:val="24"/>
          <w:szCs w:val="24"/>
        </w:rPr>
        <w:t xml:space="preserve">La vacanza non significa che il terzo livello non esista. Significa che la sua esistenza non è accertata.</w:t>
      </w:r>
    </w:p>
    <w:p>
      <w:pPr>
        <w:spacing w:after="120" w:line="276"/>
        <w:jc w:val="both"/>
      </w:pPr>
      <w:r>
        <w:rPr>
          <w:rFonts w:ascii="Barlow Semi Condensed" w:cs="Barlow Semi Condensed" w:eastAsia="Barlow Semi Condensed" w:hAnsi="Barlow Semi Condensed"/>
          <w:b/>
          <w:bCs/>
          <w:sz w:val="24"/>
          <w:szCs w:val="24"/>
        </w:rPr>
        <w:t xml:space="preserve">La vacanza non significa che la ricerca sia conclusa. Significa che gli atti finora acquisiti non la riempiono.</w:t>
      </w:r>
    </w:p>
    <w:p>
      <w:pPr>
        <w:spacing w:after="120" w:line="276"/>
        <w:jc w:val="both"/>
      </w:pPr>
      <w:r>
        <w:rPr>
          <w:rFonts w:ascii="Barlow Semi Condensed" w:cs="Barlow Semi Condensed" w:eastAsia="Barlow Semi Condensed" w:hAnsi="Barlow Semi Condensed"/>
          <w:b/>
          <w:bCs/>
          <w:sz w:val="24"/>
          <w:szCs w:val="24"/>
        </w:rPr>
        <w:t xml:space="preserve">La vacanza non è, in alcun senso, una assoluzione di alcuno. Un registro non assolve e non condanna: constata che cosa gli atti stabiliscano.</w:t>
      </w:r>
    </w:p>
    <w:p>
      <w:pPr>
        <w:pStyle w:val="Heading2"/>
        <w:spacing w:after="100" w:before="200"/>
      </w:pPr>
      <w:r>
        <w:rPr>
          <w:rFonts w:ascii="Barlow Semi Condensed" w:cs="Barlow Semi Condensed" w:eastAsia="Barlow Semi Condensed" w:hAnsi="Barlow Semi Condensed"/>
          <w:sz w:val="24"/>
          <w:szCs w:val="24"/>
        </w:rPr>
        <w:t xml:space="preserve">Perché la vacanza si dichiara anziché colmarsi</w:t>
      </w:r>
    </w:p>
    <w:p>
      <w:pPr>
        <w:spacing w:after="120" w:line="276"/>
        <w:jc w:val="both"/>
      </w:pPr>
      <w:r>
        <w:rPr>
          <w:rFonts w:ascii="Barlow Semi Condensed" w:cs="Barlow Semi Condensed" w:eastAsia="Barlow Semi Condensed" w:hAnsi="Barlow Semi Condensed"/>
          <w:b/>
          <w:bCs/>
          <w:sz w:val="24"/>
          <w:szCs w:val="24"/>
        </w:rPr>
        <w:t xml:space="preserve">Occorre infine dire perché quest'opera lascia il livello vuoto anziché indicarvi il candidato più verosimile, che è ciò che la maggior parte della letteratura fa.</w:t>
      </w:r>
    </w:p>
    <w:p>
      <w:pPr>
        <w:spacing w:after="120" w:line="276"/>
        <w:jc w:val="both"/>
      </w:pPr>
      <w:r>
        <w:rPr>
          <w:rFonts w:ascii="Barlow Semi Condensed" w:cs="Barlow Semi Condensed" w:eastAsia="Barlow Semi Condensed" w:hAnsi="Barlow Semi Condensed"/>
          <w:b/>
          <w:bCs/>
          <w:sz w:val="24"/>
          <w:szCs w:val="24"/>
        </w:rPr>
        <w:t xml:space="preserve">La ragione non è prudenza. È che un livello riempito senza prova produce tre danni, tutti maggiori del beneficio di una narrazione compiuta.</w:t>
      </w:r>
    </w:p>
    <w:p>
      <w:pPr>
        <w:spacing w:after="120" w:line="276"/>
        <w:jc w:val="both"/>
      </w:pPr>
      <w:r>
        <w:rPr>
          <w:rFonts w:ascii="Barlow Semi Condensed" w:cs="Barlow Semi Condensed" w:eastAsia="Barlow Semi Condensed" w:hAnsi="Barlow Semi Condensed"/>
          <w:b/>
          <w:bCs/>
          <w:sz w:val="24"/>
          <w:szCs w:val="24"/>
        </w:rPr>
        <w:t xml:space="preserve">Primo danno: esso rende l'opera confutabile nel punto sbagliato. Chi voglia screditare l'insieme attaccherà l'anello non provato, e travolgerà con esso anche ciò che è provato.</w:t>
      </w:r>
    </w:p>
    <w:p>
      <w:pPr>
        <w:spacing w:after="120" w:line="276"/>
        <w:jc w:val="both"/>
      </w:pPr>
      <w:r>
        <w:rPr>
          <w:rFonts w:ascii="Barlow Semi Condensed" w:cs="Barlow Semi Condensed" w:eastAsia="Barlow Semi Condensed" w:hAnsi="Barlow Semi Condensed"/>
          <w:b/>
          <w:bCs/>
          <w:sz w:val="24"/>
          <w:szCs w:val="24"/>
        </w:rPr>
        <w:t xml:space="preserve">Secondo danno: esso chiude la ricerca. Un livello dichiarato riempito non si scava più, e se il riempimento è errato l'errore si consolida.</w:t>
      </w:r>
    </w:p>
    <w:p>
      <w:pPr>
        <w:spacing w:after="120" w:line="276"/>
        <w:jc w:val="both"/>
      </w:pPr>
      <w:r>
        <w:rPr>
          <w:rFonts w:ascii="Barlow Semi Condensed" w:cs="Barlow Semi Condensed" w:eastAsia="Barlow Semi Condensed" w:hAnsi="Barlow Semi Condensed"/>
          <w:b/>
          <w:bCs/>
          <w:sz w:val="24"/>
          <w:szCs w:val="24"/>
        </w:rPr>
        <w:t xml:space="preserve">Terzo danno, e il più grave: esso attribuisce a persone o a istituzioni una responsabilità che gli atti non accertano. È l'atto che l'opera esiste per non compiere, e non diventa lecito perché compiuto in nome di una verità che si ritiene di conoscere.</w:t>
      </w:r>
    </w:p>
    <w:p>
      <w:pPr>
        <w:pStyle w:val="Heading2"/>
        <w:spacing w:after="100" w:before="200"/>
      </w:pPr>
      <w:r>
        <w:rPr>
          <w:rFonts w:ascii="Barlow Semi Condensed" w:cs="Barlow Semi Condensed" w:eastAsia="Barlow Semi Condensed" w:hAnsi="Barlow Semi Condensed"/>
          <w:sz w:val="24"/>
          <w:szCs w:val="24"/>
        </w:rPr>
        <w:t xml:space="preserve">Che cosa la vacanza consegna</w:t>
      </w:r>
    </w:p>
    <w:p>
      <w:pPr>
        <w:spacing w:after="120" w:line="276"/>
        <w:jc w:val="both"/>
      </w:pPr>
      <w:r>
        <w:rPr>
          <w:rFonts w:ascii="Barlow Semi Condensed" w:cs="Barlow Semi Condensed" w:eastAsia="Barlow Semi Condensed" w:hAnsi="Barlow Semi Condensed"/>
          <w:b/>
          <w:bCs/>
          <w:sz w:val="24"/>
          <w:szCs w:val="24"/>
        </w:rPr>
        <w:t xml:space="preserve">La vacanza consegna alla Fase Settima, e alle edizioni future, l'elenco delle acquisizioni che la riempirebbero: atti che documentino una determinazione esterna quanto all'operazione; atti che documentino una via di trasmissione; atti che documentino l'efficacia della trasmissione.</w:t>
      </w:r>
    </w:p>
    <w:p>
      <w:pPr>
        <w:spacing w:after="120" w:line="276"/>
        <w:jc w:val="both"/>
      </w:pPr>
      <w:r>
        <w:rPr>
          <w:rFonts w:ascii="Barlow Semi Condensed" w:cs="Barlow Semi Condensed" w:eastAsia="Barlow Semi Condensed" w:hAnsi="Barlow Semi Condensed"/>
          <w:b/>
          <w:bCs/>
          <w:sz w:val="24"/>
          <w:szCs w:val="24"/>
        </w:rPr>
        <w:t xml:space="preserve">Le sedi presso le quali tali atti potrebbero trovarsi sono in parte identificate e in parte non accessibili con gli strumenti impiegati. L'elenco è nella tavola.</w:t>
      </w:r>
    </w:p>
    <w:p>
      <w:pPr>
        <w:pStyle w:val="Heading2"/>
        <w:spacing w:after="100" w:before="200"/>
      </w:pPr>
      <w:r>
        <w:rPr>
          <w:rFonts w:ascii="Barlow Semi Condensed" w:cs="Barlow Semi Condensed" w:eastAsia="Barlow Semi Condensed" w:hAnsi="Barlow Semi Condensed"/>
          <w:sz w:val="24"/>
          <w:szCs w:val="24"/>
        </w:rPr>
        <w:t xml:space="preserve">Capitolo cinquantottesimo — Il terzo soggetto</w:t>
      </w:r>
    </w:p>
    <w:p>
      <w:pPr>
        <w:spacing w:after="120" w:line="276"/>
        <w:jc w:val="both"/>
      </w:pPr>
      <w:r>
        <w:rPr>
          <w:rFonts w:ascii="Barlow Semi Condensed" w:cs="Barlow Semi Condensed" w:eastAsia="Barlow Semi Condensed" w:hAnsi="Barlow Semi Condensed"/>
          <w:b/>
          <w:bCs/>
          <w:sz w:val="24"/>
          <w:szCs w:val="24"/>
        </w:rPr>
        <w:t xml:space="preserve">La Fase Quinta ha consegnato a questa il fatto più solido che essa abbia prodotto: l'accertamento che sulla vicenda operò un terzo soggetto, distinto dai rapitori e dalle istituzioni, capace di produrre falso credibile e interessato a produrlo. Compete a questa Fase stabilire, se possibile, chi esso fosse.</w:t>
      </w:r>
    </w:p>
    <w:p>
      <w:pPr>
        <w:pStyle w:val="Heading2"/>
        <w:spacing w:after="100" w:before="200"/>
      </w:pPr>
      <w:r>
        <w:rPr>
          <w:rFonts w:ascii="Barlow Semi Condensed" w:cs="Barlow Semi Condensed" w:eastAsia="Barlow Semi Condensed" w:hAnsi="Barlow Semi Condensed"/>
          <w:sz w:val="24"/>
          <w:szCs w:val="24"/>
        </w:rPr>
        <w:t xml:space="preserve">Ciò che è accertato del terzo soggetto</w:t>
      </w:r>
    </w:p>
    <w:p>
      <w:pPr>
        <w:spacing w:after="120" w:line="276"/>
        <w:jc w:val="both"/>
      </w:pPr>
      <w:r>
        <w:rPr>
          <w:rFonts w:ascii="Barlow Semi Condensed" w:cs="Barlow Semi Condensed" w:eastAsia="Barlow Semi Condensed" w:hAnsi="Barlow Semi Condensed"/>
          <w:b/>
          <w:bCs/>
          <w:sz w:val="24"/>
          <w:szCs w:val="24"/>
        </w:rPr>
        <w:t xml:space="preserve">È accertato che esso esisteva, per la ragione logica esposta al Capitolo quarantaquattresimo: un comunicato apocrifo non si forma per errore.</w:t>
      </w:r>
    </w:p>
    <w:p>
      <w:pPr>
        <w:spacing w:after="120" w:line="276"/>
        <w:jc w:val="both"/>
      </w:pPr>
      <w:r>
        <w:rPr>
          <w:rFonts w:ascii="Barlow Semi Condensed" w:cs="Barlow Semi Condensed" w:eastAsia="Barlow Semi Condensed" w:hAnsi="Barlow Semi Condensed"/>
          <w:b/>
          <w:bCs/>
          <w:sz w:val="24"/>
          <w:szCs w:val="24"/>
        </w:rPr>
        <w:t xml:space="preserve">È accertato che esso disponeva delle capacità seguenti: conoscenza delle forme e del linguaggio delle comunicazioni autentiche, sufficiente a produrne una credibile; conoscenza dei canali di immissione, sufficiente a collocarla dove sarebbe stata raccolta come autentica; e tempestività, avendo agito in costanza di prigionia.</w:t>
      </w:r>
    </w:p>
    <w:p>
      <w:pPr>
        <w:spacing w:after="120" w:line="276"/>
        <w:jc w:val="both"/>
      </w:pPr>
      <w:r>
        <w:rPr>
          <w:rFonts w:ascii="Barlow Semi Condensed" w:cs="Barlow Semi Condensed" w:eastAsia="Barlow Semi Condensed" w:hAnsi="Barlow Semi Condensed"/>
          <w:b/>
          <w:bCs/>
          <w:sz w:val="24"/>
          <w:szCs w:val="24"/>
        </w:rPr>
        <w:t xml:space="preserve">È accertato che esso aveva interesse a interferire.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accertata la sua identità. Non è accertata la sua collocazione: se interno a uno degli altri due soggetti, esterno a entrambi, o composito.</w:t>
      </w:r>
    </w:p>
    <w:p>
      <w:pPr>
        <w:pStyle w:val="Heading2"/>
        <w:spacing w:after="100" w:before="200"/>
      </w:pPr>
      <w:r>
        <w:rPr>
          <w:rFonts w:ascii="Barlow Semi Condensed" w:cs="Barlow Semi Condensed" w:eastAsia="Barlow Semi Condensed" w:hAnsi="Barlow Semi Condensed"/>
          <w:sz w:val="24"/>
          <w:szCs w:val="24"/>
        </w:rPr>
        <w:t xml:space="preserve">L'esame delle collocazioni possibili</w:t>
      </w:r>
    </w:p>
    <w:p>
      <w:pPr>
        <w:spacing w:after="120" w:line="276"/>
        <w:jc w:val="both"/>
      </w:pPr>
      <w:r>
        <w:rPr>
          <w:rFonts w:ascii="Barlow Semi Condensed" w:cs="Barlow Semi Condensed" w:eastAsia="Barlow Semi Condensed" w:hAnsi="Barlow Semi Condensed"/>
          <w:b/>
          <w:bCs/>
          <w:sz w:val="24"/>
          <w:szCs w:val="24"/>
        </w:rPr>
        <w:t xml:space="preserve">Si esaminano le collocazioni possibili, e per ciascuna si indica ciò che la sosterrebbe e ciò che la contrasta. Nessuna è accolta.</w:t>
      </w:r>
    </w:p>
    <w:p>
      <w:pPr>
        <w:spacing w:after="120" w:line="276"/>
        <w:jc w:val="both"/>
      </w:pPr>
      <w:r>
        <w:rPr>
          <w:rFonts w:ascii="Barlow Semi Condensed" w:cs="Barlow Semi Condensed" w:eastAsia="Barlow Semi Condensed" w:hAnsi="Barlow Semi Condensed"/>
          <w:b/>
          <w:bCs/>
          <w:sz w:val="24"/>
          <w:szCs w:val="24"/>
        </w:rPr>
        <w:t xml:space="preserve">Prima collocazione: interno all'organizzazione. La sosterrebbe la conoscenza delle forme delle comunicazioni, che è massima all'interno. La contrasta la smentita immediata da parte dell'organizzazione, che avrebbe vanificato l'operazione; e la contrasta la difficoltà di individuare un interesse interno alla produzione di un falso che l'organizzazione stessa doveva poi smentire.</w:t>
      </w:r>
    </w:p>
    <w:p>
      <w:pPr>
        <w:spacing w:after="120" w:line="276"/>
        <w:jc w:val="both"/>
      </w:pPr>
      <w:r>
        <w:rPr>
          <w:rFonts w:ascii="Barlow Semi Condensed" w:cs="Barlow Semi Condensed" w:eastAsia="Barlow Semi Condensed" w:hAnsi="Barlow Semi Condensed"/>
          <w:b/>
          <w:bCs/>
          <w:sz w:val="24"/>
          <w:szCs w:val="24"/>
        </w:rPr>
        <w:t xml:space="preserve">Seconda collocazione: interno agli apparati. La sosterrebbe la conoscenza dei canali di immissione, che è elevata negli apparati; e la sosterrebbe la disponibilità di finalità plausibili fra quelle enumerate al Capitolo quarantaquattresimo. La contrasta l'assenza di qualunque atto acquisito che la documenti.</w:t>
      </w:r>
    </w:p>
    <w:p>
      <w:pPr>
        <w:spacing w:after="120" w:line="276"/>
        <w:jc w:val="both"/>
      </w:pPr>
      <w:r>
        <w:rPr>
          <w:rFonts w:ascii="Barlow Semi Condensed" w:cs="Barlow Semi Condensed" w:eastAsia="Barlow Semi Condensed" w:hAnsi="Barlow Semi Condensed"/>
          <w:b/>
          <w:bCs/>
          <w:sz w:val="24"/>
          <w:szCs w:val="24"/>
        </w:rPr>
        <w:t xml:space="preserve">Terza collocazione: esterno a entrambi. La sosterrebbe la circostanza che ambienti dotati di conoscenze sufficienti esistevano al di fuori dei due soggetti principali. La contrasta la difficoltà di individuare, per un soggetto esterno, un interesse proporzionato al rischio.</w:t>
      </w:r>
    </w:p>
    <w:p>
      <w:pPr>
        <w:spacing w:after="120" w:line="276"/>
        <w:jc w:val="both"/>
      </w:pPr>
      <w:r>
        <w:rPr>
          <w:rFonts w:ascii="Barlow Semi Condensed" w:cs="Barlow Semi Condensed" w:eastAsia="Barlow Semi Condensed" w:hAnsi="Barlow Semi Condensed"/>
          <w:b/>
          <w:bCs/>
          <w:sz w:val="24"/>
          <w:szCs w:val="24"/>
        </w:rPr>
        <w:t xml:space="preserve">Quarta collocazione: composita. Vi rientrano le ipotesi che attribuiscano l'atto alla collaborazione di soggetti di collocazione diversa. Essa è la meno vincolata dalle obiezioni e, per ciò stesso, la meno verificabile: una ipotesi che si adatti a tutte le obiezioni non è confermata dalla propria adattabilità, ne è indebolita.</w:t>
      </w:r>
    </w:p>
    <w:p>
      <w:pPr>
        <w:pStyle w:val="Heading2"/>
        <w:spacing w:after="100" w:before="200"/>
      </w:pPr>
      <w:r>
        <w:rPr>
          <w:rFonts w:ascii="Barlow Semi Condensed" w:cs="Barlow Semi Condensed" w:eastAsia="Barlow Semi Condensed" w:hAnsi="Barlow Semi Condensed"/>
          <w:sz w:val="24"/>
          <w:szCs w:val="24"/>
        </w:rPr>
        <w:t xml:space="preserve">Ciò che discriminerebbe</w:t>
      </w:r>
    </w:p>
    <w:p>
      <w:pPr>
        <w:spacing w:after="120" w:line="276"/>
        <w:jc w:val="both"/>
      </w:pPr>
      <w:r>
        <w:rPr>
          <w:rFonts w:ascii="Barlow Semi Condensed" w:cs="Barlow Semi Condensed" w:eastAsia="Barlow Semi Condensed" w:hAnsi="Barlow Semi Condensed"/>
          <w:b/>
          <w:bCs/>
          <w:sz w:val="24"/>
          <w:szCs w:val="24"/>
        </w:rPr>
        <w:t xml:space="preserve">Si indica ciò che discriminerebbe fra le collocazioni: l'esame materiale del documento apocrifo — supporto, mezzo di scrittura, modalità di confezione — confrontato con quello dei documenti autentici e con le disponibilità dei diversi ambienti; la documentazione della via di immissione e dei tempi; gli atti relativi agli accertamenti condotti all'epoca sulla sua provenienza e ai loro esiti.</w:t>
      </w:r>
    </w:p>
    <w:p>
      <w:pPr>
        <w:spacing w:after="120" w:line="276"/>
        <w:jc w:val="both"/>
      </w:pPr>
      <w:r>
        <w:rPr>
          <w:rFonts w:ascii="Barlow Semi Condensed" w:cs="Barlow Semi Condensed" w:eastAsia="Barlow Semi Condensed" w:hAnsi="Barlow Semi Condensed"/>
          <w:b/>
          <w:bCs/>
          <w:sz w:val="24"/>
          <w:szCs w:val="24"/>
        </w:rPr>
        <w:t xml:space="preserve">Nessuno di tali elementi è stato acquisito nella presente campagna.</w:t>
      </w:r>
    </w:p>
    <w:p>
      <w:pPr>
        <w:pStyle w:val="Heading2"/>
        <w:spacing w:after="100" w:before="200"/>
      </w:pPr>
      <w:r>
        <w:rPr>
          <w:rFonts w:ascii="Barlow Semi Condensed" w:cs="Barlow Semi Condensed" w:eastAsia="Barlow Semi Condensed" w:hAnsi="Barlow Semi Condensed"/>
          <w:sz w:val="24"/>
          <w:szCs w:val="24"/>
        </w:rPr>
        <w:t xml:space="preserve">La rilevanza dell'accertato</w:t>
      </w:r>
    </w:p>
    <w:p>
      <w:pPr>
        <w:spacing w:after="120" w:line="276"/>
        <w:jc w:val="both"/>
      </w:pPr>
      <w:r>
        <w:rPr>
          <w:rFonts w:ascii="Barlow Semi Condensed" w:cs="Barlow Semi Condensed" w:eastAsia="Barlow Semi Condensed" w:hAnsi="Barlow Semi Condensed"/>
          <w:b/>
          <w:bCs/>
          <w:sz w:val="24"/>
          <w:szCs w:val="24"/>
        </w:rPr>
        <w:t xml:space="preserve">Occorre chiudere il Capitolo insistendo su ciò che resta accertato, perché la lunghezza dell'esame delle ipotesi potrebbe farlo perdere di vista.</w:t>
      </w:r>
    </w:p>
    <w:p>
      <w:pPr>
        <w:spacing w:after="120" w:line="276"/>
        <w:jc w:val="both"/>
      </w:pPr>
      <w:r>
        <w:rPr>
          <w:rFonts w:ascii="Barlow Semi Condensed" w:cs="Barlow Semi Condensed" w:eastAsia="Barlow Semi Condensed" w:hAnsi="Barlow Semi Condensed"/>
          <w:b/>
          <w:bCs/>
          <w:sz w:val="24"/>
          <w:szCs w:val="24"/>
        </w:rPr>
        <w:t xml:space="preserve">Che l'identità del terzo soggetto sia ignota non attenua l'accertamento della sua esistenza. E l'esistenza di un terzo soggetto operante deliberatamente sulla vicenda è un fatto di rilievo maggiore di quanto la sua sola formulazione suggerisca: essa stabilisce che la ricostruzione della vicenda a due soggetti — rapitori e istituzioni — è incompleta per accertamento, e non per congettura.</w:t>
      </w:r>
    </w:p>
    <w:p>
      <w:pPr>
        <w:spacing w:after="120" w:line="276"/>
        <w:jc w:val="both"/>
      </w:pPr>
      <w:r>
        <w:rPr>
          <w:rFonts w:ascii="Barlow Semi Condensed" w:cs="Barlow Semi Condensed" w:eastAsia="Barlow Semi Condensed" w:hAnsi="Barlow Semi Condensed"/>
          <w:b/>
          <w:bCs/>
          <w:sz w:val="24"/>
          <w:szCs w:val="24"/>
        </w:rPr>
        <w:t xml:space="preserve">Questo è quanto la Fase Quinta ha prodotto e questa Fase conferma. Non è poco.</w:t>
      </w:r>
    </w:p>
    <w:p>
      <w:pPr>
        <w:pStyle w:val="Heading2"/>
        <w:spacing w:after="100" w:before="200"/>
      </w:pPr>
      <w:r>
        <w:rPr>
          <w:rFonts w:ascii="Barlow Semi Condensed" w:cs="Barlow Semi Condensed" w:eastAsia="Barlow Semi Condensed" w:hAnsi="Barlow Semi Condensed"/>
          <w:sz w:val="24"/>
          <w:szCs w:val="24"/>
        </w:rPr>
        <w:t xml:space="preserve">Capitolo cinquantanovesimo — Gli ambienti, e la regola dell'ingresso in acqua</w:t>
      </w:r>
    </w:p>
    <w:p>
      <w:pPr>
        <w:spacing w:after="120" w:line="276"/>
        <w:jc w:val="both"/>
      </w:pPr>
      <w:r>
        <w:rPr>
          <w:rFonts w:ascii="Barlow Semi Condensed" w:cs="Barlow Semi Condensed" w:eastAsia="Barlow Semi Condensed" w:hAnsi="Barlow Semi Condensed"/>
          <w:b/>
          <w:bCs/>
          <w:sz w:val="24"/>
          <w:szCs w:val="24"/>
        </w:rPr>
        <w:t xml:space="preserve">Resta da trattare ciò che circonda gli attori senza essere attore: gli ambienti, le appartenenze, le prossimità. È la materia sulla quale la letteratura su questa vicenda si è più diffusa, ed è quella nella quale la disciplina dell'opera opera con maggiore severità.</w:t>
      </w:r>
    </w:p>
    <w:p>
      <w:pPr>
        <w:pStyle w:val="Heading2"/>
        <w:spacing w:after="100" w:before="200"/>
      </w:pPr>
      <w:r>
        <w:rPr>
          <w:rFonts w:ascii="Barlow Semi Condensed" w:cs="Barlow Semi Condensed" w:eastAsia="Barlow Semi Condensed" w:hAnsi="Barlow Semi Condensed"/>
          <w:sz w:val="24"/>
          <w:szCs w:val="24"/>
        </w:rPr>
        <w:t xml:space="preserve">La regola applicata</w:t>
      </w:r>
    </w:p>
    <w:p>
      <w:pPr>
        <w:spacing w:after="120" w:line="276"/>
        <w:jc w:val="both"/>
      </w:pPr>
      <w:r>
        <w:rPr>
          <w:rFonts w:ascii="Barlow Semi Condensed" w:cs="Barlow Semi Condensed" w:eastAsia="Barlow Semi Condensed" w:hAnsi="Barlow Semi Condensed"/>
          <w:b/>
          <w:bCs/>
          <w:sz w:val="24"/>
          <w:szCs w:val="24"/>
        </w:rPr>
        <w:t xml:space="preserve">Si applica qui la regola dell'ingresso in acqua, esposta al Capitolo sesto: un nodo profondo è ammesso soltanto se un arco diretto e indipendente lo lega al nucleo del caso; non basta che vi si arrivi per percorso.</w:t>
      </w:r>
    </w:p>
    <w:p>
      <w:pPr>
        <w:spacing w:after="120" w:line="276"/>
        <w:jc w:val="both"/>
      </w:pPr>
      <w:r>
        <w:rPr>
          <w:rFonts w:ascii="Barlow Semi Condensed" w:cs="Barlow Semi Condensed" w:eastAsia="Barlow Semi Condensed" w:hAnsi="Barlow Semi Condensed"/>
          <w:b/>
          <w:bCs/>
          <w:sz w:val="24"/>
          <w:szCs w:val="24"/>
        </w:rPr>
        <w:t xml:space="preserve">La ragione è stata esposta e si richiama: in una rete sociale estesa, due individui qualsiasi risultano collegati attraverso pochi intermediari; la constatazione che esiste un percorso non ha valore informativo, essendo vera quasi sempre.</w:t>
      </w:r>
    </w:p>
    <w:p>
      <w:pPr>
        <w:pStyle w:val="Heading2"/>
        <w:spacing w:after="100" w:before="200"/>
      </w:pPr>
      <w:r>
        <w:rPr>
          <w:rFonts w:ascii="Barlow Semi Condensed" w:cs="Barlow Semi Condensed" w:eastAsia="Barlow Semi Condensed" w:hAnsi="Barlow Semi Condensed"/>
          <w:sz w:val="24"/>
          <w:szCs w:val="24"/>
        </w:rPr>
        <w:t xml:space="preserve">L'applicazione a questa materia</w:t>
      </w:r>
    </w:p>
    <w:p>
      <w:pPr>
        <w:spacing w:after="120" w:line="276"/>
        <w:jc w:val="both"/>
      </w:pPr>
      <w:r>
        <w:rPr>
          <w:rFonts w:ascii="Barlow Semi Condensed" w:cs="Barlow Semi Condensed" w:eastAsia="Barlow Semi Condensed" w:hAnsi="Barlow Semi Condensed"/>
          <w:b/>
          <w:bCs/>
          <w:sz w:val="24"/>
          <w:szCs w:val="24"/>
        </w:rPr>
        <w:t xml:space="preserve">Applicata agli ambienti evocati a proposito di questa vicenda, la regola produce l'effetto seguente.</w:t>
      </w:r>
    </w:p>
    <w:p>
      <w:pPr>
        <w:spacing w:after="120" w:line="276"/>
        <w:jc w:val="both"/>
      </w:pPr>
      <w:r>
        <w:rPr>
          <w:rFonts w:ascii="Barlow Semi Condensed" w:cs="Barlow Semi Condensed" w:eastAsia="Barlow Semi Condensed" w:hAnsi="Barlow Semi Condensed"/>
          <w:b/>
          <w:bCs/>
          <w:sz w:val="24"/>
          <w:szCs w:val="24"/>
        </w:rPr>
        <w:t xml:space="preserve">Sono ammessi in quest'opera gli ambienti per i quali risulti un arco diretto al nucleo: la partecipazione a un atto, la ricezione di una informazione, l'esercizio di una funzione implicata negli eventi.</w:t>
      </w:r>
    </w:p>
    <w:p>
      <w:pPr>
        <w:spacing w:after="120" w:line="276"/>
        <w:jc w:val="both"/>
      </w:pPr>
      <w:r>
        <w:rPr>
          <w:rFonts w:ascii="Barlow Semi Condensed" w:cs="Barlow Semi Condensed" w:eastAsia="Barlow Semi Condensed" w:hAnsi="Barlow Semi Condensed"/>
          <w:b/>
          <w:bCs/>
          <w:sz w:val="24"/>
          <w:szCs w:val="24"/>
        </w:rPr>
        <w:t xml:space="preserve">Non sono ammessi gli ambienti raggiunti per percorso: l'appartenenza di un funzionario a una associazione; la frequentazione fra persone delle quali l'una abbia avuto ruolo negli eventi; la coincidenza di collocazione geografica; la comunanza di orientamento politico.</w:t>
      </w:r>
    </w:p>
    <w:p>
      <w:pPr>
        <w:spacing w:after="120" w:line="276"/>
        <w:jc w:val="both"/>
      </w:pPr>
      <w:r>
        <w:rPr>
          <w:rFonts w:ascii="Barlow Semi Condensed" w:cs="Barlow Semi Condensed" w:eastAsia="Barlow Semi Condensed" w:hAnsi="Barlow Semi Condensed"/>
          <w:b/>
          <w:bCs/>
          <w:sz w:val="24"/>
          <w:szCs w:val="24"/>
        </w:rPr>
        <w:t xml:space="preserve">Questi ultimi non sono negati: sono dichiarati non ammessi come elementi di ricostruzione, il che è cosa diversa. Un fatto vero e documentato può essere irrilevante, e la dichiarazione di irrilevanza non ne nega la verità.</w:t>
      </w:r>
    </w:p>
    <w:p>
      <w:pPr>
        <w:pStyle w:val="Heading2"/>
        <w:spacing w:after="100" w:before="200"/>
      </w:pPr>
      <w:r>
        <w:rPr>
          <w:rFonts w:ascii="Barlow Semi Condensed" w:cs="Barlow Semi Condensed" w:eastAsia="Barlow Semi Condensed" w:hAnsi="Barlow Semi Condensed"/>
          <w:sz w:val="24"/>
          <w:szCs w:val="24"/>
        </w:rPr>
        <w:t xml:space="preserve">Il costo della regola e la sua ragione</w:t>
      </w:r>
    </w:p>
    <w:p>
      <w:pPr>
        <w:spacing w:after="120" w:line="276"/>
        <w:jc w:val="both"/>
      </w:pPr>
      <w:r>
        <w:rPr>
          <w:rFonts w:ascii="Barlow Semi Condensed" w:cs="Barlow Semi Condensed" w:eastAsia="Barlow Semi Condensed" w:hAnsi="Barlow Semi Condensed"/>
          <w:b/>
          <w:bCs/>
          <w:sz w:val="24"/>
          <w:szCs w:val="24"/>
        </w:rPr>
        <w:t xml:space="preserve">Il costo è considerevole e si dichiara: la regola esclude dall'opera la maggior parte del materiale che circola su questa vicenda.</w:t>
      </w:r>
    </w:p>
    <w:p>
      <w:pPr>
        <w:spacing w:after="120" w:line="276"/>
        <w:jc w:val="both"/>
      </w:pPr>
      <w:r>
        <w:rPr>
          <w:rFonts w:ascii="Barlow Semi Condensed" w:cs="Barlow Semi Condensed" w:eastAsia="Barlow Semi Condensed" w:hAnsi="Barlow Semi Condensed"/>
          <w:b/>
          <w:bCs/>
          <w:sz w:val="24"/>
          <w:szCs w:val="24"/>
        </w:rPr>
        <w:t xml:space="preserve">La ragione per la quale il costo si accetta è stata anticipata al Capitolo sesto e qui si conferma con un argomento ulteriore.</w:t>
      </w:r>
    </w:p>
    <w:p>
      <w:pPr>
        <w:spacing w:after="120" w:line="276"/>
        <w:jc w:val="both"/>
      </w:pPr>
      <w:r>
        <w:rPr>
          <w:rFonts w:ascii="Barlow Semi Condensed" w:cs="Barlow Semi Condensed" w:eastAsia="Barlow Semi Condensed" w:hAnsi="Barlow Semi Condensed"/>
          <w:b/>
          <w:bCs/>
          <w:sz w:val="24"/>
          <w:szCs w:val="24"/>
        </w:rPr>
        <w:t xml:space="preserve">Un'opera che ammetta i collegamenti per percorso non aggiunge conoscenza: aggiunge nodi. E poiché in una rete estesa i nodi raggiungibili sono innumerevoli, l'opera cresce senza limite e senza guadagno. Al termine essa contiene tutto, e ciò che contiene tutto non distingue nulla.</w:t>
      </w:r>
    </w:p>
    <w:p>
      <w:pPr>
        <w:spacing w:after="120" w:line="276"/>
        <w:jc w:val="both"/>
      </w:pPr>
      <w:r>
        <w:rPr>
          <w:rFonts w:ascii="Barlow Semi Condensed" w:cs="Barlow Semi Condensed" w:eastAsia="Barlow Semi Condensed" w:hAnsi="Barlow Semi Condensed"/>
          <w:b/>
          <w:bCs/>
          <w:sz w:val="24"/>
          <w:szCs w:val="24"/>
        </w:rPr>
        <w:t xml:space="preserve">Si osservi che questo esito non è ipotetico: è ciò che è accaduto alla letteratura su questa materia, nella quale il numero dei soggetti evocati eccede di più ordini di grandezza il numero dei soggetti per i quali un arco diretto sia documentato.</w:t>
      </w:r>
    </w:p>
    <w:p>
      <w:pPr>
        <w:pStyle w:val="Heading2"/>
        <w:spacing w:after="100" w:before="200"/>
      </w:pPr>
      <w:r>
        <w:rPr>
          <w:rFonts w:ascii="Barlow Semi Condensed" w:cs="Barlow Semi Condensed" w:eastAsia="Barlow Semi Condensed" w:hAnsi="Barlow Semi Condensed"/>
          <w:sz w:val="24"/>
          <w:szCs w:val="24"/>
        </w:rPr>
        <w:t xml:space="preserve">Una precisazione necessaria</w:t>
      </w:r>
    </w:p>
    <w:p>
      <w:pPr>
        <w:spacing w:after="120" w:line="276"/>
        <w:jc w:val="both"/>
      </w:pPr>
      <w:r>
        <w:rPr>
          <w:rFonts w:ascii="Barlow Semi Condensed" w:cs="Barlow Semi Condensed" w:eastAsia="Barlow Semi Condensed" w:hAnsi="Barlow Semi Condensed"/>
          <w:b/>
          <w:bCs/>
          <w:sz w:val="24"/>
          <w:szCs w:val="24"/>
        </w:rPr>
        <w:t xml:space="preserve">Occorre precisare che la regola non esclude gli ambienti dalla ricerca, ma dalla ricostruzione.</w:t>
      </w:r>
    </w:p>
    <w:p>
      <w:pPr>
        <w:spacing w:after="120" w:line="276"/>
        <w:jc w:val="both"/>
      </w:pPr>
      <w:r>
        <w:rPr>
          <w:rFonts w:ascii="Barlow Semi Condensed" w:cs="Barlow Semi Condensed" w:eastAsia="Barlow Semi Condensed" w:hAnsi="Barlow Semi Condensed"/>
          <w:b/>
          <w:bCs/>
          <w:sz w:val="24"/>
          <w:szCs w:val="24"/>
        </w:rPr>
        <w:t xml:space="preserve">Un ambiente raggiunto per percorso può essere oggetto di indagine: si può cercare se esista, oltre al percorso, un arco diretto. La ricerca è legittima e talvolta produttiva.</w:t>
      </w:r>
    </w:p>
    <w:p>
      <w:pPr>
        <w:spacing w:after="120" w:line="276"/>
        <w:jc w:val="both"/>
      </w:pPr>
      <w:r>
        <w:rPr>
          <w:rFonts w:ascii="Barlow Semi Condensed" w:cs="Barlow Semi Condensed" w:eastAsia="Barlow Semi Condensed" w:hAnsi="Barlow Semi Condensed"/>
          <w:b/>
          <w:bCs/>
          <w:sz w:val="24"/>
          <w:szCs w:val="24"/>
        </w:rPr>
        <w:t xml:space="preserve">Ciò che la regola vieta è di trattare il percorso come se fosse l'arco. Finché l'arco diretto non è documentato, l'ambiente resta materia di ricerca e non entra nella ricostruzione.</w:t>
      </w:r>
    </w:p>
    <w:p>
      <w:pPr>
        <w:spacing w:after="120" w:line="276"/>
        <w:jc w:val="both"/>
      </w:pPr>
      <w:r>
        <w:rPr>
          <w:rFonts w:ascii="Barlow Semi Condensed" w:cs="Barlow Semi Condensed" w:eastAsia="Barlow Semi Condensed" w:hAnsi="Barlow Semi Condensed"/>
          <w:b/>
          <w:bCs/>
          <w:sz w:val="24"/>
          <w:szCs w:val="24"/>
        </w:rPr>
        <w:t xml:space="preserve">La distinzione fra materia di ricerca e materia di ricostruzione è, in fondo, la distinzione che tutta quest'opera osserva: fra ciò che si sta cercando e ciò che si è trovato.</w:t>
      </w:r>
    </w:p>
    <w:p>
      <w:pPr>
        <w:pStyle w:val="Heading2"/>
        <w:spacing w:after="100" w:before="200"/>
      </w:pPr>
      <w:r>
        <w:rPr>
          <w:rFonts w:ascii="Barlow Semi Condensed" w:cs="Barlow Semi Condensed" w:eastAsia="Barlow Semi Condensed" w:hAnsi="Barlow Semi Condensed"/>
          <w:sz w:val="24"/>
          <w:szCs w:val="24"/>
        </w:rPr>
        <w:t xml:space="preserve">Capitolo sessantesimo — Bilancio della Fase Sesta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il primo livello nella sua struttura: pluralità degli agenti, modalità dell'agguato, esistenza e collocazione del luogo di custodia, causa della morte. È accertata, per sentenza definitiva e nei limiti degli accertamenti giudiziari, la responsabilità individuale di persone determinate.</w:t>
      </w:r>
    </w:p>
    <w:p>
      <w:pPr>
        <w:spacing w:after="120" w:line="276"/>
        <w:jc w:val="both"/>
      </w:pPr>
      <w:r>
        <w:rPr>
          <w:rFonts w:ascii="Barlow Semi Condensed" w:cs="Barlow Semi Condensed" w:eastAsia="Barlow Semi Condensed" w:hAnsi="Barlow Semi Condensed"/>
          <w:b/>
          <w:bCs/>
          <w:sz w:val="24"/>
          <w:szCs w:val="24"/>
        </w:rPr>
        <w:t xml:space="preserve">È accertato il secondo livello nella sua esistenza e nella sua funzione: un organismo direttivo deliberò l'operazione, ne diresse la conduzione e assunse le decisioni relative alla gestione del periodo, compresa quella finale.</w:t>
      </w:r>
    </w:p>
    <w:p>
      <w:pPr>
        <w:spacing w:after="120" w:line="276"/>
        <w:jc w:val="both"/>
      </w:pPr>
      <w:r>
        <w:rPr>
          <w:rFonts w:ascii="Barlow Semi Condensed" w:cs="Barlow Semi Condensed" w:eastAsia="Barlow Semi Condensed" w:hAnsi="Barlow Semi Condensed"/>
          <w:b/>
          <w:bCs/>
          <w:sz w:val="24"/>
          <w:szCs w:val="24"/>
        </w:rPr>
        <w:t xml:space="preserve">È accertato che sulla vicenda operò un terzo soggetto, distinto dai rapitori e dalle istituzioni, che compì un atto deliberato di interferenza.</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il terzo livello, in nessuna delle tre proposizioni che lo comporrebbero.</w:t>
      </w:r>
    </w:p>
    <w:p>
      <w:pPr>
        <w:spacing w:after="120" w:line="276"/>
        <w:jc w:val="both"/>
      </w:pPr>
      <w:r>
        <w:rPr>
          <w:rFonts w:ascii="Barlow Semi Condensed" w:cs="Barlow Semi Condensed" w:eastAsia="Barlow Semi Condensed" w:hAnsi="Barlow Semi Condensed"/>
          <w:b/>
          <w:bCs/>
          <w:sz w:val="24"/>
          <w:szCs w:val="24"/>
        </w:rPr>
        <w:t xml:space="preserve">Non è accertata l'identità né la collocazione del terzo soggetto.</w:t>
      </w:r>
    </w:p>
    <w:p>
      <w:pPr>
        <w:spacing w:after="120" w:line="276"/>
        <w:jc w:val="both"/>
      </w:pPr>
      <w:r>
        <w:rPr>
          <w:rFonts w:ascii="Barlow Semi Condensed" w:cs="Barlow Semi Condensed" w:eastAsia="Barlow Semi Condensed" w:hAnsi="Barlow Semi Condensed"/>
          <w:b/>
          <w:bCs/>
          <w:sz w:val="24"/>
          <w:szCs w:val="24"/>
        </w:rPr>
        <w:t xml:space="preserve">Non è accertata la composizione individuale dell'organismo direttivo oltre i limiti degli accertamenti giudiziari.</w:t>
      </w:r>
    </w:p>
    <w:p>
      <w:pPr>
        <w:spacing w:after="120" w:line="276"/>
        <w:jc w:val="both"/>
      </w:pPr>
      <w:r>
        <w:rPr>
          <w:rFonts w:ascii="Barlow Semi Condensed" w:cs="Barlow Semi Condensed" w:eastAsia="Barlow Semi Condensed" w:hAnsi="Barlow Semi Condensed"/>
          <w:b/>
          <w:bCs/>
          <w:sz w:val="24"/>
          <w:szCs w:val="24"/>
        </w:rPr>
        <w:t xml:space="preserve">Non è accertata la presenza di soggetti ulteriori non identificati sul luogo dell'agguato, e non risulta esclusa.</w:t>
      </w:r>
    </w:p>
    <w:p>
      <w:pPr>
        <w:pStyle w:val="Heading2"/>
        <w:spacing w:after="100" w:before="200"/>
      </w:pPr>
      <w:r>
        <w:rPr>
          <w:rFonts w:ascii="Barlow Semi Condensed" w:cs="Barlow Semi Condensed" w:eastAsia="Barlow Semi Condensed" w:hAnsi="Barlow Semi Condensed"/>
          <w:sz w:val="24"/>
          <w:szCs w:val="24"/>
        </w:rPr>
        <w:t xml:space="preserve">Ciò che è dichiarato revisionabile</w:t>
      </w:r>
    </w:p>
    <w:p>
      <w:pPr>
        <w:spacing w:after="120" w:line="276"/>
        <w:jc w:val="both"/>
      </w:pPr>
      <w:r>
        <w:rPr>
          <w:rFonts w:ascii="Barlow Semi Condensed" w:cs="Barlow Semi Condensed" w:eastAsia="Barlow Semi Condensed" w:hAnsi="Barlow Semi Condensed"/>
          <w:b/>
          <w:bCs/>
          <w:sz w:val="24"/>
          <w:szCs w:val="24"/>
        </w:rPr>
        <w:t xml:space="preserve">È dichiarata versione corrente e non acquisizione definitiva la ricostruzione dell'attribuzione individuale delle condotte, per la parte che poggia su dichiarazioni. La qualificazione non è una riserva sull'attendibilità dei singoli: è la constatazione di una proprietà della fonte.</w:t>
      </w:r>
    </w:p>
    <w:p>
      <w:pPr>
        <w:pStyle w:val="Heading2"/>
        <w:spacing w:after="100" w:before="200"/>
      </w:pPr>
      <w:r>
        <w:rPr>
          <w:rFonts w:ascii="Barlow Semi Condensed" w:cs="Barlow Semi Condensed" w:eastAsia="Barlow Semi Condensed" w:hAnsi="Barlow Semi Condensed"/>
          <w:sz w:val="24"/>
          <w:szCs w:val="24"/>
        </w:rPr>
        <w:t xml:space="preserve">Gli strumenti istituiti o applicati</w:t>
      </w:r>
    </w:p>
    <w:p>
      <w:pPr>
        <w:spacing w:after="120" w:line="276"/>
        <w:jc w:val="both"/>
      </w:pPr>
      <w:r>
        <w:rPr>
          <w:rFonts w:ascii="Barlow Semi Condensed" w:cs="Barlow Semi Condensed" w:eastAsia="Barlow Semi Condensed" w:hAnsi="Barlow Semi Condensed"/>
          <w:b/>
          <w:bCs/>
          <w:sz w:val="24"/>
          <w:szCs w:val="24"/>
        </w:rPr>
        <w:t xml:space="preserve">La Fase ha applicato la scala del vincolo ai dichiaranti, con tre specie di vincolo — processuale, di appartenenza, di coerenza — e ha dichiarato che gli enunciati di terzo grado non sono impiegati come prova dell'attribuzione che contengono, salvo riscontro indipendente, e salvo sempre gli accertamenti giudiziari, che non sono riesaminati.</w:t>
      </w:r>
    </w:p>
    <w:p>
      <w:pPr>
        <w:spacing w:after="120" w:line="276"/>
        <w:jc w:val="both"/>
      </w:pPr>
      <w:r>
        <w:rPr>
          <w:rFonts w:ascii="Barlow Semi Condensed" w:cs="Barlow Semi Condensed" w:eastAsia="Barlow Semi Condensed" w:hAnsi="Barlow Semi Condensed"/>
          <w:b/>
          <w:bCs/>
          <w:sz w:val="24"/>
          <w:szCs w:val="24"/>
        </w:rPr>
        <w:t xml:space="preserve">La Fase ha istituito la regola del collasso genealogico: prima di computare una convergenza si contano gli eventi originari e non le fonti, e l'autorevolezza della sede non genera indipendenza.</w:t>
      </w:r>
    </w:p>
    <w:p>
      <w:pPr>
        <w:spacing w:after="120" w:line="276"/>
        <w:jc w:val="both"/>
      </w:pPr>
      <w:r>
        <w:rPr>
          <w:rFonts w:ascii="Barlow Semi Condensed" w:cs="Barlow Semi Condensed" w:eastAsia="Barlow Semi Condensed" w:hAnsi="Barlow Semi Condensed"/>
          <w:b/>
          <w:bCs/>
          <w:sz w:val="24"/>
          <w:szCs w:val="24"/>
        </w:rPr>
        <w:t xml:space="preserve">La Fase ha applicato la regola dell'ingresso in acqua agli ambienti, escludendo dalla ricostruzione, e non dalla ricerca, i nodi raggiunti per percorso.</w:t>
      </w:r>
    </w:p>
    <w:p>
      <w:pPr>
        <w:pStyle w:val="Heading2"/>
        <w:spacing w:after="100" w:before="200"/>
      </w:pPr>
      <w:r>
        <w:rPr>
          <w:rFonts w:ascii="Barlow Semi Condensed" w:cs="Barlow Semi Condensed" w:eastAsia="Barlow Semi Condensed" w:hAnsi="Barlow Semi Condensed"/>
          <w:sz w:val="24"/>
          <w:szCs w:val="24"/>
        </w:rPr>
        <w:t xml:space="preserve">Il risultato principale</w:t>
      </w:r>
    </w:p>
    <w:p>
      <w:pPr>
        <w:spacing w:after="120" w:line="276"/>
        <w:jc w:val="both"/>
      </w:pPr>
      <w:r>
        <w:rPr>
          <w:rFonts w:ascii="Barlow Semi Condensed" w:cs="Barlow Semi Condensed" w:eastAsia="Barlow Semi Condensed" w:hAnsi="Barlow Semi Condensed"/>
          <w:b/>
          <w:bCs/>
          <w:sz w:val="24"/>
          <w:szCs w:val="24"/>
        </w:rPr>
        <w:t xml:space="preserve">Il risultato principale della Fase è la separazione dei tre livelli e il rifiuto di trattarli come una scala da salire.</w:t>
      </w:r>
    </w:p>
    <w:p>
      <w:pPr>
        <w:spacing w:after="120" w:line="276"/>
        <w:jc w:val="both"/>
      </w:pPr>
      <w:r>
        <w:rPr>
          <w:rFonts w:ascii="Barlow Semi Condensed" w:cs="Barlow Semi Condensed" w:eastAsia="Barlow Semi Condensed" w:hAnsi="Barlow Semi Condensed"/>
          <w:b/>
          <w:bCs/>
          <w:sz w:val="24"/>
          <w:szCs w:val="24"/>
        </w:rPr>
        <w:t xml:space="preserve">Ne è conseguita la dichiarazione della vacanza del terzo livello. Essa è, credo, la proposizione più importante dell'intera opera fino a questo punto, e la più esposta al fraintendimento; e per questo è stata circondata al Capitolo cinquantasettesimo da tutte le precisazioni necessarie: non significa che il terzo livello non esista; non significa che la ricerca sia conclusa; non è assoluzione di alcuno.</w:t>
      </w:r>
    </w:p>
    <w:p>
      <w:pPr>
        <w:spacing w:after="120" w:line="276"/>
        <w:jc w:val="both"/>
      </w:pPr>
      <w:r>
        <w:rPr>
          <w:rFonts w:ascii="Barlow Semi Condensed" w:cs="Barlow Semi Condensed" w:eastAsia="Barlow Semi Condensed" w:hAnsi="Barlow Semi Condensed"/>
          <w:b/>
          <w:bCs/>
          <w:sz w:val="24"/>
          <w:szCs w:val="24"/>
        </w:rPr>
        <w:t xml:space="preserve">Significa che, con gli atti disponibili, esso non è accertato. E significa che riempirlo senza prova produrrebbe tre danni maggiori del beneficio: renderebbe l'opera confutabile nel punto sbagliato, chiuderebbe la ricerca, e attribuirebbe responsabilità che gli atti non accertano.</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Sesta, gli attori. Materia: tre livelli di responsabilità, scala del vincolo applicata ai dichiaranti, collasso genealogico, terzo soggetto, ambienti.</w:t>
      </w:r>
    </w:p>
    <w:p>
      <w:pPr>
        <w:spacing w:after="120" w:line="276"/>
        <w:jc w:val="both"/>
      </w:pPr>
      <w:r>
        <w:rPr>
          <w:rFonts w:ascii="Barlow Semi Condensed" w:cs="Barlow Semi Condensed" w:eastAsia="Barlow Semi Condensed" w:hAnsi="Barlow Semi Condensed"/>
          <w:b/>
          <w:bCs/>
          <w:sz w:val="24"/>
          <w:szCs w:val="24"/>
        </w:rPr>
        <w:t xml:space="preserve">Esito: primo e secondo livello accertati nella struttura e nella funzione; terzo livello dichiarato vuoto; terzo soggetto accertato quanto all'esistenza e non quanto all'identità; ricostruzione dell'attribuzione individuale qualificata come versione corrente.</w:t>
      </w:r>
    </w:p>
    <w:p>
      <w:pPr>
        <w:spacing w:after="120" w:line="276"/>
        <w:jc w:val="both"/>
      </w:pPr>
      <w:r>
        <w:rPr>
          <w:rFonts w:ascii="Barlow Semi Condensed" w:cs="Barlow Semi Condensed" w:eastAsia="Barlow Semi Condensed" w:hAnsi="Barlow Semi Condensed"/>
          <w:b/>
          <w:bCs/>
          <w:sz w:val="24"/>
          <w:szCs w:val="24"/>
        </w:rPr>
        <w:t xml:space="preserve">Riga di esito nullo. Nessun atto è stato reperito che documenti una volontà esterna determinata quanto all'operazione, né una via di trasmissione, né la sua efficacia. L'esito negativo è registrato con la dignità che gli compete.</w:t>
      </w:r>
    </w:p>
    <w:p>
      <w:pPr>
        <w:spacing w:after="120" w:line="276"/>
        <w:jc w:val="both"/>
      </w:pPr>
      <w:r>
        <w:rPr>
          <w:rFonts w:ascii="Barlow Semi Condensed" w:cs="Barlow Semi Condensed" w:eastAsia="Barlow Semi Condensed" w:hAnsi="Barlow Semi Condensed"/>
          <w:b/>
          <w:bCs/>
          <w:sz w:val="24"/>
          <w:szCs w:val="24"/>
        </w:rPr>
        <w:t xml:space="preserve">Riga di consegna. Si consegna alla Fase Settima: la vacanza del terzo livello con l'elenco delle acquisizioni che la riempirebbero; l'identità ignota del terzo soggetto con le vie di discriminazione indicate; e la verifica genealogica analitica, condizione preliminare di qualunque computo di convergenza.</w:t>
      </w:r>
    </w:p>
    <w:p>
      <w:pPr>
        <w:spacing w:after="120" w:line="276"/>
        <w:jc w:val="both"/>
      </w:pPr>
      <w:r>
        <w:rPr>
          <w:rFonts w:ascii="Barlow Semi Condensed" w:cs="Barlow Semi Condensed" w:eastAsia="Barlow Semi Condensed" w:hAnsi="Barlow Semi Condensed"/>
          <w:b/>
          <w:bCs/>
          <w:sz w:val="24"/>
          <w:szCs w:val="24"/>
        </w:rPr>
        <w:t xml:space="preserve">Riga di avvertenza. La Fase non ha ripetuto i nomi delle persone condannate, che sono negli atti pubblici e non sono qui riesaminati. La ragione è al Capitolo cinquantunesimo: per la ricostruzione della struttura della responsabilità rileva il ruolo, e un elenco di nomi produrrebbe un rinnovo di esposizione che nessuna necessità documentale giustifica.</w:t>
      </w:r>
    </w:p>
    <w:p>
      <w:pPr>
        <w:pStyle w:val="Heading2"/>
        <w:spacing w:after="100" w:before="200"/>
      </w:pPr>
      <w:r>
        <w:rPr>
          <w:rFonts w:ascii="Barlow Semi Condensed" w:cs="Barlow Semi Condensed" w:eastAsia="Barlow Semi Condensed" w:hAnsi="Barlow Semi Condensed"/>
          <w:sz w:val="24"/>
          <w:szCs w:val="24"/>
        </w:rPr>
        <w:t xml:space="preserve">FASE SETTIMA — IL GIUDIZIO E CIÒ CHE RESTA</w:t>
      </w:r>
    </w:p>
    <w:p>
      <w:pPr>
        <w:spacing w:after="120" w:line="276"/>
        <w:jc w:val="both"/>
      </w:pPr>
      <w:r>
        <w:rPr>
          <w:rFonts w:ascii="Barlow Semi Condensed" w:cs="Barlow Semi Condensed" w:eastAsia="Barlow Semi Condensed" w:hAnsi="Barlow Semi Condensed"/>
          <w:b/>
          <w:bCs/>
          <w:sz w:val="24"/>
          <w:szCs w:val="24"/>
        </w:rPr>
        <w:t xml:space="preserve">Dove si registra cio che le sedi hanno stabilito, cio che l'opera ha stabilito, cio che essa espressamente non sostiene, e la tavola di cio che manca.</w:t>
      </w:r>
    </w:p>
    <w:p>
      <w:pPr>
        <w:pStyle w:val="Heading2"/>
        <w:spacing w:after="100" w:before="200"/>
      </w:pPr>
      <w:r>
        <w:rPr>
          <w:rFonts w:ascii="Barlow Semi Condensed" w:cs="Barlow Semi Condensed" w:eastAsia="Barlow Semi Condensed" w:hAnsi="Barlow Semi Condensed"/>
          <w:sz w:val="24"/>
          <w:szCs w:val="24"/>
        </w:rPr>
        <w:t xml:space="preserve">Capitolo sessantunesimo — L'oggetto della Fase e il rifiuto della conclusione</w:t>
      </w:r>
    </w:p>
    <w:p>
      <w:pPr>
        <w:spacing w:after="120" w:line="276"/>
        <w:jc w:val="both"/>
      </w:pPr>
      <w:r>
        <w:rPr>
          <w:rFonts w:ascii="Barlow Semi Condensed" w:cs="Barlow Semi Condensed" w:eastAsia="Barlow Semi Condensed" w:hAnsi="Barlow Semi Condensed"/>
          <w:b/>
          <w:bCs/>
          <w:sz w:val="24"/>
          <w:szCs w:val="24"/>
        </w:rPr>
        <w:t xml:space="preserve">Questa Fase chiude l'opera. Essa non conclude, e la distinzione va enunciata prima di ogni altra cosa perché governa tutto ciò che segue.</w:t>
      </w:r>
    </w:p>
    <w:p>
      <w:pPr>
        <w:pStyle w:val="Heading2"/>
        <w:spacing w:after="100" w:before="200"/>
      </w:pPr>
      <w:r>
        <w:rPr>
          <w:rFonts w:ascii="Barlow Semi Condensed" w:cs="Barlow Semi Condensed" w:eastAsia="Barlow Semi Condensed" w:hAnsi="Barlow Semi Condensed"/>
          <w:sz w:val="24"/>
          <w:szCs w:val="24"/>
        </w:rPr>
        <w:t xml:space="preserve">Perché un registro non conclude</w:t>
      </w:r>
    </w:p>
    <w:p>
      <w:pPr>
        <w:spacing w:after="120" w:line="276"/>
        <w:jc w:val="both"/>
      </w:pPr>
      <w:r>
        <w:rPr>
          <w:rFonts w:ascii="Barlow Semi Condensed" w:cs="Barlow Semi Condensed" w:eastAsia="Barlow Semi Condensed" w:hAnsi="Barlow Semi Condensed"/>
          <w:b/>
          <w:bCs/>
          <w:sz w:val="24"/>
          <w:szCs w:val="24"/>
        </w:rPr>
        <w:t xml:space="preserve">Una conclusione è un atto: essa dichiara che la ricerca è terminata e che il suo esito è quello. Un registro non può compierlo, per due ragioni che non dipendono dalla volontà di chi lo redige.</w:t>
      </w:r>
    </w:p>
    <w:p>
      <w:pPr>
        <w:spacing w:after="120" w:line="276"/>
        <w:jc w:val="both"/>
      </w:pPr>
      <w:r>
        <w:rPr>
          <w:rFonts w:ascii="Barlow Semi Condensed" w:cs="Barlow Semi Condensed" w:eastAsia="Barlow Semi Condensed" w:hAnsi="Barlow Semi Condensed"/>
          <w:b/>
          <w:bCs/>
          <w:sz w:val="24"/>
          <w:szCs w:val="24"/>
        </w:rPr>
        <w:t xml:space="preserve">La prima è che il registro non possiede tutti gli atti. La Fase Quinta ha censito le acquisizioni documentali necessarie e non conseguite; la Fase Sesta ha dichiarato vuoto un livello per difetto di prova. Concludere in questa condizione significherebbe dichiarare terminata una ricerca che è soltanto interrotta.</w:t>
      </w:r>
    </w:p>
    <w:p>
      <w:pPr>
        <w:spacing w:after="120" w:line="276"/>
        <w:jc w:val="both"/>
      </w:pPr>
      <w:r>
        <w:rPr>
          <w:rFonts w:ascii="Barlow Semi Condensed" w:cs="Barlow Semi Condensed" w:eastAsia="Barlow Semi Condensed" w:hAnsi="Barlow Semi Condensed"/>
          <w:b/>
          <w:bCs/>
          <w:sz w:val="24"/>
          <w:szCs w:val="24"/>
        </w:rPr>
        <w:t xml:space="preserve">La seconda è più profonda. Un caso nel quale è accertato che furono prodotti falsi, che una perquisizione fu incompleta e che materiale fu movimentato prima di essere verbalizzato non può produrre, se onestamente ricostruito, un quadro compiuto. Un quadro compiuto, in un caso siffatto, sarebbe la prova che il ricercatore ha riempito con la propria immaginazione le lacune che gli erano state preparate.</w:t>
      </w:r>
    </w:p>
    <w:p>
      <w:pPr>
        <w:pStyle w:val="Heading2"/>
        <w:spacing w:after="100" w:before="200"/>
      </w:pPr>
      <w:r>
        <w:rPr>
          <w:rFonts w:ascii="Barlow Semi Condensed" w:cs="Barlow Semi Condensed" w:eastAsia="Barlow Semi Condensed" w:hAnsi="Barlow Semi Condensed"/>
          <w:sz w:val="24"/>
          <w:szCs w:val="24"/>
        </w:rPr>
        <w:t xml:space="preserve">Che cosa dunque questa Fase fa</w:t>
      </w:r>
    </w:p>
    <w:p>
      <w:pPr>
        <w:spacing w:after="120" w:line="276"/>
        <w:jc w:val="both"/>
      </w:pPr>
      <w:r>
        <w:rPr>
          <w:rFonts w:ascii="Barlow Semi Condensed" w:cs="Barlow Semi Condensed" w:eastAsia="Barlow Semi Condensed" w:hAnsi="Barlow Semi Condensed"/>
          <w:b/>
          <w:bCs/>
          <w:sz w:val="24"/>
          <w:szCs w:val="24"/>
        </w:rPr>
        <w:t xml:space="preserve">Essa consegna. Registra ciò che le sedi istituzionali hanno stabilito e con quale autorità; registra ciò che l'opera ha stabilito e a quale grado; registra gli esiti negativi in un solo luogo perché acquistino la forza che dispersi non hanno; registra ciò che l'opera espressamente non sostiene; e consegna la tavola di ciò che manca, con l'indicazione della sede presso la quale cercarlo.</w:t>
      </w:r>
    </w:p>
    <w:p>
      <w:pPr>
        <w:spacing w:after="120" w:line="276"/>
        <w:jc w:val="both"/>
      </w:pPr>
      <w:r>
        <w:rPr>
          <w:rFonts w:ascii="Barlow Semi Condensed" w:cs="Barlow Semi Condensed" w:eastAsia="Barlow Semi Condensed" w:hAnsi="Barlow Semi Condensed"/>
          <w:b/>
          <w:bCs/>
          <w:sz w:val="24"/>
          <w:szCs w:val="24"/>
        </w:rPr>
        <w:t xml:space="preserve">Il Capitolo sessantottesimo, dedicato a ciò che l'opera non sostiene, è quello che nessuna delle sei Fasi precedenti poteva contenere, ed è probabilmente il più utile del volume. Una ricerca è giudicabile dalle proprie astensioni non meno che dalle proprie affermazioni; e le astensioni, se non raccolte, restano invisibili.</w:t>
      </w:r>
    </w:p>
    <w:p>
      <w:pPr>
        <w:pStyle w:val="Heading2"/>
        <w:spacing w:after="100" w:before="200"/>
      </w:pPr>
      <w:r>
        <w:rPr>
          <w:rFonts w:ascii="Barlow Semi Condensed" w:cs="Barlow Semi Condensed" w:eastAsia="Barlow Semi Condensed" w:hAnsi="Barlow Semi Condensed"/>
          <w:sz w:val="24"/>
          <w:szCs w:val="24"/>
        </w:rPr>
        <w:t xml:space="preserve">Una avvertenza sul tono</w:t>
      </w:r>
    </w:p>
    <w:p>
      <w:pPr>
        <w:spacing w:after="120" w:line="276"/>
        <w:jc w:val="both"/>
      </w:pPr>
      <w:r>
        <w:rPr>
          <w:rFonts w:ascii="Barlow Semi Condensed" w:cs="Barlow Semi Condensed" w:eastAsia="Barlow Semi Condensed" w:hAnsi="Barlow Semi Condensed"/>
          <w:b/>
          <w:bCs/>
          <w:sz w:val="24"/>
          <w:szCs w:val="24"/>
        </w:rPr>
        <w:t xml:space="preserve">Chi giunga a questa Fase attendendosi il nome di un colpevole non lo troverà, e conviene dirlo qui anziché lasciarlo scoprire alla fine.</w:t>
      </w:r>
    </w:p>
    <w:p>
      <w:pPr>
        <w:spacing w:after="120" w:line="276"/>
        <w:jc w:val="both"/>
      </w:pPr>
      <w:r>
        <w:rPr>
          <w:rFonts w:ascii="Barlow Semi Condensed" w:cs="Barlow Semi Condensed" w:eastAsia="Barlow Semi Condensed" w:hAnsi="Barlow Semi Condensed"/>
          <w:b/>
          <w:bCs/>
          <w:sz w:val="24"/>
          <w:szCs w:val="24"/>
        </w:rPr>
        <w:t xml:space="preserve">Non lo troverà non per prudenza dell'autore. Non lo troverà perché gli atti che quest'opera ha potuto interrogare non lo contengono, e perché il metodo che essa si è data vieta di supplirvi con la verosimiglianza.</w:t>
      </w:r>
    </w:p>
    <w:p>
      <w:pPr>
        <w:spacing w:after="120" w:line="276"/>
        <w:jc w:val="both"/>
      </w:pPr>
      <w:r>
        <w:rPr>
          <w:rFonts w:ascii="Barlow Semi Condensed" w:cs="Barlow Semi Condensed" w:eastAsia="Barlow Semi Condensed" w:hAnsi="Barlow Semi Condensed"/>
          <w:b/>
          <w:bCs/>
          <w:sz w:val="24"/>
          <w:szCs w:val="24"/>
        </w:rPr>
        <w:t xml:space="preserve">Chi ritenga questa astensione una debolezza consideri l'alternativa: un'opera che nominasse un colpevole non provato consegnerebbe al lettore una convinzione al posto di una conoscenza, e la consegnerebbe con l'autorità che l'apparato le conferisce. Sarebbe l'uso peggiore che di un apparato si possa fare.</w:t>
      </w:r>
    </w:p>
    <w:p>
      <w:pPr>
        <w:pStyle w:val="Heading2"/>
        <w:spacing w:after="100" w:before="200"/>
      </w:pPr>
      <w:r>
        <w:rPr>
          <w:rFonts w:ascii="Barlow Semi Condensed" w:cs="Barlow Semi Condensed" w:eastAsia="Barlow Semi Condensed" w:hAnsi="Barlow Semi Condensed"/>
          <w:sz w:val="24"/>
          <w:szCs w:val="24"/>
        </w:rPr>
        <w:t xml:space="preserve">Capitolo sessantaduesimo — Le sedi giudiziarie e l'estensione del loro accertamento</w:t>
      </w:r>
    </w:p>
    <w:p>
      <w:pPr>
        <w:pStyle w:val="Heading2"/>
        <w:spacing w:after="100" w:before="200"/>
      </w:pPr>
      <w:r>
        <w:rPr>
          <w:rFonts w:ascii="Barlow Semi Condensed" w:cs="Barlow Semi Condensed" w:eastAsia="Barlow Semi Condensed" w:hAnsi="Barlow Semi Condensed"/>
          <w:sz w:val="24"/>
          <w:szCs w:val="24"/>
        </w:rPr>
        <w:t xml:space="preserve">Ciò che le sentenze hanno stabilito</w:t>
      </w:r>
    </w:p>
    <w:p>
      <w:pPr>
        <w:spacing w:after="120" w:line="276"/>
        <w:jc w:val="both"/>
      </w:pPr>
      <w:r>
        <w:rPr>
          <w:rFonts w:ascii="Barlow Semi Condensed" w:cs="Barlow Semi Condensed" w:eastAsia="Barlow Semi Condensed" w:hAnsi="Barlow Semi Condensed"/>
          <w:b/>
          <w:bCs/>
          <w:sz w:val="24"/>
          <w:szCs w:val="24"/>
        </w:rPr>
        <w:t xml:space="preserve">Più procedimenti sono stati celebrati sui fatti del 1978, con sentenze definitive. Essi hanno accertato la responsabilità penale di persone determinate, appartenenti all'organizzazione armata che rivendicò l'azione, per il sequestro, per gli omicidi degli uomini della scorta e per l'omicidio del rapito.</w:t>
      </w:r>
    </w:p>
    <w:p>
      <w:pPr>
        <w:spacing w:after="120" w:line="276"/>
        <w:jc w:val="both"/>
      </w:pPr>
      <w:r>
        <w:rPr>
          <w:rFonts w:ascii="Barlow Semi Condensed" w:cs="Barlow Semi Condensed" w:eastAsia="Barlow Semi Condensed" w:hAnsi="Barlow Semi Condensed"/>
          <w:b/>
          <w:bCs/>
          <w:sz w:val="24"/>
          <w:szCs w:val="24"/>
        </w:rPr>
        <w:t xml:space="preserve">Tale accertamento è, per quest'opera, fonte di rango elevato ed è recepito senza riesame. Un registro non riesamina un giudicato: non ne ha titolo, non ne ha gli strumenti, e non dispone del contraddittorio nel quale l'accertamento si è formato.</w:t>
      </w:r>
    </w:p>
    <w:p>
      <w:pPr>
        <w:pStyle w:val="Heading2"/>
        <w:spacing w:after="100" w:before="200"/>
      </w:pPr>
      <w:r>
        <w:rPr>
          <w:rFonts w:ascii="Barlow Semi Condensed" w:cs="Barlow Semi Condensed" w:eastAsia="Barlow Semi Condensed" w:hAnsi="Barlow Semi Condensed"/>
          <w:sz w:val="24"/>
          <w:szCs w:val="24"/>
        </w:rPr>
        <w:t xml:space="preserve">L'estensione, che va dichiarata</w:t>
      </w:r>
    </w:p>
    <w:p>
      <w:pPr>
        <w:spacing w:after="120" w:line="276"/>
        <w:jc w:val="both"/>
      </w:pPr>
      <w:r>
        <w:rPr>
          <w:rFonts w:ascii="Barlow Semi Condensed" w:cs="Barlow Semi Condensed" w:eastAsia="Barlow Semi Condensed" w:hAnsi="Barlow Semi Condensed"/>
          <w:b/>
          <w:bCs/>
          <w:sz w:val="24"/>
          <w:szCs w:val="24"/>
        </w:rPr>
        <w:t xml:space="preserve">Occorre però enunciare con precisione l'estensione di ciò che una sentenza accerta, perché la sua sopravvalutazione e la sua sottovalutazione producono errori opposti e ugualmente gravi.</w:t>
      </w:r>
    </w:p>
    <w:p>
      <w:pPr>
        <w:spacing w:after="120" w:line="276"/>
        <w:jc w:val="both"/>
      </w:pPr>
      <w:r>
        <w:rPr>
          <w:rFonts w:ascii="Barlow Semi Condensed" w:cs="Barlow Semi Condensed" w:eastAsia="Barlow Semi Condensed" w:hAnsi="Barlow Semi Condensed"/>
          <w:b/>
          <w:bCs/>
          <w:sz w:val="24"/>
          <w:szCs w:val="24"/>
        </w:rPr>
        <w:t xml:space="preserve">Il processo accerta la responsabilità penale di persone determinate per fatti determinati. In questo ha competenza esclusiva e autorità piena, e nessuna ricostruzione storica può contraddirlo senza contraddire l'ordinamento.</w:t>
      </w:r>
    </w:p>
    <w:p>
      <w:pPr>
        <w:spacing w:after="120" w:line="276"/>
        <w:jc w:val="both"/>
      </w:pPr>
      <w:r>
        <w:rPr>
          <w:rFonts w:ascii="Barlow Semi Condensed" w:cs="Barlow Semi Condensed" w:eastAsia="Barlow Semi Condensed" w:hAnsi="Barlow Semi Condensed"/>
          <w:b/>
          <w:bCs/>
          <w:sz w:val="24"/>
          <w:szCs w:val="24"/>
        </w:rPr>
        <w:t xml:space="preserve">Il processo non accerta la ricostruzione storica completa dell'evento. Molte circostanze irrilevanti ai fini dell'imputazione non entrano nel thema decidendum e non sono oggetto di accertamento; molte questioni restano fuori perché nessuna parte aveva interesse a introdurle.</w:t>
      </w:r>
    </w:p>
    <w:p>
      <w:pPr>
        <w:spacing w:after="120" w:line="276"/>
        <w:jc w:val="both"/>
      </w:pPr>
      <w:r>
        <w:rPr>
          <w:rFonts w:ascii="Barlow Semi Condensed" w:cs="Barlow Semi Condensed" w:eastAsia="Barlow Semi Condensed" w:hAnsi="Barlow Semi Condensed"/>
          <w:b/>
          <w:bCs/>
          <w:sz w:val="24"/>
          <w:szCs w:val="24"/>
        </w:rPr>
        <w:t xml:space="preserve">Ne discende una conseguenza che ricorre in tutta la letteratura su questa materia e che va nominata: il silenzio di una sentenza su una circostanza non è un accertamento negativo su quella circostanza. Esso attesta che la circostanza non fu oggetto del giudizio, e nulla oltre.</w:t>
      </w:r>
    </w:p>
    <w:p>
      <w:pPr>
        <w:pStyle w:val="Heading2"/>
        <w:spacing w:after="100" w:before="200"/>
      </w:pPr>
      <w:r>
        <w:rPr>
          <w:rFonts w:ascii="Barlow Semi Condensed" w:cs="Barlow Semi Condensed" w:eastAsia="Barlow Semi Condensed" w:hAnsi="Barlow Semi Condensed"/>
          <w:sz w:val="24"/>
          <w:szCs w:val="24"/>
        </w:rPr>
        <w:t xml:space="preserve">L'errore simmetrico</w:t>
      </w:r>
    </w:p>
    <w:p>
      <w:pPr>
        <w:spacing w:after="120" w:line="276"/>
        <w:jc w:val="both"/>
      </w:pPr>
      <w:r>
        <w:rPr>
          <w:rFonts w:ascii="Barlow Semi Condensed" w:cs="Barlow Semi Condensed" w:eastAsia="Barlow Semi Condensed" w:hAnsi="Barlow Semi Condensed"/>
          <w:b/>
          <w:bCs/>
          <w:sz w:val="24"/>
          <w:szCs w:val="24"/>
        </w:rPr>
        <w:t xml:space="preserve">Vale però anche il rovescio, e va detto con eguale fermezza perché è quello che la letteratura commette più spesso.</w:t>
      </w:r>
    </w:p>
    <w:p>
      <w:pPr>
        <w:spacing w:after="120" w:line="276"/>
        <w:jc w:val="both"/>
      </w:pPr>
      <w:r>
        <w:rPr>
          <w:rFonts w:ascii="Barlow Semi Condensed" w:cs="Barlow Semi Condensed" w:eastAsia="Barlow Semi Condensed" w:hAnsi="Barlow Semi Condensed"/>
          <w:b/>
          <w:bCs/>
          <w:sz w:val="24"/>
          <w:szCs w:val="24"/>
        </w:rPr>
        <w:t xml:space="preserve">Dalla constatazione che il processo non ricostruisce tutto non discende che ciò che esso ha accertato sia dubbio. Le responsabilità individuali dichiarate in sentenza definitiva sono accertate, e restano tali quali che siano le questioni rimaste fuori.</w:t>
      </w:r>
    </w:p>
    <w:p>
      <w:pPr>
        <w:spacing w:after="120" w:line="276"/>
        <w:jc w:val="both"/>
      </w:pPr>
      <w:r>
        <w:rPr>
          <w:rFonts w:ascii="Barlow Semi Condensed" w:cs="Barlow Semi Condensed" w:eastAsia="Barlow Semi Condensed" w:hAnsi="Barlow Semi Condensed"/>
          <w:b/>
          <w:bCs/>
          <w:sz w:val="24"/>
          <w:szCs w:val="24"/>
        </w:rPr>
        <w:t xml:space="preserve">Chi impieghi l'incompletezza della ricostruzione giudiziaria per rimettere in discussione ciò che essa ha stabilito compie una operazione che non ha fondamento logico: dall'assenza di accertamento su A non segue l'infondatezza dell'accertamento su B.</w:t>
      </w:r>
    </w:p>
    <w:p>
      <w:pPr>
        <w:pStyle w:val="Heading2"/>
        <w:spacing w:after="100" w:before="200"/>
      </w:pPr>
      <w:r>
        <w:rPr>
          <w:rFonts w:ascii="Barlow Semi Condensed" w:cs="Barlow Semi Condensed" w:eastAsia="Barlow Semi Condensed" w:hAnsi="Barlow Semi Condensed"/>
          <w:sz w:val="24"/>
          <w:szCs w:val="24"/>
        </w:rPr>
        <w:t xml:space="preserve">Il caso della revisione</w:t>
      </w:r>
    </w:p>
    <w:p>
      <w:pPr>
        <w:spacing w:after="120" w:line="276"/>
        <w:jc w:val="both"/>
      </w:pPr>
      <w:r>
        <w:rPr>
          <w:rFonts w:ascii="Barlow Semi Condensed" w:cs="Barlow Semi Condensed" w:eastAsia="Barlow Semi Condensed" w:hAnsi="Barlow Semi Condensed"/>
          <w:b/>
          <w:bCs/>
          <w:sz w:val="24"/>
          <w:szCs w:val="24"/>
        </w:rPr>
        <w:t xml:space="preserve">Va infine registrato che la ricostruzione dell'attribuzione individuale ha conosciuto revisioni in sede giudiziaria e istruttoria, per emersione di elementi successivi. La Fase Terza ne ha esposto la natura e la Fase Sesta ne ha tratto la conseguenza: quella parte della ricostruzione è iscritta come versione corrente e non come acquisizione definitiva.</w:t>
      </w:r>
    </w:p>
    <w:p>
      <w:pPr>
        <w:spacing w:after="120" w:line="276"/>
        <w:jc w:val="both"/>
      </w:pPr>
      <w:r>
        <w:rPr>
          <w:rFonts w:ascii="Barlow Semi Condensed" w:cs="Barlow Semi Condensed" w:eastAsia="Barlow Semi Condensed" w:hAnsi="Barlow Semi Condensed"/>
          <w:b/>
          <w:bCs/>
          <w:sz w:val="24"/>
          <w:szCs w:val="24"/>
        </w:rPr>
        <w:t xml:space="preserve">La qualificazione non intacca il giudicato. Essa riguarda l'uso storiografico della ricostruzione, che è cosa diversa dalla sua efficacia processuale.</w:t>
      </w:r>
    </w:p>
    <w:p>
      <w:pPr>
        <w:pStyle w:val="Heading2"/>
        <w:spacing w:after="100" w:before="200"/>
      </w:pPr>
      <w:r>
        <w:rPr>
          <w:rFonts w:ascii="Barlow Semi Condensed" w:cs="Barlow Semi Condensed" w:eastAsia="Barlow Semi Condensed" w:hAnsi="Barlow Semi Condensed"/>
          <w:sz w:val="24"/>
          <w:szCs w:val="24"/>
        </w:rPr>
        <w:t xml:space="preserve">Capitolo sessantatreesimo — Le commissioni parlamentari e il loro diverso statuto</w:t>
      </w:r>
    </w:p>
    <w:p>
      <w:pPr>
        <w:spacing w:after="120" w:line="276"/>
        <w:jc w:val="both"/>
      </w:pPr>
      <w:r>
        <w:rPr>
          <w:rFonts w:ascii="Barlow Semi Condensed" w:cs="Barlow Semi Condensed" w:eastAsia="Barlow Semi Condensed" w:hAnsi="Barlow Semi Condensed"/>
          <w:b/>
          <w:bCs/>
          <w:sz w:val="24"/>
          <w:szCs w:val="24"/>
        </w:rPr>
        <w:t xml:space="preserve">Sul caso hanno lavorato più commissioni parlamentari d'inchiesta, in legislature successive. Il loro statuto è diverso da quello giudiziario e viene con grande frequenza confuso con esso.</w:t>
      </w:r>
    </w:p>
    <w:p>
      <w:pPr>
        <w:pStyle w:val="Heading2"/>
        <w:spacing w:after="100" w:before="200"/>
      </w:pPr>
      <w:r>
        <w:rPr>
          <w:rFonts w:ascii="Barlow Semi Condensed" w:cs="Barlow Semi Condensed" w:eastAsia="Barlow Semi Condensed" w:hAnsi="Barlow Semi Condensed"/>
          <w:sz w:val="24"/>
          <w:szCs w:val="24"/>
        </w:rPr>
        <w:t xml:space="preserve">Che cosa una commissione fa e che cosa non fa</w:t>
      </w:r>
    </w:p>
    <w:p>
      <w:pPr>
        <w:spacing w:after="120" w:line="276"/>
        <w:jc w:val="both"/>
      </w:pPr>
      <w:r>
        <w:rPr>
          <w:rFonts w:ascii="Barlow Semi Condensed" w:cs="Barlow Semi Condensed" w:eastAsia="Barlow Semi Condensed" w:hAnsi="Barlow Semi Condensed"/>
          <w:b/>
          <w:bCs/>
          <w:sz w:val="24"/>
          <w:szCs w:val="24"/>
        </w:rPr>
        <w:t xml:space="preserve">Una commissione d'inchiesta non accerta responsabilità individuali e non ne ha il potere. Essa indaga, valuta, ricostruisce e riferisce alle Camere.</w:t>
      </w:r>
    </w:p>
    <w:p>
      <w:pPr>
        <w:spacing w:after="120" w:line="276"/>
        <w:jc w:val="both"/>
      </w:pPr>
      <w:r>
        <w:rPr>
          <w:rFonts w:ascii="Barlow Semi Condensed" w:cs="Barlow Semi Condensed" w:eastAsia="Barlow Semi Condensed" w:hAnsi="Barlow Semi Condensed"/>
          <w:b/>
          <w:bCs/>
          <w:sz w:val="24"/>
          <w:szCs w:val="24"/>
        </w:rPr>
        <w:t xml:space="preserve">Le sue relazioni sono, per quest'opera, valutazioni di organo qualificato: fonti di rango elevato, di grande peso, e non equiparabili a un accertamento giudiziario. La differenza non è di autorevolezza ma di natura: l'una stabilisce fatti con effetti sulle persone, l'altra ricostruisce vicende con effetti sulla conoscenza pubblica.</w:t>
      </w:r>
    </w:p>
    <w:p>
      <w:pPr>
        <w:spacing w:after="120" w:line="276"/>
        <w:jc w:val="both"/>
      </w:pPr>
      <w:r>
        <w:rPr>
          <w:rFonts w:ascii="Barlow Semi Condensed" w:cs="Barlow Semi Condensed" w:eastAsia="Barlow Semi Condensed" w:hAnsi="Barlow Semi Condensed"/>
          <w:b/>
          <w:bCs/>
          <w:sz w:val="24"/>
          <w:szCs w:val="24"/>
        </w:rPr>
        <w:t xml:space="preserve">Ne discende che una circostanza affermata in una relazione parlamentare e non accertata in sede giudiziaria non è per ciò stesso falsa, e non è per ciò stesso provata. Essa è ciò che è: la valutazione di un organo qualificato, da impiegare come tale.</w:t>
      </w:r>
    </w:p>
    <w:p>
      <w:pPr>
        <w:pStyle w:val="Heading2"/>
        <w:spacing w:after="100" w:before="200"/>
      </w:pPr>
      <w:r>
        <w:rPr>
          <w:rFonts w:ascii="Barlow Semi Condensed" w:cs="Barlow Semi Condensed" w:eastAsia="Barlow Semi Condensed" w:hAnsi="Barlow Semi Condensed"/>
          <w:sz w:val="24"/>
          <w:szCs w:val="24"/>
        </w:rPr>
        <w:t xml:space="preserve">La non unanimità, che è essa stessa un dato</w:t>
      </w:r>
    </w:p>
    <w:p>
      <w:pPr>
        <w:spacing w:after="120" w:line="276"/>
        <w:jc w:val="both"/>
      </w:pPr>
      <w:r>
        <w:rPr>
          <w:rFonts w:ascii="Barlow Semi Condensed" w:cs="Barlow Semi Condensed" w:eastAsia="Barlow Semi Condensed" w:hAnsi="Barlow Semi Condensed"/>
          <w:b/>
          <w:bCs/>
          <w:sz w:val="24"/>
          <w:szCs w:val="24"/>
        </w:rPr>
        <w:t xml:space="preserve">Vi è un elemento che va registrato con particolare cura perché la divulgazione lo occulta sistematicamente.</w:t>
      </w:r>
    </w:p>
    <w:p>
      <w:pPr>
        <w:spacing w:after="120" w:line="276"/>
        <w:jc w:val="both"/>
      </w:pPr>
      <w:r>
        <w:rPr>
          <w:rFonts w:ascii="Barlow Semi Condensed" w:cs="Barlow Semi Condensed" w:eastAsia="Barlow Semi Condensed" w:hAnsi="Barlow Semi Condensed"/>
          <w:b/>
          <w:bCs/>
          <w:sz w:val="24"/>
          <w:szCs w:val="24"/>
        </w:rPr>
        <w:t xml:space="preserve">Le commissioni che hanno lavorato su questa materia hanno prodotto, su punti rilevanti, elaborati divergenti fra loro: relazioni di maggioranza e di minoranza, contributi individuali di commissari, documenti di gruppo. Le divergenze non riguardano dettagli: riguardano l'esistenza stessa di un mandato esterno, la valutazione della gestione della crisi, la qualificazione di talune condotte.</w:t>
      </w:r>
    </w:p>
    <w:p>
      <w:pPr>
        <w:spacing w:after="120" w:line="276"/>
        <w:jc w:val="both"/>
      </w:pPr>
      <w:r>
        <w:rPr>
          <w:rFonts w:ascii="Barlow Semi Condensed" w:cs="Barlow Semi Condensed" w:eastAsia="Barlow Semi Condensed" w:hAnsi="Barlow Semi Condensed"/>
          <w:b/>
          <w:bCs/>
          <w:sz w:val="24"/>
          <w:szCs w:val="24"/>
        </w:rPr>
        <w:t xml:space="preserve">La non unanimità è un dato di primo ordine, e va dichiarata ogni volta che si citi una commissione. Citare la sola relazione che convenga alla propria ricostruzione, senza menzionare che altre ne sostenevano una diversa nella medesima sede, è una selezione della fonte che produce sul lettore l'effetto di un accertamento là dove vi era un dissenso.</w:t>
      </w:r>
    </w:p>
    <w:p>
      <w:pPr>
        <w:pStyle w:val="Heading2"/>
        <w:spacing w:after="100" w:before="200"/>
      </w:pPr>
      <w:r>
        <w:rPr>
          <w:rFonts w:ascii="Barlow Semi Condensed" w:cs="Barlow Semi Condensed" w:eastAsia="Barlow Semi Condensed" w:hAnsi="Barlow Semi Condensed"/>
          <w:sz w:val="24"/>
          <w:szCs w:val="24"/>
        </w:rPr>
        <w:t xml:space="preserve">Una posizione che va riportata perché contraddice</w:t>
      </w:r>
    </w:p>
    <w:p>
      <w:pPr>
        <w:spacing w:after="120" w:line="276"/>
        <w:jc w:val="both"/>
      </w:pPr>
      <w:r>
        <w:rPr>
          <w:rFonts w:ascii="Barlow Semi Condensed" w:cs="Barlow Semi Condensed" w:eastAsia="Barlow Semi Condensed" w:hAnsi="Barlow Semi Condensed"/>
          <w:b/>
          <w:bCs/>
          <w:sz w:val="24"/>
          <w:szCs w:val="24"/>
        </w:rPr>
        <w:t xml:space="preserve">Si registra, in adempimento dell'obbligo di riportare le evidenze contrarie non meno delle favorevoli, che una delle commissioni ha formulato una posizione articolata sul mandato esterno nella quale condivide l'opinione che l'organizzazione abbia agito secondo un progetto proprio, abbia proceduto secondo un codice proprio e abbia deciso secondo una logica propria, escludendone di conseguenza l'eterodirezione.</w:t>
      </w:r>
    </w:p>
    <w:p>
      <w:pPr>
        <w:spacing w:after="120" w:line="276"/>
        <w:jc w:val="both"/>
      </w:pPr>
      <w:r>
        <w:rPr>
          <w:rFonts w:ascii="Barlow Semi Condensed" w:cs="Barlow Semi Condensed" w:eastAsia="Barlow Semi Condensed" w:hAnsi="Barlow Semi Condensed"/>
          <w:b/>
          <w:bCs/>
          <w:sz w:val="24"/>
          <w:szCs w:val="24"/>
        </w:rPr>
        <w:t xml:space="preserve">Questa posizione è di rango parlamentare e va iscritta nella matrice delle ipotesi concorrenti come evidenza contraria al terzo genere di ipotesi, e non come nota a margine. Essa non chiude la questione, poiché altre sedi hanno sostenuto valutazioni diverse; ma pesa quanto le valutazioni opposte, e chi ometta di riportarla costruisce una matrice sbilanciata.</w:t>
      </w:r>
    </w:p>
    <w:p>
      <w:pPr>
        <w:pStyle w:val="Heading2"/>
        <w:spacing w:after="100" w:before="200"/>
      </w:pPr>
      <w:r>
        <w:rPr>
          <w:rFonts w:ascii="Barlow Semi Condensed" w:cs="Barlow Semi Condensed" w:eastAsia="Barlow Semi Condensed" w:hAnsi="Barlow Semi Condensed"/>
          <w:sz w:val="24"/>
          <w:szCs w:val="24"/>
        </w:rPr>
        <w:t xml:space="preserve">L'ultima commissione e le linee dichiarate aperte</w:t>
      </w:r>
    </w:p>
    <w:p>
      <w:pPr>
        <w:spacing w:after="120" w:line="276"/>
        <w:jc w:val="both"/>
      </w:pPr>
      <w:r>
        <w:rPr>
          <w:rFonts w:ascii="Barlow Semi Condensed" w:cs="Barlow Semi Condensed" w:eastAsia="Barlow Semi Condensed" w:hAnsi="Barlow Semi Condensed"/>
          <w:b/>
          <w:bCs/>
          <w:sz w:val="24"/>
          <w:szCs w:val="24"/>
        </w:rPr>
        <w:t xml:space="preserve">Si registra infine che l'ultima commissione che si è occupata della materia ha dichiarato aperte alcune linee di indagine, e che tale dichiarazione è essa stessa un fatto: essa attesta che l'organo istituzionale che da ultimo ha esaminato il caso non lo ha ritenuto esaurito.</w:t>
      </w:r>
    </w:p>
    <w:p>
      <w:pPr>
        <w:pStyle w:val="Heading2"/>
        <w:spacing w:after="100" w:before="200"/>
      </w:pPr>
      <w:r>
        <w:rPr>
          <w:rFonts w:ascii="Barlow Semi Condensed" w:cs="Barlow Semi Condensed" w:eastAsia="Barlow Semi Condensed" w:hAnsi="Barlow Semi Condensed"/>
          <w:sz w:val="24"/>
          <w:szCs w:val="24"/>
        </w:rPr>
        <w:t xml:space="preserve">Capitolo sessantaquattresimo — Le esequie e la volontà espressa</w:t>
      </w:r>
    </w:p>
    <w:p>
      <w:pPr>
        <w:spacing w:after="120" w:line="276"/>
        <w:jc w:val="both"/>
      </w:pPr>
      <w:r>
        <w:rPr>
          <w:rFonts w:ascii="Barlow Semi Condensed" w:cs="Barlow Semi Condensed" w:eastAsia="Barlow Semi Condensed" w:hAnsi="Barlow Semi Condensed"/>
          <w:b/>
          <w:bCs/>
          <w:sz w:val="24"/>
          <w:szCs w:val="24"/>
        </w:rPr>
        <w:t xml:space="preserve">Si registra qui una vicenda che appartiene agli esiti e non ai fatti, e che l'opera tratta con la brevità che le compete.</w:t>
      </w:r>
    </w:p>
    <w:p>
      <w:pPr>
        <w:pStyle w:val="Heading2"/>
        <w:spacing w:after="100" w:before="200"/>
      </w:pPr>
      <w:r>
        <w:rPr>
          <w:rFonts w:ascii="Barlow Semi Condensed" w:cs="Barlow Semi Condensed" w:eastAsia="Barlow Semi Condensed" w:hAnsi="Barlow Semi Condensed"/>
          <w:sz w:val="24"/>
          <w:szCs w:val="24"/>
        </w:rPr>
        <w:t xml:space="preserve">I fatti</w:t>
      </w:r>
    </w:p>
    <w:p>
      <w:pPr>
        <w:spacing w:after="120" w:line="276"/>
        <w:jc w:val="both"/>
      </w:pPr>
      <w:r>
        <w:rPr>
          <w:rFonts w:ascii="Barlow Semi Condensed" w:cs="Barlow Semi Condensed" w:eastAsia="Barlow Semi Condensed" w:hAnsi="Barlow Semi Condensed"/>
          <w:b/>
          <w:bCs/>
          <w:sz w:val="24"/>
          <w:szCs w:val="24"/>
        </w:rPr>
        <w:t xml:space="preserve">L'autore aveva espresso, nelle carte della prigionia, volontà relative alle proprie esequie e alla partecipazione delle autorità.</w:t>
      </w:r>
    </w:p>
    <w:p>
      <w:pPr>
        <w:spacing w:after="120" w:line="276"/>
        <w:jc w:val="both"/>
      </w:pPr>
      <w:r>
        <w:rPr>
          <w:rFonts w:ascii="Barlow Semi Condensed" w:cs="Barlow Semi Condensed" w:eastAsia="Barlow Semi Condensed" w:hAnsi="Barlow Semi Condensed"/>
          <w:b/>
          <w:bCs/>
          <w:sz w:val="24"/>
          <w:szCs w:val="24"/>
        </w:rPr>
        <w:t xml:space="preserve">Dopo il rinvenimento del corpo furono celebrate esequie private secondo tale volontà, e separatamente una cerimonia solenne di Stato, senza il corpo, alla presenza delle massime autorità della Repubblica.</w:t>
      </w:r>
    </w:p>
    <w:p>
      <w:pPr>
        <w:spacing w:after="120" w:line="276"/>
        <w:jc w:val="both"/>
      </w:pPr>
      <w:r>
        <w:rPr>
          <w:rFonts w:ascii="Barlow Semi Condensed" w:cs="Barlow Semi Condensed" w:eastAsia="Barlow Semi Condensed" w:hAnsi="Barlow Semi Condensed"/>
          <w:b/>
          <w:bCs/>
          <w:sz w:val="24"/>
          <w:szCs w:val="24"/>
        </w:rPr>
        <w:t xml:space="preserve">Entrambe le circostanze sono accertate e non controverse.</w:t>
      </w:r>
    </w:p>
    <w:p>
      <w:pPr>
        <w:pStyle w:val="Heading2"/>
        <w:spacing w:after="100" w:before="200"/>
      </w:pPr>
      <w:r>
        <w:rPr>
          <w:rFonts w:ascii="Barlow Semi Condensed" w:cs="Barlow Semi Condensed" w:eastAsia="Barlow Semi Condensed" w:hAnsi="Barlow Semi Condensed"/>
          <w:sz w:val="24"/>
          <w:szCs w:val="24"/>
        </w:rPr>
        <w:t xml:space="preserve">Lo statuto della volontà espressa</w:t>
      </w:r>
    </w:p>
    <w:p>
      <w:pPr>
        <w:spacing w:after="120" w:line="276"/>
        <w:jc w:val="both"/>
      </w:pPr>
      <w:r>
        <w:rPr>
          <w:rFonts w:ascii="Barlow Semi Condensed" w:cs="Barlow Semi Condensed" w:eastAsia="Barlow Semi Condensed" w:hAnsi="Barlow Semi Condensed"/>
          <w:b/>
          <w:bCs/>
          <w:sz w:val="24"/>
          <w:szCs w:val="24"/>
        </w:rPr>
        <w:t xml:space="preserve">Si applica la scala del vincolo istituita dalla Fase Quarta. La disposizione relativa alle esequie appartiene alla classe delle comunicazioni domestiche e riguarda materia priva di interesse specifico per i detentori: essa si colloca al primo o al secondo grado, ed è dunque impiegabile come espressione diretta dell'autore.</w:t>
      </w:r>
    </w:p>
    <w:p>
      <w:pPr>
        <w:spacing w:after="120" w:line="276"/>
        <w:jc w:val="both"/>
      </w:pPr>
      <w:r>
        <w:rPr>
          <w:rFonts w:ascii="Barlow Semi Condensed" w:cs="Barlow Semi Condensed" w:eastAsia="Barlow Semi Condensed" w:hAnsi="Barlow Semi Condensed"/>
          <w:b/>
          <w:bCs/>
          <w:sz w:val="24"/>
          <w:szCs w:val="24"/>
        </w:rPr>
        <w:t xml:space="preserve">Questa è, si osservi, una delle poche proposizioni relative alla volontà del prigioniero che la scala consenta di impiegare senza restrizioni. Le proposizioni politiche sono di terzo grado e non lo consentono; questa sì, perché nessuno aveva interesse a sollecitarla.</w:t>
      </w:r>
    </w:p>
    <w:p>
      <w:pPr>
        <w:pStyle w:val="Heading2"/>
        <w:spacing w:after="100" w:before="200"/>
      </w:pPr>
      <w:r>
        <w:rPr>
          <w:rFonts w:ascii="Barlow Semi Condensed" w:cs="Barlow Semi Condensed" w:eastAsia="Barlow Semi Condensed" w:hAnsi="Barlow Semi Condensed"/>
          <w:sz w:val="24"/>
          <w:szCs w:val="24"/>
        </w:rPr>
        <w:t xml:space="preserve">Ciò che l'opera non dice</w:t>
      </w:r>
    </w:p>
    <w:p>
      <w:pPr>
        <w:spacing w:after="120" w:line="276"/>
        <w:jc w:val="both"/>
      </w:pPr>
      <w:r>
        <w:rPr>
          <w:rFonts w:ascii="Barlow Semi Condensed" w:cs="Barlow Semi Condensed" w:eastAsia="Barlow Semi Condensed" w:hAnsi="Barlow Semi Condensed"/>
          <w:b/>
          <w:bCs/>
          <w:sz w:val="24"/>
          <w:szCs w:val="24"/>
        </w:rPr>
        <w:t xml:space="preserve">L'opera non giudica la decisione di celebrare la cerimonia solenne. Il giudizio è morale e politico, appartiene a chi vi era implicato e a chi ne ha titolo, e non a un registro.</w:t>
      </w:r>
    </w:p>
    <w:p>
      <w:pPr>
        <w:spacing w:after="120" w:line="276"/>
        <w:jc w:val="both"/>
      </w:pPr>
      <w:r>
        <w:rPr>
          <w:rFonts w:ascii="Barlow Semi Condensed" w:cs="Barlow Semi Condensed" w:eastAsia="Barlow Semi Condensed" w:hAnsi="Barlow Semi Condensed"/>
          <w:b/>
          <w:bCs/>
          <w:sz w:val="24"/>
          <w:szCs w:val="24"/>
        </w:rPr>
        <w:t xml:space="preserve">Si registra soltanto, perché è materia di fatto, che la questione fu dibattuta e che il dibattito fu doloroso per le persone coinvolte; e che essa costituisce, per la storia repubblicana, uno dei punti nei quali la distanza fra la volontà di un uomo e le esigenze dello Stato si è manifestata nella forma più visibile.</w:t>
      </w:r>
    </w:p>
    <w:p>
      <w:pPr>
        <w:spacing w:after="120" w:line="276"/>
        <w:jc w:val="both"/>
      </w:pPr>
      <w:r>
        <w:rPr>
          <w:rFonts w:ascii="Barlow Semi Condensed" w:cs="Barlow Semi Condensed" w:eastAsia="Barlow Semi Condensed" w:hAnsi="Barlow Semi Condensed"/>
          <w:b/>
          <w:bCs/>
          <w:sz w:val="24"/>
          <w:szCs w:val="24"/>
        </w:rPr>
        <w:t xml:space="preserve">Oltre questo l'opera non va, e si ferma qui volontariamente.</w:t>
      </w:r>
    </w:p>
    <w:p>
      <w:pPr>
        <w:pStyle w:val="Heading2"/>
        <w:spacing w:after="100" w:before="200"/>
      </w:pPr>
      <w:r>
        <w:rPr>
          <w:rFonts w:ascii="Barlow Semi Condensed" w:cs="Barlow Semi Condensed" w:eastAsia="Barlow Semi Condensed" w:hAnsi="Barlow Semi Condensed"/>
          <w:sz w:val="24"/>
          <w:szCs w:val="24"/>
        </w:rPr>
        <w:t xml:space="preserve">Capitolo sessantacinquesimo — Il censimento degli Stati Zero</w:t>
      </w:r>
    </w:p>
    <w:p>
      <w:pPr>
        <w:spacing w:after="120" w:line="276"/>
        <w:jc w:val="both"/>
      </w:pPr>
      <w:r>
        <w:rPr>
          <w:rFonts w:ascii="Barlow Semi Condensed" w:cs="Barlow Semi Condensed" w:eastAsia="Barlow Semi Condensed" w:hAnsi="Barlow Semi Condensed"/>
          <w:b/>
          <w:bCs/>
          <w:sz w:val="24"/>
          <w:szCs w:val="24"/>
        </w:rPr>
        <w:t xml:space="preserve">Si raccolgono qui, in un solo luogo, tutti gli esiti negativi delle sei Fasi precedenti. La raccolta non è una formalità contabile: dispersi, gli esiti negativi non producono effetto; riuniti, essi costituiscono una mappa.</w:t>
      </w:r>
    </w:p>
    <w:p>
      <w:pPr>
        <w:pStyle w:val="Heading2"/>
        <w:spacing w:after="100" w:before="200"/>
      </w:pPr>
      <w:r>
        <w:rPr>
          <w:rFonts w:ascii="Barlow Semi Condensed" w:cs="Barlow Semi Condensed" w:eastAsia="Barlow Semi Condensed" w:hAnsi="Barlow Semi Condensed"/>
          <w:sz w:val="24"/>
          <w:szCs w:val="24"/>
        </w:rPr>
        <w:t xml:space="preserve">Perché la raccolta è necessaria</w:t>
      </w:r>
    </w:p>
    <w:p>
      <w:pPr>
        <w:spacing w:after="120" w:line="276"/>
        <w:jc w:val="both"/>
      </w:pPr>
      <w:r>
        <w:rPr>
          <w:rFonts w:ascii="Barlow Semi Condensed" w:cs="Barlow Semi Condensed" w:eastAsia="Barlow Semi Condensed" w:hAnsi="Barlow Semi Condensed"/>
          <w:b/>
          <w:bCs/>
          <w:sz w:val="24"/>
          <w:szCs w:val="24"/>
        </w:rPr>
        <w:t xml:space="preserve">Un esito negativo enunciato nella sede in cui fu ottenuto viene letto come una difficoltà locale. Gli stessi esiti letti insieme mostrano una figura, e la figura dice dove la conoscenza si interrompe e per quale ragione.</w:t>
      </w:r>
    </w:p>
    <w:p>
      <w:pPr>
        <w:spacing w:after="120" w:line="276"/>
        <w:jc w:val="both"/>
      </w:pPr>
      <w:r>
        <w:rPr>
          <w:rFonts w:ascii="Barlow Semi Condensed" w:cs="Barlow Semi Condensed" w:eastAsia="Barlow Semi Condensed" w:hAnsi="Barlow Semi Condensed"/>
          <w:b/>
          <w:bCs/>
          <w:sz w:val="24"/>
          <w:szCs w:val="24"/>
        </w:rPr>
        <w:t xml:space="preserve">Vi è inoltre una ragione di onestà espositiva. Un lettore che percorra sei Fasi di risultanze riceve, dall'accumulo, l'impressione che la ricerca abbia trovato ciò che cercava. Il censimento degli esiti negativi restituisce la proporzione: quanto è stato cercato e non trovato, accanto a quanto è stato trovato.</w:t>
      </w:r>
    </w:p>
    <w:p>
      <w:pPr>
        <w:pStyle w:val="Heading2"/>
        <w:spacing w:after="100" w:before="200"/>
      </w:pPr>
      <w:r>
        <w:rPr>
          <w:rFonts w:ascii="Barlow Semi Condensed" w:cs="Barlow Semi Condensed" w:eastAsia="Barlow Semi Condensed" w:hAnsi="Barlow Semi Condensed"/>
          <w:sz w:val="24"/>
          <w:szCs w:val="24"/>
        </w:rPr>
        <w:t xml:space="preserve">Gli esiti negativi della Fase Seconda</w:t>
      </w:r>
    </w:p>
    <w:p>
      <w:pPr>
        <w:spacing w:after="120" w:line="276"/>
        <w:jc w:val="both"/>
      </w:pPr>
      <w:r>
        <w:rPr>
          <w:rFonts w:ascii="Barlow Semi Condensed" w:cs="Barlow Semi Condensed" w:eastAsia="Barlow Semi Condensed" w:hAnsi="Barlow Semi Condensed"/>
          <w:b/>
          <w:bCs/>
          <w:sz w:val="24"/>
          <w:szCs w:val="24"/>
        </w:rPr>
        <w:t xml:space="preserve">Non è stato reperito alcun atto che colleghi l'influenza documentata delle potenze straniere all'atto materiale, e ciò vale simmetricamente per entrambi i versanti.</w:t>
      </w:r>
    </w:p>
    <w:p>
      <w:pPr>
        <w:spacing w:after="120" w:line="276"/>
        <w:jc w:val="both"/>
      </w:pPr>
      <w:r>
        <w:rPr>
          <w:rFonts w:ascii="Barlow Semi Condensed" w:cs="Barlow Semi Condensed" w:eastAsia="Barlow Semi Condensed" w:hAnsi="Barlow Semi Condensed"/>
          <w:b/>
          <w:bCs/>
          <w:sz w:val="24"/>
          <w:szCs w:val="24"/>
        </w:rPr>
        <w:t xml:space="preserve">Tredici archivi remoti rilevanti non sono risultati interrogabili con gli strumenti impiegati.</w:t>
      </w:r>
    </w:p>
    <w:p>
      <w:pPr>
        <w:spacing w:after="120" w:line="276"/>
        <w:jc w:val="both"/>
      </w:pPr>
      <w:r>
        <w:rPr>
          <w:rFonts w:ascii="Barlow Semi Condensed" w:cs="Barlow Semi Condensed" w:eastAsia="Barlow Semi Condensed" w:hAnsi="Barlow Semi Condensed"/>
          <w:b/>
          <w:bCs/>
          <w:sz w:val="24"/>
          <w:szCs w:val="24"/>
        </w:rPr>
        <w:t xml:space="preserve">La verifica statistica sull'addensamento degli eventi attorno alle scadenze dell'integrazione europea ha dato esito nullo a tutti i raggi esaminati, con conferma nel controllo di robustezza. È l'unico esito escludente prodotto dall'opera, ed è stato ottenuto per misura e non per argomentazione.</w:t>
      </w:r>
    </w:p>
    <w:p>
      <w:pPr>
        <w:pStyle w:val="Heading2"/>
        <w:spacing w:after="100" w:before="200"/>
      </w:pPr>
      <w:r>
        <w:rPr>
          <w:rFonts w:ascii="Barlow Semi Condensed" w:cs="Barlow Semi Condensed" w:eastAsia="Barlow Semi Condensed" w:hAnsi="Barlow Semi Condensed"/>
          <w:sz w:val="24"/>
          <w:szCs w:val="24"/>
        </w:rPr>
        <w:t xml:space="preserve">Gli esiti negativi della Fase Terza</w:t>
      </w:r>
    </w:p>
    <w:p>
      <w:pPr>
        <w:spacing w:after="120" w:line="276"/>
        <w:jc w:val="both"/>
      </w:pPr>
      <w:r>
        <w:rPr>
          <w:rFonts w:ascii="Barlow Semi Condensed" w:cs="Barlow Semi Condensed" w:eastAsia="Barlow Semi Condensed" w:hAnsi="Barlow Semi Condensed"/>
          <w:b/>
          <w:bCs/>
          <w:sz w:val="24"/>
          <w:szCs w:val="24"/>
        </w:rPr>
        <w:t xml:space="preserve">La ricerca condotta per cinquantacinque giorni con risorse eccezionali non ha prodotto la localizzazione del prigioniero.</w:t>
      </w:r>
    </w:p>
    <w:p>
      <w:pPr>
        <w:spacing w:after="120" w:line="276"/>
        <w:jc w:val="both"/>
      </w:pPr>
      <w:r>
        <w:rPr>
          <w:rFonts w:ascii="Barlow Semi Condensed" w:cs="Barlow Semi Condensed" w:eastAsia="Barlow Semi Condensed" w:hAnsi="Barlow Semi Condensed"/>
          <w:b/>
          <w:bCs/>
          <w:sz w:val="24"/>
          <w:szCs w:val="24"/>
        </w:rPr>
        <w:t xml:space="preserve">Non risulta acquisita documentazione oggettiva contemporanea sul percorso e sui luoghi intermedi del trasferimento successivo al prelevamento.</w:t>
      </w:r>
    </w:p>
    <w:p>
      <w:pPr>
        <w:pStyle w:val="Heading2"/>
        <w:spacing w:after="100" w:before="200"/>
      </w:pPr>
      <w:r>
        <w:rPr>
          <w:rFonts w:ascii="Barlow Semi Condensed" w:cs="Barlow Semi Condensed" w:eastAsia="Barlow Semi Condensed" w:hAnsi="Barlow Semi Condensed"/>
          <w:sz w:val="24"/>
          <w:szCs w:val="24"/>
        </w:rPr>
        <w:t xml:space="preserve">Gli esiti negativi della Fase Quarta</w:t>
      </w:r>
    </w:p>
    <w:p>
      <w:pPr>
        <w:spacing w:after="120" w:line="276"/>
        <w:jc w:val="both"/>
      </w:pPr>
      <w:r>
        <w:rPr>
          <w:rFonts w:ascii="Barlow Semi Condensed" w:cs="Barlow Semi Condensed" w:eastAsia="Barlow Semi Condensed" w:hAnsi="Barlow Semi Condensed"/>
          <w:b/>
          <w:bCs/>
          <w:sz w:val="24"/>
          <w:szCs w:val="24"/>
        </w:rPr>
        <w:t xml:space="preserve">Non è stata acquisita la documentazione contemporanea della prima operazione di rinvenimento documentale, necessaria a discriminare fra le tre spiegazioni della sua incompletezza.</w:t>
      </w:r>
    </w:p>
    <w:p>
      <w:pPr>
        <w:spacing w:after="120" w:line="276"/>
        <w:jc w:val="both"/>
      </w:pPr>
      <w:r>
        <w:rPr>
          <w:rFonts w:ascii="Barlow Semi Condensed" w:cs="Barlow Semi Condensed" w:eastAsia="Barlow Semi Condensed" w:hAnsi="Barlow Semi Condensed"/>
          <w:b/>
          <w:bCs/>
          <w:sz w:val="24"/>
          <w:szCs w:val="24"/>
        </w:rPr>
        <w:t xml:space="preserve">La completezza del corpus documentale complessivamente disponibile non è accertata e non può essere presunta.</w:t>
      </w:r>
    </w:p>
    <w:p>
      <w:pPr>
        <w:pStyle w:val="Heading2"/>
        <w:spacing w:after="100" w:before="200"/>
      </w:pPr>
      <w:r>
        <w:rPr>
          <w:rFonts w:ascii="Barlow Semi Condensed" w:cs="Barlow Semi Condensed" w:eastAsia="Barlow Semi Condensed" w:hAnsi="Barlow Semi Condensed"/>
          <w:sz w:val="24"/>
          <w:szCs w:val="24"/>
        </w:rPr>
        <w:t xml:space="preserve">Gli esiti negativi della Fase Quinta</w:t>
      </w:r>
    </w:p>
    <w:p>
      <w:pPr>
        <w:spacing w:after="120" w:line="276"/>
        <w:jc w:val="both"/>
      </w:pPr>
      <w:r>
        <w:rPr>
          <w:rFonts w:ascii="Barlow Semi Condensed" w:cs="Barlow Semi Condensed" w:eastAsia="Barlow Semi Condensed" w:hAnsi="Barlow Semi Condensed"/>
          <w:b/>
          <w:bCs/>
          <w:sz w:val="24"/>
          <w:szCs w:val="24"/>
        </w:rPr>
        <w:t xml:space="preserve">Non risulta acquisita la documentazione che stabilisca quali modalità di controllo fossero prescritte e quali impiegate nella via poi risultata sede di una base.</w:t>
      </w:r>
    </w:p>
    <w:p>
      <w:pPr>
        <w:spacing w:after="120" w:line="276"/>
        <w:jc w:val="both"/>
      </w:pPr>
      <w:r>
        <w:rPr>
          <w:rFonts w:ascii="Barlow Semi Condensed" w:cs="Barlow Semi Condensed" w:eastAsia="Barlow Semi Condensed" w:hAnsi="Barlow Semi Condensed"/>
          <w:b/>
          <w:bCs/>
          <w:sz w:val="24"/>
          <w:szCs w:val="24"/>
        </w:rPr>
        <w:t xml:space="preserve">Non risultano acquisiti gli atti relativi alla ricezione dell'indicazione toponomastica, alla sua valutazione e alla decisione sulla destinazione delle ricerche.</w:t>
      </w:r>
    </w:p>
    <w:p>
      <w:pPr>
        <w:spacing w:after="120" w:line="276"/>
        <w:jc w:val="both"/>
      </w:pPr>
      <w:r>
        <w:rPr>
          <w:rFonts w:ascii="Barlow Semi Condensed" w:cs="Barlow Semi Condensed" w:eastAsia="Barlow Semi Condensed" w:hAnsi="Barlow Semi Condensed"/>
          <w:b/>
          <w:bCs/>
          <w:sz w:val="24"/>
          <w:szCs w:val="24"/>
        </w:rPr>
        <w:t xml:space="preserve">Non risulta acquisita la documentazione analitica della ricerca dei cinquantacinque giorni, necessaria a colmare il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Non risulta condotta alcuna comparazione con operazioni analoghe dei medesimi uffici nel medesimo periodo, senza la quale l'argomento dell'accumulo resta privo delle proprie condizioni di validità.</w:t>
      </w:r>
    </w:p>
    <w:p>
      <w:pPr>
        <w:spacing w:after="120" w:line="276"/>
        <w:jc w:val="both"/>
      </w:pPr>
      <w:r>
        <w:rPr>
          <w:rFonts w:ascii="Barlow Semi Condensed" w:cs="Barlow Semi Condensed" w:eastAsia="Barlow Semi Condensed" w:hAnsi="Barlow Semi Condensed"/>
          <w:b/>
          <w:bCs/>
          <w:sz w:val="24"/>
          <w:szCs w:val="24"/>
        </w:rPr>
        <w:t xml:space="preserve">Non sono accertati l'autore né la finalità della produzione di falso quanto alla finalità; l'autore è stato successivamente identificato in sede processuale, ma il mandante e lo scopo restano ignoti.</w:t>
      </w:r>
    </w:p>
    <w:p>
      <w:pPr>
        <w:pStyle w:val="Heading2"/>
        <w:spacing w:after="100" w:before="200"/>
      </w:pPr>
      <w:r>
        <w:rPr>
          <w:rFonts w:ascii="Barlow Semi Condensed" w:cs="Barlow Semi Condensed" w:eastAsia="Barlow Semi Condensed" w:hAnsi="Barlow Semi Condensed"/>
          <w:sz w:val="24"/>
          <w:szCs w:val="24"/>
        </w:rPr>
        <w:t xml:space="preserve">Gli esiti negativi della Fase Sesta</w:t>
      </w:r>
    </w:p>
    <w:p>
      <w:pPr>
        <w:spacing w:after="120" w:line="276"/>
        <w:jc w:val="both"/>
      </w:pPr>
      <w:r>
        <w:rPr>
          <w:rFonts w:ascii="Barlow Semi Condensed" w:cs="Barlow Semi Condensed" w:eastAsia="Barlow Semi Condensed" w:hAnsi="Barlow Semi Condensed"/>
          <w:b/>
          <w:bCs/>
          <w:sz w:val="24"/>
          <w:szCs w:val="24"/>
        </w:rPr>
        <w:t xml:space="preserve">Non risulta acquisito alcun atto che documenti una volontà esterna determinata quanto all'operazione, né una via di trasmissione, né la sua efficacia. Il terzo livello di responsabilità resta vuoto per difetto di prova su tutte e tre le proposizioni che lo comporrebbero.</w:t>
      </w:r>
    </w:p>
    <w:p>
      <w:pPr>
        <w:spacing w:after="120" w:line="276"/>
        <w:jc w:val="both"/>
      </w:pPr>
      <w:r>
        <w:rPr>
          <w:rFonts w:ascii="Barlow Semi Condensed" w:cs="Barlow Semi Condensed" w:eastAsia="Barlow Semi Condensed" w:hAnsi="Barlow Semi Condensed"/>
          <w:b/>
          <w:bCs/>
          <w:sz w:val="24"/>
          <w:szCs w:val="24"/>
        </w:rPr>
        <w:t xml:space="preserve">Non è accertata la composizione individuale dell'organismo direttivo oltre i limiti degli accertamenti giudiziari.</w:t>
      </w:r>
    </w:p>
    <w:p>
      <w:pPr>
        <w:spacing w:after="120" w:line="276"/>
        <w:jc w:val="both"/>
      </w:pPr>
      <w:r>
        <w:rPr>
          <w:rFonts w:ascii="Barlow Semi Condensed" w:cs="Barlow Semi Condensed" w:eastAsia="Barlow Semi Condensed" w:hAnsi="Barlow Semi Condensed"/>
          <w:b/>
          <w:bCs/>
          <w:sz w:val="24"/>
          <w:szCs w:val="24"/>
        </w:rPr>
        <w:t xml:space="preserve">Non è accertata, e non risulta esclusa, la presenza di soggetti ulteriori non identificati sul luogo dell'agguato.</w:t>
      </w:r>
    </w:p>
    <w:p>
      <w:pPr>
        <w:spacing w:after="120" w:line="276"/>
        <w:jc w:val="both"/>
      </w:pPr>
      <w:r>
        <w:rPr>
          <w:rFonts w:ascii="Barlow Semi Condensed" w:cs="Barlow Semi Condensed" w:eastAsia="Barlow Semi Condensed" w:hAnsi="Barlow Semi Condensed"/>
          <w:b/>
          <w:bCs/>
          <w:sz w:val="24"/>
          <w:szCs w:val="24"/>
        </w:rPr>
        <w:t xml:space="preserve">Non risulta condotta la verifica genealogica analitica delle fonti, condizione preliminare di qualunque computo di convergenza.</w:t>
      </w:r>
    </w:p>
    <w:p>
      <w:pPr>
        <w:pStyle w:val="Heading2"/>
        <w:spacing w:after="100" w:before="200"/>
      </w:pPr>
      <w:r>
        <w:rPr>
          <w:rFonts w:ascii="Barlow Semi Condensed" w:cs="Barlow Semi Condensed" w:eastAsia="Barlow Semi Condensed" w:hAnsi="Barlow Semi Condensed"/>
          <w:sz w:val="24"/>
          <w:szCs w:val="24"/>
        </w:rPr>
        <w:t xml:space="preserve">La figura che ne risulta</w:t>
      </w:r>
    </w:p>
    <w:p>
      <w:pPr>
        <w:spacing w:after="120" w:line="276"/>
        <w:jc w:val="both"/>
      </w:pPr>
      <w:r>
        <w:rPr>
          <w:rFonts w:ascii="Barlow Semi Condensed" w:cs="Barlow Semi Condensed" w:eastAsia="Barlow Semi Condensed" w:hAnsi="Barlow Semi Condensed"/>
          <w:b/>
          <w:bCs/>
          <w:sz w:val="24"/>
          <w:szCs w:val="24"/>
        </w:rPr>
        <w:t xml:space="preserve">Il censimento restituisce venti esiti negativi, dei quali uno solo è escludente e diciannove sono lacune.</w:t>
      </w:r>
    </w:p>
    <w:p>
      <w:pPr>
        <w:spacing w:after="120" w:line="276"/>
        <w:jc w:val="both"/>
      </w:pPr>
      <w:r>
        <w:rPr>
          <w:rFonts w:ascii="Barlow Semi Condensed" w:cs="Barlow Semi Condensed" w:eastAsia="Barlow Semi Condensed" w:hAnsi="Barlow Semi Condensed"/>
          <w:b/>
          <w:bCs/>
          <w:sz w:val="24"/>
          <w:szCs w:val="24"/>
        </w:rPr>
        <w:t xml:space="preserve">E la loro distribuzione dice una cosa che nessuno di essi diceva da solo: le lacune non sono distribuite a caso. Esse si concentrano sulla documentazione dell'azione degli apparati — modalità dei controlli, valutazione delle segnalazioni, conduzione delle ricerche, verbali delle perquisizioni — e non sulla documentazione dell'azione dell'organizzazione, che è invece abbondante.</w:t>
      </w:r>
    </w:p>
    <w:p>
      <w:pPr>
        <w:spacing w:after="120" w:line="276"/>
        <w:jc w:val="both"/>
      </w:pPr>
      <w:r>
        <w:rPr>
          <w:rFonts w:ascii="Barlow Semi Condensed" w:cs="Barlow Semi Condensed" w:eastAsia="Barlow Semi Condensed" w:hAnsi="Barlow Semi Condensed"/>
          <w:b/>
          <w:bCs/>
          <w:sz w:val="24"/>
          <w:szCs w:val="24"/>
        </w:rPr>
        <w:t xml:space="preserve">Questa constatazione non prova nulla e non è formulata come prova. Essa è registrata per quello che è: una proprietà misurabile della distribuzione delle lacune, che tre spiegazioni possono rendere conto — la naturale minore accessibilità degli archivi di sicurezza, l'orientamento della ricerca dell'opera, oppure una selezione operata a monte. Nessuna delle tre è accertata.</w:t>
      </w:r>
    </w:p>
    <w:p>
      <w:pPr>
        <w:pStyle w:val="Heading2"/>
        <w:spacing w:after="100" w:before="200"/>
      </w:pPr>
      <w:r>
        <w:rPr>
          <w:rFonts w:ascii="Barlow Semi Condensed" w:cs="Barlow Semi Condensed" w:eastAsia="Barlow Semi Condensed" w:hAnsi="Barlow Semi Condensed"/>
          <w:sz w:val="24"/>
          <w:szCs w:val="24"/>
        </w:rPr>
        <w:t xml:space="preserve">Capitolo sessantaseiesimo — La mappa delle lacune come fonte</w:t>
      </w:r>
    </w:p>
    <w:p>
      <w:pPr>
        <w:spacing w:after="120" w:line="276"/>
        <w:jc w:val="both"/>
      </w:pPr>
      <w:r>
        <w:rPr>
          <w:rFonts w:ascii="Barlow Semi Condensed" w:cs="Barlow Semi Condensed" w:eastAsia="Barlow Semi Condensed" w:hAnsi="Barlow Semi Condensed"/>
          <w:b/>
          <w:bCs/>
          <w:sz w:val="24"/>
          <w:szCs w:val="24"/>
        </w:rPr>
        <w:t xml:space="preserve">Si trae qui la conseguenza del censimento precedente, con la cautela che essa richiede.</w:t>
      </w:r>
    </w:p>
    <w:p>
      <w:pPr>
        <w:pStyle w:val="Heading2"/>
        <w:spacing w:after="100" w:before="200"/>
      </w:pPr>
      <w:r>
        <w:rPr>
          <w:rFonts w:ascii="Barlow Semi Condensed" w:cs="Barlow Semi Condensed" w:eastAsia="Barlow Semi Condensed" w:hAnsi="Barlow Semi Condensed"/>
          <w:sz w:val="24"/>
          <w:szCs w:val="24"/>
        </w:rPr>
        <w:t xml:space="preserve">L'argomento nella sua forma forte, e perché non regge</w:t>
      </w:r>
    </w:p>
    <w:p>
      <w:pPr>
        <w:spacing w:after="120" w:line="276"/>
        <w:jc w:val="both"/>
      </w:pPr>
      <w:r>
        <w:rPr>
          <w:rFonts w:ascii="Barlow Semi Condensed" w:cs="Barlow Semi Condensed" w:eastAsia="Barlow Semi Condensed" w:hAnsi="Barlow Semi Condensed"/>
          <w:b/>
          <w:bCs/>
          <w:sz w:val="24"/>
          <w:szCs w:val="24"/>
        </w:rPr>
        <w:t xml:space="preserve">L'argomento si presenta da sé, ed è questo: in un caso nel quale è accertato che furono prodotti falsi e che una perquisizione fu incompleta, la distribuzione delle lacune non può essere casuale; e poiché essa si concentra sulla documentazione degli apparati, gli apparati hanno prodotto quelle lacune.</w:t>
      </w:r>
    </w:p>
    <w:p>
      <w:pPr>
        <w:spacing w:after="120" w:line="276"/>
        <w:jc w:val="both"/>
      </w:pPr>
      <w:r>
        <w:rPr>
          <w:rFonts w:ascii="Barlow Semi Condensed" w:cs="Barlow Semi Condensed" w:eastAsia="Barlow Semi Condensed" w:hAnsi="Barlow Semi Condensed"/>
          <w:b/>
          <w:bCs/>
          <w:sz w:val="24"/>
          <w:szCs w:val="24"/>
        </w:rPr>
        <w:t xml:space="preserve">L'argomento non regge, e conviene dire con precisione dove si rompe.</w:t>
      </w:r>
    </w:p>
    <w:p>
      <w:pPr>
        <w:spacing w:after="120" w:line="276"/>
        <w:jc w:val="both"/>
      </w:pPr>
      <w:r>
        <w:rPr>
          <w:rFonts w:ascii="Barlow Semi Condensed" w:cs="Barlow Semi Condensed" w:eastAsia="Barlow Semi Condensed" w:hAnsi="Barlow Semi Condensed"/>
          <w:b/>
          <w:bCs/>
          <w:sz w:val="24"/>
          <w:szCs w:val="24"/>
        </w:rPr>
        <w:t xml:space="preserve">Esso presuppone un termine di riferimento che non esiste: quale distribuzione delle lacune sarebbe normale in una ricerca su fatti di questa natura. Senza quel termine, la constatazione che le lacune si concentrano da una parte non è una misura di anomalia: è una descrizione della distribuzione osservata.</w:t>
      </w:r>
    </w:p>
    <w:p>
      <w:pPr>
        <w:spacing w:after="120" w:line="276"/>
        <w:jc w:val="both"/>
      </w:pPr>
      <w:r>
        <w:rPr>
          <w:rFonts w:ascii="Barlow Semi Condensed" w:cs="Barlow Semi Condensed" w:eastAsia="Barlow Semi Condensed" w:hAnsi="Barlow Semi Condensed"/>
          <w:b/>
          <w:bCs/>
          <w:sz w:val="24"/>
          <w:szCs w:val="24"/>
        </w:rPr>
        <w:t xml:space="preserve">Esso presuppone inoltre l'indipendenza fra le lacune, che non è accertata. Se un solo archivio non accessibile contiene molti dei documenti mancanti, venti lacune non sono venti eventi: sono uno con diciannove ripercussioni.</w:t>
      </w:r>
    </w:p>
    <w:p>
      <w:pPr>
        <w:spacing w:after="120" w:line="276"/>
        <w:jc w:val="both"/>
      </w:pPr>
      <w:r>
        <w:rPr>
          <w:rFonts w:ascii="Barlow Semi Condensed" w:cs="Barlow Semi Condensed" w:eastAsia="Barlow Semi Condensed" w:hAnsi="Barlow Semi Condensed"/>
          <w:b/>
          <w:bCs/>
          <w:sz w:val="24"/>
          <w:szCs w:val="24"/>
        </w:rPr>
        <w:t xml:space="preserve">Esso è infine esposto alla selezione a posteriori descritta al Capitolo quarantasettesimo: chi cerchi le lacune dopo aver formulato l'ipotesi trova quelle che la sostengono, perché è quelle che riconosce come pertinenti.</w:t>
      </w:r>
    </w:p>
    <w:p>
      <w:pPr>
        <w:pStyle w:val="Heading2"/>
        <w:spacing w:after="100" w:before="200"/>
      </w:pPr>
      <w:r>
        <w:rPr>
          <w:rFonts w:ascii="Barlow Semi Condensed" w:cs="Barlow Semi Condensed" w:eastAsia="Barlow Semi Condensed" w:hAnsi="Barlow Semi Condensed"/>
          <w:sz w:val="24"/>
          <w:szCs w:val="24"/>
        </w:rPr>
        <w:t xml:space="preserve">L'argomento nella sua forma debole, che invece regge</w:t>
      </w:r>
    </w:p>
    <w:p>
      <w:pPr>
        <w:spacing w:after="120" w:line="276"/>
        <w:jc w:val="both"/>
      </w:pPr>
      <w:r>
        <w:rPr>
          <w:rFonts w:ascii="Barlow Semi Condensed" w:cs="Barlow Semi Condensed" w:eastAsia="Barlow Semi Condensed" w:hAnsi="Barlow Semi Condensed"/>
          <w:b/>
          <w:bCs/>
          <w:sz w:val="24"/>
          <w:szCs w:val="24"/>
        </w:rPr>
        <w:t xml:space="preserve">Ciò che regge è assai più modesto e assai più solido.</w:t>
      </w:r>
    </w:p>
    <w:p>
      <w:pPr>
        <w:spacing w:after="120" w:line="276"/>
        <w:jc w:val="both"/>
      </w:pPr>
      <w:r>
        <w:rPr>
          <w:rFonts w:ascii="Barlow Semi Condensed" w:cs="Barlow Semi Condensed" w:eastAsia="Barlow Semi Condensed" w:hAnsi="Barlow Semi Condensed"/>
          <w:b/>
          <w:bCs/>
          <w:sz w:val="24"/>
          <w:szCs w:val="24"/>
        </w:rPr>
        <w:t xml:space="preserve">La mappa delle lacune è verificabile. Ciascuna delle venti voci indica un documento determinato, una sede determinata, una procedura determinata. Chiunque può controllare se quel documento esista e se sia accessibile.</w:t>
      </w:r>
    </w:p>
    <w:p>
      <w:pPr>
        <w:spacing w:after="120" w:line="276"/>
        <w:jc w:val="both"/>
      </w:pPr>
      <w:r>
        <w:rPr>
          <w:rFonts w:ascii="Barlow Semi Condensed" w:cs="Barlow Semi Condensed" w:eastAsia="Barlow Semi Condensed" w:hAnsi="Barlow Semi Condensed"/>
          <w:b/>
          <w:bCs/>
          <w:sz w:val="24"/>
          <w:szCs w:val="24"/>
        </w:rPr>
        <w:t xml:space="preserve">Le spiegazioni della loro distribuzione non sono verificabili allo stato, e ne esistono tre concorrenti.</w:t>
      </w:r>
    </w:p>
    <w:p>
      <w:pPr>
        <w:spacing w:after="120" w:line="276"/>
        <w:jc w:val="both"/>
      </w:pPr>
      <w:r>
        <w:rPr>
          <w:rFonts w:ascii="Barlow Semi Condensed" w:cs="Barlow Semi Condensed" w:eastAsia="Barlow Semi Condensed" w:hAnsi="Barlow Semi Condensed"/>
          <w:b/>
          <w:bCs/>
          <w:sz w:val="24"/>
          <w:szCs w:val="24"/>
        </w:rPr>
        <w:t xml:space="preserve">Ne discende la regola d'uso: la mappa vale più delle spiegazioni della mappa. Essa è uno strumento di lavoro per chi voglia proseguire, e non è un argomento a sostegno di alcuna tesi.</w:t>
      </w:r>
    </w:p>
    <w:p>
      <w:pPr>
        <w:pStyle w:val="Heading2"/>
        <w:spacing w:after="100" w:before="200"/>
      </w:pPr>
      <w:r>
        <w:rPr>
          <w:rFonts w:ascii="Barlow Semi Condensed" w:cs="Barlow Semi Condensed" w:eastAsia="Barlow Semi Condensed" w:hAnsi="Barlow Semi Condensed"/>
          <w:sz w:val="24"/>
          <w:szCs w:val="24"/>
        </w:rPr>
        <w:t xml:space="preserve">Perché questo è il modo corretto di trattare un'assenza</w:t>
      </w:r>
    </w:p>
    <w:p>
      <w:pPr>
        <w:spacing w:after="120" w:line="276"/>
        <w:jc w:val="both"/>
      </w:pPr>
      <w:r>
        <w:rPr>
          <w:rFonts w:ascii="Barlow Semi Condensed" w:cs="Barlow Semi Condensed" w:eastAsia="Barlow Semi Condensed" w:hAnsi="Barlow Semi Condensed"/>
          <w:b/>
          <w:bCs/>
          <w:sz w:val="24"/>
          <w:szCs w:val="24"/>
        </w:rPr>
        <w:t xml:space="preserve">In un campo dove le prove sono state manipolate, l'assenza è la tentazione principale, perché non può essere confutata: chi affermi che un documento manca perché fu distrutto propone una tesi che nessun documento può smentire, essendo appunto il documento a mancare.</w:t>
      </w:r>
    </w:p>
    <w:p>
      <w:pPr>
        <w:spacing w:after="120" w:line="276"/>
        <w:jc w:val="both"/>
      </w:pPr>
      <w:r>
        <w:rPr>
          <w:rFonts w:ascii="Barlow Semi Condensed" w:cs="Barlow Semi Condensed" w:eastAsia="Barlow Semi Condensed" w:hAnsi="Barlow Semi Condensed"/>
          <w:b/>
          <w:bCs/>
          <w:sz w:val="24"/>
          <w:szCs w:val="24"/>
        </w:rPr>
        <w:t xml:space="preserve">La sola disciplina possibile è quella qui adottata: registrare l'assenza con la precisione con cui si registrerebbe una presenza, elencare le spiegazioni concorrenti senza sceglierne alcuna, e indicare che cosa discriminerebbe fra esse.</w:t>
      </w:r>
    </w:p>
    <w:p>
      <w:pPr>
        <w:spacing w:after="120" w:line="276"/>
        <w:jc w:val="both"/>
      </w:pPr>
      <w:r>
        <w:rPr>
          <w:rFonts w:ascii="Barlow Semi Condensed" w:cs="Barlow Semi Condensed" w:eastAsia="Barlow Semi Condensed" w:hAnsi="Barlow Semi Condensed"/>
          <w:b/>
          <w:bCs/>
          <w:sz w:val="24"/>
          <w:szCs w:val="24"/>
        </w:rPr>
        <w:t xml:space="preserve">Ciò trasforma l'assenza da argomento in compito. È meno appagante e produce più lavoro; ed è l'unica cosa che, dopo, qualcun altro possa verificare.</w:t>
      </w:r>
    </w:p>
    <w:p>
      <w:pPr>
        <w:pStyle w:val="Heading2"/>
        <w:spacing w:after="100" w:before="200"/>
      </w:pPr>
      <w:r>
        <w:rPr>
          <w:rFonts w:ascii="Barlow Semi Condensed" w:cs="Barlow Semi Condensed" w:eastAsia="Barlow Semi Condensed" w:hAnsi="Barlow Semi Condensed"/>
          <w:sz w:val="24"/>
          <w:szCs w:val="24"/>
        </w:rPr>
        <w:t xml:space="preserve">Capitolo sessantasettesimo — Ciò che l'opera ha stabilito</w:t>
      </w:r>
    </w:p>
    <w:p>
      <w:pPr>
        <w:spacing w:after="120" w:line="276"/>
        <w:jc w:val="both"/>
      </w:pPr>
      <w:r>
        <w:rPr>
          <w:rFonts w:ascii="Barlow Semi Condensed" w:cs="Barlow Semi Condensed" w:eastAsia="Barlow Semi Condensed" w:hAnsi="Barlow Semi Condensed"/>
          <w:b/>
          <w:bCs/>
          <w:sz w:val="24"/>
          <w:szCs w:val="24"/>
        </w:rPr>
        <w:t xml:space="preserve">Si raccolgono qui le acquisizioni positive, ordinate per solidità decrescente. L'ordine non è cronologico ed è esso stesso un giudizio, dichiarato come tale.</w:t>
      </w:r>
    </w:p>
    <w:p>
      <w:pPr>
        <w:pStyle w:val="Heading2"/>
        <w:spacing w:after="100" w:before="200"/>
      </w:pPr>
      <w:r>
        <w:rPr>
          <w:rFonts w:ascii="Barlow Semi Condensed" w:cs="Barlow Semi Condensed" w:eastAsia="Barlow Semi Condensed" w:hAnsi="Barlow Semi Condensed"/>
          <w:sz w:val="24"/>
          <w:szCs w:val="24"/>
        </w:rPr>
        <w:t xml:space="preserve">Prima acquisizione. L'esistenza di un terzo soggetto</w:t>
      </w:r>
    </w:p>
    <w:p>
      <w:pPr>
        <w:spacing w:after="120" w:line="276"/>
        <w:jc w:val="both"/>
      </w:pPr>
      <w:r>
        <w:rPr>
          <w:rFonts w:ascii="Barlow Semi Condensed" w:cs="Barlow Semi Condensed" w:eastAsia="Barlow Semi Condensed" w:hAnsi="Barlow Semi Condensed"/>
          <w:b/>
          <w:bCs/>
          <w:sz w:val="24"/>
          <w:szCs w:val="24"/>
        </w:rPr>
        <w:t xml:space="preserve">È accertato che durante i cinquantacinque giorni un soggetto distinto dall'organizzazione e dalle istituzioni compì un atto deliberato di interferenza nelle indagini, immettendo nel circuito informativo un documento apocrifo.</w:t>
      </w:r>
    </w:p>
    <w:p>
      <w:pPr>
        <w:spacing w:after="120" w:line="276"/>
        <w:jc w:val="both"/>
      </w:pPr>
      <w:r>
        <w:rPr>
          <w:rFonts w:ascii="Barlow Semi Condensed" w:cs="Barlow Semi Condensed" w:eastAsia="Barlow Semi Condensed" w:hAnsi="Barlow Semi Condensed"/>
          <w:b/>
          <w:bCs/>
          <w:sz w:val="24"/>
          <w:szCs w:val="24"/>
        </w:rPr>
        <w:t xml:space="preserve">L'accertamento è di natura logica prima che documentale: un comunicato apocrifo non si forma per errore, e richiede che qualcuno lo confezioni in modo credibile e lo immetta dove sarà raccolto come autentico.</w:t>
      </w:r>
    </w:p>
    <w:p>
      <w:pPr>
        <w:spacing w:after="120" w:line="276"/>
        <w:jc w:val="both"/>
      </w:pPr>
      <w:r>
        <w:rPr>
          <w:rFonts w:ascii="Barlow Semi Condensed" w:cs="Barlow Semi Condensed" w:eastAsia="Barlow Semi Condensed" w:hAnsi="Barlow Semi Condensed"/>
          <w:b/>
          <w:bCs/>
          <w:sz w:val="24"/>
          <w:szCs w:val="24"/>
        </w:rPr>
        <w:t xml:space="preserve">Ne discende che la ricostruzione della vicenda a due soggetti è incompleta per accertamento e non per congettura. L'identità dell'autore è stata successivamente stabilita in sede processuale; il mandante e la finalità restano ignoti.</w:t>
      </w:r>
    </w:p>
    <w:p>
      <w:pPr>
        <w:spacing w:after="120" w:line="276"/>
        <w:jc w:val="both"/>
      </w:pPr>
      <w:r>
        <w:rPr>
          <w:rFonts w:ascii="Barlow Semi Condensed" w:cs="Barlow Semi Condensed" w:eastAsia="Barlow Semi Condensed" w:hAnsi="Barlow Semi Condensed"/>
          <w:b/>
          <w:bCs/>
          <w:sz w:val="24"/>
          <w:szCs w:val="24"/>
        </w:rPr>
        <w:t xml:space="preserve">È la più solida delle acquisizioni perché non dipende da alcuna ipotesi.</w:t>
      </w:r>
    </w:p>
    <w:p>
      <w:pPr>
        <w:pStyle w:val="Heading2"/>
        <w:spacing w:after="100" w:before="200"/>
      </w:pPr>
      <w:r>
        <w:rPr>
          <w:rFonts w:ascii="Barlow Semi Condensed" w:cs="Barlow Semi Condensed" w:eastAsia="Barlow Semi Condensed" w:hAnsi="Barlow Semi Condensed"/>
          <w:sz w:val="24"/>
          <w:szCs w:val="24"/>
        </w:rPr>
        <w:t xml:space="preserve">Seconda acquisizione. L'inverificabilità permanente prodotta da una irregolarità</w:t>
      </w:r>
    </w:p>
    <w:p>
      <w:pPr>
        <w:spacing w:after="120" w:line="276"/>
        <w:jc w:val="both"/>
      </w:pPr>
      <w:r>
        <w:rPr>
          <w:rFonts w:ascii="Barlow Semi Condensed" w:cs="Barlow Semi Condensed" w:eastAsia="Barlow Semi Condensed" w:hAnsi="Barlow Semi Condensed"/>
          <w:b/>
          <w:bCs/>
          <w:sz w:val="24"/>
          <w:szCs w:val="24"/>
        </w:rPr>
        <w:t xml:space="preserve">È accertato che il fascicolo degli scritti fu asportato dal luogo della perquisizione prima che i fogli fossero numerati, che ciò avvenne nonostante l'opposizione dell'ufficiale responsabile del luogo, e che l'accertamento è stato compiuto in sede giudiziaria oltre che ammesso in sede parlamentare da chi lo compì.</w:t>
      </w:r>
    </w:p>
    <w:p>
      <w:pPr>
        <w:spacing w:after="120" w:line="276"/>
        <w:jc w:val="both"/>
      </w:pPr>
      <w:r>
        <w:rPr>
          <w:rFonts w:ascii="Barlow Semi Condensed" w:cs="Barlow Semi Condensed" w:eastAsia="Barlow Semi Condensed" w:hAnsi="Barlow Semi Condensed"/>
          <w:b/>
          <w:bCs/>
          <w:sz w:val="24"/>
          <w:szCs w:val="24"/>
        </w:rPr>
        <w:t xml:space="preserve">La conseguenza va enunciata con esattezza: essa non prova che qualcosa fu sottratto e non prova che nulla lo fu. Essa ha prodotto una condizione nella quale la questione non è più decidibile, poiché l'unico modo di stabilirlo era contare i fogli prima, e l'irregolarità consistette nel non contarli.</w:t>
      </w:r>
    </w:p>
    <w:p>
      <w:pPr>
        <w:spacing w:after="120" w:line="276"/>
        <w:jc w:val="both"/>
      </w:pPr>
      <w:r>
        <w:rPr>
          <w:rFonts w:ascii="Barlow Semi Condensed" w:cs="Barlow Semi Condensed" w:eastAsia="Barlow Semi Condensed" w:hAnsi="Barlow Semi Condensed"/>
          <w:b/>
          <w:bCs/>
          <w:sz w:val="24"/>
          <w:szCs w:val="24"/>
        </w:rPr>
        <w:t xml:space="preserve">Questa acquisizione non richiede di attribuire ad alcuno una intenzione, e vale identica quale che essa fosse.</w:t>
      </w:r>
    </w:p>
    <w:p>
      <w:pPr>
        <w:pStyle w:val="Heading2"/>
        <w:spacing w:after="100" w:before="200"/>
      </w:pPr>
      <w:r>
        <w:rPr>
          <w:rFonts w:ascii="Barlow Semi Condensed" w:cs="Barlow Semi Condensed" w:eastAsia="Barlow Semi Condensed" w:hAnsi="Barlow Semi Condensed"/>
          <w:sz w:val="24"/>
          <w:szCs w:val="24"/>
        </w:rPr>
        <w:t xml:space="preserve">Terza acquisizione. L'incompletezza accertata di una perquisizione</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dell'ottobre 1978 non fu esaustivo, essendo stato effettuato nel medesimo immobile, dodici anni dopo, un secondo rinvenimento.</w:t>
      </w:r>
    </w:p>
    <w:p>
      <w:pPr>
        <w:spacing w:after="120" w:line="276"/>
        <w:jc w:val="both"/>
      </w:pPr>
      <w:r>
        <w:rPr>
          <w:rFonts w:ascii="Barlow Semi Condensed" w:cs="Barlow Semi Condensed" w:eastAsia="Barlow Semi Condensed" w:hAnsi="Barlow Semi Condensed"/>
          <w:b/>
          <w:bCs/>
          <w:sz w:val="24"/>
          <w:szCs w:val="24"/>
        </w:rPr>
        <w:t xml:space="preserve">La causa non è accertata e tre spiegazioni restano aperte. Il rilievo tecnico successivo ha però escluso che il vano fosse stato aperto in precedenza, sicché l'ipotesi della sottrazione non regge e resta quella della ricerca che non trovò.</w:t>
      </w:r>
    </w:p>
    <w:p>
      <w:pPr>
        <w:spacing w:after="120" w:line="276"/>
        <w:jc w:val="both"/>
      </w:pPr>
      <w:r>
        <w:rPr>
          <w:rFonts w:ascii="Barlow Semi Condensed" w:cs="Barlow Semi Condensed" w:eastAsia="Barlow Semi Condensed" w:hAnsi="Barlow Semi Condensed"/>
          <w:b/>
          <w:bCs/>
          <w:sz w:val="24"/>
          <w:szCs w:val="24"/>
        </w:rPr>
        <w:t xml:space="preserve">Ne discende, in via permanente, che la completezza del corpus documentale disponibile non può essere presunta.</w:t>
      </w:r>
    </w:p>
    <w:p>
      <w:pPr>
        <w:pStyle w:val="Heading2"/>
        <w:spacing w:after="100" w:before="200"/>
      </w:pPr>
      <w:r>
        <w:rPr>
          <w:rFonts w:ascii="Barlow Semi Condensed" w:cs="Barlow Semi Condensed" w:eastAsia="Barlow Semi Condensed" w:hAnsi="Barlow Semi Condensed"/>
          <w:sz w:val="24"/>
          <w:szCs w:val="24"/>
        </w:rPr>
        <w:t xml:space="preserve">Quarta acquisizione. La ripartizione della ricostruzione fra rilievo e dichiarazione</w:t>
      </w:r>
    </w:p>
    <w:p>
      <w:pPr>
        <w:spacing w:after="120" w:line="276"/>
        <w:jc w:val="both"/>
      </w:pPr>
      <w:r>
        <w:rPr>
          <w:rFonts w:ascii="Barlow Semi Condensed" w:cs="Barlow Semi Condensed" w:eastAsia="Barlow Semi Condensed" w:hAnsi="Barlow Semi Condensed"/>
          <w:b/>
          <w:bCs/>
          <w:sz w:val="24"/>
          <w:szCs w:val="24"/>
        </w:rPr>
        <w:t xml:space="preserve">È accertato che la ricostruzione del fatto si ripartisce in due parti di solidità diversa. Poggiano su rilievo materiale, e sono stabili: il luogo e la dinamica dell'agguato, i decessi e le loro cause, la natura delle basi, il rinvenimento e la causa della morte. Poggiano in misura preponderante su dichiarazione, e sono revisionabili: il numero dei partecipanti, il percorso del trasferimento, l'attribuzione individuale dei colpi e dell'esecuzione.</w:t>
      </w:r>
    </w:p>
    <w:p>
      <w:pPr>
        <w:spacing w:after="120" w:line="276"/>
        <w:jc w:val="both"/>
      </w:pPr>
      <w:r>
        <w:rPr>
          <w:rFonts w:ascii="Barlow Semi Condensed" w:cs="Barlow Semi Condensed" w:eastAsia="Barlow Semi Condensed" w:hAnsi="Barlow Semi Condensed"/>
          <w:b/>
          <w:bCs/>
          <w:sz w:val="24"/>
          <w:szCs w:val="24"/>
        </w:rPr>
        <w:t xml:space="preserve">Si sa come avvenne meglio di quanto si sappia per mano di chi.</w:t>
      </w:r>
    </w:p>
    <w:p>
      <w:pPr>
        <w:pStyle w:val="Heading2"/>
        <w:spacing w:after="100" w:before="200"/>
      </w:pPr>
      <w:r>
        <w:rPr>
          <w:rFonts w:ascii="Barlow Semi Condensed" w:cs="Barlow Semi Condensed" w:eastAsia="Barlow Semi Condensed" w:hAnsi="Barlow Semi Condensed"/>
          <w:sz w:val="24"/>
          <w:szCs w:val="24"/>
        </w:rPr>
        <w:t xml:space="preserve">Quinta acquisizione. La coincidenza della data</w:t>
      </w:r>
    </w:p>
    <w:p>
      <w:pPr>
        <w:spacing w:after="120" w:line="276"/>
        <w:jc w:val="both"/>
      </w:pPr>
      <w:r>
        <w:rPr>
          <w:rFonts w:ascii="Barlow Semi Condensed" w:cs="Barlow Semi Condensed" w:eastAsia="Barlow Semi Condensed" w:hAnsi="Barlow Semi Condensed"/>
          <w:b/>
          <w:bCs/>
          <w:sz w:val="24"/>
          <w:szCs w:val="24"/>
        </w:rPr>
        <w:t xml:space="preserve">È accertato che il giorno dell'azione coincise con il giorno del voto di fiducia al primo governo sostenuto da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Che la coincidenza sia stata cercata è proposizione altamente verosimile e comunemente accolta; essa non è accertata, e la distinzione è mantenuta.</w:t>
      </w:r>
    </w:p>
    <w:p>
      <w:pPr>
        <w:pStyle w:val="Heading2"/>
        <w:spacing w:after="100" w:before="200"/>
      </w:pPr>
      <w:r>
        <w:rPr>
          <w:rFonts w:ascii="Barlow Semi Condensed" w:cs="Barlow Semi Condensed" w:eastAsia="Barlow Semi Condensed" w:hAnsi="Barlow Semi Condensed"/>
          <w:sz w:val="24"/>
          <w:szCs w:val="24"/>
        </w:rPr>
        <w:t xml:space="preserve">Sesta acquisizione. I due livelli di responsabilità accertati</w:t>
      </w:r>
    </w:p>
    <w:p>
      <w:pPr>
        <w:spacing w:after="120" w:line="276"/>
        <w:jc w:val="both"/>
      </w:pPr>
      <w:r>
        <w:rPr>
          <w:rFonts w:ascii="Barlow Semi Condensed" w:cs="Barlow Semi Condensed" w:eastAsia="Barlow Semi Condensed" w:hAnsi="Barlow Semi Condensed"/>
          <w:b/>
          <w:bCs/>
          <w:sz w:val="24"/>
          <w:szCs w:val="24"/>
        </w:rPr>
        <w:t xml:space="preserve">È accertato il primo livello nella sua struttura e, per sentenza definitiva, nelle responsabilità individuali dichiarate. È accertato il secondo livello nella sua esistenza e nella sua funzione: un organismo direttivo deliberò l'operazione, ne diresse la conduzione e assunse le decisioni relative alla gestione del periodo.</w:t>
      </w:r>
    </w:p>
    <w:p>
      <w:pPr>
        <w:spacing w:after="120" w:line="276"/>
        <w:jc w:val="both"/>
      </w:pPr>
      <w:r>
        <w:rPr>
          <w:rFonts w:ascii="Barlow Semi Condensed" w:cs="Barlow Semi Condensed" w:eastAsia="Barlow Semi Condensed" w:hAnsi="Barlow Semi Condensed"/>
          <w:b/>
          <w:bCs/>
          <w:sz w:val="24"/>
          <w:szCs w:val="24"/>
        </w:rPr>
        <w:t xml:space="preserve">Non risulta, dagli elementi disponibili, che tale organismo fosse insufficiente a concepire e dirigere l'operazione. La proposizione è negativa e va letta come tale.</w:t>
      </w:r>
    </w:p>
    <w:p>
      <w:pPr>
        <w:pStyle w:val="Heading2"/>
        <w:spacing w:after="100" w:before="200"/>
      </w:pPr>
      <w:r>
        <w:rPr>
          <w:rFonts w:ascii="Barlow Semi Condensed" w:cs="Barlow Semi Condensed" w:eastAsia="Barlow Semi Condensed" w:hAnsi="Barlow Semi Condensed"/>
          <w:sz w:val="24"/>
          <w:szCs w:val="24"/>
        </w:rPr>
        <w:t xml:space="preserve">Capitolo sessantottesimo — Ciò che l'opera non sostiene</w:t>
      </w:r>
    </w:p>
    <w:p>
      <w:pPr>
        <w:spacing w:after="120" w:line="276"/>
        <w:jc w:val="both"/>
      </w:pPr>
      <w:r>
        <w:rPr>
          <w:rFonts w:ascii="Barlow Semi Condensed" w:cs="Barlow Semi Condensed" w:eastAsia="Barlow Semi Condensed" w:hAnsi="Barlow Semi Condensed"/>
          <w:b/>
          <w:bCs/>
          <w:sz w:val="24"/>
          <w:szCs w:val="24"/>
        </w:rPr>
        <w:t xml:space="preserve">Si raccolgono qui le astensioni. Il Capitolo è quello che nessuna delle sei Fasi precedenti poteva contenere, e credo sia il più utile del volume: una ricerca è giudicabile dalle proprie astensioni non meno che dalle proprie affermazioni, e le astensioni, se non raccolte, restano invisibili.</w:t>
      </w:r>
    </w:p>
    <w:p>
      <w:pPr>
        <w:spacing w:after="120" w:line="276"/>
        <w:jc w:val="both"/>
      </w:pPr>
      <w:r>
        <w:rPr>
          <w:rFonts w:ascii="Barlow Semi Condensed" w:cs="Barlow Semi Condensed" w:eastAsia="Barlow Semi Condensed" w:hAnsi="Barlow Semi Condensed"/>
          <w:b/>
          <w:bCs/>
          <w:sz w:val="24"/>
          <w:szCs w:val="24"/>
        </w:rPr>
        <w:t xml:space="preserve">Ciascuna è motivata nella sede in cui fu presa, e nessuna è una negazione: sono constatazioni di ciò che gli atti non stabiliscono.</w:t>
      </w:r>
    </w:p>
    <w:p>
      <w:pPr>
        <w:pStyle w:val="Heading2"/>
        <w:spacing w:after="100" w:before="200"/>
      </w:pPr>
      <w:r>
        <w:rPr>
          <w:rFonts w:ascii="Barlow Semi Condensed" w:cs="Barlow Semi Condensed" w:eastAsia="Barlow Semi Condensed" w:hAnsi="Barlow Semi Condensed"/>
          <w:sz w:val="24"/>
          <w:szCs w:val="24"/>
        </w:rPr>
        <w:t xml:space="preserve">Sul movente</w:t>
      </w:r>
    </w:p>
    <w:p>
      <w:pPr>
        <w:spacing w:after="120" w:line="276"/>
        <w:jc w:val="both"/>
      </w:pPr>
      <w:r>
        <w:rPr>
          <w:rFonts w:ascii="Barlow Semi Condensed" w:cs="Barlow Semi Condensed" w:eastAsia="Barlow Semi Condensed" w:hAnsi="Barlow Semi Condensed"/>
          <w:b/>
          <w:bCs/>
          <w:sz w:val="24"/>
          <w:szCs w:val="24"/>
        </w:rPr>
        <w:t xml:space="preserve">L'opera non sostiene alcuna delle quattro famiglie di ipotesi sul movente. La matrice del Capitolo diciannovesimo ha stabilito che nessuna è esclusa dalle evidenze disponibili e che nessuna è provata.</w:t>
      </w:r>
    </w:p>
    <w:p>
      <w:pPr>
        <w:spacing w:after="120" w:line="276"/>
        <w:jc w:val="both"/>
      </w:pPr>
      <w:r>
        <w:rPr>
          <w:rFonts w:ascii="Barlow Semi Condensed" w:cs="Barlow Semi Condensed" w:eastAsia="Barlow Semi Condensed" w:hAnsi="Barlow Semi Condensed"/>
          <w:b/>
          <w:bCs/>
          <w:sz w:val="24"/>
          <w:szCs w:val="24"/>
        </w:rPr>
        <w:t xml:space="preserve">L'opera non sostiene che la domanda a chi giova selezioni un sospetto in questo caso. Essa ne seleziona due, per ragioni fra loro incompatibili, e pertanto non discrimina.</w:t>
      </w:r>
    </w:p>
    <w:p>
      <w:pPr>
        <w:pStyle w:val="Heading2"/>
        <w:spacing w:after="100" w:before="200"/>
      </w:pPr>
      <w:r>
        <w:rPr>
          <w:rFonts w:ascii="Barlow Semi Condensed" w:cs="Barlow Semi Condensed" w:eastAsia="Barlow Semi Condensed" w:hAnsi="Barlow Semi Condensed"/>
          <w:sz w:val="24"/>
          <w:szCs w:val="24"/>
        </w:rPr>
        <w:t xml:space="preserve">Sul terzo livello</w:t>
      </w:r>
    </w:p>
    <w:p>
      <w:pPr>
        <w:spacing w:after="120" w:line="276"/>
        <w:jc w:val="both"/>
      </w:pPr>
      <w:r>
        <w:rPr>
          <w:rFonts w:ascii="Barlow Semi Condensed" w:cs="Barlow Semi Condensed" w:eastAsia="Barlow Semi Condensed" w:hAnsi="Barlow Semi Condensed"/>
          <w:b/>
          <w:bCs/>
          <w:sz w:val="24"/>
          <w:szCs w:val="24"/>
        </w:rPr>
        <w:t xml:space="preserve">L'opera non sostiene che esista un mandante esterno all'organismo che deliberò. Non sostiene neppure che non esista.</w:t>
      </w:r>
    </w:p>
    <w:p>
      <w:pPr>
        <w:spacing w:after="120" w:line="276"/>
        <w:jc w:val="both"/>
      </w:pPr>
      <w:r>
        <w:rPr>
          <w:rFonts w:ascii="Barlow Semi Condensed" w:cs="Barlow Semi Condensed" w:eastAsia="Barlow Semi Condensed" w:hAnsi="Barlow Semi Condensed"/>
          <w:b/>
          <w:bCs/>
          <w:sz w:val="24"/>
          <w:szCs w:val="24"/>
        </w:rPr>
        <w:t xml:space="preserve">Non sostiene che l'ostilità politica documentata di più soggetti verso la politica del rapito costituisca movente. L'ostilità politica non è volontà determinata quanto a un atto.</w:t>
      </w:r>
    </w:p>
    <w:p>
      <w:pPr>
        <w:pStyle w:val="Heading2"/>
        <w:spacing w:after="100" w:before="200"/>
      </w:pPr>
      <w:r>
        <w:rPr>
          <w:rFonts w:ascii="Barlow Semi Condensed" w:cs="Barlow Semi Condensed" w:eastAsia="Barlow Semi Condensed" w:hAnsi="Barlow Semi Condensed"/>
          <w:sz w:val="24"/>
          <w:szCs w:val="24"/>
        </w:rPr>
        <w:t xml:space="preserve">Sulle omissioni</w:t>
      </w:r>
    </w:p>
    <w:p>
      <w:pPr>
        <w:spacing w:after="120" w:line="276"/>
        <w:jc w:val="both"/>
      </w:pPr>
      <w:r>
        <w:rPr>
          <w:rFonts w:ascii="Barlow Semi Condensed" w:cs="Barlow Semi Condensed" w:eastAsia="Barlow Semi Condensed" w:hAnsi="Barlow Semi Condensed"/>
          <w:b/>
          <w:bCs/>
          <w:sz w:val="24"/>
          <w:szCs w:val="24"/>
        </w:rPr>
        <w:t xml:space="preserve">L'opera non sostiene che alcuna delle omissioni esaminate fosse deliberata. Il test in tre tempi si è arrestato al secondo o al terzo per difetto di elementi in tutti i casi tranne uno, e in quell'uno l'inadempimento è accertato mentre la sua ragione non lo è.</w:t>
      </w:r>
    </w:p>
    <w:p>
      <w:pPr>
        <w:spacing w:after="120" w:line="276"/>
        <w:jc w:val="both"/>
      </w:pPr>
      <w:r>
        <w:rPr>
          <w:rFonts w:ascii="Barlow Semi Condensed" w:cs="Barlow Semi Condensed" w:eastAsia="Barlow Semi Condensed" w:hAnsi="Barlow Semi Condensed"/>
          <w:b/>
          <w:bCs/>
          <w:sz w:val="24"/>
          <w:szCs w:val="24"/>
        </w:rPr>
        <w:t xml:space="preserve">L'opera non sostiene che la ricerca dei cinquantacinque giorni fu simulata, né ostacolata, né soltanto inefficiente. L'esito nullo è compatibile con tutte e tre le spiegazioni e non discrimina fra esse.</w:t>
      </w:r>
    </w:p>
    <w:p>
      <w:pPr>
        <w:spacing w:after="120" w:line="276"/>
        <w:jc w:val="both"/>
      </w:pPr>
      <w:r>
        <w:rPr>
          <w:rFonts w:ascii="Barlow Semi Condensed" w:cs="Barlow Semi Condensed" w:eastAsia="Barlow Semi Condensed" w:hAnsi="Barlow Semi Condensed"/>
          <w:b/>
          <w:bCs/>
          <w:sz w:val="24"/>
          <w:szCs w:val="24"/>
        </w:rPr>
        <w:t xml:space="preserve">L'opera non impiega l'argomento dell'accumulo, mancandone le tre condizioni di validità. La disposizione la priva dell'argomento più efficace disponibile in questa materia, e il costo è dichiarato.</w:t>
      </w:r>
    </w:p>
    <w:p>
      <w:pPr>
        <w:pStyle w:val="Heading2"/>
        <w:spacing w:after="100" w:before="200"/>
      </w:pPr>
      <w:r>
        <w:rPr>
          <w:rFonts w:ascii="Barlow Semi Condensed" w:cs="Barlow Semi Condensed" w:eastAsia="Barlow Semi Condensed" w:hAnsi="Barlow Semi Condensed"/>
          <w:sz w:val="24"/>
          <w:szCs w:val="24"/>
        </w:rPr>
        <w:t xml:space="preserve">Sulle carte</w:t>
      </w:r>
    </w:p>
    <w:p>
      <w:pPr>
        <w:spacing w:after="120" w:line="276"/>
        <w:jc w:val="both"/>
      </w:pPr>
      <w:r>
        <w:rPr>
          <w:rFonts w:ascii="Barlow Semi Condensed" w:cs="Barlow Semi Condensed" w:eastAsia="Barlow Semi Condensed" w:hAnsi="Barlow Semi Condensed"/>
          <w:b/>
          <w:bCs/>
          <w:sz w:val="24"/>
          <w:szCs w:val="24"/>
        </w:rPr>
        <w:t xml:space="preserve">L'opera non sostiene che le carte della prigionia provino alcun fatto esterno alla prigionia, in assenza di riscontro indipendente. Ciò vale per la totalità degli enunciati del materiale non epistolare relativi a vicende della vita politica.</w:t>
      </w:r>
    </w:p>
    <w:p>
      <w:pPr>
        <w:spacing w:after="120" w:line="276"/>
        <w:jc w:val="both"/>
      </w:pPr>
      <w:r>
        <w:rPr>
          <w:rFonts w:ascii="Barlow Semi Condensed" w:cs="Barlow Semi Condensed" w:eastAsia="Barlow Semi Condensed" w:hAnsi="Barlow Semi Condensed"/>
          <w:b/>
          <w:bCs/>
          <w:sz w:val="24"/>
          <w:szCs w:val="24"/>
        </w:rPr>
        <w:t xml:space="preserve">L'opera non sostiene che l'autore avesse mutato le proprie posizioni anteriori, né che le avesse conservate. Gli enunciati pertinenti sono di terzo grado e attestano che quelle parole furono scritte, e null'altro.</w:t>
      </w:r>
    </w:p>
    <w:p>
      <w:pPr>
        <w:spacing w:after="120" w:line="276"/>
        <w:jc w:val="both"/>
      </w:pPr>
      <w:r>
        <w:rPr>
          <w:rFonts w:ascii="Barlow Semi Condensed" w:cs="Barlow Semi Condensed" w:eastAsia="Barlow Semi Condensed" w:hAnsi="Barlow Semi Condensed"/>
          <w:b/>
          <w:bCs/>
          <w:sz w:val="24"/>
          <w:szCs w:val="24"/>
        </w:rPr>
        <w:t xml:space="preserve">L'opera non trae alcun argomento da ciò che nelle carte non si trova, per la ragione logica del Capitolo trentaquattresimo e per quella materiale del Capitolo trentottesimo.</w:t>
      </w:r>
    </w:p>
    <w:p>
      <w:pPr>
        <w:pStyle w:val="Heading2"/>
        <w:spacing w:after="100" w:before="200"/>
      </w:pPr>
      <w:r>
        <w:rPr>
          <w:rFonts w:ascii="Barlow Semi Condensed" w:cs="Barlow Semi Condensed" w:eastAsia="Barlow Semi Condensed" w:hAnsi="Barlow Semi Condensed"/>
          <w:sz w:val="24"/>
          <w:szCs w:val="24"/>
        </w:rPr>
        <w:t xml:space="preserve">Sulle persone</w:t>
      </w:r>
    </w:p>
    <w:p>
      <w:pPr>
        <w:spacing w:after="120" w:line="276"/>
        <w:jc w:val="both"/>
      </w:pPr>
      <w:r>
        <w:rPr>
          <w:rFonts w:ascii="Barlow Semi Condensed" w:cs="Barlow Semi Condensed" w:eastAsia="Barlow Semi Condensed" w:hAnsi="Barlow Semi Condensed"/>
          <w:b/>
          <w:bCs/>
          <w:sz w:val="24"/>
          <w:szCs w:val="24"/>
        </w:rPr>
        <w:t xml:space="preserve">L'opera non attribuisce ad alcuna persona responsabilità che le fonti non accertino. Le funzioni sono designate come tali ove la funzione basti a identificare l'atto, e la designazione per nome è riservata ai casi in cui nessuna funzione basti — segnatamente alle vittime.</w:t>
      </w:r>
    </w:p>
    <w:p>
      <w:pPr>
        <w:spacing w:after="120" w:line="276"/>
        <w:jc w:val="both"/>
      </w:pPr>
      <w:r>
        <w:rPr>
          <w:rFonts w:ascii="Barlow Semi Condensed" w:cs="Barlow Semi Condensed" w:eastAsia="Barlow Semi Condensed" w:hAnsi="Barlow Semi Condensed"/>
          <w:b/>
          <w:bCs/>
          <w:sz w:val="24"/>
          <w:szCs w:val="24"/>
        </w:rPr>
        <w:t xml:space="preserve">L'opera non trae alcuna conseguenza dalla morte improvvisa di un ufficiale alla vigilia di una attesa audizione parlamentare. Il fatto è registrato; chi ne tragga una conseguenza compie il salto che l'opera vieta.</w:t>
      </w:r>
    </w:p>
    <w:p>
      <w:pPr>
        <w:spacing w:after="120" w:line="276"/>
        <w:jc w:val="both"/>
      </w:pPr>
      <w:r>
        <w:rPr>
          <w:rFonts w:ascii="Barlow Semi Condensed" w:cs="Barlow Semi Condensed" w:eastAsia="Barlow Semi Condensed" w:hAnsi="Barlow Semi Condensed"/>
          <w:b/>
          <w:bCs/>
          <w:sz w:val="24"/>
          <w:szCs w:val="24"/>
        </w:rPr>
        <w:t xml:space="preserve">L'opera non psicoanalizza alcuno. Le categorie impiegate per descrivere il comportamento degli archivi si riferiscono agli archivi.</w:t>
      </w:r>
    </w:p>
    <w:p>
      <w:pPr>
        <w:pStyle w:val="Heading2"/>
        <w:spacing w:after="100" w:before="200"/>
      </w:pPr>
      <w:r>
        <w:rPr>
          <w:rFonts w:ascii="Barlow Semi Condensed" w:cs="Barlow Semi Condensed" w:eastAsia="Barlow Semi Condensed" w:hAnsi="Barlow Semi Condensed"/>
          <w:sz w:val="24"/>
          <w:szCs w:val="24"/>
        </w:rPr>
        <w:t xml:space="preserve">Su ciò che circonda</w:t>
      </w:r>
    </w:p>
    <w:p>
      <w:pPr>
        <w:spacing w:after="120" w:line="276"/>
        <w:jc w:val="both"/>
      </w:pPr>
      <w:r>
        <w:rPr>
          <w:rFonts w:ascii="Barlow Semi Condensed" w:cs="Barlow Semi Condensed" w:eastAsia="Barlow Semi Condensed" w:hAnsi="Barlow Semi Condensed"/>
          <w:b/>
          <w:bCs/>
          <w:sz w:val="24"/>
          <w:szCs w:val="24"/>
        </w:rPr>
        <w:t xml:space="preserve">L'opera non ammette nella ricostruzione gli ambienti raggiunti per percorso e non per arco diretto documentato. Appartenenze, frequentazioni, prossimità geografiche e comunanze di orientamento non sono negate: sono dichiarate non ammesse come elementi di ricostruzione, il che è cosa diversa.</w:t>
      </w:r>
    </w:p>
    <w:p>
      <w:pPr>
        <w:pStyle w:val="Heading2"/>
        <w:spacing w:after="100" w:before="200"/>
      </w:pPr>
      <w:r>
        <w:rPr>
          <w:rFonts w:ascii="Barlow Semi Condensed" w:cs="Barlow Semi Condensed" w:eastAsia="Barlow Semi Condensed" w:hAnsi="Barlow Semi Condensed"/>
          <w:sz w:val="24"/>
          <w:szCs w:val="24"/>
        </w:rPr>
        <w:t xml:space="preserve">Una avvertenza finale sulle astensioni</w:t>
      </w:r>
    </w:p>
    <w:p>
      <w:pPr>
        <w:spacing w:after="120" w:line="276"/>
        <w:jc w:val="both"/>
      </w:pPr>
      <w:r>
        <w:rPr>
          <w:rFonts w:ascii="Barlow Semi Condensed" w:cs="Barlow Semi Condensed" w:eastAsia="Barlow Semi Condensed" w:hAnsi="Barlow Semi Condensed"/>
          <w:b/>
          <w:bCs/>
          <w:sz w:val="24"/>
          <w:szCs w:val="24"/>
        </w:rPr>
        <w:t xml:space="preserve">Nessuna delle astensioni qui raccolte è definitiva. Ciascuna è riferita allo stato degli atti, e ciascuna cadrebbe se l'atto indicato nella tavola comparisse.</w:t>
      </w:r>
    </w:p>
    <w:p>
      <w:pPr>
        <w:spacing w:after="120" w:line="276"/>
        <w:jc w:val="both"/>
      </w:pPr>
      <w:r>
        <w:rPr>
          <w:rFonts w:ascii="Barlow Semi Condensed" w:cs="Barlow Semi Condensed" w:eastAsia="Barlow Semi Condensed" w:hAnsi="Barlow Semi Condensed"/>
          <w:b/>
          <w:bCs/>
          <w:sz w:val="24"/>
          <w:szCs w:val="24"/>
        </w:rPr>
        <w:t xml:space="preserve">Un'astensione non è una posizione: è una condizione di attesa, e la tavola dice che cosa si attende.</w:t>
      </w:r>
    </w:p>
    <w:p>
      <w:pPr>
        <w:pStyle w:val="Heading2"/>
        <w:spacing w:after="100" w:before="200"/>
      </w:pPr>
      <w:r>
        <w:rPr>
          <w:rFonts w:ascii="Barlow Semi Condensed" w:cs="Barlow Semi Condensed" w:eastAsia="Barlow Semi Condensed" w:hAnsi="Barlow Semi Condensed"/>
          <w:sz w:val="24"/>
          <w:szCs w:val="24"/>
        </w:rPr>
        <w:t xml:space="preserve">Capitolo sessantanovesimo — La tavola consegnata</w:t>
      </w:r>
    </w:p>
    <w:p>
      <w:pPr>
        <w:spacing w:after="120" w:line="276"/>
        <w:jc w:val="both"/>
      </w:pPr>
      <w:r>
        <w:rPr>
          <w:rFonts w:ascii="Barlow Semi Condensed" w:cs="Barlow Semi Condensed" w:eastAsia="Barlow Semi Condensed" w:hAnsi="Barlow Semi Condensed"/>
          <w:b/>
          <w:bCs/>
          <w:sz w:val="24"/>
          <w:szCs w:val="24"/>
        </w:rPr>
        <w:t xml:space="preserve">Si consegnano qui le acquisizioni documentali che l'opera ha identificate come necessarie e non conseguite, ordinate per rendimento atteso decrescente. L'ordine è un giudizio dell'autore ed è dichiarato come tale.</w:t>
      </w:r>
    </w:p>
    <w:p>
      <w:pPr>
        <w:pStyle w:val="Heading2"/>
        <w:spacing w:after="100" w:before="200"/>
      </w:pPr>
      <w:r>
        <w:rPr>
          <w:rFonts w:ascii="Barlow Semi Condensed" w:cs="Barlow Semi Condensed" w:eastAsia="Barlow Semi Condensed" w:hAnsi="Barlow Semi Condensed"/>
          <w:sz w:val="24"/>
          <w:szCs w:val="24"/>
        </w:rPr>
        <w:t xml:space="preserve">Prima. I verbali della perquisizione dell'ottobre 1978</w:t>
      </w:r>
    </w:p>
    <w:p>
      <w:pPr>
        <w:spacing w:after="120" w:line="276"/>
        <w:jc w:val="both"/>
      </w:pPr>
      <w:r>
        <w:rPr>
          <w:rFonts w:ascii="Barlow Semi Condensed" w:cs="Barlow Semi Condensed" w:eastAsia="Barlow Semi Condensed" w:hAnsi="Barlow Semi Condensed"/>
          <w:b/>
          <w:bCs/>
          <w:sz w:val="24"/>
          <w:szCs w:val="24"/>
        </w:rPr>
        <w:t xml:space="preserve">Confrontati con quelli del secondo rinvenimento del 1990: verbali, rilievi, descrizione delle modalità e degli strumenti impiegati.</w:t>
      </w:r>
    </w:p>
    <w:p>
      <w:pPr>
        <w:spacing w:after="120" w:line="276"/>
        <w:jc w:val="both"/>
      </w:pPr>
      <w:r>
        <w:rPr>
          <w:rFonts w:ascii="Barlow Semi Condensed" w:cs="Barlow Semi Condensed" w:eastAsia="Barlow Semi Condensed" w:hAnsi="Barlow Semi Condensed"/>
          <w:b/>
          <w:bCs/>
          <w:sz w:val="24"/>
          <w:szCs w:val="24"/>
        </w:rPr>
        <w:t xml:space="preserve">È la sola voce della tavola per la quale la via di discriminazione sia indicata con precisione. Due delle tre spiegazioni predicono che la documentazione non rechi menzione di esame delle strutture murarie e che gli strumenti non fossero idonei a rilevare intercapedini; la terza predice il contrario. Le predizioni sono incompatibili e verificabili sui medesimi atti.</w:t>
      </w:r>
    </w:p>
    <w:p>
      <w:pPr>
        <w:pStyle w:val="Heading2"/>
        <w:spacing w:after="100" w:before="200"/>
      </w:pPr>
      <w:r>
        <w:rPr>
          <w:rFonts w:ascii="Barlow Semi Condensed" w:cs="Barlow Semi Condensed" w:eastAsia="Barlow Semi Condensed" w:hAnsi="Barlow Semi Condensed"/>
          <w:sz w:val="24"/>
          <w:szCs w:val="24"/>
        </w:rPr>
        <w:t xml:space="preserve">Seconda. Gli atti sull'indicazione toponomastica</w:t>
      </w:r>
    </w:p>
    <w:p>
      <w:pPr>
        <w:spacing w:after="120" w:line="276"/>
        <w:jc w:val="both"/>
      </w:pPr>
      <w:r>
        <w:rPr>
          <w:rFonts w:ascii="Barlow Semi Condensed" w:cs="Barlow Semi Condensed" w:eastAsia="Barlow Semi Condensed" w:hAnsi="Barlow Semi Condensed"/>
          <w:b/>
          <w:bCs/>
          <w:sz w:val="24"/>
          <w:szCs w:val="24"/>
        </w:rPr>
        <w:t xml:space="preserve">Ricezione, valutazione, decisione sulla destinazione delle ricerche, e documentazione dei flussi informativi fra gli uffici coinvolti nel periodo.</w:t>
      </w:r>
    </w:p>
    <w:p>
      <w:pPr>
        <w:pStyle w:val="Heading2"/>
        <w:spacing w:after="100" w:before="200"/>
      </w:pPr>
      <w:r>
        <w:rPr>
          <w:rFonts w:ascii="Barlow Semi Condensed" w:cs="Barlow Semi Condensed" w:eastAsia="Barlow Semi Condensed" w:hAnsi="Barlow Semi Condensed"/>
          <w:sz w:val="24"/>
          <w:szCs w:val="24"/>
        </w:rPr>
        <w:t xml:space="preserve">Terza. Le direttive dei controlli</w:t>
      </w:r>
    </w:p>
    <w:p>
      <w:pPr>
        <w:spacing w:after="120" w:line="276"/>
        <w:jc w:val="both"/>
      </w:pPr>
      <w:r>
        <w:rPr>
          <w:rFonts w:ascii="Barlow Semi Condensed" w:cs="Barlow Semi Condensed" w:eastAsia="Barlow Semi Condensed" w:hAnsi="Barlow Semi Condensed"/>
          <w:b/>
          <w:bCs/>
          <w:sz w:val="24"/>
          <w:szCs w:val="24"/>
        </w:rPr>
        <w:t xml:space="preserve">Le direttive impartite per i controlli generalizzati e la documentazione del controllo effettuato nella via poi risultata sede di una base. Senza di esse il test si arresta al secondo tempo, non potendosi distinguere l'inadempimento dall'insuccesso.</w:t>
      </w:r>
    </w:p>
    <w:p>
      <w:pPr>
        <w:pStyle w:val="Heading2"/>
        <w:spacing w:after="100" w:before="200"/>
      </w:pPr>
      <w:r>
        <w:rPr>
          <w:rFonts w:ascii="Barlow Semi Condensed" w:cs="Barlow Semi Condensed" w:eastAsia="Barlow Semi Condensed" w:hAnsi="Barlow Semi Condensed"/>
          <w:sz w:val="24"/>
          <w:szCs w:val="24"/>
        </w:rPr>
        <w:t xml:space="preserve">Quarta. La documentazione analitica della ricerca</w:t>
      </w:r>
    </w:p>
    <w:p>
      <w:pPr>
        <w:spacing w:after="120" w:line="276"/>
        <w:jc w:val="both"/>
      </w:pPr>
      <w:r>
        <w:rPr>
          <w:rFonts w:ascii="Barlow Semi Condensed" w:cs="Barlow Semi Condensed" w:eastAsia="Barlow Semi Condensed" w:hAnsi="Barlow Semi Condensed"/>
          <w:b/>
          <w:bCs/>
          <w:sz w:val="24"/>
          <w:szCs w:val="24"/>
        </w:rPr>
        <w:t xml:space="preserve">Zone controllate, modalità, criteri di selezione e motivazione delle esclusioni durante i cinquantacinque giorni. È l'acquisizione che colmerebbe il difetto di termine di riferimento e renderebbe valutabile l'adeguatezza.</w:t>
      </w:r>
    </w:p>
    <w:p>
      <w:pPr>
        <w:pStyle w:val="Heading2"/>
        <w:spacing w:after="100" w:before="200"/>
      </w:pPr>
      <w:r>
        <w:rPr>
          <w:rFonts w:ascii="Barlow Semi Condensed" w:cs="Barlow Semi Condensed" w:eastAsia="Barlow Semi Condensed" w:hAnsi="Barlow Semi Condensed"/>
          <w:sz w:val="24"/>
          <w:szCs w:val="24"/>
        </w:rPr>
        <w:t xml:space="preserve">Quinta. Le due vie comparative</w:t>
      </w:r>
    </w:p>
    <w:p>
      <w:pPr>
        <w:spacing w:after="120" w:line="276"/>
        <w:jc w:val="both"/>
      </w:pPr>
      <w:r>
        <w:rPr>
          <w:rFonts w:ascii="Barlow Semi Condensed" w:cs="Barlow Semi Condensed" w:eastAsia="Barlow Semi Condensed" w:hAnsi="Barlow Semi Condensed"/>
          <w:b/>
          <w:bCs/>
          <w:sz w:val="24"/>
          <w:szCs w:val="24"/>
        </w:rPr>
        <w:t xml:space="preserve">Documentazione idonea alla comparazione con operazioni analoghe dei medesimi uffici nel medesimo periodo, e comparazione interna fra adempimenti diligenti e non diligenti entro la medesima operazione. Senza almeno una delle due, l'argomento dell'accumulo resta privo delle proprie condizioni.</w:t>
      </w:r>
    </w:p>
    <w:p>
      <w:pPr>
        <w:pStyle w:val="Heading2"/>
        <w:spacing w:after="100" w:before="200"/>
      </w:pPr>
      <w:r>
        <w:rPr>
          <w:rFonts w:ascii="Barlow Semi Condensed" w:cs="Barlow Semi Condensed" w:eastAsia="Barlow Semi Condensed" w:hAnsi="Barlow Semi Condensed"/>
          <w:sz w:val="24"/>
          <w:szCs w:val="24"/>
        </w:rPr>
        <w:t xml:space="preserve">Sesta. L'esame materiale del documento apocrifo</w:t>
      </w:r>
    </w:p>
    <w:p>
      <w:pPr>
        <w:spacing w:after="120" w:line="276"/>
        <w:jc w:val="both"/>
      </w:pPr>
      <w:r>
        <w:rPr>
          <w:rFonts w:ascii="Barlow Semi Condensed" w:cs="Barlow Semi Condensed" w:eastAsia="Barlow Semi Condensed" w:hAnsi="Barlow Semi Condensed"/>
          <w:b/>
          <w:bCs/>
          <w:sz w:val="24"/>
          <w:szCs w:val="24"/>
        </w:rPr>
        <w:t xml:space="preserve">Supporto, mezzo di scrittura, modalità di confezione, confrontati con quelli dei documenti autentici e con le disponibilità dei diversi ambienti; documentazione della via e dei tempi di immissione; atti degli accertamenti condotti all'epoca sulla provenienza.</w:t>
      </w:r>
    </w:p>
    <w:p>
      <w:pPr>
        <w:pStyle w:val="Heading2"/>
        <w:spacing w:after="100" w:before="200"/>
      </w:pPr>
      <w:r>
        <w:rPr>
          <w:rFonts w:ascii="Barlow Semi Condensed" w:cs="Barlow Semi Condensed" w:eastAsia="Barlow Semi Condensed" w:hAnsi="Barlow Semi Condensed"/>
          <w:sz w:val="24"/>
          <w:szCs w:val="24"/>
        </w:rPr>
        <w:t xml:space="preserve">Settima. La verifica genealogica delle fonti</w:t>
      </w:r>
    </w:p>
    <w:p>
      <w:pPr>
        <w:spacing w:after="120" w:line="276"/>
        <w:jc w:val="both"/>
      </w:pPr>
      <w:r>
        <w:rPr>
          <w:rFonts w:ascii="Barlow Semi Condensed" w:cs="Barlow Semi Condensed" w:eastAsia="Barlow Semi Condensed" w:hAnsi="Barlow Semi Condensed"/>
          <w:b/>
          <w:bCs/>
          <w:sz w:val="24"/>
          <w:szCs w:val="24"/>
        </w:rPr>
        <w:t xml:space="preserve">Risalita di ciascuna fonte al proprio evento originario, per stabilire quante catene realmente indipendenti sussistano. È condizione preliminare di qualunque computo di convergenza, e non è stata condotta.</w:t>
      </w:r>
    </w:p>
    <w:p>
      <w:pPr>
        <w:pStyle w:val="Heading2"/>
        <w:spacing w:after="100" w:before="200"/>
      </w:pPr>
      <w:r>
        <w:rPr>
          <w:rFonts w:ascii="Barlow Semi Condensed" w:cs="Barlow Semi Condensed" w:eastAsia="Barlow Semi Condensed" w:hAnsi="Barlow Semi Condensed"/>
          <w:sz w:val="24"/>
          <w:szCs w:val="24"/>
        </w:rPr>
        <w:t xml:space="preserve">Ottava. Le direttrici dichiarate aperte</w:t>
      </w:r>
    </w:p>
    <w:p>
      <w:pPr>
        <w:spacing w:after="120" w:line="276"/>
        <w:jc w:val="both"/>
      </w:pPr>
      <w:r>
        <w:rPr>
          <w:rFonts w:ascii="Barlow Semi Condensed" w:cs="Barlow Semi Condensed" w:eastAsia="Barlow Semi Condensed" w:hAnsi="Barlow Semi Condensed"/>
          <w:b/>
          <w:bCs/>
          <w:sz w:val="24"/>
          <w:szCs w:val="24"/>
        </w:rPr>
        <w:t xml:space="preserve">Cinque unità documentali presso un archivio storico parlamentare, fra le quali un supporto fonico di audizioni; cinque protocolli di due servizi informativi relativi ai giorni immediatamente anteriori ai fatti; tre protocolli relativi a una pratica del maggio-settembre 1978; l'identificazione di una seconda funzione di interpretariato; due edizioni critiche non possedute; tredici archivi remoti non trasferibili con gli strumenti impiegati.</w:t>
      </w:r>
    </w:p>
    <w:p>
      <w:pPr>
        <w:pStyle w:val="Heading2"/>
        <w:spacing w:after="100" w:before="200"/>
      </w:pPr>
      <w:r>
        <w:rPr>
          <w:rFonts w:ascii="Barlow Semi Condensed" w:cs="Barlow Semi Condensed" w:eastAsia="Barlow Semi Condensed" w:hAnsi="Barlow Semi Condensed"/>
          <w:sz w:val="24"/>
          <w:szCs w:val="24"/>
        </w:rPr>
        <w:t xml:space="preserve">Nona. Il repertorio delle denominazioni</w:t>
      </w:r>
    </w:p>
    <w:p>
      <w:pPr>
        <w:spacing w:after="120" w:line="276"/>
        <w:jc w:val="both"/>
      </w:pPr>
      <w:r>
        <w:rPr>
          <w:rFonts w:ascii="Barlow Semi Condensed" w:cs="Barlow Semi Condensed" w:eastAsia="Barlow Semi Condensed" w:hAnsi="Barlow Semi Condensed"/>
          <w:b/>
          <w:bCs/>
          <w:sz w:val="24"/>
          <w:szCs w:val="24"/>
        </w:rPr>
        <w:t xml:space="preserve">Compilazione del repertorio delle denominazioni delle regole e delle figure dell'opera anteriore, per chiudere lo Stato Zero sulle due misure di consistenza rimaste non verificate.</w:t>
      </w:r>
    </w:p>
    <w:p>
      <w:pPr>
        <w:pStyle w:val="Heading2"/>
        <w:spacing w:after="100" w:before="200"/>
      </w:pPr>
      <w:r>
        <w:rPr>
          <w:rFonts w:ascii="Barlow Semi Condensed" w:cs="Barlow Semi Condensed" w:eastAsia="Barlow Semi Condensed" w:hAnsi="Barlow Semi Condensed"/>
          <w:sz w:val="24"/>
          <w:szCs w:val="24"/>
        </w:rPr>
        <w:t xml:space="preserve">Nota sulla tavola</w:t>
      </w:r>
    </w:p>
    <w:p>
      <w:pPr>
        <w:spacing w:after="120" w:line="276"/>
        <w:jc w:val="both"/>
      </w:pPr>
      <w:r>
        <w:rPr>
          <w:rFonts w:ascii="Barlow Semi Condensed" w:cs="Barlow Semi Condensed" w:eastAsia="Barlow Semi Condensed" w:hAnsi="Barlow Semi Condensed"/>
          <w:b/>
          <w:bCs/>
          <w:sz w:val="24"/>
          <w:szCs w:val="24"/>
        </w:rPr>
        <w:t xml:space="preserve">Nessuna di queste voci richiede una decisione metodologica. Tutte richiedono un accesso.</w:t>
      </w:r>
    </w:p>
    <w:p>
      <w:pPr>
        <w:spacing w:after="120" w:line="276"/>
        <w:jc w:val="both"/>
      </w:pPr>
      <w:r>
        <w:rPr>
          <w:rFonts w:ascii="Barlow Semi Condensed" w:cs="Barlow Semi Condensed" w:eastAsia="Barlow Semi Condensed" w:hAnsi="Barlow Semi Condensed"/>
          <w:b/>
          <w:bCs/>
          <w:sz w:val="24"/>
          <w:szCs w:val="24"/>
        </w:rPr>
        <w:t xml:space="preserve">È una circostanza che merita di essere notata: giunta al termine di settanta Capitoli, l'opera non è ferma per difetto di metodo. È ferma davanti a porte di archivio.</w:t>
      </w:r>
    </w:p>
    <w:p>
      <w:pPr>
        <w:pStyle w:val="Heading2"/>
        <w:spacing w:after="100" w:before="200"/>
      </w:pPr>
      <w:r>
        <w:rPr>
          <w:rFonts w:ascii="Barlow Semi Condensed" w:cs="Barlow Semi Condensed" w:eastAsia="Barlow Semi Condensed" w:hAnsi="Barlow Semi Condensed"/>
          <w:sz w:val="24"/>
          <w:szCs w:val="24"/>
        </w:rPr>
        <w:t xml:space="preserve">Capitolo settantesimo — Chiusura</w:t>
      </w:r>
    </w:p>
    <w:p>
      <w:pPr>
        <w:pStyle w:val="Heading2"/>
        <w:spacing w:after="100" w:before="200"/>
      </w:pPr>
      <w:r>
        <w:rPr>
          <w:rFonts w:ascii="Barlow Semi Condensed" w:cs="Barlow Semi Condensed" w:eastAsia="Barlow Semi Condensed" w:hAnsi="Barlow Semi Condensed"/>
          <w:sz w:val="24"/>
          <w:szCs w:val="24"/>
        </w:rPr>
        <w:t xml:space="preserve">Che cosa è stato fatto</w:t>
      </w:r>
    </w:p>
    <w:p>
      <w:pPr>
        <w:spacing w:after="120" w:line="276"/>
        <w:jc w:val="both"/>
      </w:pPr>
      <w:r>
        <w:rPr>
          <w:rFonts w:ascii="Barlow Semi Condensed" w:cs="Barlow Semi Condensed" w:eastAsia="Barlow Semi Condensed" w:hAnsi="Barlow Semi Condensed"/>
          <w:b/>
          <w:bCs/>
          <w:sz w:val="24"/>
          <w:szCs w:val="24"/>
        </w:rPr>
        <w:t xml:space="preserve">Settanta Capitoli in sette Fasi. La prima ha esposto le regole e descritto la persona. La seconda ha censito le ragioni dichiarate e attribuite e ha costruito la matrice. La terza ha ricostruito il fatto distinguendo il rilievo dalla dichiarazione. La quarta ha stabilito lo statuto delle carte e istituito la scala del vincolo. La quinta ha esaminato le omissioni con il test in tre tempi. La sesta ha separato i tre livelli di responsabilità e ha dichiarato vuoto il terzo. La settima ha consegnato.</w:t>
      </w:r>
    </w:p>
    <w:p>
      <w:pPr>
        <w:pStyle w:val="Heading2"/>
        <w:spacing w:after="100" w:before="200"/>
      </w:pPr>
      <w:r>
        <w:rPr>
          <w:rFonts w:ascii="Barlow Semi Condensed" w:cs="Barlow Semi Condensed" w:eastAsia="Barlow Semi Condensed" w:hAnsi="Barlow Semi Condensed"/>
          <w:sz w:val="24"/>
          <w:szCs w:val="24"/>
        </w:rPr>
        <w:t xml:space="preserve">Che cosa non è stato trovato</w:t>
      </w:r>
    </w:p>
    <w:p>
      <w:pPr>
        <w:spacing w:after="120" w:line="276"/>
        <w:jc w:val="both"/>
      </w:pPr>
      <w:r>
        <w:rPr>
          <w:rFonts w:ascii="Barlow Semi Condensed" w:cs="Barlow Semi Condensed" w:eastAsia="Barlow Semi Condensed" w:hAnsi="Barlow Semi Condensed"/>
          <w:b/>
          <w:bCs/>
          <w:sz w:val="24"/>
          <w:szCs w:val="24"/>
        </w:rPr>
        <w:t xml:space="preserve">Il movente ultimo non è accertato. Il terzo livello di responsabilità non è accertato. Nessuna delle omissioni esaminate è qualificata come deliberata. L'identità del mandante del solo atto di interferenza accertato resta ignota.</w:t>
      </w:r>
    </w:p>
    <w:p>
      <w:pPr>
        <w:pStyle w:val="Heading2"/>
        <w:spacing w:after="100" w:before="200"/>
      </w:pPr>
      <w:r>
        <w:rPr>
          <w:rFonts w:ascii="Barlow Semi Condensed" w:cs="Barlow Semi Condensed" w:eastAsia="Barlow Semi Condensed" w:hAnsi="Barlow Semi Condensed"/>
          <w:sz w:val="24"/>
          <w:szCs w:val="24"/>
        </w:rPr>
        <w:t xml:space="preserve">Perché questo non è un fallimento</w:t>
      </w:r>
    </w:p>
    <w:p>
      <w:pPr>
        <w:spacing w:after="120" w:line="276"/>
        <w:jc w:val="both"/>
      </w:pPr>
      <w:r>
        <w:rPr>
          <w:rFonts w:ascii="Barlow Semi Condensed" w:cs="Barlow Semi Condensed" w:eastAsia="Barlow Semi Condensed" w:hAnsi="Barlow Semi Condensed"/>
          <w:b/>
          <w:bCs/>
          <w:sz w:val="24"/>
          <w:szCs w:val="24"/>
        </w:rPr>
        <w:t xml:space="preserve">Un caso nel quale è accertato che furono prodotti falsi, che materiale fu movimentato prima di essere verbalizzato e che una perquisizione risultò incompleta non può produrre, se onestamente ricostruito, un quadro compiuto.</w:t>
      </w:r>
    </w:p>
    <w:p>
      <w:pPr>
        <w:spacing w:after="120" w:line="276"/>
        <w:jc w:val="both"/>
      </w:pPr>
      <w:r>
        <w:rPr>
          <w:rFonts w:ascii="Barlow Semi Condensed" w:cs="Barlow Semi Condensed" w:eastAsia="Barlow Semi Condensed" w:hAnsi="Barlow Semi Condensed"/>
          <w:b/>
          <w:bCs/>
          <w:sz w:val="24"/>
          <w:szCs w:val="24"/>
        </w:rPr>
        <w:t xml:space="preserve">Un quadro compiuto, in un caso siffatto, non sarebbe il segno che la ricerca è riuscita. Sarebbe il segno che il ricercatore ha riempito con la propria immaginazione le lacune che gli erano state preparate — e avrebbe fatto, senza volerlo, esattamente ciò che chi le preparò desiderava: sostituire al vuoto una materia contestabile, rendendo contestabile con essa anche il vuoto.</w:t>
      </w:r>
    </w:p>
    <w:p>
      <w:pPr>
        <w:pStyle w:val="Heading2"/>
        <w:spacing w:after="100" w:before="200"/>
      </w:pPr>
      <w:r>
        <w:rPr>
          <w:rFonts w:ascii="Barlow Semi Condensed" w:cs="Barlow Semi Condensed" w:eastAsia="Barlow Semi Condensed" w:hAnsi="Barlow Semi Condensed"/>
          <w:sz w:val="24"/>
          <w:szCs w:val="24"/>
        </w:rPr>
        <w:t xml:space="preserve">Che cosa dunque l'opera lascia</w:t>
      </w:r>
    </w:p>
    <w:p>
      <w:pPr>
        <w:spacing w:after="120" w:line="276"/>
        <w:jc w:val="both"/>
      </w:pPr>
      <w:r>
        <w:rPr>
          <w:rFonts w:ascii="Barlow Semi Condensed" w:cs="Barlow Semi Condensed" w:eastAsia="Barlow Semi Condensed" w:hAnsi="Barlow Semi Condensed"/>
          <w:b/>
          <w:bCs/>
          <w:sz w:val="24"/>
          <w:szCs w:val="24"/>
        </w:rPr>
        <w:t xml:space="preserve">Lascia una mappa. Di ciò che è accertato, con il grado di ciascuna acquisizione. Di ciò che non lo è, con la condizione del suo scioglimento. Di ciò che manca, con la sede presso la quale cercarlo. E di ciò che l'opera espressamente non sostiene, con la ragione di ciascuna astensione.</w:t>
      </w:r>
    </w:p>
    <w:p>
      <w:pPr>
        <w:spacing w:after="120" w:line="276"/>
        <w:jc w:val="both"/>
      </w:pPr>
      <w:r>
        <w:rPr>
          <w:rFonts w:ascii="Barlow Semi Condensed" w:cs="Barlow Semi Condensed" w:eastAsia="Barlow Semi Condensed" w:hAnsi="Barlow Semi Condensed"/>
          <w:b/>
          <w:bCs/>
          <w:sz w:val="24"/>
          <w:szCs w:val="24"/>
        </w:rPr>
        <w:t xml:space="preserve">È meno di quanto la letteratura su questa materia promette, ed è tutto ciò che gli atti consentono.</w:t>
      </w:r>
    </w:p>
    <w:p>
      <w:pPr>
        <w:pStyle w:val="Heading2"/>
        <w:spacing w:after="100" w:before="200"/>
      </w:pPr>
      <w:r>
        <w:rPr>
          <w:rFonts w:ascii="Barlow Semi Condensed" w:cs="Barlow Semi Condensed" w:eastAsia="Barlow Semi Condensed" w:hAnsi="Barlow Semi Condensed"/>
          <w:sz w:val="24"/>
          <w:szCs w:val="24"/>
        </w:rPr>
        <w:t xml:space="preserve">L'ultima cosa, che non appartiene al metodo</w:t>
      </w:r>
    </w:p>
    <w:p>
      <w:pPr>
        <w:spacing w:after="120" w:line="276"/>
        <w:jc w:val="both"/>
      </w:pPr>
      <w:r>
        <w:rPr>
          <w:rFonts w:ascii="Barlow Semi Condensed" w:cs="Barlow Semi Condensed" w:eastAsia="Barlow Semi Condensed" w:hAnsi="Barlow Semi Condensed"/>
          <w:b/>
          <w:bCs/>
          <w:sz w:val="24"/>
          <w:szCs w:val="24"/>
        </w:rPr>
        <w:t xml:space="preserve">Al centro di questa materia vi è la morte di un uomo, e vi sono le morti di cinque uomini che quella mattina lo accompagnavano al lavoro. La Fase Prima lo ha detto in apertura e conviene ripeterlo in chiusura, perché settanta Capitoli di apparato hanno la capacità di farlo dimenticare.</w:t>
      </w:r>
    </w:p>
    <w:p>
      <w:pPr>
        <w:spacing w:after="120" w:line="276"/>
        <w:jc w:val="both"/>
      </w:pPr>
      <w:r>
        <w:rPr>
          <w:rFonts w:ascii="Barlow Semi Condensed" w:cs="Barlow Semi Condensed" w:eastAsia="Barlow Semi Condensed" w:hAnsi="Barlow Semi Condensed"/>
          <w:b/>
          <w:bCs/>
          <w:sz w:val="24"/>
          <w:szCs w:val="24"/>
        </w:rPr>
        <w:t xml:space="preserve">Oreste Leonardi. Domenico Ricci. Raffaele Iozzino. Giulio Rivera. Francesco Zizzi.</w:t>
      </w:r>
    </w:p>
    <w:p>
      <w:pPr>
        <w:spacing w:after="120" w:line="276"/>
        <w:jc w:val="both"/>
      </w:pPr>
      <w:r>
        <w:rPr>
          <w:rFonts w:ascii="Barlow Semi Condensed" w:cs="Barlow Semi Condensed" w:eastAsia="Barlow Semi Condensed" w:hAnsi="Barlow Semi Condensed"/>
          <w:b/>
          <w:bCs/>
          <w:sz w:val="24"/>
          <w:szCs w:val="24"/>
        </w:rPr>
        <w:t xml:space="preserve">Di loro l'opera ha scritto il nome per intero, in deroga alla propria disciplina di designazione, perché nel loro caso nessuna funzione basta.</w:t>
      </w:r>
    </w:p>
    <w:p>
      <w:pPr>
        <w:spacing w:after="120" w:line="276"/>
        <w:jc w:val="both"/>
      </w:pPr>
      <w:r>
        <w:rPr>
          <w:rFonts w:ascii="Barlow Semi Condensed" w:cs="Barlow Semi Condensed" w:eastAsia="Barlow Semi Condensed" w:hAnsi="Barlow Semi Condensed"/>
          <w:b/>
          <w:bCs/>
          <w:sz w:val="24"/>
          <w:szCs w:val="24"/>
        </w:rPr>
        <w:t xml:space="preserve">E per Aldo Moro l'opera non ha trovato il perché. Lo dichiara qui, in ultimo, senza attenuazioni: dopo quasi cinquant'anni, cinque processi, più commissioni parlamentari e settanta Capitoli, la ragione per la quale quell'uomo fu ucciso non è accertata.</w:t>
      </w:r>
    </w:p>
    <w:p>
      <w:pPr>
        <w:spacing w:after="120" w:line="276"/>
        <w:jc w:val="both"/>
      </w:pPr>
      <w:r>
        <w:rPr>
          <w:rFonts w:ascii="Barlow Semi Condensed" w:cs="Barlow Semi Condensed" w:eastAsia="Barlow Semi Condensed" w:hAnsi="Barlow Semi Condensed"/>
          <w:b/>
          <w:bCs/>
          <w:sz w:val="24"/>
          <w:szCs w:val="24"/>
        </w:rPr>
        <w:t xml:space="preserve">Chi dica il contrario offra le sue carte. L'opera ha detto quali cercare.</w:t>
      </w:r>
    </w:p>
    <w:p>
      <w:pPr>
        <w:pStyle w:val="Heading2"/>
        <w:spacing w:after="100" w:before="200"/>
      </w:pPr>
      <w:r>
        <w:rPr>
          <w:rFonts w:ascii="Barlow Semi Condensed" w:cs="Barlow Semi Condensed" w:eastAsia="Barlow Semi Condensed" w:hAnsi="Barlow Semi Condensed"/>
          <w:sz w:val="24"/>
          <w:szCs w:val="24"/>
        </w:rPr>
        <w:t xml:space="preserve">Colophon</w:t>
      </w:r>
    </w:p>
    <w:p>
      <w:pPr>
        <w:spacing w:after="120" w:line="276"/>
        <w:jc w:val="both"/>
      </w:pPr>
      <w:r>
        <w:rPr>
          <w:rFonts w:ascii="Barlow Semi Condensed" w:cs="Barlow Semi Condensed" w:eastAsia="Barlow Semi Condensed" w:hAnsi="Barlow Semi Condensed"/>
          <w:b/>
          <w:bCs/>
          <w:sz w:val="24"/>
          <w:szCs w:val="24"/>
        </w:rPr>
        <w:t xml:space="preserve">ALDO MORO. IL REGISTRO DEI CINQUANTACINQUE GIORNI. Opera seconda, avviata dal Registro V77. Sette Fasi, settanta Capitoli. Resta sovrana la Regola di Ferro: dove la fonte documenta, l'opera certifica; dove la fonte tace, l'opera indaga e non afferma. Fluido il metodo, ferreo lo standard. Autore e direttore dell'opera: Luigi De Michele.</w:t>
      </w:r>
    </w:p>
    <w:p>
      <w:pPr>
        <w:pStyle w:val="Heading2"/>
        <w:spacing w:after="100" w:before="200"/>
      </w:pPr>
      <w:r>
        <w:rPr>
          <w:rFonts w:ascii="Barlow Semi Condensed" w:cs="Barlow Semi Condensed" w:eastAsia="Barlow Semi Condensed" w:hAnsi="Barlow Semi Condensed"/>
          <w:sz w:val="24"/>
          <w:szCs w:val="24"/>
        </w:rPr>
        <w:t xml:space="preserve">APPENDICE ALLA FASE SETTIMA — TAVOLA ACCRESCIUTA DELLE ACQUISIZIONI NECESSARIE</w:t>
      </w:r>
    </w:p>
    <w:p>
      <w:pPr>
        <w:spacing w:after="120" w:line="276"/>
        <w:jc w:val="both"/>
      </w:pPr>
      <w:r>
        <w:rPr>
          <w:rFonts w:ascii="Barlow Semi Condensed" w:cs="Barlow Semi Condensed" w:eastAsia="Barlow Semi Condensed" w:hAnsi="Barlow Semi Condensed"/>
          <w:b/>
          <w:bCs/>
          <w:sz w:val="24"/>
          <w:szCs w:val="24"/>
        </w:rPr>
        <w:t xml:space="preserve">Diciannove voci, con oggetto, sede, condizione di chiusura e condizione di smentita. Prodotta il 15 agosto 2026 per recepimento della sola parte documentale di una ricognizione operativa esterna. I settanta Capitoli restano settanta.</w:t>
      </w:r>
    </w:p>
    <w:p>
      <w:pPr>
        <w:pStyle w:val="Heading2"/>
        <w:spacing w:after="100" w:before="200"/>
      </w:pPr>
      <w:r>
        <w:rPr>
          <w:rFonts w:ascii="Barlow Semi Condensed" w:cs="Barlow Semi Condensed" w:eastAsia="Barlow Semi Condensed" w:hAnsi="Barlow Semi Condensed"/>
          <w:sz w:val="24"/>
          <w:szCs w:val="24"/>
        </w:rPr>
        <w:t xml:space="preserve">Atto di edizione dell'appendice</w:t>
      </w:r>
    </w:p>
    <w:p>
      <w:pPr>
        <w:spacing w:after="120" w:line="276"/>
        <w:jc w:val="both"/>
      </w:pPr>
      <w:r>
        <w:rPr>
          <w:rFonts w:ascii="Barlow Semi Condensed" w:cs="Barlow Semi Condensed" w:eastAsia="Barlow Semi Condensed" w:hAnsi="Barlow Semi Condensed"/>
          <w:b/>
          <w:bCs/>
          <w:sz w:val="24"/>
          <w:szCs w:val="24"/>
        </w:rPr>
        <w:t xml:space="preserve">La presente è appendice alla Fase Settima e ne accresce il Capitolo sessantanovesimo, dedicato alla tavola delle acquisizioni necessarie e non conseguite. Essa non modifica alcun Capitolo dell'opera e non ne aggiunge di nuovi: i settanta restano settanta.</w:t>
      </w:r>
    </w:p>
    <w:p>
      <w:pPr>
        <w:spacing w:after="120" w:line="276"/>
        <w:jc w:val="both"/>
      </w:pPr>
      <w:r>
        <w:rPr>
          <w:rFonts w:ascii="Barlow Semi Condensed" w:cs="Barlow Semi Condensed" w:eastAsia="Barlow Semi Condensed" w:hAnsi="Barlow Semi Condensed"/>
          <w:b/>
          <w:bCs/>
          <w:sz w:val="24"/>
          <w:szCs w:val="24"/>
        </w:rPr>
        <w:t xml:space="preserve">L'accrescimento discende da una ricognizione condotta il quindici agosto duemilaventisei, la quale ha prodotto un memorandum operativo destinato a chi conduca ricerche archivistiche. Quel memorandum è documento estraneo all'opera e non vi entra. Ne entra qui la sola parte che appartenga al genere dell'opera, ed è la tavola degli obiettivi documentali.</w:t>
      </w:r>
    </w:p>
    <w:p>
      <w:pPr>
        <w:pStyle w:val="Heading2"/>
        <w:spacing w:after="100" w:before="200"/>
      </w:pPr>
      <w:r>
        <w:rPr>
          <w:rFonts w:ascii="Barlow Semi Condensed" w:cs="Barlow Semi Condensed" w:eastAsia="Barlow Semi Condensed" w:hAnsi="Barlow Semi Condensed"/>
          <w:sz w:val="24"/>
          <w:szCs w:val="24"/>
        </w:rPr>
        <w:t xml:space="preserve">Il confine, dichiarato prima di ogni altra cosa</w:t>
      </w:r>
    </w:p>
    <w:p>
      <w:pPr>
        <w:spacing w:after="120" w:line="276"/>
        <w:jc w:val="both"/>
      </w:pPr>
      <w:r>
        <w:rPr>
          <w:rFonts w:ascii="Barlow Semi Condensed" w:cs="Barlow Semi Condensed" w:eastAsia="Barlow Semi Condensed" w:hAnsi="Barlow Semi Condensed"/>
          <w:b/>
          <w:bCs/>
          <w:sz w:val="24"/>
          <w:szCs w:val="24"/>
        </w:rPr>
        <w:t xml:space="preserve">Il memorandum contiene una distribuzione di propensioni soggettive fra scenari alternativi, espressa in percentuali, e una rinormalizzazione di tali propensioni condotta su ordine del committente escludendo uno degli scenari.</w:t>
      </w:r>
    </w:p>
    <w:p>
      <w:pPr>
        <w:spacing w:after="120" w:line="276"/>
        <w:jc w:val="both"/>
      </w:pPr>
      <w:r>
        <w:rPr>
          <w:rFonts w:ascii="Barlow Semi Condensed" w:cs="Barlow Semi Condensed" w:eastAsia="Barlow Semi Condensed" w:hAnsi="Barlow Semi Condensed"/>
          <w:b/>
          <w:bCs/>
          <w:sz w:val="24"/>
          <w:szCs w:val="24"/>
        </w:rPr>
        <w:t xml:space="preserve">Nulla di ciò entra nell'opera, e la ragione va enunciata perché non si tratta di cautela ma di natura.</w:t>
      </w:r>
    </w:p>
    <w:p>
      <w:pPr>
        <w:spacing w:after="120" w:line="276"/>
        <w:jc w:val="both"/>
      </w:pPr>
      <w:r>
        <w:rPr>
          <w:rFonts w:ascii="Barlow Semi Condensed" w:cs="Barlow Semi Condensed" w:eastAsia="Barlow Semi Condensed" w:hAnsi="Barlow Semi Condensed"/>
          <w:b/>
          <w:bCs/>
          <w:sz w:val="24"/>
          <w:szCs w:val="24"/>
        </w:rPr>
        <w:t xml:space="preserve">L'opera non gradua le proprie aspettative. Essa gradua le proposizioni secondo le fonti che le sostengono, e non secondo la fiducia che l'autore ripone in esse. Una percentuale di propensione è una misura dello stato mentale di chi ricerca, non dello stato degli atti; e per quanto onestamente dichiarata, essa non ha alcun posto in un registro che si è dato la regola di non affermare oltre la fonte.</w:t>
      </w:r>
    </w:p>
    <w:p>
      <w:pPr>
        <w:spacing w:after="120" w:line="276"/>
        <w:jc w:val="both"/>
      </w:pPr>
      <w:r>
        <w:rPr>
          <w:rFonts w:ascii="Barlow Semi Condensed" w:cs="Barlow Semi Condensed" w:eastAsia="Barlow Semi Condensed" w:hAnsi="Barlow Semi Condensed"/>
          <w:b/>
          <w:bCs/>
          <w:sz w:val="24"/>
          <w:szCs w:val="24"/>
        </w:rPr>
        <w:t xml:space="preserve">Vi è inoltre una ragione pratica, che l'esperienza di questa materia impone. Una propensione soggettiva pubblicata dentro un'opera documentale viene letta, dal lettore successivo, come una risultanza dell'opera. Essa acquista, per sola collocazione, un'autorità che chi la formulò non intendeva conferirle. È il meccanismo per il quale opinioni prudenti diventano, a distanza di anni, tesi attribuite.</w:t>
      </w:r>
    </w:p>
    <w:p>
      <w:pPr>
        <w:spacing w:after="120" w:line="276"/>
        <w:jc w:val="both"/>
      </w:pPr>
      <w:r>
        <w:rPr>
          <w:rFonts w:ascii="Barlow Semi Condensed" w:cs="Barlow Semi Condensed" w:eastAsia="Barlow Semi Condensed" w:hAnsi="Barlow Semi Condensed"/>
          <w:b/>
          <w:bCs/>
          <w:sz w:val="24"/>
          <w:szCs w:val="24"/>
        </w:rPr>
        <w:t xml:space="preserve">Entrano invece nell'opera gli obiettivi documentali, poiché essi appartengono al genere che l'opera già pratica: la Fase Quinta ne ha iscritti sei, la Fase Settima nove. Un obiettivo documentale non è una convinzione: è l'indicazione di un documento, di una sede e di una procedura, ed è verificabile da chiunque.</w:t>
      </w:r>
    </w:p>
    <w:p>
      <w:pPr>
        <w:pStyle w:val="Heading2"/>
        <w:spacing w:after="100" w:before="200"/>
      </w:pPr>
      <w:r>
        <w:rPr>
          <w:rFonts w:ascii="Barlow Semi Condensed" w:cs="Barlow Semi Condensed" w:eastAsia="Barlow Semi Condensed" w:hAnsi="Barlow Semi Condensed"/>
          <w:sz w:val="24"/>
          <w:szCs w:val="24"/>
        </w:rPr>
        <w:t xml:space="preserve">La tavola accresciuta</w:t>
      </w:r>
    </w:p>
    <w:p>
      <w:pPr>
        <w:spacing w:after="120" w:line="276"/>
        <w:jc w:val="both"/>
      </w:pPr>
      <w:r>
        <w:rPr>
          <w:rFonts w:ascii="Barlow Semi Condensed" w:cs="Barlow Semi Condensed" w:eastAsia="Barlow Semi Condensed" w:hAnsi="Barlow Semi Condensed"/>
          <w:b/>
          <w:bCs/>
          <w:sz w:val="24"/>
          <w:szCs w:val="24"/>
        </w:rPr>
        <w:t xml:space="preserve">Si riporta la tavola nella sua estensione attuale. Le voci dalla prima alla nona sono quelle già iscritte al Capitolo sessantanovesimo e sono qui ripetute per intero, poiché la cumulatività preservativa vieta il rinvio abbreviato in materia di lacune: chi legga la tavola deve trovarla completa nel luogo in cui la trova. Le voci dalla decima alla diciannovesima sono nuove.</w:t>
      </w:r>
    </w:p>
    <w:p>
      <w:pPr>
        <w:spacing w:after="120" w:line="276"/>
        <w:jc w:val="both"/>
      </w:pPr>
      <w:r>
        <w:rPr>
          <w:rFonts w:ascii="Barlow Semi Condensed" w:cs="Barlow Semi Condensed" w:eastAsia="Barlow Semi Condensed" w:hAnsi="Barlow Semi Condensed"/>
          <w:b/>
          <w:bCs/>
          <w:sz w:val="24"/>
          <w:szCs w:val="24"/>
        </w:rPr>
        <w:t xml:space="preserve">Per ciascuna voce si indicano l'oggetto, la sede e la condizione della sua chiusura. Per le voci nuove si indica altresì, ove ricorra, la condizione della sua smentita, secondo la disciplina che impone di dichiarare in anticipo che cosa costituirebbe esito contrario.</w:t>
      </w:r>
    </w:p>
    <w:p>
      <w:pPr>
        <w:pStyle w:val="Heading2"/>
        <w:spacing w:after="100" w:before="200"/>
      </w:pPr>
      <w:r>
        <w:rPr>
          <w:rFonts w:ascii="Barlow Semi Condensed" w:cs="Barlow Semi Condensed" w:eastAsia="Barlow Semi Condensed" w:hAnsi="Barlow Semi Condensed"/>
          <w:sz w:val="24"/>
          <w:szCs w:val="24"/>
        </w:rPr>
        <w:t xml:space="preserve">Voce prima — I verbali della perquisizione dell'ottobre 1978</w:t>
      </w:r>
    </w:p>
    <w:p>
      <w:pPr>
        <w:spacing w:after="120" w:line="276"/>
        <w:jc w:val="both"/>
      </w:pPr>
      <w:r>
        <w:rPr>
          <w:rFonts w:ascii="Barlow Semi Condensed" w:cs="Barlow Semi Condensed" w:eastAsia="Barlow Semi Condensed" w:hAnsi="Barlow Semi Condensed"/>
          <w:b/>
          <w:bCs/>
          <w:sz w:val="24"/>
          <w:szCs w:val="24"/>
        </w:rPr>
        <w:t xml:space="preserve">Verbali, rilievi, descrizione delle modalità e degli strumenti impiegati, confrontati con quelli del secondo rinvenimento del 1990. Sede: archivio del tribunale competente per territorio.</w:t>
      </w:r>
    </w:p>
    <w:p>
      <w:pPr>
        <w:spacing w:after="120" w:line="276"/>
        <w:jc w:val="both"/>
      </w:pPr>
      <w:r>
        <w:rPr>
          <w:rFonts w:ascii="Barlow Semi Condensed" w:cs="Barlow Semi Condensed" w:eastAsia="Barlow Semi Condensed" w:hAnsi="Barlow Semi Condensed"/>
          <w:b/>
          <w:bCs/>
          <w:sz w:val="24"/>
          <w:szCs w:val="24"/>
        </w:rPr>
        <w:t xml:space="preserve">È la sola voce della tavola per la quale la via di discriminazione sia indicata con precisione: due delle tre spiegazioni dell'incompletezza predicono che la documentazione non rechi menzione di esame delle strutture murarie; la terza predice il contrario.</w:t>
      </w:r>
    </w:p>
    <w:p>
      <w:pPr>
        <w:pStyle w:val="Heading2"/>
        <w:spacing w:after="100" w:before="200"/>
      </w:pPr>
      <w:r>
        <w:rPr>
          <w:rFonts w:ascii="Barlow Semi Condensed" w:cs="Barlow Semi Condensed" w:eastAsia="Barlow Semi Condensed" w:hAnsi="Barlow Semi Condensed"/>
          <w:sz w:val="24"/>
          <w:szCs w:val="24"/>
        </w:rPr>
        <w:t xml:space="preserve">Voce seconda — Gli atti sull'indicazione toponomastica</w:t>
      </w:r>
    </w:p>
    <w:p>
      <w:pPr>
        <w:spacing w:after="120" w:line="276"/>
        <w:jc w:val="both"/>
      </w:pPr>
      <w:r>
        <w:rPr>
          <w:rFonts w:ascii="Barlow Semi Condensed" w:cs="Barlow Semi Condensed" w:eastAsia="Barlow Semi Condensed" w:hAnsi="Barlow Semi Condensed"/>
          <w:b/>
          <w:bCs/>
          <w:sz w:val="24"/>
          <w:szCs w:val="24"/>
        </w:rPr>
        <w:t xml:space="preserve">Ricezione, valutazione, decisione sulla destinazione delle ricerche, e documentazione dei flussi informativi fra gli uffici coinvolti nel periodo.</w:t>
      </w:r>
    </w:p>
    <w:p>
      <w:pPr>
        <w:pStyle w:val="Heading2"/>
        <w:spacing w:after="100" w:before="200"/>
      </w:pPr>
      <w:r>
        <w:rPr>
          <w:rFonts w:ascii="Barlow Semi Condensed" w:cs="Barlow Semi Condensed" w:eastAsia="Barlow Semi Condensed" w:hAnsi="Barlow Semi Condensed"/>
          <w:sz w:val="24"/>
          <w:szCs w:val="24"/>
        </w:rPr>
        <w:t xml:space="preserve">Voce terza — Le direttive dei controlli</w:t>
      </w:r>
    </w:p>
    <w:p>
      <w:pPr>
        <w:spacing w:after="120" w:line="276"/>
        <w:jc w:val="both"/>
      </w:pPr>
      <w:r>
        <w:rPr>
          <w:rFonts w:ascii="Barlow Semi Condensed" w:cs="Barlow Semi Condensed" w:eastAsia="Barlow Semi Condensed" w:hAnsi="Barlow Semi Condensed"/>
          <w:b/>
          <w:bCs/>
          <w:sz w:val="24"/>
          <w:szCs w:val="24"/>
        </w:rPr>
        <w:t xml:space="preserve">Le direttive impartite per i controlli generalizzati e la documentazione del controllo effettuato nella via poi risultata sede di una base. Senza di esse il test si arresta al secondo tempo, non potendosi distinguere l'inadempimento dall'insuccesso.</w:t>
      </w:r>
    </w:p>
    <w:p>
      <w:pPr>
        <w:pStyle w:val="Heading2"/>
        <w:spacing w:after="100" w:before="200"/>
      </w:pPr>
      <w:r>
        <w:rPr>
          <w:rFonts w:ascii="Barlow Semi Condensed" w:cs="Barlow Semi Condensed" w:eastAsia="Barlow Semi Condensed" w:hAnsi="Barlow Semi Condensed"/>
          <w:sz w:val="24"/>
          <w:szCs w:val="24"/>
        </w:rPr>
        <w:t xml:space="preserve">Voce quarta — La documentazione analitica della ricerca</w:t>
      </w:r>
    </w:p>
    <w:p>
      <w:pPr>
        <w:spacing w:after="120" w:line="276"/>
        <w:jc w:val="both"/>
      </w:pPr>
      <w:r>
        <w:rPr>
          <w:rFonts w:ascii="Barlow Semi Condensed" w:cs="Barlow Semi Condensed" w:eastAsia="Barlow Semi Condensed" w:hAnsi="Barlow Semi Condensed"/>
          <w:b/>
          <w:bCs/>
          <w:sz w:val="24"/>
          <w:szCs w:val="24"/>
        </w:rPr>
        <w:t xml:space="preserve">Zone controllate, modalità, criteri di selezione e motivazione delle esclusioni durante i cinquantacinque giorni. È l'acquisizione che colmerebbe il difetto di termine di riferimento.</w:t>
      </w:r>
    </w:p>
    <w:p>
      <w:pPr>
        <w:pStyle w:val="Heading2"/>
        <w:spacing w:after="100" w:before="200"/>
      </w:pPr>
      <w:r>
        <w:rPr>
          <w:rFonts w:ascii="Barlow Semi Condensed" w:cs="Barlow Semi Condensed" w:eastAsia="Barlow Semi Condensed" w:hAnsi="Barlow Semi Condensed"/>
          <w:sz w:val="24"/>
          <w:szCs w:val="24"/>
        </w:rPr>
        <w:t xml:space="preserve">Voce quinta — Le due vie comparative</w:t>
      </w:r>
    </w:p>
    <w:p>
      <w:pPr>
        <w:spacing w:after="120" w:line="276"/>
        <w:jc w:val="both"/>
      </w:pPr>
      <w:r>
        <w:rPr>
          <w:rFonts w:ascii="Barlow Semi Condensed" w:cs="Barlow Semi Condensed" w:eastAsia="Barlow Semi Condensed" w:hAnsi="Barlow Semi Condensed"/>
          <w:b/>
          <w:bCs/>
          <w:sz w:val="24"/>
          <w:szCs w:val="24"/>
        </w:rPr>
        <w:t xml:space="preserve">Documentazione idonea alla comparazione con operazioni analoghe dei medesimi uffici nel medesimo biennio, e comparazione interna fra adempimenti diligenti e non diligenti entro la medesima operazione.</w:t>
      </w:r>
    </w:p>
    <w:p>
      <w:pPr>
        <w:spacing w:after="120" w:line="276"/>
        <w:jc w:val="both"/>
      </w:pPr>
      <w:r>
        <w:rPr>
          <w:rFonts w:ascii="Barlow Semi Condensed" w:cs="Barlow Semi Condensed" w:eastAsia="Barlow Semi Condensed" w:hAnsi="Barlow Semi Condensed"/>
          <w:b/>
          <w:bCs/>
          <w:sz w:val="24"/>
          <w:szCs w:val="24"/>
        </w:rPr>
        <w:t xml:space="preserve">Si segnala che questa voce ha assunto, nella ricognizione successiva, rango superiore a quello che le fu attribuito. Essa è oggi da ritenersi la voce dalla quale dipende l'intera valutazione delle omissioni: finché non è conseguita, la questione se gli inadempimenti riscontrati siano ordinari o anomali resta indecidibile, e ogni discussione su di essa è contrapposizione di impressioni.</w:t>
      </w:r>
    </w:p>
    <w:p>
      <w:pPr>
        <w:pStyle w:val="Heading2"/>
        <w:spacing w:after="100" w:before="200"/>
      </w:pPr>
      <w:r>
        <w:rPr>
          <w:rFonts w:ascii="Barlow Semi Condensed" w:cs="Barlow Semi Condensed" w:eastAsia="Barlow Semi Condensed" w:hAnsi="Barlow Semi Condensed"/>
          <w:sz w:val="24"/>
          <w:szCs w:val="24"/>
        </w:rPr>
        <w:t xml:space="preserve">Voce sesta — L'esame materiale del documento apocrifo</w:t>
      </w:r>
    </w:p>
    <w:p>
      <w:pPr>
        <w:spacing w:after="120" w:line="276"/>
        <w:jc w:val="both"/>
      </w:pPr>
      <w:r>
        <w:rPr>
          <w:rFonts w:ascii="Barlow Semi Condensed" w:cs="Barlow Semi Condensed" w:eastAsia="Barlow Semi Condensed" w:hAnsi="Barlow Semi Condensed"/>
          <w:b/>
          <w:bCs/>
          <w:sz w:val="24"/>
          <w:szCs w:val="24"/>
        </w:rPr>
        <w:t xml:space="preserve">Supporto, mezzo di scrittura, modalità di confezione, confrontati con quelli dei documenti autentici e con le disponibilità dei diversi ambienti; documentazione della via e dei tempi di immissione; atti degli accertamenti condotti all'epoca sulla provenienza.</w:t>
      </w:r>
    </w:p>
    <w:p>
      <w:pPr>
        <w:pStyle w:val="Heading2"/>
        <w:spacing w:after="100" w:before="200"/>
      </w:pPr>
      <w:r>
        <w:rPr>
          <w:rFonts w:ascii="Barlow Semi Condensed" w:cs="Barlow Semi Condensed" w:eastAsia="Barlow Semi Condensed" w:hAnsi="Barlow Semi Condensed"/>
          <w:sz w:val="24"/>
          <w:szCs w:val="24"/>
        </w:rPr>
        <w:t xml:space="preserve">Voce settima — La verifica genealogica delle fonti</w:t>
      </w:r>
    </w:p>
    <w:p>
      <w:pPr>
        <w:spacing w:after="120" w:line="276"/>
        <w:jc w:val="both"/>
      </w:pPr>
      <w:r>
        <w:rPr>
          <w:rFonts w:ascii="Barlow Semi Condensed" w:cs="Barlow Semi Condensed" w:eastAsia="Barlow Semi Condensed" w:hAnsi="Barlow Semi Condensed"/>
          <w:b/>
          <w:bCs/>
          <w:sz w:val="24"/>
          <w:szCs w:val="24"/>
        </w:rPr>
        <w:t xml:space="preserve">Risalita di ciascuna fonte al proprio evento originario, per stabilire quante catene realmente indipendenti sussistano. È condizione preliminare di qualunque computo di convergenza.</w:t>
      </w:r>
    </w:p>
    <w:p>
      <w:pPr>
        <w:pStyle w:val="Heading2"/>
        <w:spacing w:after="100" w:before="200"/>
      </w:pPr>
      <w:r>
        <w:rPr>
          <w:rFonts w:ascii="Barlow Semi Condensed" w:cs="Barlow Semi Condensed" w:eastAsia="Barlow Semi Condensed" w:hAnsi="Barlow Semi Condensed"/>
          <w:sz w:val="24"/>
          <w:szCs w:val="24"/>
        </w:rPr>
        <w:t xml:space="preserve">Voce ottava — Le direttrici dichiarate aperte</w:t>
      </w:r>
    </w:p>
    <w:p>
      <w:pPr>
        <w:spacing w:after="120" w:line="276"/>
        <w:jc w:val="both"/>
      </w:pPr>
      <w:r>
        <w:rPr>
          <w:rFonts w:ascii="Barlow Semi Condensed" w:cs="Barlow Semi Condensed" w:eastAsia="Barlow Semi Condensed" w:hAnsi="Barlow Semi Condensed"/>
          <w:b/>
          <w:bCs/>
          <w:sz w:val="24"/>
          <w:szCs w:val="24"/>
        </w:rPr>
        <w:t xml:space="preserve">Cinque unità documentali presso un archivio storico parlamentare, fra le quali un supporto fonico di audizioni; cinque protocolli di due servizi informativi relativi ai giorni immediatamente anteriori ai fatti; tre protocolli relativi a una pratica del maggio-settembre 1978; l'identificazione di una seconda funzione di interpretariato; due edizioni critiche non possedute; tredici archivi remoti non trasferibili con gli strumenti impiegati.</w:t>
      </w:r>
    </w:p>
    <w:p>
      <w:pPr>
        <w:pStyle w:val="Heading2"/>
        <w:spacing w:after="100" w:before="200"/>
      </w:pPr>
      <w:r>
        <w:rPr>
          <w:rFonts w:ascii="Barlow Semi Condensed" w:cs="Barlow Semi Condensed" w:eastAsia="Barlow Semi Condensed" w:hAnsi="Barlow Semi Condensed"/>
          <w:sz w:val="24"/>
          <w:szCs w:val="24"/>
        </w:rPr>
        <w:t xml:space="preserve">Voce nona — Il repertorio delle denominazioni</w:t>
      </w:r>
    </w:p>
    <w:p>
      <w:pPr>
        <w:spacing w:after="120" w:line="276"/>
        <w:jc w:val="both"/>
      </w:pPr>
      <w:r>
        <w:rPr>
          <w:rFonts w:ascii="Barlow Semi Condensed" w:cs="Barlow Semi Condensed" w:eastAsia="Barlow Semi Condensed" w:hAnsi="Barlow Semi Condensed"/>
          <w:b/>
          <w:bCs/>
          <w:sz w:val="24"/>
          <w:szCs w:val="24"/>
        </w:rPr>
        <w:t xml:space="preserve">Compilazione del repertorio delle denominazioni delle regole e delle figure dell'opera anteriore, per chiudere lo Stato Zero sulle due misure di consistenza rimaste non verificate.</w:t>
      </w:r>
    </w:p>
    <w:p>
      <w:pPr>
        <w:pStyle w:val="Heading2"/>
        <w:spacing w:after="100" w:before="200"/>
      </w:pPr>
      <w:r>
        <w:rPr>
          <w:rFonts w:ascii="Barlow Semi Condensed" w:cs="Barlow Semi Condensed" w:eastAsia="Barlow Semi Condensed" w:hAnsi="Barlow Semi Condensed"/>
          <w:sz w:val="24"/>
          <w:szCs w:val="24"/>
        </w:rPr>
        <w:t xml:space="preserve">Voce decima — Il documento cifrato del diciassette febbraio 1978</w:t>
      </w:r>
    </w:p>
    <w:p>
      <w:pPr>
        <w:spacing w:after="120" w:line="276"/>
        <w:jc w:val="both"/>
      </w:pPr>
      <w:r>
        <w:rPr>
          <w:rFonts w:ascii="Barlow Semi Condensed" w:cs="Barlow Semi Condensed" w:eastAsia="Barlow Semi Condensed" w:hAnsi="Barlow Semi Condensed"/>
          <w:b/>
          <w:bCs/>
          <w:sz w:val="24"/>
          <w:szCs w:val="24"/>
        </w:rPr>
        <w:t xml:space="preserve">Oggetto: un documento datato un mese anteriore ai fatti, proveniente da fonte cifrata la cui identità è stata sciolta, rintracciato da una Commissione parlamentare. Sede: archivio storico della Camera dei deputati, fondi della Commissione che lo rintracciò.</w:t>
      </w:r>
    </w:p>
    <w:p>
      <w:pPr>
        <w:spacing w:after="120" w:line="276"/>
        <w:jc w:val="both"/>
      </w:pPr>
      <w:r>
        <w:rPr>
          <w:rFonts w:ascii="Barlow Semi Condensed" w:cs="Barlow Semi Condensed" w:eastAsia="Barlow Semi Condensed" w:hAnsi="Barlow Semi Condensed"/>
          <w:b/>
          <w:bCs/>
          <w:sz w:val="24"/>
          <w:szCs w:val="24"/>
        </w:rPr>
        <w:t xml:space="preserve">Chiusura: acquisizione del testo integrale, dei destinatari italiani, del protocollo di ricezione, e degli atti che ne documentino la trasmissione, la valutazione o l'archiviazione.</w:t>
      </w:r>
    </w:p>
    <w:p>
      <w:pPr>
        <w:spacing w:after="120" w:line="276"/>
        <w:jc w:val="both"/>
      </w:pPr>
      <w:r>
        <w:rPr>
          <w:rFonts w:ascii="Barlow Semi Condensed" w:cs="Barlow Semi Condensed" w:eastAsia="Barlow Semi Condensed" w:hAnsi="Barlow Semi Condensed"/>
          <w:b/>
          <w:bCs/>
          <w:sz w:val="24"/>
          <w:szCs w:val="24"/>
        </w:rPr>
        <w:t xml:space="preserve">Smentita: contenuto generico, del genere che i canali informativi producono in quantità; ovvero presenza regolare degli atti di trasmissione conseguenti.</w:t>
      </w:r>
    </w:p>
    <w:p>
      <w:pPr>
        <w:pStyle w:val="Heading2"/>
        <w:spacing w:after="100" w:before="200"/>
      </w:pPr>
      <w:r>
        <w:rPr>
          <w:rFonts w:ascii="Barlow Semi Condensed" w:cs="Barlow Semi Condensed" w:eastAsia="Barlow Semi Condensed" w:hAnsi="Barlow Semi Condensed"/>
          <w:sz w:val="24"/>
          <w:szCs w:val="24"/>
        </w:rPr>
        <w:t xml:space="preserve">Voce undicesima — I flussi informativi dei cinquantacinque giorni</w:t>
      </w:r>
    </w:p>
    <w:p>
      <w:pPr>
        <w:spacing w:after="120" w:line="276"/>
        <w:jc w:val="both"/>
      </w:pPr>
      <w:r>
        <w:rPr>
          <w:rFonts w:ascii="Barlow Semi Condensed" w:cs="Barlow Semi Condensed" w:eastAsia="Barlow Semi Condensed" w:hAnsi="Barlow Semi Condensed"/>
          <w:b/>
          <w:bCs/>
          <w:sz w:val="24"/>
          <w:szCs w:val="24"/>
        </w:rPr>
        <w:t xml:space="preserve">Oggetto: non i contenuti delle informazioni ma la loro circolazione; quali trasmissioni risultino agli atti e quali no. Sede: registri di protocollo in entrata e in uscita degli uffici coinvolti, per il periodo dei fatti e per il mese successivo.</w:t>
      </w:r>
    </w:p>
    <w:p>
      <w:pPr>
        <w:spacing w:after="120" w:line="276"/>
        <w:jc w:val="both"/>
      </w:pPr>
      <w:r>
        <w:rPr>
          <w:rFonts w:ascii="Barlow Semi Condensed" w:cs="Barlow Semi Condensed" w:eastAsia="Barlow Semi Condensed" w:hAnsi="Barlow Semi Condensed"/>
          <w:b/>
          <w:bCs/>
          <w:sz w:val="24"/>
          <w:szCs w:val="24"/>
        </w:rPr>
        <w:t xml:space="preserve">Chiusura: individuazione di atti entrati in un ufficio e non usciti, in assenza di annotazione che ne dia ragione.</w:t>
      </w:r>
    </w:p>
    <w:p>
      <w:pPr>
        <w:spacing w:after="120" w:line="276"/>
        <w:jc w:val="both"/>
      </w:pPr>
      <w:r>
        <w:rPr>
          <w:rFonts w:ascii="Barlow Semi Condensed" w:cs="Barlow Semi Condensed" w:eastAsia="Barlow Semi Condensed" w:hAnsi="Barlow Semi Condensed"/>
          <w:b/>
          <w:bCs/>
          <w:sz w:val="24"/>
          <w:szCs w:val="24"/>
        </w:rPr>
        <w:t xml:space="preserve">Smentita: rinvenimento degli atti di trasmissione, ovvero constatazione che il flusso non fosse dovuto.</w:t>
      </w:r>
    </w:p>
    <w:p>
      <w:pPr>
        <w:pStyle w:val="Heading2"/>
        <w:spacing w:after="100" w:before="200"/>
      </w:pPr>
      <w:r>
        <w:rPr>
          <w:rFonts w:ascii="Barlow Semi Condensed" w:cs="Barlow Semi Condensed" w:eastAsia="Barlow Semi Condensed" w:hAnsi="Barlow Semi Condensed"/>
          <w:sz w:val="24"/>
          <w:szCs w:val="24"/>
        </w:rPr>
        <w:t xml:space="preserve">Voce dodicesima — Il registro delle segnalazioni archiviate</w:t>
      </w:r>
    </w:p>
    <w:p>
      <w:pPr>
        <w:spacing w:after="120" w:line="276"/>
        <w:jc w:val="both"/>
      </w:pPr>
      <w:r>
        <w:rPr>
          <w:rFonts w:ascii="Barlow Semi Condensed" w:cs="Barlow Semi Condensed" w:eastAsia="Barlow Semi Condensed" w:hAnsi="Barlow Semi Condensed"/>
          <w:b/>
          <w:bCs/>
          <w:sz w:val="24"/>
          <w:szCs w:val="24"/>
        </w:rPr>
        <w:t xml:space="preserve">Oggetto: il rapporto fra segnalazioni verificate e segnalazioni archiviate senza verifica, e l'autorità che dispose l'archiviazione. Sede: uffici che raccoglievano le segnalazioni.</w:t>
      </w:r>
    </w:p>
    <w:p>
      <w:pPr>
        <w:spacing w:after="120" w:line="276"/>
        <w:jc w:val="both"/>
      </w:pPr>
      <w:r>
        <w:rPr>
          <w:rFonts w:ascii="Barlow Semi Condensed" w:cs="Barlow Semi Condensed" w:eastAsia="Barlow Semi Condensed" w:hAnsi="Barlow Semi Condensed"/>
          <w:b/>
          <w:bCs/>
          <w:sz w:val="24"/>
          <w:szCs w:val="24"/>
        </w:rPr>
        <w:t xml:space="preserve">Chiusura: accertamento della distribuzione delle archiviazioni.</w:t>
      </w:r>
    </w:p>
    <w:p>
      <w:pPr>
        <w:spacing w:after="120" w:line="276"/>
        <w:jc w:val="both"/>
      </w:pPr>
      <w:r>
        <w:rPr>
          <w:rFonts w:ascii="Barlow Semi Condensed" w:cs="Barlow Semi Condensed" w:eastAsia="Barlow Semi Condensed" w:hAnsi="Barlow Semi Condensed"/>
          <w:b/>
          <w:bCs/>
          <w:sz w:val="24"/>
          <w:szCs w:val="24"/>
        </w:rPr>
        <w:t xml:space="preserve">Smentita: distribuzione proporzionata al volume e alla qualità delle segnalazioni ricevute.</w:t>
      </w:r>
    </w:p>
    <w:p>
      <w:pPr>
        <w:pStyle w:val="Heading2"/>
        <w:spacing w:after="100" w:before="200"/>
      </w:pPr>
      <w:r>
        <w:rPr>
          <w:rFonts w:ascii="Barlow Semi Condensed" w:cs="Barlow Semi Condensed" w:eastAsia="Barlow Semi Condensed" w:hAnsi="Barlow Semi Condensed"/>
          <w:sz w:val="24"/>
          <w:szCs w:val="24"/>
        </w:rPr>
        <w:t xml:space="preserve">Voce tredicesima — Il biglietto di via Gradoli</w:t>
      </w:r>
    </w:p>
    <w:p>
      <w:pPr>
        <w:spacing w:after="120" w:line="276"/>
        <w:jc w:val="both"/>
      </w:pPr>
      <w:r>
        <w:rPr>
          <w:rFonts w:ascii="Barlow Semi Condensed" w:cs="Barlow Semi Condensed" w:eastAsia="Barlow Semi Condensed" w:hAnsi="Barlow Semi Condensed"/>
          <w:b/>
          <w:bCs/>
          <w:sz w:val="24"/>
          <w:szCs w:val="24"/>
        </w:rPr>
        <w:t xml:space="preserve">Oggetto: identità del funzionario destinatario, ufficio di appartenenza, registro di corrispondenza del periodo. Sede: ufficio di servizio del funzionario; atti del procedimento nel quale la circostanza fu riferita.</w:t>
      </w:r>
    </w:p>
    <w:p>
      <w:pPr>
        <w:spacing w:after="120" w:line="276"/>
        <w:jc w:val="both"/>
      </w:pPr>
      <w:r>
        <w:rPr>
          <w:rFonts w:ascii="Barlow Semi Condensed" w:cs="Barlow Semi Condensed" w:eastAsia="Barlow Semi Condensed" w:hAnsi="Barlow Semi Condensed"/>
          <w:b/>
          <w:bCs/>
          <w:sz w:val="24"/>
          <w:szCs w:val="24"/>
        </w:rPr>
        <w:t xml:space="preserve">Chiusura: qualunque elemento documentale che muova la questione, oggi ferma allo stallo fra due dichiarazioni opposte.</w:t>
      </w:r>
    </w:p>
    <w:p>
      <w:pPr>
        <w:spacing w:after="120" w:line="276"/>
        <w:jc w:val="both"/>
      </w:pPr>
      <w:r>
        <w:rPr>
          <w:rFonts w:ascii="Barlow Semi Condensed" w:cs="Barlow Semi Condensed" w:eastAsia="Barlow Semi Condensed" w:hAnsi="Barlow Semi Condensed"/>
          <w:b/>
          <w:bCs/>
          <w:sz w:val="24"/>
          <w:szCs w:val="24"/>
        </w:rPr>
        <w:t xml:space="preserve">Smentita: elementi che qualifichino la testimonianza come deformata da narrazioni successive, ipotesi sostenuta da ricercatori che hanno riletto le carte e non verificata.</w:t>
      </w:r>
    </w:p>
    <w:p>
      <w:pPr>
        <w:pStyle w:val="Heading2"/>
        <w:spacing w:after="100" w:before="200"/>
      </w:pPr>
      <w:r>
        <w:rPr>
          <w:rFonts w:ascii="Barlow Semi Condensed" w:cs="Barlow Semi Condensed" w:eastAsia="Barlow Semi Condensed" w:hAnsi="Barlow Semi Condensed"/>
          <w:sz w:val="24"/>
          <w:szCs w:val="24"/>
        </w:rPr>
        <w:t xml:space="preserve">Voce quattordicesima — Le fonti confidenziali attive nel marzo 1978</w:t>
      </w:r>
    </w:p>
    <w:p>
      <w:pPr>
        <w:spacing w:after="120" w:line="276"/>
        <w:jc w:val="both"/>
      </w:pPr>
      <w:r>
        <w:rPr>
          <w:rFonts w:ascii="Barlow Semi Condensed" w:cs="Barlow Semi Condensed" w:eastAsia="Barlow Semi Condensed" w:hAnsi="Barlow Semi Condensed"/>
          <w:b/>
          <w:bCs/>
          <w:sz w:val="24"/>
          <w:szCs w:val="24"/>
        </w:rPr>
        <w:t xml:space="preserve">Oggetto: esistenza di una gestione di fonti nel periodo dei fatti, e destinazione delle informazioni da esse provenienti. Sede: archivi delle divisioni che trattavano le fonti; registri dei compensi, che sopravvivono là dove i fascicoli non sopravvivono.</w:t>
      </w:r>
    </w:p>
    <w:p>
      <w:pPr>
        <w:spacing w:after="120" w:line="276"/>
        <w:jc w:val="both"/>
      </w:pPr>
      <w:r>
        <w:rPr>
          <w:rFonts w:ascii="Barlow Semi Condensed" w:cs="Barlow Semi Condensed" w:eastAsia="Barlow Semi Condensed" w:hAnsi="Barlow Semi Condensed"/>
          <w:b/>
          <w:bCs/>
          <w:sz w:val="24"/>
          <w:szCs w:val="24"/>
        </w:rPr>
        <w:t xml:space="preserve">Chiusura: accertamento dell'esistenza della gestione e della trasmissione o mancata trasmissione delle informazioni.</w:t>
      </w:r>
    </w:p>
    <w:p>
      <w:pPr>
        <w:spacing w:after="120" w:line="276"/>
        <w:jc w:val="both"/>
      </w:pPr>
      <w:r>
        <w:rPr>
          <w:rFonts w:ascii="Barlow Semi Condensed" w:cs="Barlow Semi Condensed" w:eastAsia="Barlow Semi Condensed" w:hAnsi="Barlow Semi Condensed"/>
          <w:b/>
          <w:bCs/>
          <w:sz w:val="24"/>
          <w:szCs w:val="24"/>
        </w:rPr>
        <w:t xml:space="preserve">Smentita: assenza di gestione nel periodo, ovvero regolarità della trasmissione.</w:t>
      </w:r>
    </w:p>
    <w:p>
      <w:pPr>
        <w:pStyle w:val="Heading2"/>
        <w:spacing w:after="100" w:before="200"/>
      </w:pPr>
      <w:r>
        <w:rPr>
          <w:rFonts w:ascii="Barlow Semi Condensed" w:cs="Barlow Semi Condensed" w:eastAsia="Barlow Semi Condensed" w:hAnsi="Barlow Semi Condensed"/>
          <w:sz w:val="24"/>
          <w:szCs w:val="24"/>
        </w:rPr>
        <w:t xml:space="preserve">Voce quindicesima — I documenti rinvenuti a Dusseldorf</w:t>
      </w:r>
    </w:p>
    <w:p>
      <w:pPr>
        <w:spacing w:after="120" w:line="276"/>
        <w:jc w:val="both"/>
      </w:pPr>
      <w:r>
        <w:rPr>
          <w:rFonts w:ascii="Barlow Semi Condensed" w:cs="Barlow Semi Condensed" w:eastAsia="Barlow Semi Condensed" w:hAnsi="Barlow Semi Condensed"/>
          <w:b/>
          <w:bCs/>
          <w:sz w:val="24"/>
          <w:szCs w:val="24"/>
        </w:rPr>
        <w:t xml:space="preserve">Oggetto: i documenti attestanti i contatti fra le due organizzazioni, rinvenuti sul corpo di un militante tedesco ucciso nel 1978, e i verbali relativi ai suoi movimenti in Italia nei mesi anteriori. Sede: archivi della polizia federale tedesca e della magistratura competente.</w:t>
      </w:r>
    </w:p>
    <w:p>
      <w:pPr>
        <w:spacing w:after="120" w:line="276"/>
        <w:jc w:val="both"/>
      </w:pPr>
      <w:r>
        <w:rPr>
          <w:rFonts w:ascii="Barlow Semi Condensed" w:cs="Barlow Semi Condensed" w:eastAsia="Barlow Semi Condensed" w:hAnsi="Barlow Semi Condensed"/>
          <w:b/>
          <w:bCs/>
          <w:sz w:val="24"/>
          <w:szCs w:val="24"/>
        </w:rPr>
        <w:t xml:space="preserve">Chiusura: acquisizione dei documenti e dei verbali di sorveglianza.</w:t>
      </w:r>
    </w:p>
    <w:p>
      <w:pPr>
        <w:spacing w:after="120" w:line="276"/>
        <w:jc w:val="both"/>
      </w:pPr>
      <w:r>
        <w:rPr>
          <w:rFonts w:ascii="Barlow Semi Condensed" w:cs="Barlow Semi Condensed" w:eastAsia="Barlow Semi Condensed" w:hAnsi="Barlow Semi Condensed"/>
          <w:b/>
          <w:bCs/>
          <w:sz w:val="24"/>
          <w:szCs w:val="24"/>
        </w:rPr>
        <w:t xml:space="preserve">Smentita: assenza di sorveglianza sui viaggi italiani.</w:t>
      </w:r>
    </w:p>
    <w:p>
      <w:pPr>
        <w:spacing w:after="120" w:line="276"/>
        <w:jc w:val="both"/>
      </w:pPr>
      <w:r>
        <w:rPr>
          <w:rFonts w:ascii="Barlow Semi Condensed" w:cs="Barlow Semi Condensed" w:eastAsia="Barlow Semi Condensed" w:hAnsi="Barlow Semi Condensed"/>
          <w:b/>
          <w:bCs/>
          <w:sz w:val="24"/>
          <w:szCs w:val="24"/>
        </w:rPr>
        <w:t xml:space="preserve">Si segnala che questo è l'arco internazionale meglio documentato dell'intera vicenda ed è fra i meno battuti.</w:t>
      </w:r>
    </w:p>
    <w:p>
      <w:pPr>
        <w:pStyle w:val="Heading2"/>
        <w:spacing w:after="100" w:before="200"/>
      </w:pPr>
      <w:r>
        <w:rPr>
          <w:rFonts w:ascii="Barlow Semi Condensed" w:cs="Barlow Semi Condensed" w:eastAsia="Barlow Semi Condensed" w:hAnsi="Barlow Semi Condensed"/>
          <w:sz w:val="24"/>
          <w:szCs w:val="24"/>
        </w:rPr>
        <w:t xml:space="preserve">Voce sedicesima — Il trattamento del comprimario dell'autore del falso</w:t>
      </w:r>
    </w:p>
    <w:p>
      <w:pPr>
        <w:spacing w:after="120" w:line="276"/>
        <w:jc w:val="both"/>
      </w:pPr>
      <w:r>
        <w:rPr>
          <w:rFonts w:ascii="Barlow Semi Condensed" w:cs="Barlow Semi Condensed" w:eastAsia="Barlow Semi Condensed" w:hAnsi="Barlow Semi Condensed"/>
          <w:b/>
          <w:bCs/>
          <w:sz w:val="24"/>
          <w:szCs w:val="24"/>
        </w:rPr>
        <w:t xml:space="preserve">Oggetto: quale ufficio trattasse come fonte confidenziale il comprimario dell'autore del documento apocrifo, qualificato negli atti come confidente anche a significativi livelli. Sede: archivi delle divisioni che trattavano le fonti; annotazioni di servizio.</w:t>
      </w:r>
    </w:p>
    <w:p>
      <w:pPr>
        <w:spacing w:after="120" w:line="276"/>
        <w:jc w:val="both"/>
      </w:pPr>
      <w:r>
        <w:rPr>
          <w:rFonts w:ascii="Barlow Semi Condensed" w:cs="Barlow Semi Condensed" w:eastAsia="Barlow Semi Condensed" w:hAnsi="Barlow Semi Condensed"/>
          <w:b/>
          <w:bCs/>
          <w:sz w:val="24"/>
          <w:szCs w:val="24"/>
        </w:rPr>
        <w:t xml:space="preserve">Chiusura: accertamento della relazione fiduciaria e della sua epoca. Si precisa che rilevano le annotazioni del 1978 e del 1979, e non quelle successive al 1984, quando la vicenda era già emersa e le annotazioni potevano essere redatte in funzione di essa.</w:t>
      </w:r>
    </w:p>
    <w:p>
      <w:pPr>
        <w:spacing w:after="120" w:line="276"/>
        <w:jc w:val="both"/>
      </w:pPr>
      <w:r>
        <w:rPr>
          <w:rFonts w:ascii="Barlow Semi Condensed" w:cs="Barlow Semi Condensed" w:eastAsia="Barlow Semi Condensed" w:hAnsi="Barlow Semi Condensed"/>
          <w:b/>
          <w:bCs/>
          <w:sz w:val="24"/>
          <w:szCs w:val="24"/>
        </w:rPr>
        <w:t xml:space="preserve">Smentita: assenza di trattamento nel periodo, ovvero trattamento avviato soltanto dopo i fatti.</w:t>
      </w:r>
    </w:p>
    <w:p>
      <w:pPr>
        <w:pStyle w:val="Heading2"/>
        <w:spacing w:after="100" w:before="200"/>
      </w:pPr>
      <w:r>
        <w:rPr>
          <w:rFonts w:ascii="Barlow Semi Condensed" w:cs="Barlow Semi Condensed" w:eastAsia="Barlow Semi Condensed" w:hAnsi="Barlow Semi Condensed"/>
          <w:sz w:val="24"/>
          <w:szCs w:val="24"/>
        </w:rPr>
        <w:t xml:space="preserve">Voce diciassettesima — La serie dei documenti apocrifi successivi</w:t>
      </w:r>
    </w:p>
    <w:p>
      <w:pPr>
        <w:spacing w:after="120" w:line="276"/>
        <w:jc w:val="both"/>
      </w:pPr>
      <w:r>
        <w:rPr>
          <w:rFonts w:ascii="Barlow Semi Condensed" w:cs="Barlow Semi Condensed" w:eastAsia="Barlow Semi Condensed" w:hAnsi="Barlow Semi Condensed"/>
          <w:b/>
          <w:bCs/>
          <w:sz w:val="24"/>
          <w:szCs w:val="24"/>
        </w:rPr>
        <w:t xml:space="preserve">Oggetto: le date, i destinatari, il contenuto e gli effetti dei documenti apocrifi di apparente provenienza brigatista che il medesimo autore fece rinvenire, in almeno quattro occasioni distinte, negli anni successivi al 1978. Sede: atti dei procedimenti relativi a ciascun episodio.</w:t>
      </w:r>
    </w:p>
    <w:p>
      <w:pPr>
        <w:spacing w:after="120" w:line="276"/>
        <w:jc w:val="both"/>
      </w:pPr>
      <w:r>
        <w:rPr>
          <w:rFonts w:ascii="Barlow Semi Condensed" w:cs="Barlow Semi Condensed" w:eastAsia="Barlow Semi Condensed" w:hAnsi="Barlow Semi Condensed"/>
          <w:b/>
          <w:bCs/>
          <w:sz w:val="24"/>
          <w:szCs w:val="24"/>
        </w:rPr>
        <w:t xml:space="preserve">Chiusura: trattamento dei quattro episodi come serie unitaria anziché come episodi separati, con accertamento della direzione degli effetti prodotti.</w:t>
      </w:r>
    </w:p>
    <w:p>
      <w:pPr>
        <w:spacing w:after="120" w:line="276"/>
        <w:jc w:val="both"/>
      </w:pPr>
      <w:r>
        <w:rPr>
          <w:rFonts w:ascii="Barlow Semi Condensed" w:cs="Barlow Semi Condensed" w:eastAsia="Barlow Semi Condensed" w:hAnsi="Barlow Semi Condensed"/>
          <w:b/>
          <w:bCs/>
          <w:sz w:val="24"/>
          <w:szCs w:val="24"/>
        </w:rPr>
        <w:t xml:space="preserve">Smentita: effetti divergenti fra loro, che indicherebbero iniziativa autonoma per fini propri.</w:t>
      </w:r>
    </w:p>
    <w:p>
      <w:pPr>
        <w:pStyle w:val="Heading2"/>
        <w:spacing w:after="100" w:before="200"/>
      </w:pPr>
      <w:r>
        <w:rPr>
          <w:rFonts w:ascii="Barlow Semi Condensed" w:cs="Barlow Semi Condensed" w:eastAsia="Barlow Semi Condensed" w:hAnsi="Barlow Semi Condensed"/>
          <w:sz w:val="24"/>
          <w:szCs w:val="24"/>
        </w:rPr>
        <w:t xml:space="preserve">Voce diciottesima — La catena delle armi</w:t>
      </w:r>
    </w:p>
    <w:p>
      <w:pPr>
        <w:spacing w:after="120" w:line="276"/>
        <w:jc w:val="both"/>
      </w:pPr>
      <w:r>
        <w:rPr>
          <w:rFonts w:ascii="Barlow Semi Condensed" w:cs="Barlow Semi Condensed" w:eastAsia="Barlow Semi Condensed" w:hAnsi="Barlow Semi Condensed"/>
          <w:b/>
          <w:bCs/>
          <w:sz w:val="24"/>
          <w:szCs w:val="24"/>
        </w:rPr>
        <w:t xml:space="preserve">Oggetto: la ricostruzione completa del lotto al quale appartiene l'arma impiegata il nove maggio: importazione, via, detenzioni successive, riemersioni in altri procedimenti. Sede: archivi balistici; atti dei procedimenti nei quali armi del lotto sono riemerse.</w:t>
      </w:r>
    </w:p>
    <w:p>
      <w:pPr>
        <w:spacing w:after="120" w:line="276"/>
        <w:jc w:val="both"/>
      </w:pPr>
      <w:r>
        <w:rPr>
          <w:rFonts w:ascii="Barlow Semi Condensed" w:cs="Barlow Semi Condensed" w:eastAsia="Barlow Semi Condensed" w:hAnsi="Barlow Semi Condensed"/>
          <w:b/>
          <w:bCs/>
          <w:sz w:val="24"/>
          <w:szCs w:val="24"/>
        </w:rPr>
        <w:t xml:space="preserve">Chiusura: compilazione della catena per intero.</w:t>
      </w:r>
    </w:p>
    <w:p>
      <w:pPr>
        <w:spacing w:after="120" w:line="276"/>
        <w:jc w:val="both"/>
      </w:pPr>
      <w:r>
        <w:rPr>
          <w:rFonts w:ascii="Barlow Semi Condensed" w:cs="Barlow Semi Condensed" w:eastAsia="Barlow Semi Condensed" w:hAnsi="Barlow Semi Condensed"/>
          <w:b/>
          <w:bCs/>
          <w:sz w:val="24"/>
          <w:szCs w:val="24"/>
        </w:rPr>
        <w:t xml:space="preserve">Smentita: catena che resti interna al medesimo ambiente.</w:t>
      </w:r>
    </w:p>
    <w:p>
      <w:pPr>
        <w:spacing w:after="120" w:line="276"/>
        <w:jc w:val="both"/>
      </w:pPr>
      <w:r>
        <w:rPr>
          <w:rFonts w:ascii="Barlow Semi Condensed" w:cs="Barlow Semi Condensed" w:eastAsia="Barlow Semi Condensed" w:hAnsi="Barlow Semi Condensed"/>
          <w:b/>
          <w:bCs/>
          <w:sz w:val="24"/>
          <w:szCs w:val="24"/>
        </w:rPr>
        <w:t xml:space="preserve">Si ricorda che il dato tecnico sulla fabbricazione è al grado massimo e ogni inferenza sulla provenienza operativa al grado minimo, e che la presente voce non è diretta a promuovere la seconda ma a documentare la circolazione.</w:t>
      </w:r>
    </w:p>
    <w:p>
      <w:pPr>
        <w:pStyle w:val="Heading2"/>
        <w:spacing w:after="100" w:before="200"/>
      </w:pPr>
      <w:r>
        <w:rPr>
          <w:rFonts w:ascii="Barlow Semi Condensed" w:cs="Barlow Semi Condensed" w:eastAsia="Barlow Semi Condensed" w:hAnsi="Barlow Semi Condensed"/>
          <w:sz w:val="24"/>
          <w:szCs w:val="24"/>
        </w:rPr>
        <w:t xml:space="preserve">Voce diciannovesima — Il lotto degli ordigni sottratti nel 1972</w:t>
      </w:r>
    </w:p>
    <w:p>
      <w:pPr>
        <w:spacing w:after="120" w:line="276"/>
        <w:jc w:val="both"/>
      </w:pPr>
      <w:r>
        <w:rPr>
          <w:rFonts w:ascii="Barlow Semi Condensed" w:cs="Barlow Semi Condensed" w:eastAsia="Barlow Semi Condensed" w:hAnsi="Barlow Semi Condensed"/>
          <w:b/>
          <w:bCs/>
          <w:sz w:val="24"/>
          <w:szCs w:val="24"/>
        </w:rPr>
        <w:t xml:space="preserve">Oggetto: la mappa completa delle riemersioni dello stock di centotrentacinque bombe a mano sottratte da un deposito militare elvetico il sedici novembre 1972, con data, luogo e ambiente detentore di ciascuna. Sede: archivi elvetici e italiani; atti dei procedimenti in cui ordigni del lotto sono riemersi.</w:t>
      </w:r>
    </w:p>
    <w:p>
      <w:pPr>
        <w:spacing w:after="120" w:line="276"/>
        <w:jc w:val="both"/>
      </w:pPr>
      <w:r>
        <w:rPr>
          <w:rFonts w:ascii="Barlow Semi Condensed" w:cs="Barlow Semi Condensed" w:eastAsia="Barlow Semi Condensed" w:hAnsi="Barlow Semi Condensed"/>
          <w:b/>
          <w:bCs/>
          <w:sz w:val="24"/>
          <w:szCs w:val="24"/>
        </w:rPr>
        <w:t xml:space="preserve">Chiusura: compilazione della mappa.</w:t>
      </w:r>
    </w:p>
    <w:p>
      <w:pPr>
        <w:spacing w:after="120" w:line="276"/>
        <w:jc w:val="both"/>
      </w:pPr>
      <w:r>
        <w:rPr>
          <w:rFonts w:ascii="Barlow Semi Condensed" w:cs="Barlow Semi Condensed" w:eastAsia="Barlow Semi Condensed" w:hAnsi="Barlow Semi Condensed"/>
          <w:b/>
          <w:bCs/>
          <w:sz w:val="24"/>
          <w:szCs w:val="24"/>
        </w:rPr>
        <w:t xml:space="preserve">Smentita: distribuzione concentrata in un solo ambiente.</w:t>
      </w:r>
    </w:p>
    <w:p>
      <w:pPr>
        <w:spacing w:after="120" w:line="276"/>
        <w:jc w:val="both"/>
      </w:pPr>
      <w:r>
        <w:rPr>
          <w:rFonts w:ascii="Barlow Semi Condensed" w:cs="Barlow Semi Condensed" w:eastAsia="Barlow Semi Condensed" w:hAnsi="Barlow Semi Condensed"/>
          <w:b/>
          <w:bCs/>
          <w:sz w:val="24"/>
          <w:szCs w:val="24"/>
        </w:rPr>
        <w:t xml:space="preserve">Si segnala che è il solo filone dell'intera vicenda che poggi su oggetti numerati, e che non risulta mai essere stato compilato per intero.</w:t>
      </w:r>
    </w:p>
    <w:p>
      <w:pPr>
        <w:pStyle w:val="Heading2"/>
        <w:spacing w:after="100" w:before="200"/>
      </w:pPr>
      <w:r>
        <w:rPr>
          <w:rFonts w:ascii="Barlow Semi Condensed" w:cs="Barlow Semi Condensed" w:eastAsia="Barlow Semi Condensed" w:hAnsi="Barlow Semi Condensed"/>
          <w:sz w:val="24"/>
          <w:szCs w:val="24"/>
        </w:rPr>
        <w:t xml:space="preserve">Nota sulla tavola accresciuta</w:t>
      </w:r>
    </w:p>
    <w:p>
      <w:pPr>
        <w:spacing w:after="120" w:line="276"/>
        <w:jc w:val="both"/>
      </w:pPr>
      <w:r>
        <w:rPr>
          <w:rFonts w:ascii="Barlow Semi Condensed" w:cs="Barlow Semi Condensed" w:eastAsia="Barlow Semi Condensed" w:hAnsi="Barlow Semi Condensed"/>
          <w:b/>
          <w:bCs/>
          <w:sz w:val="24"/>
          <w:szCs w:val="24"/>
        </w:rPr>
        <w:t xml:space="preserve">Si conferma quanto già osservato al Capitolo sessantanovesimo, e con maggior forza ora che le voci sono diciannove: nessuna di esse richiede una decisione metodologica. Tutte richiedono un accesso.</w:t>
      </w:r>
    </w:p>
    <w:p>
      <w:pPr>
        <w:spacing w:after="120" w:line="276"/>
        <w:jc w:val="both"/>
      </w:pPr>
      <w:r>
        <w:rPr>
          <w:rFonts w:ascii="Barlow Semi Condensed" w:cs="Barlow Semi Condensed" w:eastAsia="Barlow Semi Condensed" w:hAnsi="Barlow Semi Condensed"/>
          <w:b/>
          <w:bCs/>
          <w:sz w:val="24"/>
          <w:szCs w:val="24"/>
        </w:rPr>
        <w:t xml:space="preserve">Giunta al termine dei settanta Capitoli, e accresciuta la tavola di dieci voci, l'opera non è ferma per difetto di metodo. È ferma davanti a porte di archivio, e le porte sono ora nominate una per una.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Cantiere: tavola delle acquisizioni necessarie. Materia: accrescimento da nove a diciannove voci per recepimento della sola parte documentale di una ricognizione operativa esterna.</w:t>
      </w:r>
    </w:p>
    <w:p>
      <w:pPr>
        <w:spacing w:after="120" w:line="276"/>
        <w:jc w:val="both"/>
      </w:pPr>
      <w:r>
        <w:rPr>
          <w:rFonts w:ascii="Barlow Semi Condensed" w:cs="Barlow Semi Condensed" w:eastAsia="Barlow Semi Condensed" w:hAnsi="Barlow Semi Condensed"/>
          <w:b/>
          <w:bCs/>
          <w:sz w:val="24"/>
          <w:szCs w:val="24"/>
        </w:rPr>
        <w:t xml:space="preserve">Esito: dieci voci nuove, ciascuna con oggetto, sede, condizione di chiusura e condizione di smentita. Una voce anteriore, la quinta, è elevata di rango per riconoscimento della sua natura pregiudiziale rispetto all'intera valutazione delle omissioni.</w:t>
      </w:r>
    </w:p>
    <w:p>
      <w:pPr>
        <w:spacing w:after="120" w:line="276"/>
        <w:jc w:val="both"/>
      </w:pPr>
      <w:r>
        <w:rPr>
          <w:rFonts w:ascii="Barlow Semi Condensed" w:cs="Barlow Semi Condensed" w:eastAsia="Barlow Semi Condensed" w:hAnsi="Barlow Semi Condensed"/>
          <w:b/>
          <w:bCs/>
          <w:sz w:val="24"/>
          <w:szCs w:val="24"/>
        </w:rPr>
        <w:t xml:space="preserve">Riga di esclusione dichiarata. Non sono recepiti nell'opera, e restano nel documento operativo esterno, la distribuzione di propensioni soggettive fra scenari alternativi e la sua rinormalizzazione. L'esclusione è motivata al principio della presente appendice e non è di cautela ma di natura: l'opera gradua le proposizioni secondo le fonti e non secondo la fiducia dell'autore.</w:t>
      </w:r>
    </w:p>
    <w:p>
      <w:pPr>
        <w:spacing w:after="120" w:line="276"/>
        <w:jc w:val="both"/>
      </w:pPr>
      <w:r>
        <w:rPr>
          <w:rFonts w:ascii="Barlow Semi Condensed" w:cs="Barlow Semi Condensed" w:eastAsia="Barlow Semi Condensed" w:hAnsi="Barlow Semi Condensed"/>
          <w:b/>
          <w:bCs/>
          <w:sz w:val="24"/>
          <w:szCs w:val="24"/>
        </w:rPr>
        <w:t xml:space="preserve">Riga di avvertenza. Chi conduca gli accertamenti qui iscritti registri gli esiti negativi con la medesima precisione degli esiti positivi, e tenga distinto ciò che il documento attesta da ciò che egli ne inferisce. La seconda distinzione va scritta e non tenuta a mente.</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ALLA FASE SETTIMA, tavola accresciuta delle acquisizioni necessarie, quindici agosto duemilaventisei. I settanta Capitoli restano settanta. Resta sovrana la Regola di Ferro: dove la fonte documenta, l'opera certifica; dove la fonte tace, l'opera indaga e non afferma.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quindicesimo · Il Registro dei cinquantacinque giorni, opera seconda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quindicesimo: 42.751 parole in 9 sezioni; la più ampia è §9 Altre sezioni, con 42.469.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quindicesimo: 1.157 paragrafi in 9 sezioni, 129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Appendici · L'apparato dei gradi (indice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1.822 parole in 7 sezioni; la più ampia è §7 Lettura d'insieme dell'apparato, con 366.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15 paragrafi in 7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Relazione sui lavori in stile moroteo (pastiche dichiarato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829 parole in 4 sezioni; la più ampia è §2 II. Del corpus guevariano e della sua verifica, con 291.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III. Verifica di un elenco esterno (i trentatré nomi)</w:t>
      </w:r>
    </w:p>
    <w:p>
      <w:pPr>
        <w:pStyle w:val="Heading1"/>
        <w:spacing w:after="120" w:before="240"/>
      </w:pPr>
      <w:r>
        <w:rPr>
          <w:rFonts w:ascii="Barlow Semi Condensed" w:cs="Barlow Semi Condensed" w:eastAsia="Barlow Semi Condensed" w:hAnsi="Barlow Semi Condensed"/>
          <w:sz w:val="24"/>
          <w:szCs w:val="24"/>
        </w:rPr>
        <w:t xml:space="preserve">Verifica dell'elenco dei trentatré nomi e dei numeri di tessera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La dichiarazione sta in apertura perché è parte</w:t>
      </w:r>
    </w:p>
    <w:p>
      <w:pPr>
        <w:spacing w:after="120" w:line="276"/>
        <w:jc w:val="both"/>
      </w:pPr>
      <w:r>
        <w:rPr>
          <w:rFonts w:ascii="Barlow Semi Condensed" w:cs="Barlow Semi Condensed" w:eastAsia="Barlow Semi Condensed" w:hAnsi="Barlow Semi Condensed"/>
          <w:sz w:val="24"/>
          <w:szCs w:val="24"/>
        </w:rPr>
        <w:t xml:space="preserve">dell'oggetto, non una circostanza accessoria della produzione.*</w:t>
      </w:r>
    </w:p>
    <w:p>
      <w:pPr>
        <w:spacing w:after="120" w:line="276"/>
        <w:jc w:val="both"/>
      </w:pPr>
      <w:r>
        <w:rPr>
          <w:rFonts w:ascii="Barlow Semi Condensed" w:cs="Barlow Semi Condensed" w:eastAsia="Barlow Semi Condensed" w:hAnsi="Barlow Semi Condensed"/>
          <w:b/>
          <w:bCs/>
          <w:sz w:val="24"/>
          <w:szCs w:val="24"/>
        </w:rPr>
        <w:t xml:space="preserve">Lotto:</w:t>
      </w:r>
      <w:r>
        <w:rPr>
          <w:rFonts w:ascii="Barlow Semi Condensed" w:cs="Barlow Semi Condensed" w:eastAsia="Barlow Semi Condensed" w:hAnsi="Barlow Semi Condensed"/>
          <w:sz w:val="24"/>
          <w:szCs w:val="24"/>
        </w:rPr>
        <w:t xml:space="preserve"> verifica di un testo esterno sottoposto al corpus il 26 agosto 2026.</w:t>
      </w:r>
    </w:p>
    <w:p>
      <w:pPr>
        <w:spacing w:after="120" w:line="276"/>
        <w:jc w:val="both"/>
      </w:pPr>
      <w:r>
        <w:rPr>
          <w:rFonts w:ascii="Barlow Semi Condensed" w:cs="Barlow Semi Condensed" w:eastAsia="Barlow Semi Condensed" w:hAnsi="Barlow Semi Condensed"/>
          <w:b/>
          <w:bCs/>
          <w:sz w:val="24"/>
          <w:szCs w:val="24"/>
        </w:rPr>
        <w:t xml:space="preserve">Oggetto:</w:t>
      </w:r>
      <w:r>
        <w:rPr>
          <w:rFonts w:ascii="Barlow Semi Condensed" w:cs="Barlow Semi Condensed" w:eastAsia="Barlow Semi Condensed" w:hAnsi="Barlow Semi Condensed"/>
          <w:sz w:val="24"/>
          <w:szCs w:val="24"/>
        </w:rPr>
        <w:t xml:space="preserve"> una tabella di trentatré nominativi con ruolo attribuito nella</w:t>
      </w:r>
    </w:p>
    <w:p>
      <w:pPr>
        <w:spacing w:after="120" w:line="276"/>
        <w:jc w:val="both"/>
      </w:pPr>
      <w:r>
        <w:rPr>
          <w:rFonts w:ascii="Barlow Semi Condensed" w:cs="Barlow Semi Condensed" w:eastAsia="Barlow Semi Condensed" w:hAnsi="Barlow Semi Condensed"/>
          <w:sz w:val="24"/>
          <w:szCs w:val="24"/>
        </w:rPr>
        <w:t xml:space="preserve">primavera del 1978 e presunto numero di tessera della loggia Propaganda Due.</w:t>
      </w:r>
    </w:p>
    <w:p>
      <w:pPr>
        <w:spacing w:after="120" w:line="276"/>
        <w:jc w:val="both"/>
      </w:pPr>
      <w:r>
        <w:rPr>
          <w:rFonts w:ascii="Barlow Semi Condensed" w:cs="Barlow Semi Condensed" w:eastAsia="Barlow Semi Condensed" w:hAnsi="Barlow Semi Condensed"/>
          <w:b/>
          <w:bCs/>
          <w:sz w:val="24"/>
          <w:szCs w:val="24"/>
        </w:rPr>
        <w:t xml:space="preserve">Esito in una riga:</w:t>
      </w:r>
      <w:r>
        <w:rPr>
          <w:rFonts w:ascii="Barlow Semi Condensed" w:cs="Barlow Semi Condensed" w:eastAsia="Barlow Semi Condensed" w:hAnsi="Barlow Semi Condensed"/>
          <w:sz w:val="24"/>
          <w:szCs w:val="24"/>
        </w:rPr>
        <w:t xml:space="preserve"> i nomi in larga parte reggono, i numeri 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Metodo</w:t>
      </w:r>
    </w:p>
    <w:p>
      <w:pPr>
        <w:spacing w:after="120" w:line="276"/>
        <w:jc w:val="both"/>
      </w:pPr>
      <w:r>
        <w:rPr>
          <w:rFonts w:ascii="Barlow Semi Condensed" w:cs="Barlow Semi Condensed" w:eastAsia="Barlow Semi Condensed" w:hAnsi="Barlow Semi Condensed"/>
          <w:sz w:val="24"/>
          <w:szCs w:val="24"/>
        </w:rPr>
        <w:t xml:space="preserve">Un elenco si verifica </w:t>
      </w:r>
      <w:r>
        <w:rPr>
          <w:rFonts w:ascii="Barlow Semi Condensed" w:cs="Barlow Semi Condensed" w:eastAsia="Barlow Semi Condensed" w:hAnsi="Barlow Semi Condensed"/>
          <w:b/>
          <w:bCs/>
          <w:sz w:val="24"/>
          <w:szCs w:val="24"/>
        </w:rPr>
        <w:t xml:space="preserve">per campi separati, non in blocco</w:t>
      </w:r>
      <w:r>
        <w:rPr>
          <w:rFonts w:ascii="Barlow Semi Condensed" w:cs="Barlow Semi Condensed" w:eastAsia="Barlow Semi Condensed" w:hAnsi="Barlow Semi Condensed"/>
          <w:sz w:val="24"/>
          <w:szCs w:val="24"/>
        </w:rPr>
        <w:t xml:space="preserve">. La tabella esaminata</w:t>
      </w:r>
    </w:p>
    <w:p>
      <w:pPr>
        <w:spacing w:after="120" w:line="276"/>
        <w:jc w:val="both"/>
      </w:pPr>
      <w:r>
        <w:rPr>
          <w:rFonts w:ascii="Barlow Semi Condensed" w:cs="Barlow Semi Condensed" w:eastAsia="Barlow Semi Condensed" w:hAnsi="Barlow Semi Condensed"/>
          <w:sz w:val="24"/>
          <w:szCs w:val="24"/>
        </w:rPr>
        <w:t xml:space="preserve">presenta quattro campi in una riga sola e chiede di crederli insieme:</w:t>
      </w:r>
    </w:p>
    <w:p>
      <w:pPr>
        <w:spacing w:after="40"/>
        <w:ind w:left="360"/>
        <w:jc w:val="both"/>
      </w:pPr>
      <w:r>
        <w:rPr>
          <w:rFonts w:ascii="Barlow Semi Condensed" w:cs="Barlow Semi Condensed" w:eastAsia="Barlow Semi Condensed" w:hAnsi="Barlow Semi Condensed"/>
          <w:sz w:val="24"/>
          <w:szCs w:val="24"/>
        </w:rPr>
        <w:t xml:space="preserve">1. il nome della persona;</w:t>
      </w:r>
    </w:p>
    <w:p>
      <w:pPr>
        <w:spacing w:after="40"/>
        <w:ind w:left="360"/>
        <w:jc w:val="both"/>
      </w:pPr>
      <w:r>
        <w:rPr>
          <w:rFonts w:ascii="Barlow Semi Condensed" w:cs="Barlow Semi Condensed" w:eastAsia="Barlow Semi Condensed" w:hAnsi="Barlow Semi Condensed"/>
          <w:sz w:val="24"/>
          <w:szCs w:val="24"/>
        </w:rPr>
        <w:t xml:space="preserve">2. il ruolo istituzionale ricoperto nella primavera del 1978;</w:t>
      </w:r>
    </w:p>
    <w:p>
      <w:pPr>
        <w:spacing w:after="40"/>
        <w:ind w:left="360"/>
        <w:jc w:val="both"/>
      </w:pPr>
      <w:r>
        <w:rPr>
          <w:rFonts w:ascii="Barlow Semi Condensed" w:cs="Barlow Semi Condensed" w:eastAsia="Barlow Semi Condensed" w:hAnsi="Barlow Semi Condensed"/>
          <w:sz w:val="24"/>
          <w:szCs w:val="24"/>
        </w:rPr>
        <w:t xml:space="preserve">3. l'appartenenza agli elenchi sequestrati a Castiglion Fibocchi il 17 marzo 1981;</w:t>
      </w:r>
    </w:p>
    <w:p>
      <w:pPr>
        <w:spacing w:after="40"/>
        <w:ind w:left="360"/>
        <w:jc w:val="both"/>
      </w:pPr>
      <w:r>
        <w:rPr>
          <w:rFonts w:ascii="Barlow Semi Condensed" w:cs="Barlow Semi Condensed" w:eastAsia="Barlow Semi Condensed" w:hAnsi="Barlow Semi Condensed"/>
          <w:sz w:val="24"/>
          <w:szCs w:val="24"/>
        </w:rPr>
        <w:t xml:space="preserve">4. il numero di tessera.</w:t>
      </w:r>
    </w:p>
    <w:p>
      <w:pPr>
        <w:spacing w:after="120" w:line="276"/>
        <w:jc w:val="both"/>
      </w:pPr>
      <w:r>
        <w:rPr>
          <w:rFonts w:ascii="Barlow Semi Condensed" w:cs="Barlow Semi Condensed" w:eastAsia="Barlow Semi Condensed" w:hAnsi="Barlow Semi Condensed"/>
          <w:sz w:val="24"/>
          <w:szCs w:val="24"/>
        </w:rPr>
        <w:t xml:space="preserve">Presi uno alla volta si comportano in modo molto diverso. Il quarto campo — quello</w:t>
      </w:r>
    </w:p>
    <w:p>
      <w:pPr>
        <w:spacing w:after="120" w:line="276"/>
        <w:jc w:val="both"/>
      </w:pPr>
      <w:r>
        <w:rPr>
          <w:rFonts w:ascii="Barlow Semi Condensed" w:cs="Barlow Semi Condensed" w:eastAsia="Barlow Semi Condensed" w:hAnsi="Barlow Semi Condensed"/>
          <w:sz w:val="24"/>
          <w:szCs w:val="24"/>
        </w:rPr>
        <w:t xml:space="preserve">su cui il testo chiede di costruire un calcolo di percentuali sui 962 — è l'unico</w:t>
      </w:r>
    </w:p>
    <w:p>
      <w:pPr>
        <w:spacing w:after="120" w:line="276"/>
        <w:jc w:val="both"/>
      </w:pPr>
      <w:r>
        <w:rPr>
          <w:rFonts w:ascii="Barlow Semi Condensed" w:cs="Barlow Semi Condensed" w:eastAsia="Barlow Semi Condensed" w:hAnsi="Barlow Semi Condensed"/>
          <w:sz w:val="24"/>
          <w:szCs w:val="24"/>
        </w:rPr>
        <w:t xml:space="preserve">per cui non esiste alcun riscontro indipendente.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nomi che reggono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nomi elencati nella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persone reali con ruolo del 1978 verificabile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numero di tessera corroborato fuori dal testo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Il rilievo dirimente: la soglia del 1.600</w:t>
      </w:r>
    </w:p>
    <w:p>
      <w:pPr>
        <w:spacing w:after="120" w:line="276"/>
        <w:jc w:val="both"/>
      </w:pPr>
      <w:r>
        <w:rPr>
          <w:rFonts w:ascii="Barlow Semi Condensed" w:cs="Barlow Semi Condensed" w:eastAsia="Barlow Semi Condensed" w:hAnsi="Barlow Semi Condensed"/>
          <w:sz w:val="24"/>
          <w:szCs w:val="24"/>
        </w:rPr>
        <w:t xml:space="preserve">Nelle audizioni della Commissione parlamentare d'inchiesta è verbalizzato che la</w:t>
      </w:r>
    </w:p>
    <w:p>
      <w:pPr>
        <w:spacing w:after="120" w:line="276"/>
        <w:jc w:val="both"/>
      </w:pPr>
      <w:r>
        <w:rPr>
          <w:rFonts w:ascii="Barlow Semi Condensed" w:cs="Barlow Semi Condensed" w:eastAsia="Barlow Semi Condensed" w:hAnsi="Barlow Semi Condensed"/>
          <w:sz w:val="24"/>
          <w:szCs w:val="24"/>
        </w:rPr>
        <w:t xml:space="preserve">numerazione delle tessere sequestrate presenta ampi vuoti e che **nessuna tessera</w:t>
      </w:r>
    </w:p>
    <w:p>
      <w:pPr>
        <w:spacing w:after="120" w:line="276"/>
        <w:jc w:val="both"/>
      </w:pPr>
      <w:r>
        <w:rPr>
          <w:rFonts w:ascii="Barlow Semi Condensed" w:cs="Barlow Semi Condensed" w:eastAsia="Barlow Semi Condensed" w:hAnsi="Barlow Semi Condensed"/>
          <w:sz w:val="24"/>
          <w:szCs w:val="24"/>
        </w:rPr>
        <w:t xml:space="preserve">aveva numero inferiore al 1.600**. È il dato da cui la Commissione ricavò</w:t>
      </w:r>
    </w:p>
    <w:p>
      <w:pPr>
        <w:spacing w:after="120" w:line="276"/>
        <w:jc w:val="both"/>
      </w:pPr>
      <w:r>
        <w:rPr>
          <w:rFonts w:ascii="Barlow Semi Condensed" w:cs="Barlow Semi Condensed" w:eastAsia="Barlow Semi Condensed" w:hAnsi="Barlow Semi Condensed"/>
          <w:sz w:val="24"/>
          <w:szCs w:val="24"/>
        </w:rPr>
        <w:t xml:space="preserve">l'ipotesi che l'archivio della Giole fosse una «piramide inferiore».</w:t>
      </w:r>
    </w:p>
    <w:p>
      <w:pPr>
        <w:spacing w:after="120" w:line="276"/>
        <w:jc w:val="both"/>
      </w:pPr>
      <w:r>
        <w:rPr>
          <w:rFonts w:ascii="Barlow Semi Condensed" w:cs="Barlow Semi Condensed" w:eastAsia="Barlow Semi Condensed" w:hAnsi="Barlow Semi Condensed"/>
          <w:sz w:val="24"/>
          <w:szCs w:val="24"/>
        </w:rPr>
        <w:t xml:space="preserve">Quattro dei trentatré valori dichiarati come numero di tessera cadono sotto quella</w:t>
      </w:r>
    </w:p>
    <w:p>
      <w:pPr>
        <w:spacing w:after="120" w:line="276"/>
        <w:jc w:val="both"/>
      </w:pPr>
      <w:r>
        <w:rPr>
          <w:rFonts w:ascii="Barlow Semi Condensed" w:cs="Barlow Semi Condensed" w:eastAsia="Barlow Semi Condensed" w:hAnsi="Barlow Semi Condensed"/>
          <w:sz w:val="24"/>
          <w:szCs w:val="24"/>
        </w:rPr>
        <w:t xml:space="preserve">soglia; un quinto vi si posa esattamente sopra.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 dichiarato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rilievo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Sergio Di Donato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Vincenzo Rizzuti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Raffaele Giudice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1.592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Donato Lo Prete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1.600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esattamente sulla soglia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Gli altri ventotto stanno fra 1.602 e 1.887, dentro l'intervallo plausibile.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w:t>
      </w:r>
      <w:r>
        <w:rPr>
          <w:rFonts w:ascii="Barlow Semi Condensed" w:cs="Barlow Semi Condensed" w:eastAsia="Barlow Semi Condensed" w:hAnsi="Barlow Semi Condensed"/>
          <w:i w:val="false"/>
          <w:iCs w:val="false"/>
          <w:sz w:val="24"/>
          <w:szCs w:val="24"/>
        </w:rPr>
        <w:t xml:space="preserve"> Questo paragrafo va letto insieme a `</w:t>
      </w:r>
      <w:r>
        <w:rPr>
          <w:rFonts w:ascii="Barlow Semi Condensed" w:cs="Barlow Semi Condensed" w:eastAsia="Barlow Semi Condensed" w:hAnsi="Barlow Semi Condensed"/>
          <w:i w:val="false"/>
          <w:iCs w:val="false"/>
          <w:sz w:val="24"/>
          <w:szCs w:val="24"/>
        </w:rPr>
        <w:t xml:space="preserve">certificazione-numeri-p2.md</w:t>
      </w:r>
      <w:r>
        <w:rPr>
          <w:rFonts w:ascii="Barlow Semi Condensed" w:cs="Barlow Semi Condensed" w:eastAsia="Barlow Semi Condensed" w:hAnsi="Barlow Semi Condensed"/>
          <w:i w:val="false"/>
          <w:iCs w:val="false"/>
          <w:sz w:val="24"/>
          <w:szCs w:val="24"/>
        </w:rPr>
        <w:t xml:space="preserve">`, che ne corregge due punti.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la formulazione «nessuna tessera aveva numero inferiore al 1.600» è troppo forte — la stessa fonte cita la tessera 506 di Mario Marsili e la 1508 di Ezio Giunchiglia. La formulazione difendibile è «la numerazione degli elenchi sequestrati comincia intorno a 1.600»: resta un indizio, non è un test di esclusione.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e più importante: due coppie attestate — Berlusconi (Milano, 625) con tessera 1816, Costanzo (Roma, 626) con tessera 1819 — dimostrano che </w:t>
      </w:r>
      <w:r>
        <w:rPr>
          <w:rFonts w:ascii="Barlow Semi Condensed" w:cs="Barlow Semi Condensed" w:eastAsia="Barlow Semi Condensed" w:hAnsi="Barlow Semi Condensed"/>
          <w:b/>
          <w:bCs/>
          <w:i w:val="false"/>
          <w:iCs w:val="false"/>
          <w:sz w:val="24"/>
          <w:szCs w:val="24"/>
        </w:rPr>
        <w:t xml:space="preserve">la cifra fra parentesi nelle trascrizioni è il numero di fascicolo, non quello di tessera</w:t>
      </w:r>
      <w:r>
        <w:rPr>
          <w:rFonts w:ascii="Barlow Semi Condensed" w:cs="Barlow Semi Condensed" w:eastAsia="Barlow Semi Condensed" w:hAnsi="Barlow Semi Condensed"/>
          <w:i w:val="false"/>
          <w:iCs w:val="false"/>
          <w:sz w:val="24"/>
          <w:szCs w:val="24"/>
        </w:rPr>
        <w:t xml:space="preserve">. I quattro valori qui elencati come «tessere impossibili» sono, più probabilmente, fascicoli con l'etichetta sbagliata. L'errore resta scritto sopra; la correzione gli sta accanto.</w:t>
      </w:r>
    </w:p>
    <w:p>
      <w:pPr>
        <w:spacing w:after="120" w:line="276"/>
        <w:jc w:val="both"/>
      </w:pPr>
      <w:r>
        <w:rPr>
          <w:rFonts w:ascii="Barlow Semi Condensed" w:cs="Barlow Semi Condensed" w:eastAsia="Barlow Semi Condensed" w:hAnsi="Barlow Semi Condensed"/>
          <w:sz w:val="24"/>
          <w:szCs w:val="24"/>
        </w:rPr>
        <w:t xml:space="preserve">Il testo </w:t>
      </w:r>
      <w:r>
        <w:rPr>
          <w:rFonts w:ascii="Barlow Semi Condensed" w:cs="Barlow Semi Condensed" w:eastAsia="Barlow Semi Condensed" w:hAnsi="Barlow Semi Condensed"/>
          <w:b/>
          <w:bCs/>
          <w:sz w:val="24"/>
          <w:szCs w:val="24"/>
        </w:rPr>
        <w:t xml:space="preserve">conosce</w:t>
      </w:r>
      <w:r>
        <w:rPr>
          <w:rFonts w:ascii="Barlow Semi Condensed" w:cs="Barlow Semi Condensed" w:eastAsia="Barlow Semi Condensed" w:hAnsi="Barlow Semi Condensed"/>
          <w:sz w:val="24"/>
          <w:szCs w:val="24"/>
        </w:rPr>
        <w:t xml:space="preserve"> quella soglia: la enuncia in un proprio passaggio e cita la</w:t>
      </w:r>
    </w:p>
    <w:p>
      <w:pPr>
        <w:spacing w:after="120" w:line="276"/>
        <w:jc w:val="both"/>
      </w:pPr>
      <w:r>
        <w:rPr>
          <w:rFonts w:ascii="Barlow Semi Condensed" w:cs="Barlow Semi Condensed" w:eastAsia="Barlow Semi Condensed" w:hAnsi="Barlow Semi Condensed"/>
          <w:sz w:val="24"/>
          <w:szCs w:val="24"/>
        </w:rPr>
        <w:t xml:space="preserve">tessera 1711 di Gelli. Corregge inoltre un nome — «Santovito non è 163, è</w:t>
      </w:r>
    </w:p>
    <w:p>
      <w:pPr>
        <w:spacing w:after="120" w:line="276"/>
        <w:jc w:val="both"/>
      </w:pPr>
      <w:r>
        <w:rPr>
          <w:rFonts w:ascii="Barlow Semi Condensed" w:cs="Barlow Semi Condensed" w:eastAsia="Barlow Semi Condensed" w:hAnsi="Barlow Semi Condensed"/>
          <w:sz w:val="24"/>
          <w:szCs w:val="24"/>
        </w:rPr>
        <w:t xml:space="preserve">Salacone» — senza avvedersi che la correzione lascia il 163 dov'era.</w:t>
      </w:r>
    </w:p>
    <w:p>
      <w:pPr>
        <w:spacing w:after="120" w:line="276"/>
        <w:jc w:val="both"/>
      </w:pPr>
      <w:r>
        <w:rPr>
          <w:rFonts w:ascii="Barlow Semi Condensed" w:cs="Barlow Semi Condensed" w:eastAsia="Barlow Semi Condensed" w:hAnsi="Barlow Semi Condensed"/>
          <w:sz w:val="24"/>
          <w:szCs w:val="24"/>
        </w:rPr>
        <w:t xml:space="preserve">Non sono cifre sbagliate di poco: sono cifre che quel campo non poteva contenere.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Le collisioni interne</w:t>
      </w:r>
    </w:p>
    <w:p>
      <w:pPr>
        <w:spacing w:after="120" w:line="276"/>
        <w:jc w:val="both"/>
      </w:pPr>
      <w:r>
        <w:rPr>
          <w:rFonts w:ascii="Barlow Semi Condensed" w:cs="Barlow Semi Condensed" w:eastAsia="Barlow Semi Condensed" w:hAnsi="Barlow Semi Condensed"/>
          <w:sz w:val="24"/>
          <w:szCs w:val="24"/>
        </w:rPr>
        <w:t xml:space="preserve">Cinque valori compaiono in due posizioni incompatibili. Non serve un archivio per</w:t>
      </w:r>
    </w:p>
    <w:p>
      <w:pPr>
        <w:spacing w:after="120" w:line="276"/>
        <w:jc w:val="both"/>
      </w:pPr>
      <w:r>
        <w:rPr>
          <w:rFonts w:ascii="Barlow Semi Condensed" w:cs="Barlow Semi Condensed" w:eastAsia="Barlow Semi Condensed" w:hAnsi="Barlow Semi Condensed"/>
          <w:sz w:val="24"/>
          <w:szCs w:val="24"/>
        </w:rPr>
        <w:t xml:space="preserve">rilevarlo: basta leggere il testo contro sé stesso.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numero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assegnato 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 anche 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Michele Sindona, come tessera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come «1612 (Fascicolo)»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Walter Pelosi, come «Fascicolo 519/1607»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527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«Tessera 527»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530 / 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519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 / 1.711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fascicolo 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tessera 1711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Un numero di fascicolo identifica una posizione e una sola; un numero di tessera</w:t>
      </w:r>
    </w:p>
    <w:p>
      <w:pPr>
        <w:spacing w:after="120" w:line="276"/>
        <w:jc w:val="both"/>
      </w:pPr>
      <w:r>
        <w:rPr>
          <w:rFonts w:ascii="Barlow Semi Condensed" w:cs="Barlow Semi Condensed" w:eastAsia="Barlow Semi Condensed" w:hAnsi="Barlow Semi Condensed"/>
          <w:sz w:val="24"/>
          <w:szCs w:val="24"/>
        </w:rPr>
        <w:t xml:space="preserve">identifica un iscritto e uno solo. Cinque collisioni in un documento che si</w:t>
      </w:r>
    </w:p>
    <w:p>
      <w:pPr>
        <w:spacing w:after="120" w:line="276"/>
        <w:jc w:val="both"/>
      </w:pPr>
      <w:r>
        <w:rPr>
          <w:rFonts w:ascii="Barlow Semi Condensed" w:cs="Barlow Semi Condensed" w:eastAsia="Barlow Semi Condensed" w:hAnsi="Barlow Semi Condensed"/>
          <w:sz w:val="24"/>
          <w:szCs w:val="24"/>
        </w:rPr>
        <w:t xml:space="preserve">presenta come collazione d'archivio sono il segno che i numeri non provengono da</w:t>
      </w:r>
    </w:p>
    <w:p>
      <w:pPr>
        <w:spacing w:after="120" w:line="276"/>
        <w:jc w:val="both"/>
      </w:pPr>
      <w:r>
        <w:rPr>
          <w:rFonts w:ascii="Barlow Semi Condensed" w:cs="Barlow Semi Condensed" w:eastAsia="Barlow Semi Condensed" w:hAnsi="Barlow Semi Condensed"/>
          <w:sz w:val="24"/>
          <w:szCs w:val="24"/>
        </w:rPr>
        <w:t xml:space="preserve">un 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I trentatré, per grado</w:t>
      </w:r>
    </w:p>
    <w:p>
      <w:pPr>
        <w:spacing w:after="120" w:line="276"/>
        <w:jc w:val="both"/>
      </w:pPr>
      <w:r>
        <w:rPr>
          <w:rFonts w:ascii="Barlow Semi Condensed" w:cs="Barlow Semi Condensed" w:eastAsia="Barlow Semi Condensed" w:hAnsi="Barlow Semi Condensed"/>
          <w:sz w:val="24"/>
          <w:szCs w:val="24"/>
        </w:rPr>
        <w:t xml:space="preserve">Il confine fra il grado F e il grado C è **il confine della conoscenza impiegata</w:t>
      </w:r>
    </w:p>
    <w:p>
      <w:pPr>
        <w:spacing w:after="120" w:line="276"/>
        <w:jc w:val="both"/>
      </w:pPr>
      <w:r>
        <w:rPr>
          <w:rFonts w:ascii="Barlow Semi Condensed" w:cs="Barlow Semi Condensed" w:eastAsia="Barlow Semi Condensed" w:hAnsi="Barlow Semi Condensed"/>
          <w:sz w:val="24"/>
          <w:szCs w:val="24"/>
        </w:rPr>
        <w:t xml:space="preserve">in questa verifica, non quello dell'archivio**. Solo l'allegato Anselmi può</w:t>
      </w:r>
    </w:p>
    <w:p>
      <w:pPr>
        <w:spacing w:after="120" w:line="276"/>
        <w:jc w:val="both"/>
      </w:pPr>
      <w:r>
        <w:rPr>
          <w:rFonts w:ascii="Barlow Semi Condensed" w:cs="Barlow Semi Condensed" w:eastAsia="Barlow Semi Condensed" w:hAnsi="Barlow Semi Condensed"/>
          <w:sz w:val="24"/>
          <w:szCs w:val="24"/>
        </w:rPr>
        <w:t xml:space="preserve">spostarlo, in un senso o nell'altro.</w:t>
      </w:r>
    </w:p>
    <w:p>
      <w:pPr>
        <w:pStyle w:val="Heading3"/>
        <w:spacing w:after="80" w:before="160"/>
      </w:pPr>
      <w:r>
        <w:rPr>
          <w:rFonts w:ascii="Barlow Semi Condensed" w:cs="Barlow Semi Condensed" w:eastAsia="Barlow Semi Condensed" w:hAnsi="Barlow Semi Condensed"/>
          <w:sz w:val="24"/>
          <w:szCs w:val="24"/>
        </w:rPr>
        <w:t xml:space="preserve">Grado F — venti nomi</w:t>
      </w:r>
    </w:p>
    <w:p>
      <w:pPr>
        <w:spacing w:after="120" w:line="276"/>
        <w:jc w:val="both"/>
      </w:pPr>
      <w:r>
        <w:rPr>
          <w:rFonts w:ascii="Barlow Semi Condensed" w:cs="Barlow Semi Condensed" w:eastAsia="Barlow Semi Condensed" w:hAnsi="Barlow Semi Condensed"/>
          <w:sz w:val="24"/>
          <w:szCs w:val="24"/>
        </w:rPr>
        <w:t xml:space="preserve">Appartenenza agli elenchi corroborata da fonti indipendenti dal testo verificato.</w:t>
      </w:r>
    </w:p>
    <w:p>
      <w:pPr>
        <w:spacing w:after="120" w:line="276"/>
        <w:jc w:val="both"/>
      </w:pPr>
      <w:r>
        <w:rPr>
          <w:rFonts w:ascii="Barlow Semi Condensed" w:cs="Barlow Semi Condensed" w:eastAsia="Barlow Semi Condensed" w:hAnsi="Barlow Semi Condensed"/>
          <w:sz w:val="24"/>
          <w:szCs w:val="24"/>
        </w:rPr>
        <w:t xml:space="preserve">Il numero resta non corroborato anche qui.</w:t>
      </w:r>
    </w:p>
    <w:p>
      <w:pPr>
        <w:spacing w:after="120" w:line="276"/>
        <w:jc w:val="both"/>
      </w:pPr>
      <w:r>
        <w:rPr>
          <w:rFonts w:ascii="Barlow Semi Condensed" w:cs="Barlow Semi Condensed" w:eastAsia="Barlow Semi Condensed" w:hAnsi="Barlow Semi Condensed"/>
          <w:sz w:val="24"/>
          <w:szCs w:val="24"/>
        </w:rPr>
        <w:t xml:space="preserve">Giuseppe Santovito · Raffaele Giudice · Donato Lo Prete · Vito Miceli ·</w:t>
      </w:r>
    </w:p>
    <w:p>
      <w:pPr>
        <w:spacing w:after="120" w:line="276"/>
        <w:jc w:val="both"/>
      </w:pPr>
      <w:r>
        <w:rPr>
          <w:rFonts w:ascii="Barlow Semi Condensed" w:cs="Barlow Semi Condensed" w:eastAsia="Barlow Semi Condensed" w:hAnsi="Barlow Semi Condensed"/>
          <w:sz w:val="24"/>
          <w:szCs w:val="24"/>
        </w:rPr>
        <w:t xml:space="preserve">Walter Pelosi · Umberto Ortolani · Michele Sindona · Pietro Musumeci ·</w:t>
      </w:r>
    </w:p>
    <w:p>
      <w:pPr>
        <w:spacing w:after="120" w:line="276"/>
        <w:jc w:val="both"/>
      </w:pPr>
      <w:r>
        <w:rPr>
          <w:rFonts w:ascii="Barlow Semi Condensed" w:cs="Barlow Semi Condensed" w:eastAsia="Barlow Semi Condensed" w:hAnsi="Barlow Semi Condensed"/>
          <w:sz w:val="24"/>
          <w:szCs w:val="24"/>
        </w:rPr>
        <w:t xml:space="preserve">Giovanni Torrisi · Roberto Calvi · Elio Cioppa · Giulio Grassini ·</w:t>
      </w:r>
    </w:p>
    <w:p>
      <w:pPr>
        <w:spacing w:after="120" w:line="276"/>
        <w:jc w:val="both"/>
      </w:pPr>
      <w:r>
        <w:rPr>
          <w:rFonts w:ascii="Barlow Semi Condensed" w:cs="Barlow Semi Condensed" w:eastAsia="Barlow Semi Condensed" w:hAnsi="Barlow Semi Condensed"/>
          <w:sz w:val="24"/>
          <w:szCs w:val="24"/>
        </w:rPr>
        <w:t xml:space="preserve">Antonio Cornacchia · Carmelo Spagnuolo · Antonio Varisco · Antonio Viezzer ·</w:t>
      </w:r>
    </w:p>
    <w:p>
      <w:pPr>
        <w:spacing w:after="120" w:line="276"/>
        <w:jc w:val="both"/>
      </w:pPr>
      <w:r>
        <w:rPr>
          <w:rFonts w:ascii="Barlow Semi Condensed" w:cs="Barlow Semi Condensed" w:eastAsia="Barlow Semi Condensed" w:hAnsi="Barlow Semi Condensed"/>
          <w:sz w:val="24"/>
          <w:szCs w:val="24"/>
        </w:rPr>
        <w:t xml:space="preserve">Federico Umberto D'Amato · Mino Pecorelli · Maurizio Costanzo · Franco Di Bella</w:t>
      </w:r>
    </w:p>
    <w:p>
      <w:pPr>
        <w:pStyle w:val="Heading3"/>
        <w:spacing w:after="80" w:before="160"/>
      </w:pPr>
      <w:r>
        <w:rPr>
          <w:rFonts w:ascii="Barlow Semi Condensed" w:cs="Barlow Semi Condensed" w:eastAsia="Barlow Semi Condensed" w:hAnsi="Barlow Semi Condensed"/>
          <w:sz w:val="24"/>
          <w:szCs w:val="24"/>
        </w:rPr>
        <w:t xml:space="preserve">Grado C — dodici nomi</w:t>
      </w:r>
    </w:p>
    <w:p>
      <w:pPr>
        <w:spacing w:after="120" w:line="276"/>
        <w:jc w:val="both"/>
      </w:pPr>
      <w:r>
        <w:rPr>
          <w:rFonts w:ascii="Barlow Semi Condensed" w:cs="Barlow Semi Condensed" w:eastAsia="Barlow Semi Condensed" w:hAnsi="Barlow Semi Condensed"/>
          <w:sz w:val="24"/>
          <w:szCs w:val="24"/>
        </w:rPr>
        <w:t xml:space="preserve">Persona reale e ruolo del 1978 verificabili; appartenenza non corroborata fuori</w:t>
      </w:r>
    </w:p>
    <w:p>
      <w:pPr>
        <w:spacing w:after="120" w:line="276"/>
        <w:jc w:val="both"/>
      </w:pPr>
      <w:r>
        <w:rPr>
          <w:rFonts w:ascii="Barlow Semi Condensed" w:cs="Barlow Semi Condensed" w:eastAsia="Barlow Semi Condensed" w:hAnsi="Barlow Semi Condensed"/>
          <w:sz w:val="24"/>
          <w:szCs w:val="24"/>
        </w:rPr>
        <w:t xml:space="preserve">dal testo. Sono due affermazioni di rango diverso, che il testo presenta appaiate.</w:t>
      </w:r>
    </w:p>
    <w:p>
      <w:pPr>
        <w:spacing w:after="120" w:line="276"/>
        <w:jc w:val="both"/>
      </w:pPr>
      <w:r>
        <w:rPr>
          <w:rFonts w:ascii="Barlow Semi Condensed" w:cs="Barlow Semi Condensed" w:eastAsia="Barlow Semi Condensed" w:hAnsi="Barlow Semi Condensed"/>
          <w:sz w:val="24"/>
          <w:szCs w:val="24"/>
        </w:rPr>
        <w:t xml:space="preserve">Sergio Di Donato · Vincenzo Rizzuti · Camillo Guglielmi · Giuseppe Siracusano ·</w:t>
      </w:r>
    </w:p>
    <w:p>
      <w:pPr>
        <w:spacing w:after="120" w:line="276"/>
        <w:jc w:val="both"/>
      </w:pPr>
      <w:r>
        <w:rPr>
          <w:rFonts w:ascii="Barlow Semi Condensed" w:cs="Barlow Semi Condensed" w:eastAsia="Barlow Semi Condensed" w:hAnsi="Barlow Semi Condensed"/>
          <w:sz w:val="24"/>
          <w:szCs w:val="24"/>
        </w:rPr>
        <w:t xml:space="preserve">Stefano Giovannone · Antonino Geraci · Mario Salacone · Achille Gallucci ·</w:t>
      </w:r>
    </w:p>
    <w:p>
      <w:pPr>
        <w:spacing w:after="120" w:line="276"/>
        <w:jc w:val="both"/>
      </w:pPr>
      <w:r>
        <w:rPr>
          <w:rFonts w:ascii="Barlow Semi Condensed" w:cs="Barlow Semi Condensed" w:eastAsia="Barlow Semi Condensed" w:hAnsi="Barlow Semi Condensed"/>
          <w:sz w:val="24"/>
          <w:szCs w:val="24"/>
        </w:rPr>
        <w:t xml:space="preserve">Francesco Malfatti di Montetretto · Mario Semprini · Antonio Esposito ·</w:t>
      </w:r>
    </w:p>
    <w:p>
      <w:pPr>
        <w:spacing w:after="120" w:line="276"/>
        <w:jc w:val="both"/>
      </w:pPr>
      <w:r>
        <w:rPr>
          <w:rFonts w:ascii="Barlow Semi Condensed" w:cs="Barlow Semi Condensed" w:eastAsia="Barlow Semi Condensed" w:hAnsi="Barlow Semi Condensed"/>
          <w:sz w:val="24"/>
          <w:szCs w:val="24"/>
        </w:rPr>
        <w:t xml:space="preserve">Franco Ferracuti</w:t>
      </w:r>
    </w:p>
    <w:p>
      <w:pPr>
        <w:spacing w:after="120" w:line="276"/>
        <w:jc w:val="both"/>
      </w:pPr>
      <w:r>
        <w:rPr>
          <w:rFonts w:ascii="Barlow Semi Condensed" w:cs="Barlow Semi Condensed" w:eastAsia="Barlow Semi Condensed" w:hAnsi="Barlow Semi Condensed"/>
          <w:sz w:val="24"/>
          <w:szCs w:val="24"/>
        </w:rPr>
        <w:t xml:space="preserve">Il caso di </w:t>
      </w:r>
      <w:r>
        <w:rPr>
          <w:rFonts w:ascii="Barlow Semi Condensed" w:cs="Barlow Semi Condensed" w:eastAsia="Barlow Semi Condensed" w:hAnsi="Barlow Semi Condensed"/>
          <w:b/>
          <w:bCs/>
          <w:sz w:val="24"/>
          <w:szCs w:val="24"/>
        </w:rPr>
        <w:t xml:space="preserve">Camillo Guglielmi</w:t>
      </w:r>
      <w:r>
        <w:rPr>
          <w:rFonts w:ascii="Barlow Semi Condensed" w:cs="Barlow Semi Condensed" w:eastAsia="Barlow Semi Condensed" w:hAnsi="Barlow Semi Condensed"/>
          <w:sz w:val="24"/>
          <w:szCs w:val="24"/>
        </w:rPr>
        <w:t xml:space="preserve"> merita di essere isolato: la presenza in via Fani</w:t>
      </w:r>
    </w:p>
    <w:p>
      <w:pPr>
        <w:spacing w:after="120" w:line="276"/>
        <w:jc w:val="both"/>
      </w:pPr>
      <w:r>
        <w:rPr>
          <w:rFonts w:ascii="Barlow Semi Condensed" w:cs="Barlow Semi Condensed" w:eastAsia="Barlow Semi Condensed" w:hAnsi="Barlow Semi Condensed"/>
          <w:sz w:val="24"/>
          <w:szCs w:val="24"/>
        </w:rPr>
        <w:t xml:space="preserve">la mattina del 16 marzo 1978 è oggetto di accertamento documentato; l'appartenenza</w:t>
      </w:r>
    </w:p>
    <w:p>
      <w:pPr>
        <w:spacing w:after="120" w:line="276"/>
        <w:jc w:val="both"/>
      </w:pPr>
      <w:r>
        <w:rPr>
          <w:rFonts w:ascii="Barlow Semi Condensed" w:cs="Barlow Semi Condensed" w:eastAsia="Barlow Semi Condensed" w:hAnsi="Barlow Semi Condensed"/>
          <w:sz w:val="24"/>
          <w:szCs w:val="24"/>
        </w:rPr>
        <w:t xml:space="preserve">alla loggia non lo è. Le due cose vanno tenute separate.</w:t>
      </w:r>
    </w:p>
    <w:p>
      <w:pPr>
        <w:pStyle w:val="Heading3"/>
        <w:spacing w:after="80" w:before="160"/>
      </w:pPr>
      <w:r>
        <w:rPr>
          <w:rFonts w:ascii="Barlow Semi Condensed" w:cs="Barlow Semi Condensed" w:eastAsia="Barlow Semi Condensed" w:hAnsi="Barlow Semi Condensed"/>
          <w:sz w:val="24"/>
          <w:szCs w:val="24"/>
        </w:rPr>
        <w:t xml:space="preserve">Grado G — un nome</w:t>
      </w:r>
    </w:p>
    <w:p>
      <w:pPr>
        <w:spacing w:after="120" w:line="276"/>
        <w:jc w:val="both"/>
      </w:pPr>
      <w:r>
        <w:rPr>
          <w:rFonts w:ascii="Barlow Semi Condensed" w:cs="Barlow Semi Condensed" w:eastAsia="Barlow Semi Condensed" w:hAnsi="Barlow Semi Condensed"/>
          <w:sz w:val="24"/>
          <w:szCs w:val="24"/>
        </w:rPr>
        <w:t xml:space="preserve">Posizione definita in sede giudiziaria: </w:t>
      </w:r>
      <w:r>
        <w:rPr>
          <w:rFonts w:ascii="Barlow Semi Condensed" w:cs="Barlow Semi Condensed" w:eastAsia="Barlow Semi Condensed" w:hAnsi="Barlow Semi Condensed"/>
          <w:b/>
          <w:bCs/>
          <w:sz w:val="24"/>
          <w:szCs w:val="24"/>
        </w:rPr>
        <w:t xml:space="preserve">Gustavo Selva</w:t>
      </w:r>
      <w:r>
        <w:rPr>
          <w:rFonts w:ascii="Barlow Semi Condensed" w:cs="Barlow Semi Condensed" w:eastAsia="Barlow Semi Condensed" w:hAnsi="Barlow Semi Condensed"/>
          <w:sz w:val="24"/>
          <w:szCs w:val="24"/>
        </w:rPr>
        <w:t xml:space="preserve">. Il precedente esiste —</w:t>
      </w:r>
    </w:p>
    <w:p>
      <w:pPr>
        <w:spacing w:after="120" w:line="276"/>
        <w:jc w:val="both"/>
      </w:pPr>
      <w:r>
        <w:rPr>
          <w:rFonts w:ascii="Barlow Semi Condensed" w:cs="Barlow Semi Condensed" w:eastAsia="Barlow Semi Condensed" w:hAnsi="Barlow Semi Condensed"/>
          <w:sz w:val="24"/>
          <w:szCs w:val="24"/>
        </w:rPr>
        <w:t xml:space="preserve">l'appartenenza di Publio Fiori fu esclusa da una sentenza del Tribunale di Roma</w:t>
      </w:r>
    </w:p>
    <w:p>
      <w:pPr>
        <w:spacing w:after="120" w:line="276"/>
        <w:jc w:val="both"/>
      </w:pPr>
      <w:r>
        <w:rPr>
          <w:rFonts w:ascii="Barlow Semi Condensed" w:cs="Barlow Semi Condensed" w:eastAsia="Barlow Semi Condensed" w:hAnsi="Barlow Semi Condensed"/>
          <w:sz w:val="24"/>
          <w:szCs w:val="24"/>
        </w:rPr>
        <w:t xml:space="preserve">nel 2001.</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Il vincolo cronologico</w:t>
      </w:r>
    </w:p>
    <w:p>
      <w:pPr>
        <w:spacing w:after="120" w:line="276"/>
        <w:jc w:val="both"/>
      </w:pPr>
      <w:r>
        <w:rPr>
          <w:rFonts w:ascii="Barlow Semi Condensed" w:cs="Barlow Semi Condensed" w:eastAsia="Barlow Semi Condensed" w:hAnsi="Barlow Semi Condensed"/>
          <w:sz w:val="24"/>
          <w:szCs w:val="24"/>
        </w:rPr>
        <w:t xml:space="preserve">Vale anche nell'ipotesi in cui tutti e trentatré i numeri risultassero esatti.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intervallo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finestra richiesta (16 set 1977 – 9 nov 1978)</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419</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sequestro degli elenchi (17 mar 1981)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1.097</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deposito della relazione (12 lug 1984)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2.310</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Nel 1978 la composizione della loggia non era un oggetto conoscibile: fu rivelata</w:t>
      </w:r>
    </w:p>
    <w:p>
      <w:pPr>
        <w:spacing w:after="120" w:line="276"/>
        <w:jc w:val="both"/>
      </w:pPr>
      <w:r>
        <w:rPr>
          <w:rFonts w:ascii="Barlow Semi Condensed" w:cs="Barlow Semi Condensed" w:eastAsia="Barlow Semi Condensed" w:hAnsi="Barlow Semi Condensed"/>
          <w:sz w:val="24"/>
          <w:szCs w:val="24"/>
        </w:rPr>
        <w:t xml:space="preserve">tre anni dopo e ordinata sei anni dopo. Una lista del 1981 documenta chi vi</w:t>
      </w:r>
    </w:p>
    <w:p>
      <w:pPr>
        <w:spacing w:after="120" w:line="276"/>
        <w:jc w:val="both"/>
      </w:pPr>
      <w:r>
        <w:rPr>
          <w:rFonts w:ascii="Barlow Semi Condensed" w:cs="Barlow Semi Condensed" w:eastAsia="Barlow Semi Condensed" w:hAnsi="Barlow Semi Condensed"/>
          <w:sz w:val="24"/>
          <w:szCs w:val="24"/>
        </w:rPr>
        <w:t xml:space="preserve">risultava nel 1981. Che ciò coincida con «chi vi era iscritto nella primavera del</w:t>
      </w:r>
    </w:p>
    <w:p>
      <w:pPr>
        <w:spacing w:after="120" w:line="276"/>
        <w:jc w:val="both"/>
      </w:pPr>
      <w:r>
        <w:rPr>
          <w:rFonts w:ascii="Barlow Semi Condensed" w:cs="Barlow Semi Condensed" w:eastAsia="Barlow Semi Condensed" w:hAnsi="Barlow Semi Condensed"/>
          <w:sz w:val="24"/>
          <w:szCs w:val="24"/>
        </w:rPr>
        <w:t xml:space="preserve">1978» è ipotesi ragionevole, non fatto accertato — e il testo stesso registra i 49</w:t>
      </w:r>
    </w:p>
    <w:p>
      <w:pPr>
        <w:spacing w:after="120" w:line="276"/>
        <w:jc w:val="both"/>
      </w:pPr>
      <w:r>
        <w:rPr>
          <w:rFonts w:ascii="Barlow Semi Condensed" w:cs="Barlow Semi Condensed" w:eastAsia="Barlow Semi Condensed" w:hAnsi="Barlow Semi Condensed"/>
          <w:sz w:val="24"/>
          <w:szCs w:val="24"/>
        </w:rPr>
        <w:t xml:space="preserve">affiliati posti in sonno e i 22 transitati ad altre logge, che sono esattamente i</w:t>
      </w:r>
    </w:p>
    <w:p>
      <w:pPr>
        <w:spacing w:after="120" w:line="276"/>
        <w:jc w:val="both"/>
      </w:pPr>
      <w:r>
        <w:rPr>
          <w:rFonts w:ascii="Barlow Semi Condensed" w:cs="Barlow Semi Condensed" w:eastAsia="Barlow Semi Condensed" w:hAnsi="Barlow Semi Condensed"/>
          <w:sz w:val="24"/>
          <w:szCs w:val="24"/>
        </w:rPr>
        <w:t xml:space="preserve">casi in cui le due cose divergono.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Annotazione su un dato del corpus</w:t>
      </w:r>
    </w:p>
    <w:p>
      <w:pPr>
        <w:spacing w:after="120" w:line="276"/>
        <w:jc w:val="both"/>
      </w:pPr>
      <w:r>
        <w:rPr>
          <w:rFonts w:ascii="Barlow Semi Condensed" w:cs="Barlow Semi Condensed" w:eastAsia="Barlow Semi Condensed" w:hAnsi="Barlow Semi Condensed"/>
          <w:b/>
          <w:bCs/>
          <w:sz w:val="24"/>
          <w:szCs w:val="24"/>
        </w:rPr>
        <w:t xml:space="preserve">Il grafico del Libro quarto registra 44 parlamentari negli elenchi.</w:t>
      </w:r>
      <w:r>
        <w:rPr>
          <w:rFonts w:ascii="Barlow Semi Condensed" w:cs="Barlow Semi Condensed" w:eastAsia="Barlow Semi Condensed" w:hAnsi="Barlow Semi Condensed"/>
          <w:sz w:val="24"/>
          <w:szCs w:val="24"/>
        </w:rPr>
        <w:t xml:space="preserve"> Le fonti</w:t>
      </w:r>
    </w:p>
    <w:p>
      <w:pPr>
        <w:spacing w:after="120" w:line="276"/>
        <w:jc w:val="both"/>
      </w:pPr>
      <w:r>
        <w:rPr>
          <w:rFonts w:ascii="Barlow Semi Condensed" w:cs="Barlow Semi Condensed" w:eastAsia="Barlow Semi Condensed" w:hAnsi="Barlow Semi Condensed"/>
          <w:sz w:val="24"/>
          <w:szCs w:val="24"/>
        </w:rPr>
        <w:t xml:space="preserve">sui lavori della Commissione riportano </w:t>
      </w: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La composizione documentata è: 128</w:t>
      </w:r>
    </w:p>
    <w:p>
      <w:pPr>
        <w:spacing w:after="120" w:line="276"/>
        <w:jc w:val="both"/>
      </w:pPr>
      <w:r>
        <w:rPr>
          <w:rFonts w:ascii="Barlow Semi Condensed" w:cs="Barlow Semi Condensed" w:eastAsia="Barlow Semi Condensed" w:hAnsi="Barlow Semi Condensed"/>
          <w:sz w:val="24"/>
          <w:szCs w:val="24"/>
        </w:rPr>
        <w:t xml:space="preserve">dirigenti di enti pubblici, 119 ufficiali delle forze armate (50 Esercito, 37</w:t>
      </w:r>
    </w:p>
    <w:p>
      <w:pPr>
        <w:spacing w:after="120" w:line="276"/>
        <w:jc w:val="both"/>
      </w:pPr>
      <w:r>
        <w:rPr>
          <w:rFonts w:ascii="Barlow Semi Condensed" w:cs="Barlow Semi Condensed" w:eastAsia="Barlow Semi Condensed" w:hAnsi="Barlow Semi Condensed"/>
          <w:sz w:val="24"/>
          <w:szCs w:val="24"/>
        </w:rPr>
        <w:t xml:space="preserve">Guardia di Finanza, 32 Carabinieri), 59 parlamentari, 22 dirigenti di polizia, 22</w:t>
      </w:r>
    </w:p>
    <w:p>
      <w:pPr>
        <w:spacing w:after="120" w:line="276"/>
        <w:jc w:val="both"/>
      </w:pPr>
      <w:r>
        <w:rPr>
          <w:rFonts w:ascii="Barlow Semi Condensed" w:cs="Barlow Semi Condensed" w:eastAsia="Barlow Semi Condensed" w:hAnsi="Barlow Semi Condensed"/>
          <w:sz w:val="24"/>
          <w:szCs w:val="24"/>
        </w:rPr>
        <w:t xml:space="preserve">giornalisti, 8 direttori di giornale, 4 editori, 1 giudice costituzionale.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 — questa correzione è a sua volta sbagliata, e la ritiro.</w:t>
      </w:r>
      <w:r>
        <w:rPr>
          <w:rFonts w:ascii="Barlow Semi Condensed" w:cs="Barlow Semi Condensed" w:eastAsia="Barlow Semi Condensed" w:hAnsi="Barlow Semi Condensed"/>
          <w:i w:val="false"/>
          <w:iCs w:val="false"/>
          <w:sz w:val="24"/>
          <w:szCs w:val="24"/>
        </w:rPr>
        <w:t xml:space="preserve"> Una ricerca approfondita corrobora </w:t>
      </w:r>
      <w:r>
        <w:rPr>
          <w:rFonts w:ascii="Barlow Semi Condensed" w:cs="Barlow Semi Condensed" w:eastAsia="Barlow Semi Condensed" w:hAnsi="Barlow Semi Condensed"/>
          <w:b/>
          <w:bCs/>
          <w:i w:val="false"/>
          <w:iCs w:val="false"/>
          <w:sz w:val="24"/>
          <w:szCs w:val="24"/>
        </w:rPr>
        <w:t xml:space="preserve">44 parlamentari</w:t>
      </w:r>
      <w:r>
        <w:rPr>
          <w:rFonts w:ascii="Barlow Semi Condensed" w:cs="Barlow Semi Condensed" w:eastAsia="Barlow Semi Condensed" w:hAnsi="Barlow Semi Condensed"/>
          <w:i w:val="false"/>
          <w:iCs w:val="false"/>
          <w:sz w:val="24"/>
          <w:szCs w:val="24"/>
        </w:rPr>
        <w:t xml:space="preserve">, 3 ministri e 1 segretario di partito, dentro un conteggio di 195 ufficiali (12 generali dei Carabinieri, 5 della Guardia di Finanza, 22 dell'Esercito, 4 dell'Aeronautica, 8 ammiragli). Il set con 59 parlamentari e 119 ufficiali non ha trovato fonte esterna e omette del tutto Marina e Aeronautica: è un'altra tassonomia, non un altro conteggio dello stesso campo. </w:t>
      </w:r>
      <w:r>
        <w:rPr>
          <w:rFonts w:ascii="Barlow Semi Condensed" w:cs="Barlow Semi Condensed" w:eastAsia="Barlow Semi Condensed" w:hAnsi="Barlow Semi Condensed"/>
          <w:b/>
          <w:bCs/>
          <w:i w:val="false"/>
          <w:iCs w:val="false"/>
          <w:sz w:val="24"/>
          <w:szCs w:val="24"/>
        </w:rPr>
        <w:t xml:space="preserve">La cifra del corpus era giusta, e l'annotazione che le avevo messo accanto va a sua volta annotata.</w:t>
      </w:r>
      <w:r>
        <w:rPr>
          <w:rFonts w:ascii="Barlow Semi Condensed" w:cs="Barlow Semi Condensed" w:eastAsia="Barlow Semi Condensed" w:hAnsi="Barlow Semi Condensed"/>
          <w:i w:val="false"/>
          <w:iCs w:val="false"/>
          <w:sz w:val="24"/>
          <w:szCs w:val="24"/>
        </w:rPr>
        <w:t xml:space="preserve"> Dettagli in `</w:t>
      </w:r>
      <w:r>
        <w:rPr>
          <w:rFonts w:ascii="Barlow Semi Condensed" w:cs="Barlow Semi Condensed" w:eastAsia="Barlow Semi Condensed" w:hAnsi="Barlow Semi Condensed"/>
          <w:i w:val="false"/>
          <w:iCs w:val="false"/>
          <w:sz w:val="24"/>
          <w:szCs w:val="24"/>
        </w:rPr>
        <w:t xml:space="preserve">certificazione-numeri-p2.md</w:t>
      </w:r>
      <w:r>
        <w:rPr>
          <w:rFonts w:ascii="Barlow Semi Condensed" w:cs="Barlow Semi Condensed" w:eastAsia="Barlow Semi Condensed" w:hAnsi="Barlow Semi Condensed"/>
          <w:i w:val="false"/>
          <w:iCs w:val="false"/>
          <w:sz w:val="24"/>
          <w:szCs w:val="24"/>
        </w:rPr>
        <w:t xml:space="preserve">`, §4.</w:t>
      </w:r>
    </w:p>
    <w:p>
      <w:pPr>
        <w:spacing w:after="120" w:line="276"/>
        <w:jc w:val="both"/>
      </w:pPr>
      <w:r>
        <w:rPr>
          <w:rFonts w:ascii="Barlow Semi Condensed" w:cs="Barlow Semi Condensed" w:eastAsia="Barlow Semi Condensed" w:hAnsi="Barlow Semi Condensed"/>
          <w:sz w:val="24"/>
          <w:szCs w:val="24"/>
        </w:rPr>
        <w:t xml:space="preserve">Come vuole la disciplina dell'opera, </w:t>
      </w:r>
      <w:r>
        <w:rPr>
          <w:rFonts w:ascii="Barlow Semi Condensed" w:cs="Barlow Semi Condensed" w:eastAsia="Barlow Semi Condensed" w:hAnsi="Barlow Semi Condensed"/>
          <w:b/>
          <w:bCs/>
          <w:sz w:val="24"/>
          <w:szCs w:val="24"/>
        </w:rPr>
        <w:t xml:space="preserve">la cifra del corpus non viene cancellata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resta dov'è, e questa annotazione le sta accanto. Quale delle due regga si dirime</w:t>
      </w:r>
    </w:p>
    <w:p>
      <w:pPr>
        <w:spacing w:after="120" w:line="276"/>
        <w:jc w:val="both"/>
      </w:pPr>
      <w:r>
        <w:rPr>
          <w:rFonts w:ascii="Barlow Semi Condensed" w:cs="Barlow Semi Condensed" w:eastAsia="Barlow Semi Condensed" w:hAnsi="Barlow Semi Condensed"/>
          <w:sz w:val="24"/>
          <w:szCs w:val="24"/>
        </w:rPr>
        <w:t xml:space="preserve">sull'allegato, non qui.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6-bis. La percentuale per finestra temporale: Stato Zero</w:t>
      </w:r>
    </w:p>
    <w:p>
      <w:pPr>
        <w:spacing w:after="120" w:line="276"/>
        <w:jc w:val="both"/>
      </w:pPr>
      <w:r>
        <w:rPr>
          <w:rFonts w:ascii="Barlow Semi Condensed" w:cs="Barlow Semi Condensed" w:eastAsia="Barlow Semi Condensed" w:hAnsi="Barlow Semi Condensed"/>
          <w:b/>
          <w:bCs/>
          <w:sz w:val="24"/>
          <w:szCs w:val="24"/>
        </w:rPr>
        <w:t xml:space="preserve">Richiesta:</w:t>
      </w:r>
      <w:r>
        <w:rPr>
          <w:rFonts w:ascii="Barlow Semi Condensed" w:cs="Barlow Semi Condensed" w:eastAsia="Barlow Semi Condensed" w:hAnsi="Barlow Semi Condensed"/>
          <w:sz w:val="24"/>
          <w:szCs w:val="24"/>
        </w:rPr>
        <w:t xml:space="preserve"> la quota di affiliati alla loggia nella finestra che va da sei mesi</w:t>
      </w:r>
    </w:p>
    <w:p>
      <w:pPr>
        <w:spacing w:after="120" w:line="276"/>
        <w:jc w:val="both"/>
      </w:pPr>
      <w:r>
        <w:rPr>
          <w:rFonts w:ascii="Barlow Semi Condensed" w:cs="Barlow Semi Condensed" w:eastAsia="Barlow Semi Condensed" w:hAnsi="Barlow Semi Condensed"/>
          <w:sz w:val="24"/>
          <w:szCs w:val="24"/>
        </w:rPr>
        <w:t xml:space="preserve">prima del sequestro a sei mesi dopo la morte, sul totale di Castiglion Fibocchi.</w:t>
      </w:r>
    </w:p>
    <w:p>
      <w:pPr>
        <w:spacing w:after="120" w:line="276"/>
        <w:jc w:val="both"/>
      </w:pPr>
      <w:r>
        <w:rPr>
          <w:rFonts w:ascii="Barlow Semi Condensed" w:cs="Barlow Semi Condensed" w:eastAsia="Barlow Semi Condensed" w:hAnsi="Barlow Semi Condensed"/>
          <w:b/>
          <w:bCs/>
          <w:sz w:val="24"/>
          <w:szCs w:val="24"/>
        </w:rPr>
        <w:t xml:space="preserve">Esito: non calcolabile sui dati disponibili.</w:t>
      </w:r>
      <w:r>
        <w:rPr>
          <w:rFonts w:ascii="Barlow Semi Condensed" w:cs="Barlow Semi Condensed" w:eastAsia="Barlow Semi Condensed" w:hAnsi="Barlow Semi Condensed"/>
          <w:sz w:val="24"/>
          <w:szCs w:val="24"/>
        </w:rPr>
        <w:t xml:space="preserve"> Il denominatore è documentato</w:t>
      </w:r>
    </w:p>
    <w:p>
      <w:pPr>
        <w:spacing w:after="120" w:line="276"/>
        <w:jc w:val="both"/>
      </w:pPr>
      <w:r>
        <w:rPr>
          <w:rFonts w:ascii="Barlow Semi Condensed" w:cs="Barlow Semi Condensed" w:eastAsia="Barlow Semi Condensed" w:hAnsi="Barlow Semi Condensed"/>
          <w:sz w:val="24"/>
          <w:szCs w:val="24"/>
        </w:rPr>
        <w:t xml:space="preserve">(962). Il numeratore richiede, per ciascun nominativo, </w:t>
      </w:r>
      <w:r>
        <w:rPr>
          <w:rFonts w:ascii="Barlow Semi Condensed" w:cs="Barlow Semi Condensed" w:eastAsia="Barlow Semi Condensed" w:hAnsi="Barlow Semi Condensed"/>
          <w:b/>
          <w:bCs/>
          <w:sz w:val="24"/>
          <w:szCs w:val="24"/>
        </w:rPr>
        <w:t xml:space="preserve">la data di affiliazione</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righe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righe della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 una data di affiliazione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in un mese preciso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dentro la finestra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due righe datate sono </w:t>
      </w:r>
      <w:r>
        <w:rPr>
          <w:rFonts w:ascii="Barlow Semi Condensed" w:cs="Barlow Semi Condensed" w:eastAsia="Barlow Semi Condensed" w:hAnsi="Barlow Semi Condensed"/>
          <w:b/>
          <w:bCs/>
          <w:sz w:val="24"/>
          <w:szCs w:val="24"/>
        </w:rPr>
        <w:t xml:space="preserve">Torrisi</w:t>
      </w:r>
      <w:r>
        <w:rPr>
          <w:rFonts w:ascii="Barlow Semi Condensed" w:cs="Barlow Semi Condensed" w:eastAsia="Barlow Semi Condensed" w:hAnsi="Barlow Semi Condensed"/>
          <w:sz w:val="24"/>
          <w:szCs w:val="24"/>
        </w:rPr>
        <w:t xml:space="preserve"> («affiliato dal gennaio 1978») e </w:t>
      </w:r>
      <w:r>
        <w:rPr>
          <w:rFonts w:ascii="Barlow Semi Condensed" w:cs="Barlow Semi Condensed" w:eastAsia="Barlow Semi Condensed" w:hAnsi="Barlow Semi Condensed"/>
          <w:b/>
          <w:bCs/>
          <w:sz w:val="24"/>
          <w:szCs w:val="24"/>
        </w:rPr>
        <w:t xml:space="preserve">Grassini</w:t>
      </w:r>
    </w:p>
    <w:p>
      <w:pPr>
        <w:spacing w:after="120" w:line="276"/>
        <w:jc w:val="both"/>
      </w:pPr>
      <w:r>
        <w:rPr>
          <w:rFonts w:ascii="Barlow Semi Condensed" w:cs="Barlow Semi Condensed" w:eastAsia="Barlow Semi Condensed" w:hAnsi="Barlow Semi Condensed"/>
          <w:sz w:val="24"/>
          <w:szCs w:val="24"/>
        </w:rPr>
        <w:t xml:space="preserve">(«affiliato retrodatato al 1977»). Le altre trentuno recano date di incarico o di</w:t>
      </w:r>
    </w:p>
    <w:p>
      <w:pPr>
        <w:spacing w:after="120" w:line="276"/>
        <w:jc w:val="both"/>
      </w:pPr>
      <w:r>
        <w:rPr>
          <w:rFonts w:ascii="Barlow Semi Condensed" w:cs="Barlow Semi Condensed" w:eastAsia="Barlow Semi Condensed" w:hAnsi="Barlow Semi Condensed"/>
          <w:sz w:val="24"/>
          <w:szCs w:val="24"/>
        </w:rPr>
        <w:t xml:space="preserve">morte, che sono un'altra cosa. Delle due, solo la prima è collocabile in un mese:</w:t>
      </w:r>
    </w:p>
    <w:p>
      <w:pPr>
        <w:spacing w:after="120" w:line="276"/>
        <w:jc w:val="both"/>
      </w:pPr>
      <w:r>
        <w:rPr>
          <w:rFonts w:ascii="Barlow Semi Condensed" w:cs="Barlow Semi Condensed" w:eastAsia="Barlow Semi Condensed" w:hAnsi="Barlow Semi Condensed"/>
          <w:sz w:val="24"/>
          <w:szCs w:val="24"/>
        </w:rPr>
        <w:t xml:space="preserve">«1977» senza mese non si posa in alcun punto della finestra, e «retrodatato» è per</w:t>
      </w:r>
    </w:p>
    <w:p>
      <w:pPr>
        <w:spacing w:after="120" w:line="276"/>
        <w:jc w:val="both"/>
      </w:pPr>
      <w:r>
        <w:rPr>
          <w:rFonts w:ascii="Barlow Semi Condensed" w:cs="Barlow Semi Condensed" w:eastAsia="Barlow Semi Condensed" w:hAnsi="Barlow Semi Condensed"/>
          <w:sz w:val="24"/>
          <w:szCs w:val="24"/>
        </w:rPr>
        <w:t xml:space="preserve">giunta un'affermazione su un registro alterato, non una data.</w:t>
      </w:r>
    </w:p>
    <w:p>
      <w:pPr>
        <w:spacing w:after="120" w:line="276"/>
        <w:jc w:val="both"/>
      </w:pPr>
      <w:r>
        <w:rPr>
          <w:rFonts w:ascii="Barlow Semi Condensed" w:cs="Barlow Semi Condensed" w:eastAsia="Barlow Semi Condensed" w:hAnsi="Barlow Semi Condensed"/>
          <w:sz w:val="24"/>
          <w:szCs w:val="24"/>
        </w:rPr>
        <w:t xml:space="preserve">Su una riga su trentatré non si costruisce una distribuzione temporale. Un grafico</w:t>
      </w:r>
    </w:p>
    <w:p>
      <w:pPr>
        <w:spacing w:after="120" w:line="276"/>
        <w:jc w:val="both"/>
      </w:pPr>
      <w:r>
        <w:rPr>
          <w:rFonts w:ascii="Barlow Semi Condensed" w:cs="Barlow Semi Condensed" w:eastAsia="Barlow Semi Condensed" w:hAnsi="Barlow Semi Condensed"/>
          <w:sz w:val="24"/>
          <w:szCs w:val="24"/>
        </w:rPr>
        <w:t xml:space="preserve">che ripartisse i 962 fra «prima», «durante» e «dopo» misurerebbe un'ipotesi</w:t>
      </w:r>
    </w:p>
    <w:p>
      <w:pPr>
        <w:spacing w:after="120" w:line="276"/>
        <w:jc w:val="both"/>
      </w:pPr>
      <w:r>
        <w:rPr>
          <w:rFonts w:ascii="Barlow Semi Condensed" w:cs="Barlow Semi Condensed" w:eastAsia="Barlow Semi Condensed" w:hAnsi="Barlow Semi Condensed"/>
          <w:sz w:val="24"/>
          <w:szCs w:val="24"/>
        </w:rPr>
        <w:t xml:space="preserve">travestita da conteggio.</w:t>
      </w:r>
    </w:p>
    <w:p>
      <w:pPr>
        <w:spacing w:after="120" w:line="276"/>
        <w:jc w:val="both"/>
      </w:pPr>
      <w:r>
        <w:rPr>
          <w:rFonts w:ascii="Barlow Semi Condensed" w:cs="Barlow Semi Condensed" w:eastAsia="Barlow Semi Condensed" w:hAnsi="Barlow Semi Condensed"/>
          <w:b/>
          <w:bCs/>
          <w:sz w:val="24"/>
          <w:szCs w:val="24"/>
        </w:rPr>
        <w:t xml:space="preserve">Stato Zero dichiarato</w:t>
      </w:r>
      <w:r>
        <w:rPr>
          <w:rFonts w:ascii="Barlow Semi Condensed" w:cs="Barlow Semi Condensed" w:eastAsia="Barlow Semi Condensed" w:hAnsi="Barlow Semi Condensed"/>
          <w:sz w:val="24"/>
          <w:szCs w:val="24"/>
        </w:rPr>
        <w:t xml:space="preserve"> — sede cercata: la tabella dei trentatré nomi del testo</w:t>
      </w:r>
    </w:p>
    <w:p>
      <w:pPr>
        <w:spacing w:after="120" w:line="276"/>
        <w:jc w:val="both"/>
      </w:pPr>
      <w:r>
        <w:rPr>
          <w:rFonts w:ascii="Barlow Semi Condensed" w:cs="Barlow Semi Condensed" w:eastAsia="Barlow Semi Condensed" w:hAnsi="Barlow Semi Condensed"/>
          <w:sz w:val="24"/>
          <w:szCs w:val="24"/>
        </w:rPr>
        <w:t xml:space="preserve">esaminato. Campo cercato: l'affiliazione datata. Esito della ricerca: negativo.</w:t>
      </w:r>
    </w:p>
    <w:p>
      <w:pPr>
        <w:pStyle w:val="Heading3"/>
        <w:spacing w:after="80" w:before="160"/>
      </w:pPr>
      <w:r>
        <w:rPr>
          <w:rFonts w:ascii="Barlow Semi Condensed" w:cs="Barlow Semi Condensed" w:eastAsia="Barlow Semi Condensed" w:hAnsi="Barlow Semi Condensed"/>
          <w:sz w:val="24"/>
          <w:szCs w:val="24"/>
        </w:rPr>
        <w:t xml:space="preserve">La sola percentuale che i dati reggono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grandezza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assoluto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dei 962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nomi asseriti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3,43 %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2,08 %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0,10 %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numero di tessera verificato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0,00 %</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È una percentuale </w:t>
      </w:r>
      <w:r>
        <w:rPr>
          <w:rFonts w:ascii="Barlow Semi Condensed" w:cs="Barlow Semi Condensed" w:eastAsia="Barlow Semi Condensed" w:hAnsi="Barlow Semi Condensed"/>
          <w:b/>
          <w:bCs/>
          <w:sz w:val="24"/>
          <w:szCs w:val="24"/>
        </w:rPr>
        <w:t xml:space="preserve">sulla lista, non sulla finestra</w:t>
      </w:r>
      <w:r>
        <w:rPr>
          <w:rFonts w:ascii="Barlow Semi Condensed" w:cs="Barlow Semi Condensed" w:eastAsia="Barlow Semi Condensed" w:hAnsi="Barlow Semi Condensed"/>
          <w:sz w:val="24"/>
          <w:szCs w:val="24"/>
        </w:rPr>
        <w:t xml:space="preserve">: dice quanta parte</w:t>
      </w:r>
    </w:p>
    <w:p>
      <w:pPr>
        <w:spacing w:after="120" w:line="276"/>
        <w:jc w:val="both"/>
      </w:pPr>
      <w:r>
        <w:rPr>
          <w:rFonts w:ascii="Barlow Semi Condensed" w:cs="Barlow Semi Condensed" w:eastAsia="Barlow Semi Condensed" w:hAnsi="Barlow Semi Condensed"/>
          <w:sz w:val="24"/>
          <w:szCs w:val="24"/>
        </w:rPr>
        <w:t xml:space="preserve">dell'elenco il testo tocca, non quanti fossero iscritti nel 1978.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Che cosa serve</w:t>
      </w:r>
    </w:p>
    <w:p>
      <w:pPr>
        <w:spacing w:after="120" w:line="276"/>
        <w:jc w:val="both"/>
      </w:pPr>
      <w:r>
        <w:rPr>
          <w:rFonts w:ascii="Barlow Semi Condensed" w:cs="Barlow Semi Condensed" w:eastAsia="Barlow Semi Condensed" w:hAnsi="Barlow Semi Condensed"/>
          <w:sz w:val="24"/>
          <w:szCs w:val="24"/>
        </w:rPr>
        <w:t xml:space="preserve">**L'allegato alla Doc. XXIII n. 2 — Relazione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sulla Loggia P2, 12 luglio 1984**, dove i numeri stanno scritti</w:t>
      </w:r>
    </w:p>
    <w:p>
      <w:pPr>
        <w:spacing w:after="120" w:line="276"/>
        <w:jc w:val="both"/>
      </w:pPr>
      <w:r>
        <w:rPr>
          <w:rFonts w:ascii="Barlow Semi Condensed" w:cs="Barlow Semi Condensed" w:eastAsia="Barlow Semi Condensed" w:hAnsi="Barlow Semi Condensed"/>
          <w:sz w:val="24"/>
          <w:szCs w:val="24"/>
        </w:rPr>
        <w:t xml:space="preserve">accanto ai nomi — e, per una parte degli iscritti, la data di adesione, che è il</w:t>
      </w:r>
    </w:p>
    <w:p>
      <w:pPr>
        <w:spacing w:after="120" w:line="276"/>
        <w:jc w:val="both"/>
      </w:pPr>
      <w:r>
        <w:rPr>
          <w:rFonts w:ascii="Barlow Semi Condensed" w:cs="Barlow Semi Condensed" w:eastAsia="Barlow Semi Condensed" w:hAnsi="Barlow Semi Condensed"/>
          <w:sz w:val="24"/>
          <w:szCs w:val="24"/>
        </w:rPr>
        <w:t xml:space="preserve">campo mancante del calcolo per finestra temporale. La relazione è pubblica; l'allegato nominativo va richiesto</w:t>
      </w:r>
    </w:p>
    <w:p>
      <w:pPr>
        <w:spacing w:after="120" w:line="276"/>
        <w:jc w:val="both"/>
      </w:pPr>
      <w:r>
        <w:rPr>
          <w:rFonts w:ascii="Barlow Semi Condensed" w:cs="Barlow Semi Condensed" w:eastAsia="Barlow Semi Condensed" w:hAnsi="Barlow Semi Condensed"/>
          <w:sz w:val="24"/>
          <w:szCs w:val="24"/>
        </w:rPr>
        <w:t xml:space="preserve">all'Archivio storico della Camera dei deputati.</w:t>
      </w:r>
    </w:p>
    <w:p>
      <w:pPr>
        <w:spacing w:after="120" w:line="276"/>
        <w:jc w:val="both"/>
      </w:pPr>
      <w:r>
        <w:rPr>
          <w:rFonts w:ascii="Barlow Semi Condensed" w:cs="Barlow Semi Condensed" w:eastAsia="Barlow Semi Condensed" w:hAnsi="Barlow Semi Condensed"/>
          <w:sz w:val="24"/>
          <w:szCs w:val="24"/>
        </w:rPr>
        <w:t xml:space="preserve">Finché non è sul tavolo, **nessun numero di questo elenco va pubblicato come</w:t>
      </w:r>
    </w:p>
    <w:p>
      <w:pPr>
        <w:spacing w:after="120" w:line="276"/>
        <w:jc w:val="both"/>
      </w:pPr>
      <w:r>
        <w:rPr>
          <w:rFonts w:ascii="Barlow Semi Condensed" w:cs="Barlow Semi Condensed" w:eastAsia="Barlow Semi Condensed" w:hAnsi="Barlow Semi Condensed"/>
          <w:sz w:val="24"/>
          <w:szCs w:val="24"/>
        </w:rPr>
        <w:t xml:space="preserve">certificato**, e nessuna percentuale va calcolata su di 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La regola che sopravvive a ogni esito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p>
    <w:p>
      <w:pPr>
        <w:spacing w:after="120" w:line="276"/>
        <w:jc w:val="both"/>
      </w:pPr>
      <w:r>
        <w:rPr>
          <w:rFonts w:ascii="Barlow Semi Condensed" w:cs="Barlow Semi Condensed" w:eastAsia="Barlow Semi Condensed" w:hAnsi="Barlow Semi Condensed"/>
          <w:sz w:val="24"/>
          <w:szCs w:val="24"/>
        </w:rPr>
        <w:t xml:space="preserve">Se l'allegato confermasse tutti e trentatré i numeri, si sarebbe accertata</w:t>
      </w:r>
    </w:p>
    <w:p>
      <w:pPr>
        <w:spacing w:after="120" w:line="276"/>
        <w:jc w:val="both"/>
      </w:pPr>
      <w:r>
        <w:rPr>
          <w:rFonts w:ascii="Barlow Semi Condensed" w:cs="Barlow Semi Condensed" w:eastAsia="Barlow Semi Condensed" w:hAnsi="Barlow Semi Condensed"/>
          <w:sz w:val="24"/>
          <w:szCs w:val="24"/>
        </w:rPr>
        <w:t xml:space="preserve">l'appartenenza di trentatré persone a una loggia, e nient'altro: nessuna condotta,</w:t>
      </w:r>
    </w:p>
    <w:p>
      <w:pPr>
        <w:spacing w:after="120" w:line="276"/>
        <w:jc w:val="both"/>
      </w:pPr>
      <w:r>
        <w:rPr>
          <w:rFonts w:ascii="Barlow Semi Condensed" w:cs="Barlow Semi Condensed" w:eastAsia="Barlow Semi Condensed" w:hAnsi="Barlow Semi Condensed"/>
          <w:sz w:val="24"/>
          <w:szCs w:val="24"/>
        </w:rPr>
        <w:t xml:space="preserve">nessuna responsabilità, nessun concorso. La distanza fra le due cose è l'intera</w:t>
      </w:r>
    </w:p>
    <w:p>
      <w:pPr>
        <w:spacing w:after="120" w:line="276"/>
        <w:jc w:val="both"/>
      </w:pPr>
      <w:r>
        <w:rPr>
          <w:rFonts w:ascii="Barlow Semi Condensed" w:cs="Barlow Semi Condensed" w:eastAsia="Barlow Semi Condensed" w:hAnsi="Barlow Semi Condensed"/>
          <w:sz w:val="24"/>
          <w:szCs w:val="24"/>
        </w:rPr>
        <w:t xml:space="preserve">ragione per cui questa verifica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w:t>
      </w:r>
    </w:p>
    <w:p>
      <w:pPr>
        <w:spacing w:after="120" w:line="276"/>
        <w:jc w:val="both"/>
      </w:pPr>
      <w:r>
        <w:rPr>
          <w:rFonts w:ascii="Barlow Semi Condensed" w:cs="Barlow Semi Condensed" w:eastAsia="Barlow Semi Condensed" w:hAnsi="Barlow Semi Condensed"/>
          <w:b/>
          <w:bCs/>
          <w:sz w:val="24"/>
          <w:szCs w:val="24"/>
        </w:rPr>
        <w:t xml:space="preserve">Grafici del lotto</w:t>
      </w:r>
      <w:r>
        <w:rPr>
          <w:rFonts w:ascii="Barlow Semi Condensed" w:cs="Barlow Semi Condensed" w:eastAsia="Barlow Semi Condensed" w:hAnsi="Barlow Semi Condensed"/>
          <w:sz w:val="24"/>
          <w:szCs w:val="24"/>
        </w:rPr>
        <w:t xml:space="preserve"> — nove, generati da </w:t>
      </w:r>
      <w:r>
        <w:rPr>
          <w:rFonts w:ascii="Barlow Semi Condensed" w:cs="Barlow Semi Condensed" w:eastAsia="Barlow Semi Condensed" w:hAnsi="Barlow Semi Condensed"/>
          <w:i/>
          <w:iCs/>
          <w:sz w:val="24"/>
          <w:szCs w:val="24"/>
        </w:rPr>
        <w:t xml:space="preserve">_verifiche/generatori/gen_verifica_p2.py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nello stile della casa (fondo a gradiente crema, inchiostro blu navy). Ogni</w:t>
      </w:r>
    </w:p>
    <w:p>
      <w:pPr>
        <w:spacing w:after="120" w:line="276"/>
        <w:jc w:val="both"/>
      </w:pPr>
      <w:r>
        <w:rPr>
          <w:rFonts w:ascii="Barlow Semi Condensed" w:cs="Barlow Semi Condensed" w:eastAsia="Barlow Semi Condensed" w:hAnsi="Barlow Semi Condensed"/>
          <w:sz w:val="24"/>
          <w:szCs w:val="24"/>
        </w:rPr>
        <w:t xml:space="preserve">immagine porta in calce la propria nota di metodo, che è parte del grafico.</w:t>
      </w:r>
    </w:p>
    <w:p>
      <w:pPr>
        <w:spacing w:after="120" w:line="276"/>
        <w:jc w:val="both"/>
      </w:pPr>
      <w:r>
        <w:rPr>
          <w:rFonts w:ascii="Barlow Semi Condensed" w:cs="Barlow Semi Condensed" w:eastAsia="Barlow Semi Condensed" w:hAnsi="Barlow Semi Condensed"/>
          <w:b/>
          <w:bCs/>
          <w:sz w:val="24"/>
          <w:szCs w:val="24"/>
        </w:rPr>
        <w:t xml:space="preserve">Fonti documentali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della Commissione parlamentare d'inchiesta sulla Loggia P2, Cap. II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Autenticità e attendibilità delle liste</w:t>
      </w:r>
      <w:r>
        <w:rPr>
          <w:rFonts w:ascii="Barlow Semi Condensed" w:cs="Barlow Semi Condensed" w:eastAsia="Barlow Semi Condensed" w:hAnsi="Barlow Semi Condensed"/>
          <w:sz w:val="24"/>
          <w:szCs w:val="24"/>
        </w:rPr>
        <w:t xml:space="preserve">, it.wikisource.org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Anselmi, testo integrale — archivioantimafia.org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Appartenenti alla P2</w:t>
      </w:r>
      <w:r>
        <w:rPr>
          <w:rFonts w:ascii="Barlow Semi Condensed" w:cs="Barlow Semi Condensed" w:eastAsia="Barlow Semi Condensed" w:hAnsi="Barlow Semi Condensed"/>
          <w:sz w:val="24"/>
          <w:szCs w:val="24"/>
        </w:rPr>
        <w:t xml:space="preserve"> — it.wikipedia.org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Fatto Quotidiano</w:t>
      </w:r>
      <w:r>
        <w:rPr>
          <w:rFonts w:ascii="Barlow Semi Condensed" w:cs="Barlow Semi Condensed" w:eastAsia="Barlow Semi Condensed" w:hAnsi="Barlow Semi Condensed"/>
          <w:sz w:val="24"/>
          <w:szCs w:val="24"/>
        </w:rPr>
        <w:t xml:space="preserve">, 17 marzo 2021, sull'incompletezza degli elenchi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Comitato esecutivo per i servizi di informazione e sicurezza</w:t>
      </w:r>
      <w:r>
        <w:rPr>
          <w:rFonts w:ascii="Barlow Semi Condensed" w:cs="Barlow Semi Condensed" w:eastAsia="Barlow Semi Condensed" w:hAnsi="Barlow Semi Condensed"/>
          <w:sz w:val="24"/>
          <w:szCs w:val="24"/>
        </w:rPr>
        <w:t xml:space="preserve"> — it.wikipedia.org</w:t>
      </w:r>
    </w:p>
    <w:p>
      <w:pPr>
        <w:spacing w:after="120" w:line="276"/>
        <w:jc w:val="both"/>
      </w:pPr>
      <w:r>
        <w:rPr>
          <w:rFonts w:ascii="Barlow Semi Condensed" w:cs="Barlow Semi Condensed" w:eastAsia="Barlow Semi Condensed" w:hAnsi="Barlow Semi Condensed"/>
          <w:b/>
          <w:bCs/>
          <w:sz w:val="24"/>
          <w:szCs w:val="24"/>
        </w:rPr>
        <w:t xml:space="preserve">Correzioni interne a questa verifica</w:t>
      </w:r>
      <w:r>
        <w:rPr>
          <w:rFonts w:ascii="Barlow Semi Condensed" w:cs="Barlow Semi Condensed" w:eastAsia="Barlow Semi Condensed" w:hAnsi="Barlow Semi Condensed"/>
          <w:sz w:val="24"/>
          <w:szCs w:val="24"/>
        </w:rPr>
        <w:t xml:space="preserve">, annotate e non sostituite: in una prima</w:t>
      </w:r>
    </w:p>
    <w:p>
      <w:pPr>
        <w:spacing w:after="120" w:line="276"/>
        <w:jc w:val="both"/>
      </w:pPr>
      <w:r>
        <w:rPr>
          <w:rFonts w:ascii="Barlow Semi Condensed" w:cs="Barlow Semi Condensed" w:eastAsia="Barlow Semi Condensed" w:hAnsi="Barlow Semi Condensed"/>
          <w:sz w:val="24"/>
          <w:szCs w:val="24"/>
        </w:rPr>
        <w:t xml:space="preserve">stesura la tessera 811 era stata attribuita a Ortolani (è di Rizzuti; Ortolani è</w:t>
      </w:r>
    </w:p>
    <w:p>
      <w:pPr>
        <w:spacing w:after="120" w:line="276"/>
        <w:jc w:val="both"/>
      </w:pPr>
      <w:r>
        <w:rPr>
          <w:rFonts w:ascii="Barlow Semi Condensed" w:cs="Barlow Semi Condensed" w:eastAsia="Barlow Semi Condensed" w:hAnsi="Barlow Semi Condensed"/>
          <w:sz w:val="24"/>
          <w:szCs w:val="24"/>
        </w:rPr>
        <w:t xml:space="preserve">1609), e i nomi di Chichiarelli, Vitalone, Terranova e Napoletano erano stati</w:t>
      </w:r>
    </w:p>
    <w:p>
      <w:pPr>
        <w:spacing w:after="120" w:line="276"/>
        <w:jc w:val="both"/>
      </w:pPr>
      <w:r>
        <w:rPr>
          <w:rFonts w:ascii="Barlow Semi Condensed" w:cs="Barlow Semi Condensed" w:eastAsia="Barlow Semi Condensed" w:hAnsi="Barlow Semi Condensed"/>
          <w:sz w:val="24"/>
          <w:szCs w:val="24"/>
        </w:rPr>
        <w:t xml:space="preserve">trattati come righe della tabella dei trentatré, mentre appartengono ad altre</w:t>
      </w:r>
    </w:p>
    <w:p>
      <w:pPr>
        <w:spacing w:after="120" w:line="276"/>
        <w:jc w:val="both"/>
      </w:pPr>
      <w:r>
        <w:rPr>
          <w:rFonts w:ascii="Barlow Semi Condensed" w:cs="Barlow Semi Condensed" w:eastAsia="Barlow Semi Condensed" w:hAnsi="Barlow Semi Condensed"/>
          <w:sz w:val="24"/>
          <w:szCs w:val="24"/>
        </w:rPr>
        <w:t xml:space="preserve">sezioni del testo esaminato. La tabella ha trentatré righe esatte, contate una per</w:t>
      </w:r>
    </w:p>
    <w:p>
      <w:pPr>
        <w:spacing w:after="120" w:line="276"/>
        <w:jc w:val="both"/>
      </w:pPr>
      <w:r>
        <w:rPr>
          <w:rFonts w:ascii="Barlow Semi Condensed" w:cs="Barlow Semi Condensed" w:eastAsia="Barlow Semi Condensed" w:hAnsi="Barlow Semi Condensed"/>
          <w:sz w:val="24"/>
          <w:szCs w:val="24"/>
        </w:rPr>
        <w:t xml:space="preserve">una sul testo originale.</w:t>
      </w:r>
    </w:p>
    <w:p>
      <w:pPr>
        <w:pStyle w:val="Heading3"/>
        <w:spacing w:after="80" w:before="240"/>
      </w:pPr>
      <w:r>
        <w:rPr>
          <w:rFonts w:ascii="Barlow Semi Condensed" w:cs="Barlow Semi Condensed" w:eastAsia="Barlow Semi Condensed" w:hAnsi="Barlow Semi Condensed"/>
          <w:sz w:val="24"/>
          <w:szCs w:val="24"/>
        </w:rPr>
        <w:t xml:space="preserve">Apparato grafico — Appendici · Verifica di un elenco esterno (i trentatré nomi)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1.798 parole in 9 sezioni; la più ampia è §2 2. Il rilievo dirimente: la soglia del 1.600, con 333.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53 paragrafi in 9 sezioni, 6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 campi della tabella verificata e quanti nomi reggono in ciascuno: trentatré nomi, trentatré ruoli verificabili, venti appartenenze corroborate, nessun numero di tessera.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 dei trentatré valori dichiarati come numero di tessera cadono sotto il 1.600, soglia verbalizzata negli atti della Commissione; un quinto vi si posa esatto.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Ripartizione delle trentatré righe per sede istituzionale attribuita nel 1978: quindici nei servizi informativi, ventidue in apparati che rispondono all'esecutivo.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degli elenchi secondo le fonti sui lavori della Commissione Anselmi, con l'annotazione sulla cifra dei parlamentari registrata nel Libro quarto.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Quattrocentodiciannove giorni la finestra richiesta, 1.097 dai fatti al sequestro degli elenchi, 2.310 dai fatti al deposito della relazione di maggioranza.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sul corpus: la documentazione si addensa sui tre mesi del sequestro e si dirada ai due estremi.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sole percentuali sui 962 che i dati consentano di calcolare: 3,43 per cento i nomi asseriti, 2,08 quelli con appartenenza corroborata, zero quelli con un numero verificato.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campo che il calcolo per finestra temporale richiederebbe: due righe su trentatré portano una data di affiliazione, una sola è collocabile in un mese preciso.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quattrocentodiciannove giorni della finestra, con i cinquantacinque della prigionia in evidenza, e i due soli dati datati della tabella verificata.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 La guida alla lettura</w:t>
      </w:r>
    </w:p>
    <w:p>
      <w:pPr>
        <w:pStyle w:val="Heading1"/>
        <w:spacing w:after="120" w:before="240"/>
      </w:pPr>
      <w:r>
        <w:rPr>
          <w:rFonts w:ascii="Barlow Semi Condensed" w:cs="Barlow Semi Condensed" w:eastAsia="Barlow Semi Condensed" w:hAnsi="Barlow Semi Condensed"/>
          <w:sz w:val="24"/>
          <w:szCs w:val="24"/>
        </w:rPr>
        <w:t xml:space="preserve">Guida alla lettura del corpus storico</w:t>
      </w:r>
    </w:p>
    <w:p>
      <w:pPr>
        <w:spacing w:after="120" w:line="276"/>
        <w:jc w:val="both"/>
      </w:pPr>
      <w:r>
        <w:rPr>
          <w:rFonts w:ascii="Barlow Semi Condensed" w:cs="Barlow Semi Condensed" w:eastAsia="Barlow Semi Condensed" w:hAnsi="Barlow Semi Condensed"/>
          <w:i/>
          <w:iCs/>
          <w:sz w:val="24"/>
          <w:szCs w:val="24"/>
        </w:rPr>
        <w:t xml:space="preserve">Porta d'ingresso ai documenti storici del branch `claude/amnistiati-tribunale-speciale-a82lzn` — aggiornata al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L'opera integrale — «Aldo Moro. Ottanta anni di Pace».</w:t>
      </w:r>
      <w:r>
        <w:rPr>
          <w:rFonts w:ascii="Barlow Semi Condensed" w:cs="Barlow Semi Condensed" w:eastAsia="Barlow Semi Condensed" w:hAnsi="Barlow Semi Condensed"/>
          <w:i w:val="false"/>
          <w:iCs w:val="false"/>
          <w:sz w:val="24"/>
          <w:szCs w:val="24"/>
        </w:rPr>
        <w:t xml:space="preserve"> L'intero corpus di questo branch è rilegato in un solo volume col titolo scelto dall'autore (chiave interpretativa dichiarata in copertina come lente, non sentenza), in doppia edizione: `</w:t>
      </w:r>
      <w:r>
        <w:rPr>
          <w:rFonts w:ascii="Barlow Semi Condensed" w:cs="Barlow Semi Condensed" w:eastAsia="Barlow Semi Condensed" w:hAnsi="Barlow Semi Condensed"/>
          <w:i w:val="false"/>
          <w:iCs w:val="false"/>
          <w:sz w:val="24"/>
          <w:szCs w:val="24"/>
        </w:rPr>
        <w:t xml:space="preserve">UNA_GUERRA_SENZA_FINE_OPERA_INTEGRALE.docx</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.pdf`](UNA_GUERRA_SENZA_FINE_OPERA_INTEGRALE.pdf) (2.425 pagine, edizione integrale in senso stretto, in Barlow Semi Condensed, con l'apparato grafico a piè di ogni capitolo e l'apparato conclusivo delle note bibliografiche dalla prima all'ultima) — il Portale, quindici Libri (col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al quarto, e col fascicolo aperto in sette parti: l'intera quadriga investigativa e la triangolazione Kissinger in mille blocchi) e quattro Appendici — la terza è la verifica di un elenco esterno sottoposto al corpus, la quarta assorbe l'apparato di navigazione e l'intero dossier di invio —, nell'ordine di lettura, sesta edizione accresciuta. Il Libro dodicesimo accoglie la </w:t>
      </w:r>
      <w:r>
        <w:rPr>
          <w:rFonts w:ascii="Barlow Semi Condensed" w:cs="Barlow Semi Condensed" w:eastAsia="Barlow Semi Condensed" w:hAnsi="Barlow Semi Condensed"/>
          <w:b/>
          <w:bCs/>
          <w:i w:val="false"/>
          <w:iCs w:val="false"/>
          <w:sz w:val="24"/>
          <w:szCs w:val="24"/>
        </w:rPr>
        <w:t xml:space="preserve">terza campagna Farnesina</w:t>
      </w:r>
      <w:r>
        <w:rPr>
          <w:rFonts w:ascii="Barlow Semi Condensed" w:cs="Barlow Semi Condensed" w:eastAsia="Barlow Semi Condensed" w:hAnsi="Barlow Semi Condensed"/>
          <w:i w:val="false"/>
          <w:iCs w:val="false"/>
          <w:sz w:val="24"/>
          <w:szCs w:val="24"/>
        </w:rPr>
        <w:t xml:space="preserve"> in ventotto parti; il </w:t>
      </w:r>
      <w:r>
        <w:rPr>
          <w:rFonts w:ascii="Barlow Semi Condensed" w:cs="Barlow Semi Condensed" w:eastAsia="Barlow Semi Condensed" w:hAnsi="Barlow Semi Condensed"/>
          <w:b/>
          <w:bCs/>
          <w:i w:val="false"/>
          <w:iCs w:val="false"/>
          <w:sz w:val="24"/>
          <w:szCs w:val="24"/>
        </w:rPr>
        <w:t xml:space="preserve">quindicesimo</w:t>
      </w:r>
      <w:r>
        <w:rPr>
          <w:rFonts w:ascii="Barlow Semi Condensed" w:cs="Barlow Semi Condensed" w:eastAsia="Barlow Semi Condensed" w:hAnsi="Barlow Semi Condensed"/>
          <w:i w:val="false"/>
          <w:iCs w:val="false"/>
          <w:sz w:val="24"/>
          <w:szCs w:val="24"/>
        </w:rPr>
        <w:t xml:space="preserve"> è l'opera seconda sui cinquantacinque giorni, in sette Fasi e settanta Capitoli; il </w:t>
      </w:r>
      <w:r>
        <w:rPr>
          <w:rFonts w:ascii="Barlow Semi Condensed" w:cs="Barlow Semi Condensed" w:eastAsia="Barlow Semi Condensed" w:hAnsi="Barlow Semi Condensed"/>
          <w:b/>
          <w:bCs/>
          <w:i w:val="false"/>
          <w:iCs w:val="false"/>
          <w:sz w:val="24"/>
          <w:szCs w:val="24"/>
        </w:rPr>
        <w:t xml:space="preserve">nono</w:t>
      </w:r>
      <w:r>
        <w:rPr>
          <w:rFonts w:ascii="Barlow Semi Condensed" w:cs="Barlow Semi Condensed" w:eastAsia="Barlow Semi Condensed" w:hAnsi="Barlow Semi Condensed"/>
          <w:i w:val="false"/>
          <w:iCs w:val="false"/>
          <w:sz w:val="24"/>
          <w:szCs w:val="24"/>
        </w:rPr>
        <w:t xml:space="preserve"> accoglie le undici Appendici alla Fase settima, dalla quinta alla quindicesima.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Questo branch raccoglie un </w:t>
      </w:r>
      <w:r>
        <w:rPr>
          <w:rFonts w:ascii="Barlow Semi Condensed" w:cs="Barlow Semi Condensed" w:eastAsia="Barlow Semi Condensed" w:hAnsi="Barlow Semi Condensed"/>
          <w:b/>
          <w:bCs/>
          <w:i w:val="false"/>
          <w:iCs w:val="false"/>
          <w:sz w:val="24"/>
          <w:szCs w:val="24"/>
        </w:rPr>
        <w:t xml:space="preserve">corpus storico</w:t>
      </w:r>
      <w:r>
        <w:rPr>
          <w:rFonts w:ascii="Barlow Semi Condensed" w:cs="Barlow Semi Condensed" w:eastAsia="Barlow Semi Condensed" w:hAnsi="Barlow Semi Condensed"/>
          <w:i w:val="false"/>
          <w:iCs w:val="false"/>
          <w:sz w:val="24"/>
          <w:szCs w:val="24"/>
        </w:rPr>
        <w:t xml:space="preserve"> (Ernesto Guevara, il mito del Che, Aldo Moro) estraneo al progetto principale del repository. La presente guida è la porta d'ingresso curata: dice </w:t>
      </w:r>
      <w:r>
        <w:rPr>
          <w:rFonts w:ascii="Barlow Semi Condensed" w:cs="Barlow Semi Condensed" w:eastAsia="Barlow Semi Condensed" w:hAnsi="Barlow Semi Condensed"/>
          <w:b/>
          <w:bCs/>
          <w:i w:val="false"/>
          <w:iCs w:val="false"/>
          <w:sz w:val="24"/>
          <w:szCs w:val="24"/>
        </w:rPr>
        <w:t xml:space="preserve">da dove cominciare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in che ordine leggere</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quanto pesa</w:t>
      </w:r>
      <w:r>
        <w:rPr>
          <w:rFonts w:ascii="Barlow Semi Condensed" w:cs="Barlow Semi Condensed" w:eastAsia="Barlow Semi Condensed" w:hAnsi="Barlow Semi Condensed"/>
          <w:i w:val="false"/>
          <w:iCs w:val="false"/>
          <w:sz w:val="24"/>
          <w:szCs w:val="24"/>
        </w:rPr>
        <w:t xml:space="preserve"> ogni affermazione. Per il semplice catalogo di tutti i file si veda `</w:t>
      </w:r>
      <w:r>
        <w:rPr>
          <w:rFonts w:ascii="Barlow Semi Condensed" w:cs="Barlow Semi Condensed" w:eastAsia="Barlow Semi Condensed" w:hAnsi="Barlow Semi Condensed"/>
          <w:i w:val="false"/>
          <w:iCs w:val="false"/>
          <w:sz w:val="24"/>
          <w:szCs w:val="24"/>
        </w:rPr>
        <w:t xml:space="preserve">INDICE-DOCUMENTI-BRANCH.md</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leggere: la disciplina del corpus</w:t>
      </w:r>
    </w:p>
    <w:p>
      <w:pPr>
        <w:spacing w:after="120" w:line="276"/>
        <w:jc w:val="both"/>
      </w:pPr>
      <w:r>
        <w:rPr>
          <w:rFonts w:ascii="Barlow Semi Condensed" w:cs="Barlow Semi Condensed" w:eastAsia="Barlow Semi Condensed" w:hAnsi="Barlow Semi Condensed"/>
          <w:sz w:val="24"/>
          <w:szCs w:val="24"/>
        </w:rPr>
        <w:t xml:space="preserve">Tre regole valgono su ogni pagina, e vanno tenute presenti dalla prima riga: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Regola di Ferro.</w:t>
      </w:r>
      <w:r>
        <w:rPr>
          <w:rFonts w:ascii="Barlow Semi Condensed" w:cs="Barlow Semi Condensed" w:eastAsia="Barlow Semi Condensed" w:hAnsi="Barlow Semi Condensed"/>
          <w:sz w:val="24"/>
          <w:szCs w:val="24"/>
        </w:rPr>
        <w:t xml:space="preserve"> Dove la fonte documenta, l'opera certifica; dove tace, indaga e non afferma. Ogni affermazione portante dichiara su che cosa poggia.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Tre gradi di prova.</w:t>
      </w:r>
      <w:r>
        <w:rPr>
          <w:rFonts w:ascii="Barlow Semi Condensed" w:cs="Barlow Semi Condensed" w:eastAsia="Barlow Semi Condensed" w:hAnsi="Barlow Semi Condensed"/>
          <w:sz w:val="24"/>
          <w:szCs w:val="24"/>
        </w:rPr>
        <w:t xml:space="preserve"> Si distingue sempre ciò che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(rapporto provato), ciò che è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(stesso tempo, stessa cornice — mai promossa a nesso causale) e ciò che è </w:t>
      </w:r>
      <w:r>
        <w:rPr>
          <w:rFonts w:ascii="Barlow Semi Condensed" w:cs="Barlow Semi Condensed" w:eastAsia="Barlow Semi Condensed" w:hAnsi="Barlow Semi Condensed"/>
          <w:b/>
          <w:bCs/>
          <w:sz w:val="24"/>
          <w:szCs w:val="24"/>
        </w:rPr>
        <w:t xml:space="preserve">congettura</w:t>
      </w:r>
      <w:r>
        <w:rPr>
          <w:rFonts w:ascii="Barlow Semi Condensed" w:cs="Barlow Semi Condensed" w:eastAsia="Barlow Semi Condensed" w:hAnsi="Barlow Semi Condensed"/>
          <w:sz w:val="24"/>
          <w:szCs w:val="24"/>
        </w:rPr>
        <w:t xml:space="preserve"> (lasciata come tale). Le chiavi interpretative — a partire da «una guerra senza fine» — sono </w:t>
      </w:r>
      <w:r>
        <w:rPr>
          <w:rFonts w:ascii="Barlow Semi Condensed" w:cs="Barlow Semi Condensed" w:eastAsia="Barlow Semi Condensed" w:hAnsi="Barlow Semi Condensed"/>
          <w:b/>
          <w:bCs/>
          <w:sz w:val="24"/>
          <w:szCs w:val="24"/>
        </w:rPr>
        <w:t xml:space="preserve">lenti</w:t>
      </w:r>
      <w:r>
        <w:rPr>
          <w:rFonts w:ascii="Barlow Semi Condensed" w:cs="Barlow Semi Condensed" w:eastAsia="Barlow Semi Condensed" w:hAnsi="Barlow Semi Condensed"/>
          <w:sz w:val="24"/>
          <w:szCs w:val="24"/>
        </w:rPr>
        <w:t xml:space="preserve">, non sentenze.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limite etico.</w:t>
      </w:r>
      <w:r>
        <w:rPr>
          <w:rFonts w:ascii="Barlow Semi Condensed" w:cs="Barlow Semi Condensed" w:eastAsia="Barlow Semi Condensed" w:hAnsi="Barlow Semi Condensed"/>
          <w:sz w:val="24"/>
          <w:szCs w:val="24"/>
        </w:rPr>
        <w:t xml:space="preserve"> Nessuno è nominato come responsabile al di là del giudicato; vale la presunzione d'innocenza. Il materiale che tocca persone viventi con attribuzioni non riscontrate </w:t>
      </w:r>
      <w:r>
        <w:rPr>
          <w:rFonts w:ascii="Barlow Semi Condensed" w:cs="Barlow Semi Condensed" w:eastAsia="Barlow Semi Condensed" w:hAnsi="Barlow Semi Condensed"/>
          <w:b/>
          <w:bCs/>
          <w:sz w:val="24"/>
          <w:szCs w:val="24"/>
        </w:rPr>
        <w:t xml:space="preserve">non appartiene a questo branch pubblico</w:t>
      </w:r>
      <w:r>
        <w:rPr>
          <w:rFonts w:ascii="Barlow Semi Condensed" w:cs="Barlow Semi Condensed" w:eastAsia="Barlow Semi Condensed" w:hAnsi="Barlow Semi Condensed"/>
          <w:sz w:val="24"/>
          <w:szCs w:val="24"/>
        </w:rPr>
        <w:t xml:space="preserve"> e non vi è trattato.</w:t>
      </w:r>
    </w:p>
    <w:p>
      <w:pPr>
        <w:spacing w:after="120" w:line="276"/>
        <w:jc w:val="both"/>
      </w:pPr>
      <w:r>
        <w:rPr>
          <w:rFonts w:ascii="Barlow Semi Condensed" w:cs="Barlow Semi Condensed" w:eastAsia="Barlow Semi Condensed" w:hAnsi="Barlow Semi Condensed"/>
          <w:sz w:val="24"/>
          <w:szCs w:val="24"/>
        </w:rPr>
        <w:t xml:space="preserve">Chi tiene ferme queste tre regole leggerà il corpus per quello che vuole essere: una ricostruzione storica tracciabile, né agiografia né dietrologia.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Tre percorsi di lettura</w:t>
      </w:r>
    </w:p>
    <w:p>
      <w:pPr>
        <w:spacing w:after="120" w:line="276"/>
        <w:jc w:val="both"/>
      </w:pPr>
      <w:r>
        <w:rPr>
          <w:rFonts w:ascii="Barlow Semi Condensed" w:cs="Barlow Semi Condensed" w:eastAsia="Barlow Semi Condensed" w:hAnsi="Barlow Semi Condensed"/>
          <w:sz w:val="24"/>
          <w:szCs w:val="24"/>
        </w:rPr>
        <w:t xml:space="preserve">Non è obbligatorio leggere tutto in fila. A seconda dell'interesse, tre cammini:</w:t>
      </w:r>
    </w:p>
    <w:p>
      <w:pPr>
        <w:pStyle w:val="Heading3"/>
        <w:spacing w:after="80" w:before="160"/>
      </w:pPr>
      <w:r>
        <w:rPr>
          <w:rFonts w:ascii="Barlow Semi Condensed" w:cs="Barlow Semi Condensed" w:eastAsia="Barlow Semi Condensed" w:hAnsi="Barlow Semi Condensed"/>
          <w:sz w:val="24"/>
          <w:szCs w:val="24"/>
        </w:rPr>
        <w:t xml:space="preserve">Percorso A — La parabola di Guevara (1928-1967)</w:t>
      </w:r>
    </w:p>
    <w:p>
      <w:pPr>
        <w:spacing w:after="120" w:line="276"/>
        <w:jc w:val="both"/>
      </w:pPr>
      <w:r>
        <w:rPr>
          <w:rFonts w:ascii="Barlow Semi Condensed" w:cs="Barlow Semi Condensed" w:eastAsia="Barlow Semi Condensed" w:hAnsi="Barlow Semi Condensed"/>
          <w:sz w:val="24"/>
          <w:szCs w:val="24"/>
        </w:rPr>
        <w:t xml:space="preserve">Per chi vuole la vita, dall'inizio alla fine, come ricostruzione storica.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 origini e formazione (fino al 1934)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 dal Messico alla Sierra Maestra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 dall'ONU 1964 al Congo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guevara-campagna-boliviana-1966-1967.md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capitolo conclusivo</w:t>
      </w:r>
      <w:r>
        <w:rPr>
          <w:rFonts w:ascii="Barlow Semi Condensed" w:cs="Barlow Semi Condensed" w:eastAsia="Barlow Semi Condensed" w:hAnsi="Barlow Semi Condensed"/>
          <w:sz w:val="24"/>
          <w:szCs w:val="24"/>
        </w:rPr>
        <w:t xml:space="preserve">: Ñancahuazú, La Higuera, il ritorno delle ossa (1997)</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i/>
          <w:iCs/>
          <w:sz w:val="24"/>
          <w:szCs w:val="24"/>
        </w:rPr>
        <w:t xml:space="preserve">guevara-bibliografia-critica.md</w:t>
      </w:r>
      <w:r>
        <w:rPr>
          <w:rFonts w:ascii="Barlow Semi Condensed" w:cs="Barlow Semi Condensed" w:eastAsia="Barlow Semi Condensed" w:hAnsi="Barlow Semi Condensed"/>
          <w:sz w:val="24"/>
          <w:szCs w:val="24"/>
        </w:rPr>
        <w:t xml:space="preserve">` — l'apparato delle fonti, per rango di affidabilità</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Chi preferisce il volume unico rilegato trova gli stessi cinque studi in `</w:t>
      </w:r>
      <w:r>
        <w:rPr>
          <w:rFonts w:ascii="Barlow Semi Condensed" w:cs="Barlow Semi Condensed" w:eastAsia="Barlow Semi Condensed" w:hAnsi="Barlow Semi Condensed"/>
          <w:i w:val="false"/>
          <w:iCs w:val="false"/>
          <w:sz w:val="24"/>
          <w:szCs w:val="24"/>
        </w:rPr>
        <w:t xml:space="preserve">GUEVARA_LA_PARABOLA_INTEGRALE_1928-1967.docx</w:t>
      </w:r>
      <w:r>
        <w:rPr>
          <w:rFonts w:ascii="Barlow Semi Condensed" w:cs="Barlow Semi Condensed" w:eastAsia="Barlow Semi Condensed" w:hAnsi="Barlow Semi Condensed"/>
          <w:i w:val="false"/>
          <w:iCs w:val="false"/>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Percorso B — Il caso Moro e l'apparato dei gradi</w:t>
      </w:r>
    </w:p>
    <w:p>
      <w:pPr>
        <w:spacing w:after="120" w:line="276"/>
        <w:jc w:val="both"/>
      </w:pPr>
      <w:r>
        <w:rPr>
          <w:rFonts w:ascii="Barlow Semi Condensed" w:cs="Barlow Semi Condensed" w:eastAsia="Barlow Semi Condensed" w:hAnsi="Barlow Semi Condensed"/>
          <w:sz w:val="24"/>
          <w:szCs w:val="24"/>
        </w:rPr>
        <w:t xml:space="preserve">Per chi viene dal versante italiano e dal metodo falsificazionista.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portale dell'opera.</w:t>
      </w:r>
      <w:r>
        <w:rPr>
          <w:rFonts w:ascii="Barlow Semi Condensed" w:cs="Barlow Semi Condensed" w:eastAsia="Barlow Semi Condensed" w:hAnsi="Barlow Semi Condensed"/>
          <w:i w:val="false"/>
          <w:iCs w:val="false"/>
          <w:sz w:val="24"/>
          <w:szCs w:val="24"/>
        </w:rPr>
        <w:t xml:space="preserve"> L'intero corpus moroteo è ora riordinato secondo l'architettura del Dossier maggiore dell'autore («Aldo Moro — Tutta la verità»: cinque Fasi, capitoli, blocchi mirati, griglia a cinque voci) in `</w:t>
      </w:r>
      <w:r>
        <w:rPr>
          <w:rFonts w:ascii="Barlow Semi Condensed" w:cs="Barlow Semi Condensed" w:eastAsia="Barlow Semi Condensed" w:hAnsi="Barlow Semi Condensed"/>
          <w:i w:val="false"/>
          <w:iCs w:val="false"/>
          <w:sz w:val="24"/>
          <w:szCs w:val="24"/>
        </w:rPr>
        <w:t xml:space="preserve">aldo-moro-una-guerra-senza-fine-edizione-strutturata.md</w:t>
      </w:r>
      <w:r>
        <w:rPr>
          <w:rFonts w:ascii="Barlow Semi Condensed" w:cs="Barlow Semi Condensed" w:eastAsia="Barlow Semi Condensed" w:hAnsi="Barlow Semi Condensed"/>
          <w:i w:val="false"/>
          <w:iCs w:val="false"/>
          <w:sz w:val="24"/>
          <w:szCs w:val="24"/>
        </w:rPr>
        <w:t xml:space="preserve"> — con la divergenza dichiarata: la Fase quinta pubblica si ferma al giudicato e non riproduce la graduatoria probabilistica. Anche le **metodologie** del Dossier sono adottate e calcolate sul corpus (rete documentata, regola dell'anello debole, regola dei buchi, ACH, auto-misurazione) in </w:t>
      </w:r>
      <w:r>
        <w:rPr>
          <w:rFonts w:ascii="Barlow Semi Condensed" w:cs="Barlow Semi Condensed" w:eastAsia="Barlow Semi Condensed" w:hAnsi="Barlow Semi Condensed"/>
          <w:i w:val="false"/>
          <w:iCs w:val="false"/>
          <w:sz w:val="24"/>
          <w:szCs w:val="24"/>
        </w:rPr>
        <w:t xml:space="preserve">metodologie-del-dossier-sinaptogenesi-e-strumenti.md</w:t>
      </w:r>
      <w:r>
        <w:rPr>
          <w:rFonts w:ascii="Barlow Semi Condensed" w:cs="Barlow Semi Condensed" w:eastAsia="Barlow Semi Condensed" w:hAnsi="Barlow Semi Condensed"/>
          <w:i w:val="false"/>
          <w:iCs w:val="false"/>
          <w:sz w:val="24"/>
          <w:szCs w:val="24"/>
        </w:rPr>
        <w:t xml:space="preserve">. Chi vuole la mappa unica parte da lì; le tappe che seguono restano il percorso analitico. La proiezione **investigativa** del corpus — le dieci piste operative, il fascicolo romano ancora aperto, la Direttiva Renzi — è in </w:t>
      </w:r>
      <w:r>
        <w:rPr>
          <w:rFonts w:ascii="Barlow Semi Condensed" w:cs="Barlow Semi Condensed" w:eastAsia="Barlow Semi Condensed" w:hAnsi="Barlow Semi Condensed"/>
          <w:i w:val="false"/>
          <w:iCs w:val="false"/>
          <w:sz w:val="24"/>
          <w:szCs w:val="24"/>
        </w:rPr>
        <w:t xml:space="preserve">programma-investigativo-caso-moro.md</w:t>
      </w:r>
      <w:r>
        <w:rPr>
          <w:rFonts w:ascii="Barlow Semi Condensed" w:cs="Barlow Semi Condensed" w:eastAsia="Barlow Semi Condensed" w:hAnsi="Barlow Semi Condensed"/>
          <w:i w:val="false"/>
          <w:iCs w:val="false"/>
          <w:sz w:val="24"/>
          <w:szCs w:val="24"/>
        </w:rPr>
        <w:t xml:space="preserve">, con le schede operative delle piste di testa (e la Nota di revisione n. 1) in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le sei schede delle entità in </w:t>
      </w:r>
      <w:r>
        <w:rPr>
          <w:rFonts w:ascii="Barlow Semi Condensed" w:cs="Barlow Semi Condensed" w:eastAsia="Barlow Semi Condensed" w:hAnsi="Barlow Semi Condensed"/>
          <w:i w:val="false"/>
          <w:iCs w:val="false"/>
          <w:sz w:val="24"/>
          <w:szCs w:val="24"/>
        </w:rPr>
        <w:t xml:space="preserve">approfondimento-piste-entita.md</w:t>
      </w:r>
      <w:r>
        <w:rPr>
          <w:rFonts w:ascii="Barlow Semi Condensed" w:cs="Barlow Semi Condensed" w:eastAsia="Barlow Semi Condensed" w:hAnsi="Barlow Semi Condensed"/>
          <w:i w:val="false"/>
          <w:iCs w:val="false"/>
          <w:sz w:val="24"/>
          <w:szCs w:val="24"/>
        </w:rPr>
        <w:t xml:space="preserve">, e il **manuale titanico in 400 blocchi mirati (seconda edizione)** — come dovrebbero svolgersi le attività investigative per il nuovo Caso Moro — in </w:t>
      </w:r>
      <w:r>
        <w:rPr>
          <w:rFonts w:ascii="Barlow Semi Condensed" w:cs="Barlow Semi Condensed" w:eastAsia="Barlow Semi Condensed" w:hAnsi="Barlow Semi Condensed"/>
          <w:i w:val="false"/>
          <w:iCs w:val="false"/>
          <w:sz w:val="24"/>
          <w:szCs w:val="24"/>
        </w:rPr>
        <w:t xml:space="preserve">manuale-investigativo-nuovo-caso-moro.md</w:t>
      </w:r>
      <w:r>
        <w:rPr>
          <w:rFonts w:ascii="Barlow Semi Condensed" w:cs="Barlow Semi Condensed" w:eastAsia="Barlow Semi Condensed" w:hAnsi="Barlow Semi Condensed"/>
          <w:i w:val="false"/>
          <w:iCs w:val="false"/>
          <w:sz w:val="24"/>
          <w:szCs w:val="24"/>
        </w:rPr>
        <w:t xml:space="preserve">. Il gemello del manuale è l'**agenda di ricerca titanica in 300 blocchi mirati di ricerca** — che cosa cercare e dove: i quesiti, i giacimenti, le verifiche di smentita, con l'apparato delle dodici verifiche d'archivio — in </w:t>
      </w:r>
      <w:r>
        <w:rPr>
          <w:rFonts w:ascii="Barlow Semi Condensed" w:cs="Barlow Semi Condensed" w:eastAsia="Barlow Semi Condensed" w:hAnsi="Barlow Semi Condensed"/>
          <w:i w:val="false"/>
          <w:iCs w:val="false"/>
          <w:sz w:val="24"/>
          <w:szCs w:val="24"/>
        </w:rPr>
        <w:t xml:space="preserve">agenda-di-ricerca-del-nuovo-caso-moro.md</w:t>
      </w:r>
      <w:r>
        <w:rPr>
          <w:rFonts w:ascii="Barlow Semi Condensed" w:cs="Barlow Semi Condensed" w:eastAsia="Barlow Semi Condensed" w:hAnsi="Barlow Semi Condensed"/>
          <w:i w:val="false"/>
          <w:iCs w:val="false"/>
          <w:sz w:val="24"/>
          <w:szCs w:val="24"/>
        </w:rPr>
        <w:t xml:space="preserve">: il manuale dice *come*, l'agenda dice *che cosa e dove*. La quadriga si chiude con l'opera monumentale dei **nove cantieri in 1.000 blocchi mirati** — l'esecuzione approfondita dei nove fronti (Regno Unito-Francia-Germania, Vaticano, fondi privati, reperti, memoriale, audio-fotografia, scienze forensi, registro del giudicato, fascicolo di Roma), con due campagne di verifica e i loro apparati — in </w:t>
      </w:r>
      <w:r>
        <w:rPr>
          <w:rFonts w:ascii="Barlow Semi Condensed" w:cs="Barlow Semi Condensed" w:eastAsia="Barlow Semi Condensed" w:hAnsi="Barlow Semi Condensed"/>
          <w:i w:val="false"/>
          <w:iCs w:val="false"/>
          <w:sz w:val="24"/>
          <w:szCs w:val="24"/>
        </w:rPr>
        <w:t xml:space="preserve">nove-cantieri-mille-blocchi.md</w:t>
      </w:r>
      <w:r>
        <w:rPr>
          <w:rFonts w:ascii="Barlow Semi Condensed" w:cs="Barlow Semi Condensed" w:eastAsia="Barlow Semi Condensed" w:hAnsi="Barlow Semi Condensed"/>
          <w:i w:val="false"/>
          <w:iCs w:val="false"/>
          <w:sz w:val="24"/>
          <w:szCs w:val="24"/>
        </w:rPr>
        <w:t xml:space="preserve">: 1.700 blocchi coordinati in quattro opere. A queste si aggiunge la **triangolazione in 4.999 blocchi mirati** di un solo nome contro tutto il corpus, in sessantacinque serie e due campagne — la prima concettuale, la seconda territoriale, che porta quel nome contro ogni singolo documento del corpus — </w:t>
      </w:r>
      <w:r>
        <w:rPr>
          <w:rFonts w:ascii="Barlow Semi Condensed" w:cs="Barlow Semi Condensed" w:eastAsia="Barlow Semi Condensed" w:hAnsi="Barlow Semi Condensed"/>
          <w:i w:val="false"/>
          <w:iCs w:val="false"/>
          <w:sz w:val="24"/>
          <w:szCs w:val="24"/>
        </w:rPr>
        <w:t xml:space="preserve">kissinger-mille-blocchi-il-codice-e-la-sua-trasmissione.md</w:t>
      </w:r>
      <w:r>
        <w:rPr>
          <w:rFonts w:ascii="Barlow Semi Condensed" w:cs="Barlow Semi Condensed" w:eastAsia="Barlow Semi Condensed" w:hAnsi="Barlow Semi Condensed"/>
          <w:i w:val="false"/>
          <w:iCs w:val="false"/>
          <w:sz w:val="24"/>
          <w:szCs w:val="24"/>
        </w:rPr>
        <w:t xml:space="preserve"> — costruita sulla chiave dichiarata dall'autore («Kissinger rappresenta metaforicamente la genetica»), **lente e non sentenza**, con la regola dei tre piani come metro e con la tredicesima serie dedicata a fermare la metafora dove essa spingerebbe verso la colpa ereditaria: in biologia il carattere si eredita, in storia la responsabilità no. A essa si affianca, come **Libro quattordicesimo**, la ricerca in 1.000 blocchi mirati che va **dal Sud Africa dell'apartheid alla cosiddetta PayPal Mafia** — </w:t>
      </w:r>
      <w:r>
        <w:rPr>
          <w:rFonts w:ascii="Barlow Semi Condensed" w:cs="Barlow Semi Condensed" w:eastAsia="Barlow Semi Condensed" w:hAnsi="Barlow Semi Condensed"/>
          <w:i w:val="false"/>
          <w:iCs w:val="false"/>
          <w:sz w:val="24"/>
          <w:szCs w:val="24"/>
        </w:rPr>
        <w:t xml:space="preserve">il-meridiano-e-la-valle-mille-blocchi.md</w:t>
      </w:r>
      <w:r>
        <w:rPr>
          <w:rFonts w:ascii="Barlow Semi Condensed" w:cs="Barlow Semi Condensed" w:eastAsia="Barlow Semi Condensed" w:hAnsi="Barlow Semi Condensed"/>
          <w:i w:val="false"/>
          <w:iCs w:val="false"/>
          <w:sz w:val="24"/>
          <w:szCs w:val="24"/>
        </w:rPr>
        <w:t xml:space="preserve">, rilegata in </w:t>
      </w:r>
      <w:r>
        <w:rPr>
          <w:rFonts w:ascii="Barlow Semi Condensed" w:cs="Barlow Semi Condensed" w:eastAsia="Barlow Semi Condensed" w:hAnsi="Barlow Semi Condensed"/>
          <w:i w:val="false"/>
          <w:iCs w:val="false"/>
          <w:sz w:val="24"/>
          <w:szCs w:val="24"/>
        </w:rPr>
        <w:t xml:space="preserve">IL_MERIDIANO_E_LA_VALLE_DAL_SUD_AFRICA_ALLA_PAYPAL_MAFIA.docx</w:t>
      </w:r>
      <w:r>
        <w:rPr>
          <w:rFonts w:ascii="Barlow Semi Condensed" w:cs="Barlow Semi Condensed" w:eastAsia="Barlow Semi Condensed" w:hAnsi="Barlow Semi Condensed"/>
          <w:i w:val="false"/>
          <w:iCs w:val="false"/>
          <w:sz w:val="24"/>
          <w:szCs w:val="24"/>
        </w:rPr>
        <w:t xml:space="preserve"> — dove la chiave di continuità è dichiarata non solo come lente ma come **ipotesi da mettere alla prova**, con i bersagli di smentita in ogni serie; nomina persone viventi e **non indica alcuno come responsabile di reato o di illecito**; il raccordo con l'opera-madre è tematico e non documentale, e il solo ponte documentato col corpus è il nodo E-16 della triangolazione Guevara-Moro, il discorso alle Nazioni Unite dell'11 dicembre 1964. Il volume rilegato è </w:t>
      </w:r>
      <w:r>
        <w:rPr>
          <w:rFonts w:ascii="Barlow Semi Condensed" w:cs="Barlow Semi Condensed" w:eastAsia="Barlow Semi Condensed" w:hAnsi="Barlow Semi Condensed"/>
          <w:i w:val="false"/>
          <w:iCs w:val="false"/>
          <w:sz w:val="24"/>
          <w:szCs w:val="24"/>
        </w:rPr>
        <w:t xml:space="preserve">IL_CODICE_E_LA_SUA_TRASMISSIONE_KISSINGER_MILLE_BLOCCHI.docx</w:t>
      </w:r>
      <w:r>
        <w:rPr>
          <w:rFonts w:ascii="Barlow Semi Condensed" w:cs="Barlow Semi Condensed" w:eastAsia="Barlow Semi Condensed" w:hAnsi="Barlow Semi Condensed"/>
          <w:i w:val="false"/>
          <w:iCs w:val="false"/>
          <w:sz w:val="24"/>
          <w:szCs w:val="24"/>
        </w:rPr>
        <w:t xml:space="preserve"> (con [</w:t>
      </w:r>
      <w:r>
        <w:rPr>
          <w:rFonts w:ascii="Barlow Semi Condensed" w:cs="Barlow Semi Condensed" w:eastAsia="Barlow Semi Condensed" w:hAnsi="Barlow Semi Condensed"/>
          <w:i w:val="false"/>
          <w:iCs w:val="false"/>
          <w:sz w:val="24"/>
          <w:szCs w:val="24"/>
        </w:rPr>
        <w:t xml:space="preserve">.pdf</w:t>
      </w:r>
      <w:r>
        <w:rPr>
          <w:rFonts w:ascii="Barlow Semi Condensed" w:cs="Barlow Semi Condensed" w:eastAsia="Barlow Semi Condensed" w:hAnsi="Barlow Semi Condensed"/>
          <w:i w:val="false"/>
          <w:iCs w:val="false"/>
          <w:sz w:val="24"/>
          <w:szCs w:val="24"/>
        </w:rPr>
        <w:t xml:space="preserve">](IL_CODICE_E_LA_SUA_TRASMISSIONE_KISSINGER_MILLE_BLOCCHI.pdf)). Il versante di ricerca (agenda + cantieri, 1.300 blocchi) è rilegato nel volume </w:t>
      </w:r>
      <w:r>
        <w:rPr>
          <w:rFonts w:ascii="Barlow Semi Condensed" w:cs="Barlow Semi Condensed" w:eastAsia="Barlow Semi Condensed" w:hAnsi="Barlow Semi Condensed"/>
          <w:i w:val="false"/>
          <w:iCs w:val="false"/>
          <w:sz w:val="24"/>
          <w:szCs w:val="24"/>
        </w:rPr>
        <w:t xml:space="preserve">IL_DITTICO_DELLA_RICERCA_AGENDA_E_NOVE_CANTIERI.docx</w:t>
      </w:r>
      <w:r>
        <w:rPr>
          <w:rFonts w:ascii="Barlow Semi Condensed" w:cs="Barlow Semi Condensed" w:eastAsia="Barlow Semi Condensed" w:hAnsi="Barlow Semi Condensed"/>
          <w:i w:val="false"/>
          <w:iCs w:val="false"/>
          <w:sz w:val="24"/>
          <w:szCs w:val="24"/>
        </w:rPr>
        <w:t xml:space="preserve"> (con [</w:t>
      </w:r>
      <w:r>
        <w:rPr>
          <w:rFonts w:ascii="Barlow Semi Condensed" w:cs="Barlow Semi Condensed" w:eastAsia="Barlow Semi Condensed" w:hAnsi="Barlow Semi Condensed"/>
          <w:i w:val="false"/>
          <w:iCs w:val="false"/>
          <w:sz w:val="24"/>
          <w:szCs w:val="24"/>
        </w:rPr>
        <w:t xml:space="preserve">.pdf`](IL_DITTICO_DELLA_RICERCA_AGENDA_E_NOVE_CANTIERI.pdf) di 134 pagine, in Barlow Semi Condensed, testo interamente giustificato); il versante operativo (programma + manuale) nel volume del fascicolo aperto; l'intera quadriga anche nell'OPERA INTEGRALE.</w:t>
      </w:r>
    </w:p>
    <w:p>
      <w:pPr>
        <w:spacing w:after="40"/>
        <w:ind w:left="360"/>
        <w:jc w:val="both"/>
      </w:pPr>
      <w:r>
        <w:rPr>
          <w:rFonts w:ascii="Barlow Semi Condensed" w:cs="Barlow Semi Condensed" w:eastAsia="Barlow Semi Condensed" w:hAnsi="Barlow Semi Condensed"/>
          <w:sz w:val="24"/>
          <w:szCs w:val="24"/>
        </w:rPr>
        <w:t xml:space="preserve">0. `</w:t>
      </w:r>
      <w:r>
        <w:rPr>
          <w:rFonts w:ascii="Barlow Semi Condensed" w:cs="Barlow Semi Condensed" w:eastAsia="Barlow Semi Condensed" w:hAnsi="Barlow Semi Condensed"/>
          <w:i/>
          <w:iCs/>
          <w:sz w:val="24"/>
          <w:szCs w:val="24"/>
        </w:rPr>
        <w:t xml:space="preserve">aldo-moro-una-guerra-senza-fine-fase-ottava-il-ritratto.md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da leggere per primo</w:t>
      </w:r>
      <w:r>
        <w:rPr>
          <w:rFonts w:ascii="Barlow Semi Condensed" w:cs="Barlow Semi Condensed" w:eastAsia="Barlow Semi Condensed" w:hAnsi="Barlow Semi Condensed"/>
          <w:sz w:val="24"/>
          <w:szCs w:val="24"/>
        </w:rPr>
        <w:t xml:space="preserve">: il ritratto dell'uomo e dello statista (formazione, strategia dell'attenzione, solidarietà nazionale, «terza fase», le lettere), perché il caso non si capisce senza la persona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 il saggio-cerniera (leggi almeno le Parti prima, seconda, quinta e la Conclusione: sono la spina documentata)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aldo-moro-una-guerra-senza-fine-parte-terza.md</w:t>
      </w:r>
      <w:r>
        <w:rPr>
          <w:rFonts w:ascii="Barlow Semi Condensed" w:cs="Barlow Semi Condensed" w:eastAsia="Barlow Semi Condensed" w:hAnsi="Barlow Semi Condensed"/>
          <w:sz w:val="24"/>
          <w:szCs w:val="24"/>
        </w:rPr>
        <w:t xml:space="preserve">` — «Il ritorno del Pollo di Popper»: dossier falsificazionista sulle questioni aperte del caso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aldo-moro-una-guerra-senza-fine-fase-sesta.md</w:t>
      </w:r>
      <w:r>
        <w:rPr>
          <w:rFonts w:ascii="Barlow Semi Condensed" w:cs="Barlow Semi Condensed" w:eastAsia="Barlow Semi Condensed" w:hAnsi="Barlow Semi Condensed"/>
          <w:sz w:val="24"/>
          <w:szCs w:val="24"/>
        </w:rPr>
        <w:t xml:space="preserve">` — il presidio del garante: rende operative le quattro discipline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aldo-moro-una-guerra-senza-fine-fase-settima-registro-giudiziario.md</w:t>
      </w:r>
      <w:r>
        <w:rPr>
          <w:rFonts w:ascii="Barlow Semi Condensed" w:cs="Barlow Semi Condensed" w:eastAsia="Barlow Semi Condensed" w:hAnsi="Barlow Semi Condensed"/>
          <w:sz w:val="24"/>
          <w:szCs w:val="24"/>
        </w:rPr>
        <w:t xml:space="preserve">` — lo strato giudiziario: i cinque processi Moro (giudicato) e la Commissione Moro 2 (accertamento parlamentare), con la tavola di raccordo delle questioni aperte per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i/>
          <w:iCs/>
          <w:sz w:val="24"/>
          <w:szCs w:val="24"/>
        </w:rPr>
        <w:t xml:space="preserve">aldo-moro-una-guerra-senza-fine-fase-nona-repertorio-del-caso.md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repertorio</w:t>
      </w:r>
      <w:r>
        <w:rPr>
          <w:rFonts w:ascii="Barlow Semi Condensed" w:cs="Barlow Semi Condensed" w:eastAsia="Barlow Semi Condensed" w:hAnsi="Barlow Semi Condensed"/>
          <w:sz w:val="24"/>
          <w:szCs w:val="24"/>
        </w:rPr>
        <w:t xml:space="preserve">: tutto ciò che è attribuibile al caso (persone, luoghi, documenti, atti, nodi), ciascuna voce col suo grado A/B/C/F. Lo strumento di consultazione</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principio personalistico</w:t>
      </w:r>
      <w:r>
        <w:rPr>
          <w:rFonts w:ascii="Barlow Semi Condensed" w:cs="Barlow Semi Condensed" w:eastAsia="Barlow Semi Condensed" w:hAnsi="Barlow Semi Condensed"/>
          <w:sz w:val="24"/>
          <w:szCs w:val="24"/>
        </w:rPr>
        <w:t xml:space="preserve">: la colpa non è mai del gruppo, è sempre della persona (art. 27 Cost.). Il registro nominativo delle tredici responsabilità individuali accertate in giudicato, ciascuna con la propria condotta; il caso Algranati (l'assoluzione che resta assoluzione); l'appartenenza a uno o più gruppi come fatto biografico inerte</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i/>
          <w:iCs/>
          <w:sz w:val="24"/>
          <w:szCs w:val="24"/>
        </w:rPr>
        <w:t xml:space="preserve">triangolazione-condannati-corpus.md</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prosopografia del registro</w:t>
      </w:r>
      <w:r>
        <w:rPr>
          <w:rFonts w:ascii="Barlow Semi Condensed" w:cs="Barlow Semi Condensed" w:eastAsia="Barlow Semi Condensed" w:hAnsi="Barlow Semi Condensed"/>
          <w:sz w:val="24"/>
          <w:szCs w:val="24"/>
        </w:rPr>
        <w:t xml:space="preserve">: i tredici condannati incrociati con gli altri domini del corpus (il ceppo CPM del 1969, il canale Pace-Piperno, Bonisoli e Monte Nevoso, la genealogia reggiana, Casimirri fra Vaticano e Nicaragua, Lojacono e la Svizzera, la memoria come vettore). Otto ponti documentati, quattro esiti negativi, cinque anti-triangolazioni: nessun ponte è un nesso</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i/>
          <w:iCs/>
          <w:sz w:val="24"/>
          <w:szCs w:val="24"/>
        </w:rPr>
        <w:t xml:space="preserve">aldo-moro-una-guerra-senza-fine-apparato-dei-gradi.md</w:t>
      </w:r>
      <w:r>
        <w:rPr>
          <w:rFonts w:ascii="Barlow Semi Condensed" w:cs="Barlow Semi Condensed" w:eastAsia="Barlow Semi Condensed" w:hAnsi="Barlow Semi Condensed"/>
          <w:sz w:val="24"/>
          <w:szCs w:val="24"/>
        </w:rPr>
        <w:t xml:space="preserve">` — l'</w:t>
      </w:r>
      <w:r>
        <w:rPr>
          <w:rFonts w:ascii="Barlow Semi Condensed" w:cs="Barlow Semi Condensed" w:eastAsia="Barlow Semi Condensed" w:hAnsi="Barlow Semi Condensed"/>
          <w:b/>
          <w:bCs/>
          <w:sz w:val="24"/>
          <w:szCs w:val="24"/>
        </w:rPr>
        <w:t xml:space="preserve">indice analitico</w:t>
      </w:r>
      <w:r>
        <w:rPr>
          <w:rFonts w:ascii="Barlow Semi Condensed" w:cs="Barlow Semi Condensed" w:eastAsia="Barlow Semi Condensed" w:hAnsi="Barlow Semi Condensed"/>
          <w:sz w:val="24"/>
          <w:szCs w:val="24"/>
        </w:rPr>
        <w:t xml:space="preserve">: per ogni capitolo, asserzione portante, grado di prova e criterio di smentita</w:t>
      </w:r>
    </w:p>
    <w:p>
      <w:pPr>
        <w:spacing w:after="40"/>
        <w:ind w:left="360"/>
        <w:jc w:val="both"/>
      </w:pPr>
      <w:r>
        <w:rPr>
          <w:rFonts w:ascii="Barlow Semi Condensed" w:cs="Barlow Semi Condensed" w:eastAsia="Barlow Semi Condensed" w:hAnsi="Barlow Semi Condensed"/>
          <w:sz w:val="24"/>
          <w:szCs w:val="24"/>
        </w:rPr>
        <w:t xml:space="preserve">9.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i/>
          <w:iCs/>
          <w:sz w:val="24"/>
          <w:szCs w:val="24"/>
        </w:rPr>
        <w:t xml:space="preserve"> — il nodo Hyperion del «quadro internazionale», come caso di scuola del metodo: fatti documentati, due tesi contrapposte entrambe non provate, proscioglimenti espliciti; lo studio monografico della genealogia è </w:t>
      </w:r>
      <w:r>
        <w:rPr>
          <w:rFonts w:ascii="Barlow Semi Condensed" w:cs="Barlow Semi Condensed" w:eastAsia="Barlow Semi Condensed" w:hAnsi="Barlow Semi Condensed"/>
          <w:i/>
          <w:iCs/>
          <w:sz w:val="24"/>
          <w:szCs w:val="24"/>
        </w:rPr>
        <w:t xml:space="preserve">ceppo-simioni-cpm-superclan-hyperion.md</w:t>
      </w:r>
      <w:r>
        <w:rPr>
          <w:rFonts w:ascii="Barlow Semi Condensed" w:cs="Barlow Semi Condensed" w:eastAsia="Barlow Semi Condensed" w:hAnsi="Barlow Semi Condensed"/>
          <w:sz w:val="24"/>
          <w:szCs w:val="24"/>
        </w:rPr>
        <w:t xml:space="preserve">` — la «terza strada» del ceppo del 1969, con il registro dei prosciolti (assoluzione con formula piena e risarcimento per Mulinaris; due assoluzioni per Berio; nessuna condanna per Simioni) in testa e non in coda</w:t>
      </w:r>
    </w:p>
    <w:p>
      <w:pPr>
        <w:spacing w:after="40"/>
        <w:ind w:left="360"/>
        <w:jc w:val="both"/>
      </w:pPr>
      <w:r>
        <w:rPr>
          <w:rFonts w:ascii="Barlow Semi Condensed" w:cs="Barlow Semi Condensed" w:eastAsia="Barlow Semi Condensed" w:hAnsi="Barlow Semi Condensed"/>
          <w:sz w:val="24"/>
          <w:szCs w:val="24"/>
        </w:rPr>
        <w:t xml:space="preserve">10. `</w:t>
      </w:r>
      <w:r>
        <w:rPr>
          <w:rFonts w:ascii="Barlow Semi Condensed" w:cs="Barlow Semi Condensed" w:eastAsia="Barlow Semi Condensed" w:hAnsi="Barlow Semi Condensed"/>
          <w:i/>
          <w:iCs/>
          <w:sz w:val="24"/>
          <w:szCs w:val="24"/>
        </w:rPr>
        <w:t xml:space="preserve">moro-ministro-esteri/</w:t>
      </w:r>
      <w:r>
        <w:rPr>
          <w:rFonts w:ascii="Barlow Semi Condensed" w:cs="Barlow Semi Condensed" w:eastAsia="Barlow Semi Condensed" w:hAnsi="Barlow Semi Condensed"/>
          <w:i/>
          <w:iCs/>
          <w:sz w:val="24"/>
          <w:szCs w:val="24"/>
        </w:rPr>
        <w:t xml:space="preserve"> — **la dimensione diplomatica dello statista**; il suo prolungamento sul dopo-giudicato è </w:t>
      </w:r>
      <w:r>
        <w:rPr>
          <w:rFonts w:ascii="Barlow Semi Condensed" w:cs="Barlow Semi Condensed" w:eastAsia="Barlow Semi Condensed" w:hAnsi="Barlow Semi Condensed"/>
          <w:i/>
          <w:iCs/>
          <w:sz w:val="24"/>
          <w:szCs w:val="24"/>
        </w:rPr>
        <w:t xml:space="preserve">le-pene-oltre-confine-mitterrand-mulinaris.md</w:t>
      </w:r>
      <w:r>
        <w:rPr>
          <w:rFonts w:ascii="Barlow Semi Condensed" w:cs="Barlow Semi Condensed" w:eastAsia="Barlow Semi Condensed" w:hAnsi="Barlow Semi Condensed"/>
          <w:sz w:val="24"/>
          <w:szCs w:val="24"/>
        </w:rPr>
        <w:t xml:space="preserve">` — l'affaire Mulinaris, la dottrina Mitterrand, le geografie delle latitanze del registro e l'epilogo «Ombre rosse»/Cassazione francese 2023: che cosa Moro fece come ministro degli Esteri (1969-1974). Complemento documentale della Fase ottava — la </w:t>
      </w:r>
      <w:r>
        <w:rPr>
          <w:rFonts w:ascii="Barlow Semi Condensed" w:cs="Barlow Semi Condensed" w:eastAsia="Barlow Semi Condensed" w:hAnsi="Barlow Semi Condensed"/>
          <w:i/>
          <w:iCs/>
          <w:sz w:val="24"/>
          <w:szCs w:val="24"/>
        </w:rPr>
        <w:t xml:space="preserve">strategia dell'attenzione</w:t>
      </w:r>
      <w:r>
        <w:rPr>
          <w:rFonts w:ascii="Barlow Semi Condensed" w:cs="Barlow Semi Condensed" w:eastAsia="Barlow Semi Condensed" w:hAnsi="Barlow Semi Condensed"/>
          <w:sz w:val="24"/>
          <w:szCs w:val="24"/>
        </w:rPr>
        <w:t xml:space="preserve"> fatta atto: la firma CEE-Turchia (1971) e l'Atto finale di Helsinki (1975), il lodo Moro, la Ostpolitik, i versanti mediterranei, e le triangolazioni con la Santa Sede e con l'Opus Dei (Germania e Portogallo: presenza; Grecia e Turchia: «Stato Zero»)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volume rilegato delle continuazioni è `</w:t>
      </w:r>
      <w:r>
        <w:rPr>
          <w:rFonts w:ascii="Barlow Semi Condensed" w:cs="Barlow Semi Condensed" w:eastAsia="Barlow Semi Condensed" w:hAnsi="Barlow Semi Condensed"/>
          <w:i w:val="false"/>
          <w:iCs w:val="false"/>
          <w:sz w:val="24"/>
          <w:szCs w:val="24"/>
        </w:rPr>
        <w:t xml:space="preserve">ALDO_MORO_UNA_GUERRA_SENZA_FINE_TRE_CONTINUAZIONI.docx</w:t>
      </w:r>
      <w:r>
        <w:rPr>
          <w:rFonts w:ascii="Barlow Semi Condensed" w:cs="Barlow Semi Condensed" w:eastAsia="Barlow Semi Condensed" w:hAnsi="Barlow Semi Condensed"/>
          <w:i w:val="false"/>
          <w:iCs w:val="false"/>
          <w:sz w:val="24"/>
          <w:szCs w:val="24"/>
        </w:rPr>
        <w:t xml:space="preserve">. Il dittico della «terza strada» (lo studio del ceppo Simioni con la triangolazione Hyperion, tappa 9) è rilegato nel volume </w:t>
      </w:r>
      <w:r>
        <w:rPr>
          <w:rFonts w:ascii="Barlow Semi Condensed" w:cs="Barlow Semi Condensed" w:eastAsia="Barlow Semi Condensed" w:hAnsi="Barlow Semi Condensed"/>
          <w:i w:val="false"/>
          <w:iCs w:val="false"/>
          <w:sz w:val="24"/>
          <w:szCs w:val="24"/>
        </w:rPr>
        <w:t xml:space="preserve">LA_TERZA_STRADA_CEPPO_SIMIONI_E_NODO_HYPERION.docx</w:t>
      </w:r>
      <w:r>
        <w:rPr>
          <w:rFonts w:ascii="Barlow Semi Condensed" w:cs="Barlow Semi Condensed" w:eastAsia="Barlow Semi Condensed" w:hAnsi="Barlow Semi Condensed"/>
          <w:i w:val="false"/>
          <w:iCs w:val="false"/>
          <w:sz w:val="24"/>
          <w:szCs w:val="24"/>
        </w:rPr>
        <w:t xml:space="preserve">. La Fase decima con la sua triangolazione (tappe 6-7) è rilegata nel volume </w:t>
      </w:r>
      <w:r>
        <w:rPr>
          <w:rFonts w:ascii="Barlow Semi Condensed" w:cs="Barlow Semi Condensed" w:eastAsia="Barlow Semi Condensed" w:hAnsi="Barlow Semi Condensed"/>
          <w:i w:val="false"/>
          <w:iCs w:val="false"/>
          <w:sz w:val="24"/>
          <w:szCs w:val="24"/>
        </w:rPr>
        <w:t xml:space="preserve">ALDO_MORO_FASE_DECIMA_IL_PRINCIPIO_PERSONALISTICO.docx</w:t>
      </w:r>
      <w:r>
        <w:rPr>
          <w:rFonts w:ascii="Barlow Semi Condensed" w:cs="Barlow Semi Condensed" w:eastAsia="Barlow Semi Condensed" w:hAnsi="Barlow Semi Condensed"/>
          <w:i w:val="false"/>
          <w:iCs w:val="false"/>
          <w:sz w:val="24"/>
          <w:szCs w:val="24"/>
        </w:rPr>
        <w:t xml:space="preserve">. La cartella diplomatica (tappa 10) è rilegata nel volume </w:t>
      </w:r>
      <w:r>
        <w:rPr>
          <w:rFonts w:ascii="Barlow Semi Condensed" w:cs="Barlow Semi Condensed" w:eastAsia="Barlow Semi Condensed" w:hAnsi="Barlow Semi Condensed"/>
          <w:i w:val="false"/>
          <w:iCs w:val="false"/>
          <w:sz w:val="24"/>
          <w:szCs w:val="24"/>
        </w:rPr>
        <w:t xml:space="preserve">ALDO_MORO_MINISTRO_DEGLI_ESTERI_LA_DIMENSIONE_DIPLOMATICA.docx</w:t>
      </w:r>
      <w:r>
        <w:rPr>
          <w:rFonts w:ascii="Barlow Semi Condensed" w:cs="Barlow Semi Condensed" w:eastAsia="Barlow Semi Condensed" w:hAnsi="Barlow Semi Condensed"/>
          <w:i w:val="false"/>
          <w:iCs w:val="false"/>
          <w:sz w:val="24"/>
          <w:szCs w:val="24"/>
        </w:rPr>
        <w:t xml:space="preserve">, e in edizione HTML navigabile in </w:t>
      </w:r>
      <w:r>
        <w:rPr>
          <w:rFonts w:ascii="Barlow Semi Condensed" w:cs="Barlow Semi Condensed" w:eastAsia="Barlow Semi Condensed" w:hAnsi="Barlow Semi Condensed"/>
          <w:i w:val="false"/>
          <w:iCs w:val="false"/>
          <w:sz w:val="24"/>
          <w:szCs w:val="24"/>
        </w:rPr>
        <w:t xml:space="preserve">moro-ministro-esteri/volume.html</w:t>
      </w:r>
      <w:r>
        <w:rPr>
          <w:rFonts w:ascii="Barlow Semi Condensed" w:cs="Barlow Semi Condensed" w:eastAsia="Barlow Semi Condensed" w:hAnsi="Barlow Semi Condensed"/>
          <w:i w:val="false"/>
          <w:iCs w:val="false"/>
          <w:sz w:val="24"/>
          <w:szCs w:val="24"/>
        </w:rPr>
        <w:t xml:space="preserve">` (da aprire nel browser).</w:t>
      </w:r>
    </w:p>
    <w:p>
      <w:pPr>
        <w:pStyle w:val="Heading3"/>
        <w:spacing w:after="80" w:before="160"/>
      </w:pPr>
      <w:r>
        <w:rPr>
          <w:rFonts w:ascii="Barlow Semi Condensed" w:cs="Barlow Semi Condensed" w:eastAsia="Barlow Semi Condensed" w:hAnsi="Barlow Semi Condensed"/>
          <w:sz w:val="24"/>
          <w:szCs w:val="24"/>
        </w:rPr>
        <w:t xml:space="preserve">Percorso C — La sintesi e la vista d'insieme</w:t>
      </w:r>
    </w:p>
    <w:p>
      <w:pPr>
        <w:spacing w:after="120" w:line="276"/>
        <w:jc w:val="both"/>
      </w:pPr>
      <w:r>
        <w:rPr>
          <w:rFonts w:ascii="Barlow Semi Condensed" w:cs="Barlow Semi Condensed" w:eastAsia="Barlow Semi Condensed" w:hAnsi="Barlow Semi Condensed"/>
          <w:sz w:val="24"/>
          <w:szCs w:val="24"/>
        </w:rPr>
        <w:t xml:space="preserve">Per chi vuole il quadro in un colpo d'occhio, prima o dopo il dettaglio.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 parabola e il mito»</w:t>
      </w:r>
      <w:r>
        <w:rPr>
          <w:rFonts w:ascii="Barlow Semi Condensed" w:cs="Barlow Semi Condensed" w:eastAsia="Barlow Semi Condensed" w:hAnsi="Barlow Semi Condensed"/>
          <w:sz w:val="24"/>
          <w:szCs w:val="24"/>
        </w:rPr>
        <w:t xml:space="preserve">: cronologia sinottica navigabile (1916-1997), i tre fili su un solo asse del tempo. Aprire nel browser.</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 la verifica sistematica del corpus (39 nodi) e la matrice comparativa Guevara-Moro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feltrinelli-il-vettore.md</w:t>
      </w:r>
      <w:r>
        <w:rPr>
          <w:rFonts w:ascii="Barlow Semi Condensed" w:cs="Barlow Semi Condensed" w:eastAsia="Barlow Semi Condensed" w:hAnsi="Barlow Semi Condensed"/>
          <w:sz w:val="24"/>
          <w:szCs w:val="24"/>
        </w:rPr>
        <w:t xml:space="preserve">` — lo studio monografico sull'anello centrale della sintesi: l'editore che fabbricò il mito e fondò i GAP</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 il bilancio finale: documentato / convergenza / congettura</w:t>
      </w:r>
    </w:p>
    <w:p>
      <w:pPr>
        <w:pStyle w:val="Heading3"/>
        <w:spacing w:after="80" w:before="160"/>
      </w:pPr>
      <w:r>
        <w:rPr>
          <w:rFonts w:ascii="Barlow Semi Condensed" w:cs="Barlow Semi Condensed" w:eastAsia="Barlow Semi Condensed" w:hAnsi="Barlow Semi Condensed"/>
          <w:sz w:val="24"/>
          <w:szCs w:val="24"/>
        </w:rPr>
        <w:t xml:space="preserve">Percorso D — Il Tribunale Speciale: i nomi e l'istituzione</w:t>
      </w:r>
    </w:p>
    <w:p>
      <w:pPr>
        <w:spacing w:after="120" w:line="276"/>
        <w:jc w:val="both"/>
      </w:pPr>
      <w:r>
        <w:rPr>
          <w:rFonts w:ascii="Barlow Semi Condensed" w:cs="Barlow Semi Condensed" w:eastAsia="Barlow Semi Condensed" w:hAnsi="Barlow Semi Condensed"/>
          <w:sz w:val="24"/>
          <w:szCs w:val="24"/>
        </w:rPr>
        <w:t xml:space="preserve">Il filo da cui il branch è partito, ora completo nelle sue due scale.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tribunale-speciale-storia-istituzione.md</w:t>
      </w:r>
      <w:r>
        <w:rPr>
          <w:rFonts w:ascii="Barlow Semi Condensed" w:cs="Barlow Semi Condensed" w:eastAsia="Barlow Semi Condensed" w:hAnsi="Barlow Semi Condensed"/>
          <w:sz w:val="24"/>
          <w:szCs w:val="24"/>
        </w:rPr>
        <w:t xml:space="preserve">` — l'istituzione: la legge del 1926, struttura e rito, i numeri della repressione, il «processone», le amnistie, la soppressione del 1943 e l'eredità costituzionale (art. 102)</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tribunale-speciale-approfondimento-sottonodi.md</w:t>
      </w:r>
      <w:r>
        <w:rPr>
          <w:rFonts w:ascii="Barlow Semi Condensed" w:cs="Barlow Semi Condensed" w:eastAsia="Barlow Semi Condensed" w:hAnsi="Barlow Semi Condensed"/>
          <w:sz w:val="24"/>
          <w:szCs w:val="24"/>
        </w:rPr>
        <w:t xml:space="preserve">` — l'approfondimento in otto sottonodi: presidenti, OVRA, processi di Trieste, i condannati che fecero la Repubblica, la scala bolognese, le donne, la guerra, l'impunità</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 i nomi: i casi individuali censiti nell'archivio bolognese, con i link alle schede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 due studi italiani (Feltrinelli con la sua triangolazione, e il Tribunale Speciale) sono disponibili anche nel volume rilegato `</w:t>
      </w:r>
      <w:r>
        <w:rPr>
          <w:rFonts w:ascii="Barlow Semi Condensed" w:cs="Barlow Semi Condensed" w:eastAsia="Barlow Semi Condensed" w:hAnsi="Barlow Semi Condensed"/>
          <w:i w:val="false"/>
          <w:iCs w:val="false"/>
          <w:sz w:val="24"/>
          <w:szCs w:val="24"/>
        </w:rPr>
        <w:t xml:space="preserve">IL_VETTORE_E_IL_TRIBUNALE_DUE_STUDI_1926-1972.docx</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 uno per uno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cos'è</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prevalente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cronologia-guevara-moro.html</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Cronologia sinottica navigabile, tre fili su un asse del tempo (1916-1997)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(solo fatti pubblici)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guevara-origini-esilio-messicano.md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dalle origini al 1934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guevara-messico-avana-1954-1965.md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Dal Messico alla Sierra Maestra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guevara-mosca-bolivia-1964-1966.md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Dall'ONU 1964 al Congo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guevara-campagna-boliviana-1966-1967.md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Campagna boliviana e fine; ritrovamento resti (1997)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(Diario; fonti declassificate)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guevara-bibliografia-critica.md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Fonti per rango; elenco di trasparenza delle fonti deboli sostituite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triangolazioni-guevara-moro.md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Verifica sistematica (39 nodi) + matrice comparativa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convergenza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Monografia su Feltrinelli: editore, vettore del mito, GAP, morte a Segrate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morte con congettura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Verifica della monografia (17 nodi, 3 correzioni applicate) + 7 ponti col corpus + 3 anti-triangolazioni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 / 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nodo Hyperion: 9 nodi documentati, due tesi contrapposte al vaglio, 4 ponti, 3 anti-triangolazioni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congetture dichiarate; proscioglimenti espliciti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triangolazione-feltrinelli-hyperion.md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Incrocio dei due fronti: matrice 1969, triforcazione 1970, ponti biografici, congettura di Segrate smentita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memorialistica pesata / congettura smentita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dal-che-a-moro-una-guerra-senza-fine.md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Saggio di sintesi; Parte quarta = pastiche dichiarato di stile moroteo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Misto (bilancio finale esplicito)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aldo-moro-una-guerra-senza-fine-parte-terza.md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Dossier falsificazionista sulle questioni aperte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Ciascun capitolo col proprio 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aldo-moro-una-guerra-senza-fine-fase-sesta.md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 le quattro discipline operative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Metodo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aldo-moro-una-guerra-senza-fine-apparato-dei-gradi.md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Indice analitico dei cinquanta capitoli, capitolo per capitolo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aldo-moro-una-guerra-senza-fine-fase-decima-responsabilita-personali.md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principio personalistico: registro nominativo delle tredici responsabilità individuali in giudicato; niente colpa dei gruppi, in nessuna direzione; il caso Algranati; le appartenenze come fatto 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Giudicato (A); posizioni distinte dichiarate; nessuna graduatoria né percentuale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triangolazione-condannati-corpus.md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del registro: otto ponti documentati dei tredici verso gli altri domini (CPM/Hyperion, Potere Operaio/trattativa, Monte Nevoso, genealogia reggiana, Vaticano/Nicaragua, Svizzera, la memoria come vettore), quattro esiti negativi, cinque anti-triangolazioni, matrice sintetica e chiusura sul confronto col Tribunale Speciale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Fatti biografici (F) e accertamenti (B); ogni tesi operativa resta C; nessun ponte promosso a nesso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ceppo-simioni-cpm-superclan-hyperion.md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monografico della «terza strada»: la discendenza CPM → Superclan → Hyperion. La biografia di Simioni coi gradi (USIS = F; «si dice» RFE = riferito), la scissione 1970-71, la memorialistica brigatista come fonte di parte, i tre percorsi giudiziari (Mulinaris: formula piena e risarcimento; Berio: due assoluzioni e l'approccio SID 1972 respinto e documentato al suocero Malagugini; Simioni: mai condannato, Fondazione Abbé Pierre), le suggestioni pesate una per una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Proscioglimenti in testa (esito giudiziario); memorialistica C; il «fu assolto, ma» bandito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Moro alla Farnesina (1969-1974). Ricognizione-madre, quattro versanti nazionali (Germania/Portogallo/Grecia/Turchia con Opus Dei), Santa Sede-Turchia e attentato a Giovanni Paolo II, documenti State Dept 1965/1978; </w:t>
            </w:r>
            <w:r>
              <w:rPr>
                <w:rFonts w:ascii="Barlow Semi Condensed" w:cs="Barlow Semi Condensed" w:eastAsia="Barlow Semi Condensed" w:hAnsi="Barlow Semi Condensed"/>
                <w:b/>
                <w:bCs/>
                <w:sz w:val="20"/>
                <w:szCs w:val="20"/>
              </w:rPr>
              <w:t xml:space="preserve">seconda campagna del 25 agosto 2026</w:t>
            </w:r>
            <w:r>
              <w:rPr>
                <w:rFonts w:ascii="Barlow Semi Condensed" w:cs="Barlow Semi Condensed" w:eastAsia="Barlow Semi Condensed" w:hAnsi="Barlow Semi Condensed"/>
                <w:sz w:val="20"/>
                <w:szCs w:val="20"/>
              </w:rPr>
              <w:t xml:space="preserve">: documenti italiani e spagnoli con l'Opus Dei, la Santa Sede e le due Germanie con la sequenza Oder-Neisse, il Portogallo e la Santa Sede, e il verbale delle sei letture incrociate. Con manifesto SHA-256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fatti pubblici; esiti negativi dichiarati; congetture qualificate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relazione-stato-lavori-stile-moro.md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Relazione sui lavori come esercizio di stile moroteo (pastiche dichiarato)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Pastiche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amnistiati-tribunale-speciale.md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Elenco degli amnistiati del Tribunale Speciale (campione dall'archivio di Bologna)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(schede d'archivio)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Storia dell'istituzione: legge, struttura, numeri, processi, amnistie, fine ed eredità costituzionale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(cifre ANPPIA/Dal Pont; divergenze dichiarate)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tribunale-speciale-approfondimento-sottonodi.md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Otto sottonodi: presidenti, OVRA, Trieste, prosopografia repubblicana, scala bolognese, donne, guerra, impunità</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S-5 convergenza, S-6/S-8 filoni segnalati</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Sui pastiche.</w:t>
      </w:r>
      <w:r>
        <w:rPr>
          <w:rFonts w:ascii="Barlow Semi Condensed" w:cs="Barlow Semi Condensed" w:eastAsia="Barlow Semi Condensed" w:hAnsi="Barlow Semi Condensed"/>
          <w:sz w:val="24"/>
          <w:szCs w:val="24"/>
        </w:rPr>
        <w:t xml:space="preserve"> Due sezioni sono esercizi di stile dichiarati: la Parte quarta di </w:t>
      </w:r>
      <w:r>
        <w:rPr>
          <w:rFonts w:ascii="Barlow Semi Condensed" w:cs="Barlow Semi Condensed" w:eastAsia="Barlow Semi Condensed" w:hAnsi="Barlow Semi Condensed"/>
          <w:i/>
          <w:iCs/>
          <w:sz w:val="24"/>
          <w:szCs w:val="24"/>
        </w:rPr>
        <w:t xml:space="preserve">Dal Che a Moro</w:t>
      </w:r>
      <w:r>
        <w:rPr>
          <w:rFonts w:ascii="Barlow Semi Condensed" w:cs="Barlow Semi Condensed" w:eastAsia="Barlow Semi Condensed" w:hAnsi="Barlow Semi Condensed"/>
          <w:sz w:val="24"/>
          <w:szCs w:val="24"/>
        </w:rPr>
        <w:t xml:space="preserve"> e l'intera </w:t>
      </w:r>
      <w:r>
        <w:rPr>
          <w:rFonts w:ascii="Barlow Semi Condensed" w:cs="Barlow Semi Condensed" w:eastAsia="Barlow Semi Condensed" w:hAnsi="Barlow Semi Condensed"/>
          <w:i/>
          <w:iCs/>
          <w:sz w:val="24"/>
          <w:szCs w:val="24"/>
        </w:rPr>
        <w:t xml:space="preserve">relazione-stato-lavori</w:t>
      </w:r>
      <w:r>
        <w:rPr>
          <w:rFonts w:ascii="Barlow Semi Condensed" w:cs="Barlow Semi Condensed" w:eastAsia="Barlow Semi Condensed" w:hAnsi="Barlow Semi Condensed"/>
          <w:sz w:val="24"/>
          <w:szCs w:val="24"/>
        </w:rPr>
        <w:t xml:space="preserve">. Non sono parole di Aldo Moro, non gli sono attribuibili, non contengono rivelazioni di fatto. Sono voce prestata a un personaggio, come a teatro — e vanno lette solo così. Le affermazioni fattuali del corpus stanno tutte nelle parti in prosa piana, con i loro gradi di prova.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Dove finisce questo branch</w:t>
      </w:r>
    </w:p>
    <w:p>
      <w:pPr>
        <w:spacing w:after="120" w:line="276"/>
        <w:jc w:val="both"/>
      </w:pPr>
      <w:r>
        <w:rPr>
          <w:rFonts w:ascii="Barlow Semi Condensed" w:cs="Barlow Semi Condensed" w:eastAsia="Barlow Semi Condensed" w:hAnsi="Barlow Semi Condensed"/>
          <w:sz w:val="24"/>
          <w:szCs w:val="24"/>
        </w:rPr>
        <w:t xml:space="preserve">Il branch pubblico si ferma dove comincia ciò che non è pubblicabile. Il materiale che nomina persone viventi con attribuzioni non riscontrate — la parte sensibile del lavoro dell'autore — resta </w:t>
      </w:r>
      <w:r>
        <w:rPr>
          <w:rFonts w:ascii="Barlow Semi Condensed" w:cs="Barlow Semi Condensed" w:eastAsia="Barlow Semi Condensed" w:hAnsi="Barlow Semi Condensed"/>
          <w:b/>
          <w:bCs/>
          <w:sz w:val="24"/>
          <w:szCs w:val="24"/>
        </w:rPr>
        <w:t xml:space="preserve">riservato</w:t>
      </w:r>
      <w:r>
        <w:rPr>
          <w:rFonts w:ascii="Barlow Semi Condensed" w:cs="Barlow Semi Condensed" w:eastAsia="Barlow Semi Condensed" w:hAnsi="Barlow Semi Condensed"/>
          <w:sz w:val="24"/>
          <w:szCs w:val="24"/>
        </w:rPr>
        <w:t xml:space="preserve">, fuori da qui, e sotto la stessa disciplina: presunzione d'innocenza, nessuna imputazione oltre il giudicato. Questa guida, come tutto ciò a cui rimanda, tratta soltanto </w:t>
      </w:r>
      <w:r>
        <w:rPr>
          <w:rFonts w:ascii="Barlow Semi Condensed" w:cs="Barlow Semi Condensed" w:eastAsia="Barlow Semi Condensed" w:hAnsi="Barlow Semi Condensed"/>
          <w:b/>
          <w:bCs/>
          <w:sz w:val="24"/>
          <w:szCs w:val="24"/>
        </w:rPr>
        <w:t xml:space="preserve">storia documentata e pubblica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Guida alla lettura del corpus storico. Ordina i documenti in tre percorsi e ne dichiara il grado di prova.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Appendici · i. La guida alla lettura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 2.243 parole in 4 sezioni; la più ampia è §2 Tre percorsi di lettura, con 1.313.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 20 paragrafi in 4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ii. L'indice dei documenti</w:t>
      </w:r>
    </w:p>
    <w:p>
      <w:pPr>
        <w:pStyle w:val="Heading1"/>
        <w:spacing w:after="120" w:before="240"/>
      </w:pPr>
      <w:r>
        <w:rPr>
          <w:rFonts w:ascii="Barlow Semi Condensed" w:cs="Barlow Semi Condensed" w:eastAsia="Barlow Semi Condensed" w:hAnsi="Barlow Semi Condensed"/>
          <w:sz w:val="24"/>
          <w:szCs w:val="24"/>
        </w:rPr>
        <w:t xml:space="preserve">Indice dei documenti di questo branch</w:t>
      </w:r>
    </w:p>
    <w:p>
      <w:pPr>
        <w:spacing w:after="120" w:line="276"/>
        <w:jc w:val="both"/>
      </w:pPr>
      <w:r>
        <w:rPr>
          <w:rFonts w:ascii="Barlow Semi Condensed" w:cs="Barlow Semi Condensed" w:eastAsia="Barlow Semi Condensed" w:hAnsi="Barlow Semi Condensed"/>
          <w:sz w:val="24"/>
          <w:szCs w:val="24"/>
        </w:rPr>
        <w:t xml:space="preserve">Documenti storici prodotti sul branch </w:t>
      </w:r>
      <w:r>
        <w:rPr>
          <w:rFonts w:ascii="Barlow Semi Condensed" w:cs="Barlow Semi Condensed" w:eastAsia="Barlow Semi Condensed" w:hAnsi="Barlow Semi Condensed"/>
          <w:i/>
          <w:iCs/>
          <w:sz w:val="24"/>
          <w:szCs w:val="24"/>
        </w:rPr>
        <w:t xml:space="preserve">claude/amnistiati-tribunale-speciale-a82lzn</w:t>
      </w:r>
      <w:r>
        <w:rPr>
          <w:rFonts w:ascii="Barlow Semi Condensed" w:cs="Barlow Semi Condensed" w:eastAsia="Barlow Semi Condensed" w:hAnsi="Barlow Semi Condensed"/>
          <w:sz w:val="24"/>
          <w:szCs w:val="24"/>
        </w:rPr>
        <w:t xml:space="preserve"> (agosto 2026), estranei al progetto principale del repository (Studio Integrale Puglia / Psicologo di Base).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Da dove cominciare.</w:t>
      </w:r>
      <w:r>
        <w:rPr>
          <w:rFonts w:ascii="Barlow Semi Condensed" w:cs="Barlow Semi Condensed" w:eastAsia="Barlow Semi Condensed" w:hAnsi="Barlow Semi Condensed"/>
          <w:i w:val="false"/>
          <w:iCs w:val="false"/>
          <w:sz w:val="24"/>
          <w:szCs w:val="24"/>
        </w:rPr>
        <w:t xml:space="preserve"> Questa è la tabella-catalogo di tutti i file. Per la porta d'ingresso curata — percorsi di lettura, ordine consigliato e grado di prova di ciascun documento — si veda `</w:t>
      </w:r>
      <w:r>
        <w:rPr>
          <w:rFonts w:ascii="Barlow Semi Condensed" w:cs="Barlow Semi Condensed" w:eastAsia="Barlow Semi Condensed" w:hAnsi="Barlow Semi Condensed"/>
          <w:i w:val="false"/>
          <w:iCs w:val="false"/>
          <w:sz w:val="24"/>
          <w:szCs w:val="24"/>
        </w:rPr>
        <w:t xml:space="preserve">GUIDA-ALLA-LETTURA.md</w:t>
      </w:r>
      <w:r>
        <w:rPr>
          <w:rFonts w:ascii="Barlow Semi Condensed" w:cs="Barlow Semi Condensed" w:eastAsia="Barlow Semi Condensed" w:hAnsi="Barlow Semi Condensed"/>
          <w:i w:val="false"/>
          <w:iCs w:val="false"/>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amnistiati-tribunale-speciale.md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Elenco degli amnistiati del Tribunale Speciale per la Difesa dello Stato censiti nell'archivio Storia e Memoria di Bologna (~50 nominativi con link alle schede; campione rappresentativo, non esaustivo)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Studio storico dell'istituzione: la legge 2008/1926 e le «leggi eccezionali», struttura e rito (giudici della Milizia, codice di guerra, sentenze inappellabili), i numeri (15.806 deferiti, 4.596 condannati, 27.752 anni di reclusione, 42 condanne a morte di cui 31 eseguite), il «processone» del 1928 (Gramsci, Terracini), le amnistie come faccia del medesimo apparato, la soppressione (R.D.L. 668/1943) e la doppia eredità: la replica nella RSI e il divieto dell'art. 102 Cost. Chiude il cerchio con l'elenco degli amnistiati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del nodo Hyperion (la «scuola di lingue» di Parigi, 1976) con il corpus: 9 nodi documentati (genealogia CPM/Superclan, fondazione, ufficio di via Nicotera del febbraio 1978, indagini 1979-82, proscioglimenti per tutti, audizione Berio 2015), le due tesi contrapposte («centrale del terrorismo» / «centrale d'intelligence») entrambe lasciate al grado di congettura con criterio di smentita comune, 4 ponti col corpus e 3 anti-triangolazioni. Presunzione d'innocenza piena: nessuna condanna fu mai pronunciata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triangolazione-feltrinelli-hyperion.md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d'incrocio fra i due fronti: la matrice milanese del 1969 e la triforcazione del 1970 (GAP · BR · Superclan), i ponti documentati (rapporti Feltrinelli-Curcio, «Nuova Resistenza» 1971, il filo Franceschini e il filo Moretti, il processo congiunto BR-GAP), la congettura sui timer di Segrate smentita dal tecnico dei GAP, 3 anti-triangolazioni. Sintesi: stesso ceppo, tre strade, ponti di uomini, nessuna regia accertata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tribunale-speciale-approfondimento-sottonodi.md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Approfondimento in otto sottonodi verificati: i tre presidenti (Sanna, Cristini, Tringali Casanuova), l'OVRA e la retata come metodo, i due processi di Trieste (Basovizza 1930; Opicina 1941), la prosopografia dei condannati che fecero la Repubblica (Terracini, Pertini, Ravera, Scoccimarro), la scala bolognese rapportata ai numeri nazionali, le donne davanti al Tribunale, la svolta di guerra e la questione dell'impunità postbellica. Ogni sottonodo con grado dichiarato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guevara-origini-esilio-messicano.md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Ernesto Guevara, dalle origini al 1934 (con nota di revisione)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guevara-messico-avana-1954-1965.md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Guevara dal Messico alla Sierra Maestra (con note di revisione post-triangolazione)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guevara-mosca-bolivia-1964-1966.md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Guevara dall'ONU 1964 al Congo (con note di revisione post-triangolazione)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guevara-campagna-boliviana-1966-1967.md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Capitolo conclusivo: la campagna boliviana da Ñancahuazú alla Higuera (rottura con Monje, Vado del Yeso, cattura alla Quebrada del Churo 8/10/1967, esecuzione 9/10/1967, ritrovamento dei resti 1997). Chiude la parabola guevariana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triangolazioni-guevara-moro.md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Verifica sistematica del corpus Guevara su fonti indipendenti (39 nodi, esiti e correzioni) e matrice comparativa Guevara–Moro (nodi documentati, paralleli, divergenze)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dossier-maggiore-una-pace-senza-pace.md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DOSSIER MAGGIORE DELL'AUTORE — «Una Pace senza Pace · Tutta la verità»</w:t>
            </w:r>
            <w:r>
              <w:rPr>
                <w:rFonts w:ascii="Barlow Semi Condensed" w:cs="Barlow Semi Condensed" w:eastAsia="Barlow Semi Condensed" w:hAnsi="Barlow Semi Condensed"/>
                <w:sz w:val="20"/>
                <w:szCs w:val="20"/>
              </w:rPr>
              <w:t xml:space="preserve"> (Opera Monografica Integrale, ~252.500 parole, </w:t>
            </w:r>
            <w:r>
              <w:rPr>
                <w:rFonts w:ascii="Barlow Semi Condensed" w:cs="Barlow Semi Condensed" w:eastAsia="Barlow Semi Condensed" w:hAnsi="Barlow Semi Condensed"/>
                <w:b/>
                <w:bCs/>
                <w:sz w:val="20"/>
                <w:szCs w:val="20"/>
              </w:rPr>
              <w:t xml:space="preserve">Libro quarto dell'Opera integrale</w:t>
            </w:r>
            <w:r>
              <w:rPr>
                <w:rFonts w:ascii="Barlow Semi Condensed" w:cs="Barlow Semi Condensed" w:eastAsia="Barlow Semi Condensed" w:hAnsi="Barlow Semi Condensed"/>
                <w:sz w:val="20"/>
                <w:szCs w:val="20"/>
              </w:rPr>
              <w:t xml:space="preserve">). È l'opera di cui il Portale adotta l'architettura senza riprodurne il contenuto, qui conservata </w:t>
            </w:r>
            <w:r>
              <w:rPr>
                <w:rFonts w:ascii="Barlow Semi Condensed" w:cs="Barlow Semi Condensed" w:eastAsia="Barlow Semi Condensed" w:hAnsi="Barlow Semi Condensed"/>
                <w:b/>
                <w:bCs/>
                <w:sz w:val="20"/>
                <w:szCs w:val="20"/>
              </w:rPr>
              <w:t xml:space="preserve">per intero come volume nel volume</w:t>
            </w:r>
            <w:r>
              <w:rPr>
                <w:rFonts w:ascii="Barlow Semi Condensed" w:cs="Barlow Semi Condensed" w:eastAsia="Barlow Semi Condensed" w:hAnsi="Barlow Semi Condensed"/>
                <w:sz w:val="20"/>
                <w:szCs w:val="20"/>
              </w:rPr>
              <w:t xml:space="preserve">: il proemio con la dichiarazione di co-autorìa; le </w:t>
            </w:r>
            <w:r>
              <w:rPr>
                <w:rFonts w:ascii="Barlow Semi Condensed" w:cs="Barlow Semi Condensed" w:eastAsia="Barlow Semi Condensed" w:hAnsi="Barlow Semi Condensed"/>
                <w:b/>
                <w:bCs/>
                <w:sz w:val="20"/>
                <w:szCs w:val="20"/>
              </w:rPr>
              <w:t xml:space="preserve">cinque Fasi in cinquanta capitoli</w:t>
            </w:r>
            <w:r>
              <w:rPr>
                <w:rFonts w:ascii="Barlow Semi Condensed" w:cs="Barlow Semi Condensed" w:eastAsia="Barlow Semi Condensed" w:hAnsi="Barlow Semi Condensed"/>
                <w:sz w:val="20"/>
                <w:szCs w:val="20"/>
              </w:rPr>
              <w:t xml:space="preserve"> (il quadrilatero Loggia-Finanza-Vaticano-Mafia; l'apparato d'intelligence e le strutture parallele; lo stragismo e le sue centrali; il caso Moro come crocevia; la proiezione internazionale); l'</w:t>
            </w:r>
            <w:r>
              <w:rPr>
                <w:rFonts w:ascii="Barlow Semi Condensed" w:cs="Barlow Semi Condensed" w:eastAsia="Barlow Semi Condensed" w:hAnsi="Barlow Semi Condensed"/>
                <w:b/>
                <w:bCs/>
                <w:sz w:val="20"/>
                <w:szCs w:val="20"/>
              </w:rPr>
              <w:t xml:space="preserve">Apparato di Verifica e Triangolazione</w:t>
            </w:r>
            <w:r>
              <w:rPr>
                <w:rFonts w:ascii="Barlow Semi Condensed" w:cs="Barlow Semi Condensed" w:eastAsia="Barlow Semi Condensed" w:hAnsi="Barlow Semi Condensed"/>
                <w:sz w:val="20"/>
                <w:szCs w:val="20"/>
              </w:rPr>
              <w:t xml:space="preserve"> con i </w:t>
            </w:r>
            <w:r>
              <w:rPr>
                <w:rFonts w:ascii="Barlow Semi Condensed" w:cs="Barlow Semi Condensed" w:eastAsia="Barlow Semi Condensed" w:hAnsi="Barlow Semi Condensed"/>
                <w:b/>
                <w:bCs/>
                <w:sz w:val="20"/>
                <w:szCs w:val="20"/>
              </w:rPr>
              <w:t xml:space="preserve">538 blocchi certificati in otto tranche</w:t>
            </w:r>
            <w:r>
              <w:rPr>
                <w:rFonts w:ascii="Barlow Semi Condensed" w:cs="Barlow Semi Condensed" w:eastAsia="Barlow Semi Condensed" w:hAnsi="Barlow Semi Condensed"/>
                <w:sz w:val="20"/>
                <w:szCs w:val="20"/>
              </w:rPr>
              <w:t xml:space="preserve">; e il secondo volume in due Parti, dal metodo falsificazionista alla bilancia probabilistica. </w:t>
            </w:r>
            <w:r>
              <w:rPr>
                <w:rFonts w:ascii="Barlow Semi Condensed" w:cs="Barlow Semi Condensed" w:eastAsia="Barlow Semi Condensed" w:hAnsi="Barlow Semi Condensed"/>
                <w:b/>
                <w:bCs/>
                <w:sz w:val="20"/>
                <w:szCs w:val="20"/>
              </w:rPr>
              <w:t xml:space="preserve">Divergenza di regime dichiarata in apertura, con nota di raccordo</w:t>
            </w:r>
            <w:r>
              <w:rPr>
                <w:rFonts w:ascii="Barlow Semi Condensed" w:cs="Barlow Semi Condensed" w:eastAsia="Barlow Semi Condensed" w:hAnsi="Barlow Semi Condensed"/>
                <w:sz w:val="20"/>
                <w:szCs w:val="20"/>
              </w:rPr>
              <w:t xml:space="preserve">: a differenza di ogni altro Libro, la seconda metà congeda il Pollo di Popper e </w:t>
            </w:r>
            <w:r>
              <w:rPr>
                <w:rFonts w:ascii="Barlow Semi Condensed" w:cs="Barlow Semi Condensed" w:eastAsia="Barlow Semi Condensed" w:hAnsi="Barlow Semi Condensed"/>
                <w:b/>
                <w:bCs/>
                <w:sz w:val="20"/>
                <w:szCs w:val="20"/>
              </w:rPr>
              <w:t xml:space="preserve">ordina per plausibilità del coinvolgimento</w:t>
            </w:r>
            <w:r>
              <w:rPr>
                <w:rFonts w:ascii="Barlow Semi Condensed" w:cs="Barlow Semi Condensed" w:eastAsia="Barlow Semi Condensed" w:hAnsi="Barlow Semi Condensed"/>
                <w:sz w:val="20"/>
                <w:szCs w:val="20"/>
              </w:rPr>
              <w:t xml:space="preserve">, con premessa garantista che distingue la graduatoria di plausibilità da quella di colpevolezza. </w:t>
            </w:r>
            <w:r>
              <w:rPr>
                <w:rFonts w:ascii="Barlow Semi Condensed" w:cs="Barlow Semi Condensed" w:eastAsia="Barlow Semi Condensed" w:hAnsi="Barlow Semi Condensed"/>
                <w:b/>
                <w:bCs/>
                <w:sz w:val="20"/>
                <w:szCs w:val="20"/>
              </w:rPr>
              <w:t xml:space="preserve">Accertato sul testo</w:t>
            </w:r>
            <w:r>
              <w:rPr>
                <w:rFonts w:ascii="Barlow Semi Condensed" w:cs="Barlow Semi Condensed" w:eastAsia="Barlow Semi Condensed" w:hAnsi="Barlow Semi Condensed"/>
                <w:sz w:val="20"/>
                <w:szCs w:val="20"/>
              </w:rPr>
              <w:t xml:space="preserve">: la graduatoria ordina </w:t>
            </w:r>
            <w:r>
              <w:rPr>
                <w:rFonts w:ascii="Barlow Semi Condensed" w:cs="Barlow Semi Condensed" w:eastAsia="Barlow Semi Condensed" w:hAnsi="Barlow Semi Condensed"/>
                <w:b/>
                <w:bCs/>
                <w:sz w:val="20"/>
                <w:szCs w:val="20"/>
              </w:rPr>
              <w:t xml:space="preserve">categorie di soggetti e non nomi individuali</w:t>
            </w:r>
            <w:r>
              <w:rPr>
                <w:rFonts w:ascii="Barlow Semi Condensed" w:cs="Barlow Semi Condensed" w:eastAsia="Barlow Semi Condensed" w:hAnsi="Barlow Semi Condensed"/>
                <w:sz w:val="20"/>
                <w:szCs w:val="20"/>
              </w:rPr>
              <w:t xml:space="preserve"> — i condannati in via definitiva, gli apparati dei depistaggi, i portatori d'interesse esterno —, e nelle quasi cinquemila parole conclusive gli unici nomi propri di persona sono quello della vittima e quello dello studioso da cui un metodo prende nome — la disciplina in copertina dell'opera registra l'eccezione e la limita a questo Libro. Standard probatorio Savona 2.1 a tre livelli, Regola Ferrea, Stato Zero. Delle due redazioni d'autore si è adottata la più ampia perché contiene l'altra: la collazione meccanica dà </w:t>
            </w:r>
            <w:r>
              <w:rPr>
                <w:rFonts w:ascii="Barlow Semi Condensed" w:cs="Barlow Semi Condensed" w:eastAsia="Barlow Semi Condensed" w:hAnsi="Barlow Semi Condensed"/>
                <w:b/>
                <w:bCs/>
                <w:sz w:val="20"/>
                <w:szCs w:val="20"/>
              </w:rPr>
              <w:t xml:space="preserve">1.949 paragrafi identici su 1.952</w:t>
            </w:r>
            <w:r>
              <w:rPr>
                <w:rFonts w:ascii="Barlow Semi Condensed" w:cs="Barlow Semi Condensed" w:eastAsia="Barlow Semi Condensed" w:hAnsi="Barlow Semi Condensed"/>
                <w:sz w:val="20"/>
                <w:szCs w:val="20"/>
              </w:rPr>
              <w:t xml:space="preserve">, e le tre righe divergenti di frontespizio sono registrate in nota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Studio monografico su Giangiacomo Feltrinelli (1926-1972): l'erede della grande fortuna, l'editore civile (Živago 1957, Il Gattopardo 1958, la Fondazione), il viaggio in Bolivia dell'agosto 1967 (arresto ed espulsione durante il processo Debray), il vettore materiale del mito del Che (diritti e foto Korda 1967,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i manifesti), i GAP (aprile-maggio 1970) e la morte a Segrate (14 marzo 1972, ritrovamento il 15). Con note di revisione post-triangolazione. Nessuna imputazione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dello studio su Feltrinelli: 17 nodi di verifica su fonti indipendenti (13 confermati, 3 precisati, 1 congettura confermata come tale), 1 nodo nuovo emerso (Bolivia agosto 1967), 7 ponti col corpus (dal ponte fisico con la campagna boliviana alla convergenza tematica con gli amnistiati del Tribunale Speciale) e 3 anti-triangolazioni (vettore ≠ mandante; la morte non è omicidio provato; il nome partigiano non è continuità con la Resistenza)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guevara-bibliografia-critica.md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Bibliografia critica del corpus guevariano: le fonti per rango (primarie/accademiche/giornalistiche/enciclopediche), l'uso di ciascuna e l'elenco di trasparenza delle fonti deboli sostituite. Complemento all'apparato dei gradi moroteo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relazione-stato-lavori-stile-moro.md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Relazione sui lavori redatta come esercizio di stile moroteo (pastiche dichiarato)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dal-che-a-moro-una-guerra-senza-fine.md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 di sintesi che raccoglie i fili Guevara–Moro (mito del Che, vettore Feltrinelli, degenerazione nelle BR, cornice della guerra fredda). Cinque parti, con bilancio finale documentato/convergenza/congettura; la Parte quarta è un pastiche dichiarato nello stile di Moro (non parole sue)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aldo-moro-una-guerra-senza-fine-parte-terza.md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Continuazione originale dell'opera «Aldo Moro — Una guerra senza fine»: «Il ritorno del Pollo di Popper», dossier falsificazionista in tre movimenti e quattordici capitoli sulle questioni aperte del caso (via Fani, prigione, via Gradoli, fermezza/trattativa, occasioni mancate, memoriale, quadro internazionale, «verità dicibile»), ciascuna col grado di prova e il criterio di smentita. Nessuna accusa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aldo-moro-una-guerra-senza-fine-fase-sesta.md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Continuazione dell'edizione in cinquanta capitoli: «Fase sesta — Il presidio del garante e l'apparato critico» (capp. 51-55). Ricompone la tensione fra il divieto di imputare (cap. 1) e la graduatoria (Fase quinta); rende operative le quattro discipline; fornisce la mappa dei gradi A/B/C e Stato Zero. Nessun nome come responsabile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aldo-moro-una-guerra-senza-fine-fase-nona-repertorio-del-caso.md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nona — Il repertorio del caso» (capp. 68-76). Cataloga in forma gradata </w:t>
            </w:r>
            <w:r>
              <w:rPr>
                <w:rFonts w:ascii="Barlow Semi Condensed" w:cs="Barlow Semi Condensed" w:eastAsia="Barlow Semi Condensed" w:hAnsi="Barlow Semi Condensed"/>
                <w:b/>
                <w:bCs/>
                <w:sz w:val="20"/>
                <w:szCs w:val="20"/>
              </w:rPr>
              <w:t xml:space="preserve">tutto ciò che è attribuibile al caso Moro</w:t>
            </w:r>
            <w:r>
              <w:rPr>
                <w:rFonts w:ascii="Barlow Semi Condensed" w:cs="Barlow Semi Condensed" w:eastAsia="Barlow Semi Condensed" w:hAnsi="Barlow Semi Condensed"/>
                <w:sz w:val="20"/>
                <w:szCs w:val="20"/>
              </w:rPr>
              <w:t xml:space="preserve">: la cronologia dei 55 giorni, le sei vittime (via Fani: Leonardi, Ricci, Rivera, Zizzi, Iozzino, in testa al repertorio), gli autori accertati in giudicato, i luoghi (via Fani, Montalcini, Gradoli, Caetani, Monte Nevoso, lago della Duchessa), i documenti (le ~97 lettere, i comunicati, il memoriale), gli atti (5 processi, 2 Commissioni), le figure del contesto senza imputazione, e i nodi aperti col loro grado. Ogni voce marcata A (giudicato) / B (accertamento) / C (congettura) / F (fatto pubblico); un capitolo dice che cosa il repertorio esclude per disciplina. Nessuna imputazione oltre il giudicato; nessuna graduatoria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aldo-moro-una-guerra-senza-fine-fase-ottava-il-ritratto.md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ottava — Il ritratto: l'uomo prima del caso» (capp. 62-67). Rimette al centro Aldo Moro l'uomo e lo statista, non l'oggetto dell'inchiesta: la formazione (Maglie 1916, FUCI, il diritto penale a Bari), il costituente, la </w:t>
            </w:r>
            <w:r>
              <w:rPr>
                <w:rFonts w:ascii="Barlow Semi Condensed" w:cs="Barlow Semi Condensed" w:eastAsia="Barlow Semi Condensed" w:hAnsi="Barlow Semi Condensed"/>
                <w:b/>
                <w:bCs/>
                <w:sz w:val="20"/>
                <w:szCs w:val="20"/>
              </w:rPr>
              <w:t xml:space="preserve">strategia dell'attenzione</w:t>
            </w:r>
            <w:r>
              <w:rPr>
                <w:rFonts w:ascii="Barlow Semi Condensed" w:cs="Barlow Semi Condensed" w:eastAsia="Barlow Semi Condensed" w:hAnsi="Barlow Semi Condensed"/>
                <w:sz w:val="20"/>
                <w:szCs w:val="20"/>
              </w:rPr>
              <w:t xml:space="preserve"> (Bari, 15/6/1969), la solidarietà nazionale e la </w:t>
            </w:r>
            <w:r>
              <w:rPr>
                <w:rFonts w:ascii="Barlow Semi Condensed" w:cs="Barlow Semi Condensed" w:eastAsia="Barlow Semi Condensed" w:hAnsi="Barlow Semi Condensed"/>
                <w:b/>
                <w:bCs/>
                <w:sz w:val="20"/>
                <w:szCs w:val="20"/>
              </w:rPr>
              <w:t xml:space="preserve">«terza fase»</w:t>
            </w:r>
            <w:r>
              <w:rPr>
                <w:rFonts w:ascii="Barlow Semi Condensed" w:cs="Barlow Semi Condensed" w:eastAsia="Barlow Semi Condensed" w:hAnsi="Barlow Semi Condensed"/>
                <w:sz w:val="20"/>
                <w:szCs w:val="20"/>
              </w:rPr>
              <w:t xml:space="preserve"> (dicembre 1976), le lettere come scrittura di un uomo, la ragione umana per cui fu colpito (l'ostacolo alla guerra che altri volevano). Prosa piana, senza pastiche; idee citate dai suoi scritti pubblici. Nessuna imputazione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aldo-moro-una-guerra-senza-fine-fase-settima-registro-giudiziario.md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settima — Il registro giudiziario» (capp. 56-61). Aggiunge lo strato istruttorio che mancava: i cinque processi Moro (uno/bis/ter/quater/quinquies) come pavimento del giudicato (grado A: BR esecutrici, Moretti, Maccari «quarto uomo» nel quinquies, Lojacono nel quater); la Commissione Moro 2 (2014-2017, relazione del 6/12/2017) come accertamento parlamentare di grado B (le due moto e i quattro «centauri» di via Fani, i testimoni De Chiara e ing. Marini mai sentiti, il Memoriale Morucci come «testo negoziato» degli anni '80, la formula «verità dicibile» di Fioroni, il nodo del 18 aprile non sciolto); tavola di raccordo delle otto questioni aperte per grado. Nessuna imputazione oltre il giudicato; nessuna graduatoria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aldo-moro-una-guerra-senza-fine-apparato-dei-gradi.md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Indice analitico capitolo per capitolo dei cinquanta capitoli dell'opera: asserzione portante, grado prevalente (A/B/C/Stato Zero/Metodo) e criterio di smentita di ciascuno. La Fase quinta è gradata interamente al Livello C (congettura ordinata) salvo la base giudiziaria; la graduatoria e i nomi non sono riprodotti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_verifiche/verifica-elenco-trentatre-nomi-p2.md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Appendice III — Verifica di un elenco esterno.</w:t>
            </w:r>
            <w:r>
              <w:rPr>
                <w:rFonts w:ascii="Barlow Semi Condensed" w:cs="Barlow Semi Condensed" w:eastAsia="Barlow Semi Condensed" w:hAnsi="Barlow Semi Condensed"/>
                <w:sz w:val="20"/>
                <w:szCs w:val="20"/>
              </w:rPr>
              <w:t xml:space="preserve"> Un testo sottoposto al corpus il 26 agosto 2026 asserisce trentatré nominativi con ruolo nella primavera del 1978 e numero di tessera della loggia. Verifica per campi separati: i nomi in larga parte reggono (venti appartenenze corroborate da fonti indipendenti dal testo, dodici al grado C, una definita in sede giudiziaria), i numeri no — quattro valori cadono sotto il 1.600, soglia verbalizzata negli atti della Commissione, e cinque numeri sono assegnati due volte dentro il testo stesso. Nessun numero di tessera è corroborato: il grado B lo darebbe soltanto l'allegato alla Doc. XXIII n. 2. </w:t>
            </w:r>
            <w:r>
              <w:rPr>
                <w:rFonts w:ascii="Barlow Semi Condensed" w:cs="Barlow Semi Condensed" w:eastAsia="Barlow Semi Condensed" w:hAnsi="Barlow Semi Condensed"/>
                <w:b/>
                <w:bCs/>
                <w:sz w:val="20"/>
                <w:szCs w:val="20"/>
              </w:rPr>
              <w:t xml:space="preserve">Stato Zero dichiarato</w:t>
            </w:r>
            <w:r>
              <w:rPr>
                <w:rFonts w:ascii="Barlow Semi Condensed" w:cs="Barlow Semi Condensed" w:eastAsia="Barlow Semi Condensed" w:hAnsi="Barlow Semi Condensed"/>
                <w:sz w:val="20"/>
                <w:szCs w:val="20"/>
              </w:rPr>
              <w:t xml:space="preserve"> sul calcolo per finestra temporale: la ripartizione degli affiliati fra prima, durante e dopo richiede la data di affiliazione di ciascuno, e la tabella la porta per due righe su trentatré. Contiene l'annotazione — accanto all'errore, non al posto suo — sulla cifra dei parlamentari registrata nel Libro quarto. Nove grafici propri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_verifiche/certificazione-numeri-p2.md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CERTIFICAZIONE DEI NUMERI DI TESSERA E FASCICOLO — esito negativo.</w:t>
            </w:r>
            <w:r>
              <w:rPr>
                <w:rFonts w:ascii="Barlow Semi Condensed" w:cs="Barlow Semi Condensed" w:eastAsia="Barlow Semi Condensed" w:hAnsi="Barlow Semi Condensed"/>
                <w:sz w:val="20"/>
                <w:szCs w:val="20"/>
              </w:rPr>
              <w:t xml:space="preserve"> Richiesta di certificare i numeri dei trentatré nomi; </w:t>
            </w:r>
            <w:r>
              <w:rPr>
                <w:rFonts w:ascii="Barlow Semi Condensed" w:cs="Barlow Semi Condensed" w:eastAsia="Barlow Semi Condensed" w:hAnsi="Barlow Semi Condensed"/>
                <w:b/>
                <w:bCs/>
                <w:sz w:val="20"/>
                <w:szCs w:val="20"/>
              </w:rPr>
              <w:t xml:space="preserve">nessuno dei trentatré è certificabile</w:t>
            </w:r>
            <w:r>
              <w:rPr>
                <w:rFonts w:ascii="Barlow Semi Condensed" w:cs="Barlow Semi Condensed" w:eastAsia="Barlow Semi Condensed" w:hAnsi="Barlow Semi Condensed"/>
                <w:sz w:val="20"/>
                <w:szCs w:val="20"/>
              </w:rPr>
              <w:t xml:space="preserve">, e il no non dipende da una difficoltà contingente ma dalla differenza fra verificare e certificare. Verifica condotta con diciassette agenti indipendenti, i cui limiti sono dichiarati in apertura: la ricerca ha esaurito il budget a metà corsa e l'intera fase di refutazione non ha potuto aprire una sola fonte — quelle refutazioni sono registrate come impossibilità di verificare, non come prove contrarie. </w:t>
            </w:r>
            <w:r>
              <w:rPr>
                <w:rFonts w:ascii="Barlow Semi Condensed" w:cs="Barlow Semi Condensed" w:eastAsia="Barlow Semi Condensed" w:hAnsi="Barlow Semi Condensed"/>
                <w:b/>
                <w:bCs/>
                <w:sz w:val="20"/>
                <w:szCs w:val="20"/>
              </w:rPr>
              <w:t xml:space="preserve">Risultato più solido, di rango documentale</w:t>
            </w:r>
            <w:r>
              <w:rPr>
                <w:rFonts w:ascii="Barlow Semi Condensed" w:cs="Barlow Semi Condensed" w:eastAsia="Barlow Semi Condensed" w:hAnsi="Barlow Semi Condensed"/>
                <w:sz w:val="20"/>
                <w:szCs w:val="20"/>
              </w:rPr>
              <w:t xml:space="preserve">: due coppie attestate — Berlusconi (Milano, 625) con tessera 1816, Costanzo (Roma, 626) con tessera 1819 — dimostrano che la cifra fra parentesi nelle trascrizioni è il </w:t>
            </w:r>
            <w:r>
              <w:rPr>
                <w:rFonts w:ascii="Barlow Semi Condensed" w:cs="Barlow Semi Condensed" w:eastAsia="Barlow Semi Condensed" w:hAnsi="Barlow Semi Condensed"/>
                <w:b/>
                <w:bCs/>
                <w:sz w:val="20"/>
                <w:szCs w:val="20"/>
              </w:rPr>
              <w:t xml:space="preserve">numero di fascicolo, non quello di tessera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Risultato aritmetico, indipendente da ogni fonte</w:t>
            </w:r>
            <w:r>
              <w:rPr>
                <w:rFonts w:ascii="Barlow Semi Condensed" w:cs="Barlow Semi Condensed" w:eastAsia="Barlow Semi Condensed" w:hAnsi="Barlow Semi Condensed"/>
                <w:sz w:val="20"/>
                <w:szCs w:val="20"/>
              </w:rPr>
              <w:t xml:space="preserve">: otto coppie su venti hanno lo scarto identico di 1.088 fra tessera e fascicolo, mentre nelle due coppie attestate lo scarto deriva — uno scarto congelato per quarantadue posizioni non è un secondo registro, è una sottrazione. </w:t>
            </w:r>
            <w:r>
              <w:rPr>
                <w:rFonts w:ascii="Barlow Semi Condensed" w:cs="Barlow Semi Condensed" w:eastAsia="Barlow Semi Condensed" w:hAnsi="Barlow Semi Condensed"/>
                <w:b/>
                <w:bCs/>
                <w:sz w:val="20"/>
                <w:szCs w:val="20"/>
              </w:rPr>
              <w:t xml:space="preserve">Tre ritrattazioni dichiarate</w:t>
            </w:r>
            <w:r>
              <w:rPr>
                <w:rFonts w:ascii="Barlow Semi Condensed" w:cs="Barlow Semi Condensed" w:eastAsia="Barlow Semi Condensed" w:hAnsi="Barlow Semi Condensed"/>
                <w:sz w:val="20"/>
                <w:szCs w:val="20"/>
              </w:rPr>
              <w:t xml:space="preserve">: la soglia del 1.600 non è un test di esclusione (esistono le tessere 506 e 1508); i parlamentari corroborati sono </w:t>
            </w:r>
            <w:r>
              <w:rPr>
                <w:rFonts w:ascii="Barlow Semi Condensed" w:cs="Barlow Semi Condensed" w:eastAsia="Barlow Semi Condensed" w:hAnsi="Barlow Semi Condensed"/>
                <w:b/>
                <w:bCs/>
                <w:sz w:val="20"/>
                <w:szCs w:val="20"/>
              </w:rPr>
              <w:t xml:space="preserve">44 e non 59</w:t>
            </w:r>
            <w:r>
              <w:rPr>
                <w:rFonts w:ascii="Barlow Semi Condensed" w:cs="Barlow Semi Condensed" w:eastAsia="Barlow Semi Condensed" w:hAnsi="Barlow Semi Condensed"/>
                <w:sz w:val="20"/>
                <w:szCs w:val="20"/>
              </w:rPr>
              <w:t xml:space="preserve">, sicché la cifra del corpus era giusta e la mia correzione va ritirata; la corsa di dieci numeri consecutivi non è un indizio, perché in un elenco così denso se ne attendono circa quattro. Porta l'indirizzo d'archivio preciso — libro I, tomo I, pp. 803-874 e 885-942 — e tre grafici propri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moro-ministro-esteri/terza-campagna/</w:t>
            </w:r>
            <w:r>
              <w:rPr>
                <w:rFonts w:ascii="Barlow Semi Condensed" w:cs="Barlow Semi Condensed" w:eastAsia="Barlow Semi Condensed" w:hAnsi="Barlow Semi Condensed"/>
                <w:sz w:val="20"/>
                <w:szCs w:val="20"/>
              </w:rPr>
              <w:t xml:space="preserve">](moro-ministro-esteri/terza-campagna) · `</w:t>
            </w:r>
            <w:r>
              <w:rPr>
                <w:rFonts w:ascii="Barlow Semi Condensed" w:cs="Barlow Semi Condensed" w:eastAsia="Barlow Semi Condensed" w:hAnsi="Barlow Semi Condensed"/>
                <w:i/>
                <w:iCs/>
                <w:sz w:val="20"/>
                <w:szCs w:val="20"/>
              </w:rPr>
              <w:t xml:space="preserve">triangolazione-terza-campagna.md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il-registro-dei-cinquantacinque-giorni-opera-seconda.md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TERZA CAMPAGNA FARNESINA E L'OPERA SECONDA — ventisette acquisizioni, 166.067 parole.</w:t>
            </w:r>
            <w:r>
              <w:rPr>
                <w:rFonts w:ascii="Barlow Semi Condensed" w:cs="Barlow Semi Condensed" w:eastAsia="Barlow Semi Condensed" w:hAnsi="Barlow Semi Condensed"/>
                <w:sz w:val="20"/>
                <w:szCs w:val="20"/>
              </w:rPr>
              <w:t xml:space="preserve"> Sedici ricognizioni numerate dalla terza alla diciottesima, sette registri analitici, l'opera seconda sui cinquantacinque giorni in sette Fasi e settanta Capitoli (Libro quindicesimo), un'appendice alla Fase settima e un memorandum archiviato ma </w:t>
            </w:r>
            <w:r>
              <w:rPr>
                <w:rFonts w:ascii="Barlow Semi Condensed" w:cs="Barlow Semi Condensed" w:eastAsia="Barlow Semi Condensed" w:hAnsi="Barlow Semi Condensed"/>
                <w:b/>
                <w:bCs/>
                <w:sz w:val="20"/>
                <w:szCs w:val="20"/>
              </w:rPr>
              <w:t xml:space="preserve">non rilegato per disposizione propria</w:t>
            </w:r>
            <w:r>
              <w:rPr>
                <w:rFonts w:ascii="Barlow Semi Condensed" w:cs="Barlow Semi Condensed" w:eastAsia="Barlow Semi Condensed" w:hAnsi="Barlow Semi Condensed"/>
                <w:sz w:val="20"/>
                <w:szCs w:val="20"/>
              </w:rPr>
              <w:t xml:space="preserve">. Il lotto arrivò in quattro invii con ripetizioni: undici documenti erano identici byte per byte, tre risultano contenuti nell'opera seconda al 100, 98,3 e 98,7 per cento agli 8-grammi, e sono stati scartati. Sei ricognizioni rivedono documenti già presenti, con sovrapposizioni fra il 7 e il 29,4 per cento: </w:t>
            </w:r>
            <w:r>
              <w:rPr>
                <w:rFonts w:ascii="Barlow Semi Condensed" w:cs="Barlow Semi Condensed" w:eastAsia="Barlow Semi Condensed" w:hAnsi="Barlow Semi Condensed"/>
                <w:b/>
                <w:bCs/>
                <w:sz w:val="20"/>
                <w:szCs w:val="20"/>
              </w:rPr>
              <w:t xml:space="preserve">nessuna sostituisce l'anteriore</w:t>
            </w:r>
            <w:r>
              <w:rPr>
                <w:rFonts w:ascii="Barlow Semi Condensed" w:cs="Barlow Semi Condensed" w:eastAsia="Barlow Semi Condensed" w:hAnsi="Barlow Semi Condensed"/>
                <w:sz w:val="20"/>
                <w:szCs w:val="20"/>
              </w:rPr>
              <w:t xml:space="preserve">, ciascuna porta la nota di raccordo che dichiara quale rivede e con quale misura. </w:t>
            </w:r>
            <w:r>
              <w:rPr>
                <w:rFonts w:ascii="Barlow Semi Condensed" w:cs="Barlow Semi Condensed" w:eastAsia="Barlow Semi Condensed" w:hAnsi="Barlow Semi Condensed"/>
                <w:b/>
                <w:bCs/>
                <w:sz w:val="20"/>
                <w:szCs w:val="20"/>
              </w:rPr>
              <w:t xml:space="preserve">Il risultato che distingue la campagna sono quattro confutazioni che l'autore muove alle proprie ipotesi</w:t>
            </w:r>
            <w:r>
              <w:rPr>
                <w:rFonts w:ascii="Barlow Semi Condensed" w:cs="Barlow Semi Condensed" w:eastAsia="Barlow Semi Condensed" w:hAnsi="Barlow Semi Condensed"/>
                <w:sz w:val="20"/>
                <w:szCs w:val="20"/>
              </w:rPr>
              <w:t xml:space="preserve"> — il modello dell'Opus Dei falsificato due volte (Gran Bretagna 1946 prima della Germania 1952; il Kenya con costruzione endogena del ceto), l'ipotesi namibiana respinta, il nodo sudafricano che non ruota. </w:t>
            </w:r>
            <w:r>
              <w:rPr>
                <w:rFonts w:ascii="Barlow Semi Condensed" w:cs="Barlow Semi Condensed" w:eastAsia="Barlow Semi Condensed" w:hAnsi="Barlow Semi Condensed"/>
                <w:b/>
                <w:bCs/>
                <w:sz w:val="20"/>
                <w:szCs w:val="20"/>
              </w:rPr>
              <w:t xml:space="preserve">Cinque correzioni al corpus</w:t>
            </w:r>
            <w:r>
              <w:rPr>
                <w:rFonts w:ascii="Barlow Semi Condensed" w:cs="Barlow Semi Condensed" w:eastAsia="Barlow Semi Condensed" w:hAnsi="Barlow Semi Condensed"/>
                <w:sz w:val="20"/>
                <w:szCs w:val="20"/>
              </w:rPr>
              <w:t xml:space="preserve">, fra cui che il riconoscimento della RDT è del 17 gennaio 1973, sotto Giuseppe Medici e fra i due mandati di Moro, non sotto Moro. </w:t>
            </w:r>
            <w:r>
              <w:rPr>
                <w:rFonts w:ascii="Barlow Semi Condensed" w:cs="Barlow Semi Condensed" w:eastAsia="Barlow Semi Condensed" w:hAnsi="Barlow Semi Condensed"/>
                <w:b/>
                <w:bCs/>
                <w:sz w:val="20"/>
                <w:szCs w:val="20"/>
              </w:rPr>
              <w:t xml:space="preserve">Un concetto di metodo nuovo</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i/>
                <w:iCs/>
                <w:sz w:val="20"/>
                <w:szCs w:val="20"/>
              </w:rPr>
              <w:t xml:space="preserve">contaminazione per prossimità</w:t>
            </w:r>
            <w:r>
              <w:rPr>
                <w:rFonts w:ascii="Barlow Semi Condensed" w:cs="Barlow Semi Condensed" w:eastAsia="Barlow Semi Condensed" w:hAnsi="Barlow Semi Condensed"/>
                <w:sz w:val="20"/>
                <w:szCs w:val="20"/>
              </w:rPr>
              <w:t xml:space="preserve"> — collocare un'asserzione non documentata dentro un elenco di fatti documentati, trasferendole il credito — col corollario che un'affermazione senza tracce indipendenti «non è confutata ma non è utilizzabile», che converge con la certificazione dei numeri P2 per via indipendente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_diffusione-opera/pec-unica-formale.md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PEC_UNICA_FORMALE.docx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.pdf`](_diffusione-opera/PEC_UNICA_FORMALE.pdf)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PEC FORMALE UNICA — un solo testo per tutti i destinatari.</w:t>
            </w:r>
            <w:r>
              <w:rPr>
                <w:rFonts w:ascii="Barlow Semi Condensed" w:cs="Barlow Semi Condensed" w:eastAsia="Barlow Semi Condensed" w:hAnsi="Barlow Semi Condensed"/>
                <w:sz w:val="20"/>
                <w:szCs w:val="20"/>
              </w:rPr>
              <w:t xml:space="preserve"> Contenuto unico e canale adattabile: si trasmette come PEC dove la PEC esiste, come email ordinaria dove è la via istituzionale, si incolla nei moduli obbligatori, si stampa dove non c'è altro. Si apre con un'avvertenza di fatto: </w:t>
            </w:r>
            <w:r>
              <w:rPr>
                <w:rFonts w:ascii="Barlow Semi Condensed" w:cs="Barlow Semi Condensed" w:eastAsia="Barlow Semi Condensed" w:hAnsi="Barlow Semi Condensed"/>
                <w:b/>
                <w:bCs/>
                <w:sz w:val="20"/>
                <w:szCs w:val="20"/>
              </w:rPr>
              <w:t xml:space="preserve">un solo destinatario su dodici ha davvero un canale PEC</w:t>
            </w:r>
            <w:r>
              <w:rPr>
                <w:rFonts w:ascii="Barlow Semi Condensed" w:cs="Barlow Semi Condensed" w:eastAsia="Barlow Semi Condensed" w:hAnsi="Barlow Semi Condensed"/>
                <w:sz w:val="20"/>
                <w:szCs w:val="20"/>
              </w:rPr>
              <w:t xml:space="preserve"> — l'Archivio Flamigni, il cui indirizzo non è ancora reperito — e l'invio non va fatto in un'unica trasmissione, perché esporrebbe a ciascuno il recapito degli altri undici e mostrerebbe a nove editori che la stessa proposta è partita per gli altri otto. Stesso testo, invii separati, secondo le ondate non in concorrenza del dossier. Il corpo porta la dichiarazione sull'IA in apertura e non in calce, le sei regole della disciplina con l'eccezione del Libro quarto, che cosa l'opera non è, e l'impronta SHA-256 dell'intero corpus con la distinzione fra integrità del supporto e verità del contenuto. In coda: la tabella di adattamento per canale destinatario per destinatario, gli allegati con l'avvertenza sui limiti di peso dei gestori PEC, e la lista di controllo prima dell'invio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aldo-moro-una-guerra-senza-fine-fase-decima-responsabilita-personali.md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decima — Il principio personalistico» (capp. 77-82). </w:t>
            </w:r>
            <w:r>
              <w:rPr>
                <w:rFonts w:ascii="Barlow Semi Condensed" w:cs="Barlow Semi Condensed" w:eastAsia="Barlow Semi Condensed" w:hAnsi="Barlow Semi Condensed"/>
                <w:b/>
                <w:bCs/>
                <w:sz w:val="20"/>
                <w:szCs w:val="20"/>
              </w:rPr>
              <w:t xml:space="preserve">Elimina la colpa dei gruppi in entrambe le direzioni</w:t>
            </w:r>
            <w:r>
              <w:rPr>
                <w:rFonts w:ascii="Barlow Semi Condensed" w:cs="Barlow Semi Condensed" w:eastAsia="Barlow Semi Condensed" w:hAnsi="Barlow Semi Condensed"/>
                <w:sz w:val="20"/>
                <w:szCs w:val="20"/>
              </w:rPr>
              <w:t xml:space="preserve"> (né colpa collettiva discendente dall'appartenenza, né deresponsabilizzazione ascendente nel «fu l'organizzazione») e </w:t>
            </w:r>
            <w:r>
              <w:rPr>
                <w:rFonts w:ascii="Barlow Semi Condensed" w:cs="Barlow Semi Condensed" w:eastAsia="Barlow Semi Condensed" w:hAnsi="Barlow Semi Condensed"/>
                <w:b/>
                <w:bCs/>
                <w:sz w:val="20"/>
                <w:szCs w:val="20"/>
              </w:rPr>
              <w:t xml:space="preserve">la sostituisce con le responsabilità personali del giudicato</w:t>
            </w:r>
            <w:r>
              <w:rPr>
                <w:rFonts w:ascii="Barlow Semi Condensed" w:cs="Barlow Semi Condensed" w:eastAsia="Barlow Semi Condensed" w:hAnsi="Barlow Semi Condensed"/>
                <w:sz w:val="20"/>
                <w:szCs w:val="20"/>
              </w:rPr>
              <w:t xml:space="preserve">: registro nominativo delle tredici persone condannate in via definitiva per il caso Moro, ciascuna con la propria condotta accertata (Moretti, Gallinari, Morucci, Faranda, Fiore, Bonisoli, Balzerani, Seghetti, Braghetti, Casimirri, Lojacono, Maccari, Etro) — verificato su fonti (sentenza 24/1/1983, Questione Giustizia, biografie). Il registro </w:t>
            </w:r>
            <w:r>
              <w:rPr>
                <w:rFonts w:ascii="Barlow Semi Condensed" w:cs="Barlow Semi Condensed" w:eastAsia="Barlow Semi Condensed" w:hAnsi="Barlow Semi Condensed"/>
                <w:b/>
                <w:bCs/>
                <w:sz w:val="20"/>
                <w:szCs w:val="20"/>
              </w:rPr>
              <w:t xml:space="preserve">non ricopia i 32 ergastoli del processone</w:t>
            </w:r>
            <w:r>
              <w:rPr>
                <w:rFonts w:ascii="Barlow Semi Condensed" w:cs="Barlow Semi Condensed" w:eastAsia="Barlow Semi Condensed" w:hAnsi="Barlow Semi Condensed"/>
                <w:sz w:val="20"/>
                <w:szCs w:val="20"/>
              </w:rPr>
              <w:t xml:space="preserve"> (colpa di gruppo per trascinamento) e </w:t>
            </w:r>
            <w:r>
              <w:rPr>
                <w:rFonts w:ascii="Barlow Semi Condensed" w:cs="Barlow Semi Condensed" w:eastAsia="Barlow Semi Condensed" w:hAnsi="Barlow Semi Condensed"/>
                <w:b/>
                <w:bCs/>
                <w:sz w:val="20"/>
                <w:szCs w:val="20"/>
              </w:rPr>
              <w:t xml:space="preserve">non contiene Algranati</w:t>
            </w:r>
            <w:r>
              <w:rPr>
                <w:rFonts w:ascii="Barlow Semi Condensed" w:cs="Barlow Semi Condensed" w:eastAsia="Barlow Semi Condensed" w:hAnsi="Barlow Semi Condensed"/>
                <w:sz w:val="20"/>
                <w:szCs w:val="20"/>
              </w:rPr>
              <w:t xml:space="preserve"> (assolta in via definitiva per via Fani: il giudicato vale nei due sensi). Nota di lettura valida per l'intera opera: «le BR» come abbreviazione delle persone condannate; le appartenenze — a uno o più gruppi — come fatto biografico F, mai somma di colpe. Nessuna graduatoria; nessuna percentuale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triangolazione-condannati-corpus.md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dei tredici condannati del registro (Fase decima) con i domini del corpus: </w:t>
            </w:r>
            <w:r>
              <w:rPr>
                <w:rFonts w:ascii="Barlow Semi Condensed" w:cs="Barlow Semi Condensed" w:eastAsia="Barlow Semi Condensed" w:hAnsi="Barlow Semi Condensed"/>
                <w:b/>
                <w:bCs/>
                <w:sz w:val="20"/>
                <w:szCs w:val="20"/>
              </w:rPr>
              <w:t xml:space="preserve">otto ponti documentati e verificati</w:t>
            </w:r>
            <w:r>
              <w:rPr>
                <w:rFonts w:ascii="Barlow Semi Condensed" w:cs="Barlow Semi Condensed" w:eastAsia="Barlow Semi Condensed" w:hAnsi="Barlow Semi Condensed"/>
                <w:sz w:val="20"/>
                <w:szCs w:val="20"/>
              </w:rPr>
              <w:t xml:space="preserve"> — Moretti e il CPM di Curcio </w:t>
            </w:r>
            <w:r>
              <w:rPr>
                <w:rFonts w:ascii="Barlow Semi Condensed" w:cs="Barlow Semi Condensed" w:eastAsia="Barlow Semi Condensed" w:hAnsi="Barlow Semi Condensed"/>
                <w:i/>
                <w:iCs/>
                <w:sz w:val="20"/>
                <w:szCs w:val="20"/>
              </w:rPr>
              <w:t xml:space="preserve">e Simioni</w:t>
            </w:r>
            <w:r>
              <w:rPr>
                <w:rFonts w:ascii="Barlow Semi Condensed" w:cs="Barlow Semi Condensed" w:eastAsia="Barlow Semi Condensed" w:hAnsi="Barlow Semi Condensed"/>
                <w:sz w:val="20"/>
                <w:szCs w:val="20"/>
              </w:rPr>
              <w:t xml:space="preserve"> (la doppia discendenza BR/Superclan del ceppo 1969); Morucci-Faranda, Potere Operaio e il canale Pace-Piperno verso il PSI; Bonisoli che portò il memoriale a via Monte Nevoso e vi fu arrestato (1/10/1978); Gallinari e Bonisoli nel «gruppo dell'appartamento» reggiano di Franceschini; Casimirri (padre alla sala stampa vaticana sotto tre papi; rotta Libia-Cuba-Nicaragua; estradizione negata); Lojacono (cittadinanza svizzera, pena ineseguita); Braghetti e la memoria come vettore («Il prigioniero», Feltrinelli 1998 → «Buongiorno, notte» 2003); le condotte successive coi loro giudicati. Quattro </w:t>
            </w:r>
            <w:r>
              <w:rPr>
                <w:rFonts w:ascii="Barlow Semi Condensed" w:cs="Barlow Semi Condensed" w:eastAsia="Barlow Semi Condensed" w:hAnsi="Barlow Semi Condensed"/>
                <w:b/>
                <w:bCs/>
                <w:sz w:val="20"/>
                <w:szCs w:val="20"/>
              </w:rPr>
              <w:t xml:space="preserve">esiti negativi dichiarati</w:t>
            </w:r>
            <w:r>
              <w:rPr>
                <w:rFonts w:ascii="Barlow Semi Condensed" w:cs="Barlow Semi Condensed" w:eastAsia="Barlow Semi Condensed" w:hAnsi="Barlow Semi Condensed"/>
                <w:sz w:val="20"/>
                <w:szCs w:val="20"/>
              </w:rPr>
              <w:t xml:space="preserve"> (Fiore, Balzerani, Maccari, Etro a triangolazione vuota; nessun legame con l'attentato del 1981), cinque </w:t>
            </w:r>
            <w:r>
              <w:rPr>
                <w:rFonts w:ascii="Barlow Semi Condensed" w:cs="Barlow Semi Condensed" w:eastAsia="Barlow Semi Condensed" w:hAnsi="Barlow Semi Condensed"/>
                <w:b/>
                <w:bCs/>
                <w:sz w:val="20"/>
                <w:szCs w:val="20"/>
              </w:rPr>
              <w:t xml:space="preserve">anti-triangolazioni</w:t>
            </w:r>
            <w:r>
              <w:rPr>
                <w:rFonts w:ascii="Barlow Semi Condensed" w:cs="Barlow Semi Condensed" w:eastAsia="Barlow Semi Condensed" w:hAnsi="Barlow Semi Condensed"/>
                <w:sz w:val="20"/>
                <w:szCs w:val="20"/>
              </w:rPr>
              <w:t xml:space="preserve"> (la parentela non è canale; l'origine non è regia; la rotta non è filiazione; il canale non è complicità; il registro resta chiuso), matrice sintetica e chiusura sul confronto di metodo col Tribunale Speciale (due modi di giudicare i nemici). Nessun ponte promosso a nesso; nessun nome aggiunto al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ceppo-simioni-cpm-superclan-hyperion.md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Studio monografico del ceppo Simioni</w:t>
            </w:r>
            <w:r>
              <w:rPr>
                <w:rFonts w:ascii="Barlow Semi Condensed" w:cs="Barlow Semi Condensed" w:eastAsia="Barlow Semi Condensed" w:hAnsi="Barlow Semi Condensed"/>
                <w:sz w:val="20"/>
                <w:szCs w:val="20"/>
              </w:rPr>
              <w:t xml:space="preserve">: la discendenza CPM → Superclan → Hyperion — la «terza strada» della matrice milanese del 1969, con </w:t>
            </w:r>
            <w:r>
              <w:rPr>
                <w:rFonts w:ascii="Barlow Semi Condensed" w:cs="Barlow Semi Condensed" w:eastAsia="Barlow Semi Condensed" w:hAnsi="Barlow Semi Condensed"/>
                <w:b/>
                <w:bCs/>
                <w:sz w:val="20"/>
                <w:szCs w:val="20"/>
              </w:rPr>
              <w:t xml:space="preserve">l'esito giudiziario in testa</w:t>
            </w:r>
            <w:r>
              <w:rPr>
                <w:rFonts w:ascii="Barlow Semi Condensed" w:cs="Barlow Semi Condensed" w:eastAsia="Barlow Semi Condensed" w:hAnsi="Barlow Semi Condensed"/>
                <w:sz w:val="20"/>
                <w:szCs w:val="20"/>
              </w:rPr>
              <w:t xml:space="preserve"> (Mulinaris assolto con formula piena e risarcito con 100 milioni; Berio assolto a Roma 1989 e Venezia 1990; Simioni mai condannato). La biografia di Simioni 1934-1969 coi gradi dichiarati (Dolo 1934, gioventù socialista con Craxi, espulsione PSI 1965, Monaco, Mondadori e USIS = fatto F; il «si dice» su Radio Free Europe = riferito non accertato), la fondazione a due del CPM (8/9/1969), la scissione 1970-71 e il Superclan, la memorialistica brigatista come </w:t>
            </w:r>
            <w:r>
              <w:rPr>
                <w:rFonts w:ascii="Barlow Semi Condensed" w:cs="Barlow Semi Condensed" w:eastAsia="Barlow Semi Condensed" w:hAnsi="Barlow Semi Condensed"/>
                <w:b/>
                <w:bCs/>
                <w:sz w:val="20"/>
                <w:szCs w:val="20"/>
              </w:rPr>
              <w:t xml:space="preserve">fonte di parte</w:t>
            </w:r>
            <w:r>
              <w:rPr>
                <w:rFonts w:ascii="Barlow Semi Condensed" w:cs="Barlow Semi Condensed" w:eastAsia="Barlow Semi Condensed" w:hAnsi="Barlow Semi Condensed"/>
                <w:sz w:val="20"/>
                <w:szCs w:val="20"/>
              </w:rPr>
              <w:t xml:space="preserve"> (C), Hyperion a Parigi (divergenza 1976/1977 dichiarata), i tre percorsi giudiziari persona per persona — incluso l'</w:t>
            </w:r>
            <w:r>
              <w:rPr>
                <w:rFonts w:ascii="Barlow Semi Condensed" w:cs="Barlow Semi Condensed" w:eastAsia="Barlow Semi Condensed" w:hAnsi="Barlow Semi Condensed"/>
                <w:b/>
                <w:bCs/>
                <w:sz w:val="20"/>
                <w:szCs w:val="20"/>
              </w:rPr>
              <w:t xml:space="preserve">approccio SID del 1972 a Berio, respinto e documentato in una lettera al suocero Malagugini</w:t>
            </w:r>
            <w:r>
              <w:rPr>
                <w:rFonts w:ascii="Barlow Semi Condensed" w:cs="Barlow Semi Condensed" w:eastAsia="Barlow Semi Condensed" w:hAnsi="Barlow Semi Condensed"/>
                <w:sz w:val="20"/>
                <w:szCs w:val="20"/>
              </w:rPr>
              <w:t xml:space="preserve"> (grado B, audizione Moro 2 del 28/10/2015) — la vita francese di Simioni (Fondazione Abbé Pierre, udienza da Giovanni Paolo II 1992, † 2008), le suggestioni pesate una per una e cinque anti-triangolazioni. Il registro dei prosciolti come specchio della Fase decima: stessa disciplina personalistica, esito opposto. Il «fu assolto, ma» è bandito; nessuna tesi promossa oltre il grado C</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aldo-moro-una-guerra-senza-fine-edizione-strutturata.md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strutturata del corpus</w:t>
            </w:r>
            <w:r>
              <w:rPr>
                <w:rFonts w:ascii="Barlow Semi Condensed" w:cs="Barlow Semi Condensed" w:eastAsia="Barlow Semi Condensed" w:hAnsi="Barlow Semi Condensed"/>
                <w:sz w:val="20"/>
                <w:szCs w:val="20"/>
              </w:rPr>
              <w:t xml:space="preserve"> secondo l'architettura del Dossier maggiore dell'autore («Aldo Moro — Tutta la verità»): le </w:t>
            </w:r>
            <w:r>
              <w:rPr>
                <w:rFonts w:ascii="Barlow Semi Condensed" w:cs="Barlow Semi Condensed" w:eastAsia="Barlow Semi Condensed" w:hAnsi="Barlow Semi Condensed"/>
                <w:b/>
                <w:bCs/>
                <w:sz w:val="20"/>
                <w:szCs w:val="20"/>
              </w:rPr>
              <w:t xml:space="preserve">cinque Fasi</w:t>
            </w:r>
            <w:r>
              <w:rPr>
                <w:rFonts w:ascii="Barlow Semi Condensed" w:cs="Barlow Semi Condensed" w:eastAsia="Barlow Semi Condensed" w:hAnsi="Barlow Semi Condensed"/>
                <w:sz w:val="20"/>
                <w:szCs w:val="20"/>
              </w:rPr>
              <w:t xml:space="preserve"> coi loro sottotitoli di regime (Il metodo e l'uomo · Il perché · Il caso · Omissioni, collusioni, insabbiamenti · Architetti, mandanti, esecutori), trentadue capitoli che rimappano ogni documento del branch (compresi il Capitolo II-bis delle metodologie calcolate e il Capitolo XXX delle pene oltre confine, dichiarati come aggiunte proprie dell'edizione pubblica al blocco 1306), il tessuto dei </w:t>
            </w:r>
            <w:r>
              <w:rPr>
                <w:rFonts w:ascii="Barlow Semi Condensed" w:cs="Barlow Semi Condensed" w:eastAsia="Barlow Semi Condensed" w:hAnsi="Barlow Semi Condensed"/>
                <w:b/>
                <w:bCs/>
                <w:sz w:val="20"/>
                <w:szCs w:val="20"/>
              </w:rPr>
              <w:t xml:space="preserve">blocchi mirati</w:t>
            </w:r>
            <w:r>
              <w:rPr>
                <w:rFonts w:ascii="Barlow Semi Condensed" w:cs="Barlow Semi Condensed" w:eastAsia="Barlow Semi Condensed" w:hAnsi="Barlow Semi Condensed"/>
                <w:sz w:val="20"/>
                <w:szCs w:val="20"/>
              </w:rPr>
              <w:t xml:space="preserve"> in serie con statuto, la </w:t>
            </w:r>
            <w:r>
              <w:rPr>
                <w:rFonts w:ascii="Barlow Semi Condensed" w:cs="Barlow Semi Condensed" w:eastAsia="Barlow Semi Condensed" w:hAnsi="Barlow Semi Condensed"/>
                <w:b/>
                <w:bCs/>
                <w:sz w:val="20"/>
                <w:szCs w:val="20"/>
              </w:rPr>
              <w:t xml:space="preserve">griglia a cinque voci</w:t>
            </w:r>
            <w:r>
              <w:rPr>
                <w:rFonts w:ascii="Barlow Semi Condensed" w:cs="Barlow Semi Condensed" w:eastAsia="Barlow Semi Condensed" w:hAnsi="Barlow Semi Condensed"/>
                <w:sz w:val="20"/>
                <w:szCs w:val="20"/>
              </w:rPr>
              <w:t xml:space="preserve"> per Fase (Fonte/Falsificatore/Obiezione/Comparazione/Domanda aperta), il registro cronologico (801-812), il repertorio delle classi di fonti (1051-1056), la </w:t>
            </w:r>
            <w:r>
              <w:rPr>
                <w:rFonts w:ascii="Barlow Semi Condensed" w:cs="Barlow Semi Condensed" w:eastAsia="Barlow Semi Condensed" w:hAnsi="Barlow Semi Condensed"/>
                <w:b/>
                <w:bCs/>
                <w:sz w:val="20"/>
                <w:szCs w:val="20"/>
              </w:rPr>
              <w:t xml:space="preserve">tavola di corrispondenza col Dossier maggiore</w:t>
            </w:r>
            <w:r>
              <w:rPr>
                <w:rFonts w:ascii="Barlow Semi Condensed" w:cs="Barlow Semi Condensed" w:eastAsia="Barlow Semi Condensed" w:hAnsi="Barlow Semi Condensed"/>
                <w:sz w:val="20"/>
                <w:szCs w:val="20"/>
              </w:rPr>
              <w:t xml:space="preserve"> (1301-1305) e la bibliografia in sei sezioni. </w:t>
            </w:r>
            <w:r>
              <w:rPr>
                <w:rFonts w:ascii="Barlow Semi Condensed" w:cs="Barlow Semi Condensed" w:eastAsia="Barlow Semi Condensed" w:hAnsi="Barlow Semi Condensed"/>
                <w:b/>
                <w:bCs/>
                <w:sz w:val="20"/>
                <w:szCs w:val="20"/>
              </w:rPr>
              <w:t xml:space="preserve">Divergenza costitutiva dichiarata</w:t>
            </w:r>
            <w:r>
              <w:rPr>
                <w:rFonts w:ascii="Barlow Semi Condensed" w:cs="Barlow Semi Condensed" w:eastAsia="Barlow Semi Condensed" w:hAnsi="Barlow Semi Condensed"/>
                <w:sz w:val="20"/>
                <w:szCs w:val="20"/>
              </w:rPr>
              <w:t xml:space="preserve">: la Fase quinta pubblica non congeda il Pollo di Popper — si ferma al giudicato (i tredici del registro), non riproduce la graduatoria probabilistica né nomi oltre le sentenze; il Dossier maggiore non è archiviato sul branch perché contiene la parte che il versante pubblico per statuto non pubblica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ALDO_MORO_UNA_GUERRA_SENZA_FINE_EDIZIONE_STRUTTURATA.docx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.pdf`](ALDO_MORO_UNA_GUERRA_SENZA_FINE_EDIZIONE_STRUTTURATA.pdf) (13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dell'edizione strutturata (frontespizio, indice esteso ai capitoli, Barlow Semi Condensed 12, testo interamente giustificato). Verificato strutturalmente (9 H1 = le cinque Fasi più servizio e bibliografia; 32 capitoli)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metodologie-del-dossier-sinaptogenesi-e-strumenti.md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metodologie del Dossier maggiore applicate al corpus, con calcolo reale</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sinaptogenesi</w:t>
            </w:r>
            <w:r>
              <w:rPr>
                <w:rFonts w:ascii="Barlow Semi Condensed" w:cs="Barlow Semi Condensed" w:eastAsia="Barlow Semi Condensed" w:hAnsi="Barlow Semi Condensed"/>
                <w:sz w:val="20"/>
                <w:szCs w:val="20"/>
              </w:rPr>
              <w:t xml:space="preserve"> — il grafo dei soli legami documentati (39 nodi, 59 archi: 28 A, 26 F, 5 B) con le centralità di Freeman calcolate (Brandes) e il risultato analitico che il </w:t>
            </w:r>
            <w:r>
              <w:rPr>
                <w:rFonts w:ascii="Barlow Semi Condensed" w:cs="Barlow Semi Condensed" w:eastAsia="Barlow Semi Condensed" w:hAnsi="Barlow Semi Condensed"/>
                <w:b/>
                <w:bCs/>
                <w:sz w:val="20"/>
                <w:szCs w:val="20"/>
              </w:rPr>
              <w:t xml:space="preserve">CPM è il ponte quantitativo fra i mondi</w:t>
            </w:r>
            <w:r>
              <w:rPr>
                <w:rFonts w:ascii="Barlow Semi Condensed" w:cs="Barlow Semi Condensed" w:eastAsia="Barlow Semi Condensed" w:hAnsi="Barlow Semi Condensed"/>
                <w:sz w:val="20"/>
                <w:szCs w:val="20"/>
              </w:rPr>
              <w:t xml:space="preserve"> (betweenness 241, seconda dell'intera rete); due regole formalizzate — la </w:t>
            </w:r>
            <w:r>
              <w:rPr>
                <w:rFonts w:ascii="Barlow Semi Condensed" w:cs="Barlow Semi Condensed" w:eastAsia="Barlow Semi Condensed" w:hAnsi="Barlow Semi Condensed"/>
                <w:b/>
                <w:bCs/>
                <w:sz w:val="20"/>
                <w:szCs w:val="20"/>
              </w:rPr>
              <w:t xml:space="preserve">regola dell'anello debole</w:t>
            </w:r>
            <w:r>
              <w:rPr>
                <w:rFonts w:ascii="Barlow Semi Condensed" w:cs="Barlow Semi Condensed" w:eastAsia="Barlow Semi Condensed" w:hAnsi="Barlow Semi Condensed"/>
                <w:sz w:val="20"/>
                <w:szCs w:val="20"/>
              </w:rPr>
              <w:t xml:space="preserve"> (il grado di un cammino = il minimo dei suoi archi: il cammino documentato Hyperion→via Fani passa per la genealogia del 1969 ed è di grado F, dunque non sostiene inferenze operative) e la </w:t>
            </w:r>
            <w:r>
              <w:rPr>
                <w:rFonts w:ascii="Barlow Semi Condensed" w:cs="Barlow Semi Condensed" w:eastAsia="Barlow Semi Condensed" w:hAnsi="Barlow Semi Condensed"/>
                <w:b/>
                <w:bCs/>
                <w:sz w:val="20"/>
                <w:szCs w:val="20"/>
              </w:rPr>
              <w:t xml:space="preserve">regola dei buchi</w:t>
            </w:r>
            <w:r>
              <w:rPr>
                <w:rFonts w:ascii="Barlow Semi Condensed" w:cs="Barlow Semi Condensed" w:eastAsia="Barlow Semi Condensed" w:hAnsi="Barlow Semi Condensed"/>
                <w:sz w:val="20"/>
                <w:szCs w:val="20"/>
              </w:rPr>
              <w:t xml:space="preserve"> (Burt: la dietrologia riempie i buchi con la narrazione, il corpus li misura e li dichiara); i </w:t>
            </w:r>
            <w:r>
              <w:rPr>
                <w:rFonts w:ascii="Barlow Semi Condensed" w:cs="Barlow Semi Condensed" w:eastAsia="Barlow Semi Condensed" w:hAnsi="Barlow Semi Condensed"/>
                <w:b/>
                <w:bCs/>
                <w:sz w:val="20"/>
                <w:szCs w:val="20"/>
              </w:rPr>
              <w:t xml:space="preserve">dieci mondi</w:t>
            </w:r>
            <w:r>
              <w:rPr>
                <w:rFonts w:ascii="Barlow Semi Condensed" w:cs="Barlow Semi Condensed" w:eastAsia="Barlow Semi Condensed" w:hAnsi="Barlow Semi Condensed"/>
                <w:sz w:val="20"/>
                <w:szCs w:val="20"/>
              </w:rPr>
              <w:t xml:space="preserve"> multistrato (Kivelä) con la regola che un nodo può abitarne più d'uno senza che i mondi si trasmettano nulla; l'</w:t>
            </w:r>
            <w:r>
              <w:rPr>
                <w:rFonts w:ascii="Barlow Semi Condensed" w:cs="Barlow Semi Condensed" w:eastAsia="Barlow Semi Condensed" w:hAnsi="Barlow Semi Condensed"/>
                <w:b/>
                <w:bCs/>
                <w:sz w:val="20"/>
                <w:szCs w:val="20"/>
              </w:rPr>
              <w:t xml:space="preserve">ACH di Heuer</w:t>
            </w:r>
            <w:r>
              <w:rPr>
                <w:rFonts w:ascii="Barlow Semi Condensed" w:cs="Barlow Semi Condensed" w:eastAsia="Barlow Semi Condensed" w:hAnsi="Barlow Semi Condensed"/>
                <w:sz w:val="20"/>
                <w:szCs w:val="20"/>
              </w:rPr>
              <w:t xml:space="preserve"> su due quesiti impersonali (Gradoli: nessuna evidenza diagnostica, indecidibile allo stato degli atti; le due moto: i colpi verso Marini come unica evidenza diagnostica, di grado B — H3 la meno incoerente ma non accertata, perizia balistica come evidenza discriminante mancante), senza probabilità numeriche; il paradigma indiziario (Ginzburg) e la consilienza (Whewell/Wilson) col guardrail «mai oltre il grado della linea più debole»; l'</w:t>
            </w:r>
            <w:r>
              <w:rPr>
                <w:rFonts w:ascii="Barlow Semi Condensed" w:cs="Barlow Semi Condensed" w:eastAsia="Barlow Semi Condensed" w:hAnsi="Barlow Semi Condensed"/>
                <w:b/>
                <w:bCs/>
                <w:sz w:val="20"/>
                <w:szCs w:val="20"/>
              </w:rPr>
              <w:t xml:space="preserve">auto-misurazione del branch</w:t>
            </w:r>
            <w:r>
              <w:rPr>
                <w:rFonts w:ascii="Barlow Semi Condensed" w:cs="Barlow Semi Condensed" w:eastAsia="Barlow Semi Condensed" w:hAnsi="Barlow Semi Condensed"/>
                <w:sz w:val="20"/>
                <w:szCs w:val="20"/>
              </w:rPr>
              <w:t xml:space="preserve"> (36 documenti, 104.504 parole, 9 volumi, 2 html; 14 criteri di smentita, 29 anti-triangolazioni, 62 esiti negativi censiti); la </w:t>
            </w:r>
            <w:r>
              <w:rPr>
                <w:rFonts w:ascii="Barlow Semi Condensed" w:cs="Barlow Semi Condensed" w:eastAsia="Barlow Semi Condensed" w:hAnsi="Barlow Semi Condensed"/>
                <w:b/>
                <w:bCs/>
                <w:sz w:val="20"/>
                <w:szCs w:val="20"/>
              </w:rPr>
              <w:t xml:space="preserve">tavola percentuale del documentato esclusa la componente BR</w:t>
            </w:r>
            <w:r>
              <w:rPr>
                <w:rFonts w:ascii="Barlow Semi Condensed" w:cs="Barlow Semi Condensed" w:eastAsia="Barlow Semi Condensed" w:hAnsi="Barlow Semi Condensed"/>
                <w:sz w:val="20"/>
                <w:szCs w:val="20"/>
              </w:rPr>
              <w:t xml:space="preserve"> (§6-bis: quote di centralità normalizzate a 100 — CPM 24,7%, Simioni 22,5%, Hyperion 12,5% — e quote di grado, col risultato dirimente che il comparto non-BR è F 82,4% · B 17,6% · </w:t>
            </w:r>
            <w:r>
              <w:rPr>
                <w:rFonts w:ascii="Barlow Semi Condensed" w:cs="Barlow Semi Condensed" w:eastAsia="Barlow Semi Condensed" w:hAnsi="Barlow Semi Condensed"/>
                <w:b/>
                <w:bCs/>
                <w:sz w:val="20"/>
                <w:szCs w:val="20"/>
              </w:rPr>
              <w:t xml:space="preserve">A 0,0%</w:t>
            </w:r>
            <w:r>
              <w:rPr>
                <w:rFonts w:ascii="Barlow Semi Condensed" w:cs="Barlow Semi Condensed" w:eastAsia="Barlow Semi Condensed" w:hAnsi="Barlow Semi Condensed"/>
                <w:sz w:val="20"/>
                <w:szCs w:val="20"/>
              </w:rPr>
              <w:t xml:space="preserve">: fuori dalla componente BR non esiste un solo arco di giudicato, ed è la dimostrazione quantitativa del perché la graduatoria percentuale di responsabilità dei piani superiori non può esistere sul branch pubblico). Nessuna metrica misura colpe: misura documenti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le-pene-oltre-confine-mitterrand-mulinaris.md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Studio sulle pene oltre confine</w:t>
            </w:r>
            <w:r>
              <w:rPr>
                <w:rFonts w:ascii="Barlow Semi Condensed" w:cs="Barlow Semi Condensed" w:eastAsia="Barlow Semi Condensed" w:hAnsi="Barlow Semi Condensed"/>
                <w:sz w:val="20"/>
                <w:szCs w:val="20"/>
              </w:rPr>
              <w:t xml:space="preserve"> — il ponte fra la Fase decima e la dimensione diplomatica: il quesito (il giudicato accerta ovunque, dispone fino alla frontiera); l'</w:t>
            </w:r>
            <w:r>
              <w:rPr>
                <w:rFonts w:ascii="Barlow Semi Condensed" w:cs="Barlow Semi Condensed" w:eastAsia="Barlow Semi Condensed" w:hAnsi="Barlow Semi Condensed"/>
                <w:b/>
                <w:bCs/>
                <w:sz w:val="20"/>
                <w:szCs w:val="20"/>
              </w:rPr>
              <w:t xml:space="preserve">affaire Mulinaris 1982-1986</w:t>
            </w:r>
            <w:r>
              <w:rPr>
                <w:rFonts w:ascii="Barlow Semi Condensed" w:cs="Barlow Semi Condensed" w:eastAsia="Barlow Semi Condensed" w:hAnsi="Barlow Semi Condensed"/>
                <w:sz w:val="20"/>
                <w:szCs w:val="20"/>
              </w:rPr>
              <w:t xml:space="preserve"> come caso diplomatico franco-italiano e rovescio della macchina (l'innocente assolto con formula piena e risarcito; la conferenza stampa dell'Abbé Pierre, Roma 22/6/1984; lo studio accademico su Matériaux 2015); la </w:t>
            </w:r>
            <w:r>
              <w:rPr>
                <w:rFonts w:ascii="Barlow Semi Condensed" w:cs="Barlow Semi Condensed" w:eastAsia="Barlow Semi Condensed" w:hAnsi="Barlow Semi Condensed"/>
                <w:b/>
                <w:bCs/>
                <w:sz w:val="20"/>
                <w:szCs w:val="20"/>
              </w:rPr>
              <w:t xml:space="preserve">dottrina Mitterrand</w:t>
            </w:r>
            <w:r>
              <w:rPr>
                <w:rFonts w:ascii="Barlow Semi Condensed" w:cs="Barlow Semi Condensed" w:eastAsia="Barlow Semi Condensed" w:hAnsi="Barlow Semi Condensed"/>
                <w:sz w:val="20"/>
                <w:szCs w:val="20"/>
              </w:rPr>
              <w:t xml:space="preserve"> (21/4/1985, 65° congresso LDH) coi suoi tre caratteri — parola mai scritta, condizioni giudicate dal protettore, scudo sull'esecuzione e non sull'accertamento; le </w:t>
            </w:r>
            <w:r>
              <w:rPr>
                <w:rFonts w:ascii="Barlow Semi Condensed" w:cs="Barlow Semi Condensed" w:eastAsia="Barlow Semi Condensed" w:hAnsi="Barlow Semi Condensed"/>
                <w:b/>
                <w:bCs/>
                <w:sz w:val="20"/>
                <w:szCs w:val="20"/>
              </w:rPr>
              <w:t xml:space="preserve">tre geografie del registro</w:t>
            </w:r>
            <w:r>
              <w:rPr>
                <w:rFonts w:ascii="Barlow Semi Condensed" w:cs="Barlow Semi Condensed" w:eastAsia="Barlow Semi Condensed" w:hAnsi="Barlow Semi Condensed"/>
                <w:sz w:val="20"/>
                <w:szCs w:val="20"/>
              </w:rPr>
              <w:t xml:space="preserve"> (Nicaragua/Casimirri, Svizzera/Lojacono, Francia come cornice) col contro-caso egiziano (Algranati, Cairo 2004); l'epilogo </w:t>
            </w:r>
            <w:r>
              <w:rPr>
                <w:rFonts w:ascii="Barlow Semi Condensed" w:cs="Barlow Semi Condensed" w:eastAsia="Barlow Semi Condensed" w:hAnsi="Barlow Semi Condensed"/>
                <w:b/>
                <w:bCs/>
                <w:sz w:val="20"/>
                <w:szCs w:val="20"/>
              </w:rPr>
              <w:t xml:space="preserve">«Ombre rosse»</w:t>
            </w:r>
            <w:r>
              <w:rPr>
                <w:rFonts w:ascii="Barlow Semi Condensed" w:cs="Barlow Semi Condensed" w:eastAsia="Barlow Semi Condensed" w:hAnsi="Barlow Semi Condensed"/>
                <w:sz w:val="20"/>
                <w:szCs w:val="20"/>
              </w:rPr>
              <w:t xml:space="preserve"> (28/4/2021, sette arresti a Parigi) e il </w:t>
            </w:r>
            <w:r>
              <w:rPr>
                <w:rFonts w:ascii="Barlow Semi Condensed" w:cs="Barlow Semi Condensed" w:eastAsia="Barlow Semi Condensed" w:hAnsi="Barlow Semi Condensed"/>
                <w:b/>
                <w:bCs/>
                <w:sz w:val="20"/>
                <w:szCs w:val="20"/>
              </w:rPr>
              <w:t xml:space="preserve">no definitivo della Cassazione francese</w:t>
            </w:r>
            <w:r>
              <w:rPr>
                <w:rFonts w:ascii="Barlow Semi Condensed" w:cs="Barlow Semi Condensed" w:eastAsia="Barlow Semi Condensed" w:hAnsi="Barlow Semi Condensed"/>
                <w:sz w:val="20"/>
                <w:szCs w:val="20"/>
              </w:rPr>
              <w:t xml:space="preserve"> (marzo 2023) — che non tocca il registro del caso Moro: nessuno dei dieci vi appartiene, e i loro nomi restano fuori. Cinque presidi: l'asilo è atto di chi lo concede; la dottrina non è prova; le sentenze non hanno passaporto, l'esecuzione sì; la geografia non è gerarchia morale; nessun nome oltre il necessario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programma-investigativo-caso-moro.md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fascicolo aperto — programma investigativo del corpus</w:t>
            </w:r>
            <w:r>
              <w:rPr>
                <w:rFonts w:ascii="Barlow Semi Condensed" w:cs="Barlow Semi Condensed" w:eastAsia="Barlow Semi Condensed" w:hAnsi="Barlow Semi Condensed"/>
                <w:sz w:val="20"/>
                <w:szCs w:val="20"/>
              </w:rPr>
              <w:t xml:space="preserve">: il cambio di metodo dallo storico all'investigatore, a regime di prova invariato (l'indagine produce atti, non colpevoli). Il quadro operativo reale verificato: il </w:t>
            </w:r>
            <w:r>
              <w:rPr>
                <w:rFonts w:ascii="Barlow Semi Condensed" w:cs="Barlow Semi Condensed" w:eastAsia="Barlow Semi Condensed" w:hAnsi="Barlow Semi Condensed"/>
                <w:b/>
                <w:bCs/>
                <w:sz w:val="20"/>
                <w:szCs w:val="20"/>
              </w:rPr>
              <w:t xml:space="preserve">fascicolo ancora aperto a Roma</w:t>
            </w:r>
            <w:r>
              <w:rPr>
                <w:rFonts w:ascii="Barlow Semi Condensed" w:cs="Barlow Semi Condensed" w:eastAsia="Barlow Semi Condensed" w:hAnsi="Barlow Semi Condensed"/>
                <w:sz w:val="20"/>
                <w:szCs w:val="20"/>
              </w:rPr>
              <w:t xml:space="preserve"> sulle «terze presenze» di via Fani (proroga del GIP; perizie balistiche; comparazioni col </w:t>
            </w:r>
            <w:r>
              <w:rPr>
                <w:rFonts w:ascii="Barlow Semi Condensed" w:cs="Barlow Semi Condensed" w:eastAsia="Barlow Semi Condensed" w:hAnsi="Barlow Semi Condensed"/>
                <w:b/>
                <w:bCs/>
                <w:sz w:val="20"/>
                <w:szCs w:val="20"/>
              </w:rPr>
              <w:t xml:space="preserve">DNA estratto nel 2016</w:t>
            </w:r>
            <w:r>
              <w:rPr>
                <w:rFonts w:ascii="Barlow Semi Condensed" w:cs="Barlow Semi Condensed" w:eastAsia="Barlow Semi Condensed" w:hAnsi="Barlow Semi Condensed"/>
                <w:sz w:val="20"/>
                <w:szCs w:val="20"/>
              </w:rPr>
              <w:t xml:space="preserve"> dai mozziconi dell'auto-sbarramento e di via Gradoli; il caricatore di via Stresa) e la </w:t>
            </w:r>
            <w:r>
              <w:rPr>
                <w:rFonts w:ascii="Barlow Semi Condensed" w:cs="Barlow Semi Condensed" w:eastAsia="Barlow Semi Condensed" w:hAnsi="Barlow Semi Condensed"/>
                <w:b/>
                <w:bCs/>
                <w:sz w:val="20"/>
                <w:szCs w:val="20"/>
              </w:rPr>
              <w:t xml:space="preserve">Direttiva Renzi</w:t>
            </w:r>
            <w:r>
              <w:rPr>
                <w:rFonts w:ascii="Barlow Semi Condensed" w:cs="Barlow Semi Condensed" w:eastAsia="Barlow Semi Condensed" w:hAnsi="Barlow Semi Condensed"/>
                <w:sz w:val="20"/>
                <w:szCs w:val="20"/>
              </w:rPr>
              <w:t xml:space="preserve"> (22/4/2014, estesa al caso Moro il 2/12/2014: ~2.000 buste da 156 uffici versate all'ACS). </w:t>
            </w:r>
            <w:r>
              <w:rPr>
                <w:rFonts w:ascii="Barlow Semi Condensed" w:cs="Barlow Semi Condensed" w:eastAsia="Barlow Semi Condensed" w:hAnsi="Barlow Semi Condensed"/>
                <w:b/>
                <w:bCs/>
                <w:sz w:val="20"/>
                <w:szCs w:val="20"/>
              </w:rPr>
              <w:t xml:space="preserve">Dieci piste in formato operativo</w:t>
            </w:r>
            <w:r>
              <w:rPr>
                <w:rFonts w:ascii="Barlow Semi Condensed" w:cs="Barlow Semi Condensed" w:eastAsia="Barlow Semi Condensed" w:hAnsi="Barlow Semi Condensed"/>
                <w:sz w:val="20"/>
                <w:szCs w:val="20"/>
              </w:rPr>
              <w:t xml:space="preserve"> (oggetto · stato · atto istruttorio · sede · rendimento · criterio di chiusura): dalle terze presenze al caricatore, dalla fonte della «seduta spiritica» allo spoglio del fondo Renzi, dai testimoni viventi (l'urgenza massima: il tempo li sta chiudendo) alla </w:t>
            </w:r>
            <w:r>
              <w:rPr>
                <w:rFonts w:ascii="Barlow Semi Condensed" w:cs="Barlow Semi Condensed" w:eastAsia="Barlow Semi Condensed" w:hAnsi="Barlow Semi Condensed"/>
                <w:b/>
                <w:bCs/>
                <w:sz w:val="20"/>
                <w:szCs w:val="20"/>
              </w:rPr>
              <w:t xml:space="preserve">rogatoria conoscitiva a Casimirri</w:t>
            </w:r>
            <w:r>
              <w:rPr>
                <w:rFonts w:ascii="Barlow Semi Condensed" w:cs="Barlow Semi Condensed" w:eastAsia="Barlow Semi Condensed" w:hAnsi="Barlow Semi Condensed"/>
                <w:sz w:val="20"/>
                <w:szCs w:val="20"/>
              </w:rPr>
              <w:t xml:space="preserve"> (l'unico partecipante identificato mai interrogato), fino agli archivi che si apriranno e al </w:t>
            </w:r>
            <w:r>
              <w:rPr>
                <w:rFonts w:ascii="Barlow Semi Condensed" w:cs="Barlow Semi Condensed" w:eastAsia="Barlow Semi Condensed" w:hAnsi="Barlow Semi Condensed"/>
                <w:b/>
                <w:bCs/>
                <w:sz w:val="20"/>
                <w:szCs w:val="20"/>
              </w:rPr>
              <w:t xml:space="preserve">vaglio negativo</w:t>
            </w:r>
            <w:r>
              <w:rPr>
                <w:rFonts w:ascii="Barlow Semi Condensed" w:cs="Barlow Semi Condensed" w:eastAsia="Barlow Semi Condensed" w:hAnsi="Barlow Semi Condensed"/>
                <w:sz w:val="20"/>
                <w:szCs w:val="20"/>
              </w:rPr>
              <w:t xml:space="preserve"> delle piste da archiviare (seconda prigione; nessi Hyperion-caso, riapribili solo per documento primario nuovo). Matrice delle priorità falsificabile; su direttiva dell'autore, il capitolo III-bis aggiunge la </w:t>
            </w:r>
            <w:r>
              <w:rPr>
                <w:rFonts w:ascii="Barlow Semi Condensed" w:cs="Barlow Semi Condensed" w:eastAsia="Barlow Semi Condensed" w:hAnsi="Barlow Semi Condensed"/>
                <w:b/>
                <w:bCs/>
                <w:sz w:val="20"/>
                <w:szCs w:val="20"/>
              </w:rPr>
              <w:t xml:space="preserve">graduatoria a punteggio (0,1-100) delle piste escluso il comparto BR e Superclan</w:t>
            </w:r>
            <w:r>
              <w:rPr>
                <w:rFonts w:ascii="Barlow Semi Condensed" w:cs="Barlow Semi Condensed" w:eastAsia="Barlow Semi Condensed" w:hAnsi="Barlow Semi Condensed"/>
                <w:sz w:val="20"/>
                <w:szCs w:val="20"/>
              </w:rPr>
              <w:t xml:space="preserve">, con modello MCDA dichiarato (cinque criteri pesati: rendimento 30%, diagnosticità ACH 25%, fattibilità 20%, urgenza 15%, indipendenza 10%) — in testa le terze presenze di via Fani (89,0), i testimoni viventi (77,5, l'unico 10 di urgenza), la fonte di «Gradoli» (74,5), il caricatore di via Stresa (71,0); le piste escluse per direttiva al punteggio di soglia 0,1 (riapribili solo per documento primario nuovo). I punteggi ordinano atti istruttori, mai persone. Il capitolo III-ter estende il metodo alle </w:t>
            </w:r>
            <w:r>
              <w:rPr>
                <w:rFonts w:ascii="Barlow Semi Condensed" w:cs="Barlow Semi Condensed" w:eastAsia="Barlow Semi Condensed" w:hAnsi="Barlow Semi Condensed"/>
                <w:b/>
                <w:bCs/>
                <w:sz w:val="20"/>
                <w:szCs w:val="20"/>
              </w:rPr>
              <w:t xml:space="preserve">entità e strutture</w:t>
            </w:r>
            <w:r>
              <w:rPr>
                <w:rFonts w:ascii="Barlow Semi Condensed" w:cs="Barlow Semi Condensed" w:eastAsia="Barlow Semi Condensed" w:hAnsi="Barlow Semi Condensed"/>
                <w:sz w:val="20"/>
                <w:szCs w:val="20"/>
              </w:rPr>
              <w:t xml:space="preserve"> (escluse BR e Superclan, alla soglia 0,1): sei piste con punteggio e fondamenti verificati — il comitato del Viminale e il censimento nominale delle appartenenze P2 (74,5; Santovito tessera 1630 e Grassini documentati; la tesi del «interamente composto» da verificare, non da ripetere), la catena di comando del 18 marzo a via Gradoli (74,5; la squadra Merola, il campanello dell'interno 11, la nota dell'informatrice Mokbel), gli assetti proprietari dello stabile (67,5; 24 appartamenti su 66 di società con fiduciari dei servizi, da relazione Moro 2), il registro delle segnalazioni dei 55 giorni (61,0), il traffico di cablo degli alleati via FOIA (59,5), la mediazione vaticana e la sorte del riscatto (54,0; Curioni, i ~10 miliardi, il finanziatore Flatto-Sharon da accertamento Moro 2). Ogni pista ha per esito un documento, non un colpevole; la responsabilità istituzionale non si trasmette alle persone; le appartenenze accertate restano fatti, non condotte. La consilienza notevole: l'evidenza discriminante indicata dall'ACH del corpus (la balistica delle due moto) è esattamente ciò su cui il fascicolo reale sta lavorando. Cinque presidi: nessun nome come esito atteso; il corpus è contribuente di metodo, non tribunale parallelo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approfondimento-piste-di-testa.md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Approfondimento delle quattro piste sopra i 70 punti</w:t>
            </w:r>
            <w:r>
              <w:rPr>
                <w:rFonts w:ascii="Barlow Semi Condensed" w:cs="Barlow Semi Condensed" w:eastAsia="Barlow Semi Condensed" w:hAnsi="Barlow Semi Condensed"/>
                <w:sz w:val="20"/>
                <w:szCs w:val="20"/>
              </w:rPr>
              <w:t xml:space="preserve">, in formato scheda da cold case, con la </w:t>
            </w:r>
            <w:r>
              <w:rPr>
                <w:rFonts w:ascii="Barlow Semi Condensed" w:cs="Barlow Semi Condensed" w:eastAsia="Barlow Semi Condensed" w:hAnsi="Barlow Semi Condensed"/>
                <w:b/>
                <w:bCs/>
                <w:sz w:val="20"/>
                <w:szCs w:val="20"/>
              </w:rPr>
              <w:t xml:space="preserve">Nota di revisione n. 1 del corpus</w:t>
            </w:r>
            <w:r>
              <w:rPr>
                <w:rFonts w:ascii="Barlow Semi Condensed" w:cs="Barlow Semi Condensed" w:eastAsia="Barlow Semi Condensed" w:hAnsi="Barlow Semi Condensed"/>
                <w:sz w:val="20"/>
                <w:szCs w:val="20"/>
              </w:rPr>
              <w:t xml:space="preserve">: la verifica ha accertato che </w:t>
            </w:r>
            <w:r>
              <w:rPr>
                <w:rFonts w:ascii="Barlow Semi Condensed" w:cs="Barlow Semi Condensed" w:eastAsia="Barlow Semi Condensed" w:hAnsi="Barlow Semi Condensed"/>
                <w:b/>
                <w:bCs/>
                <w:sz w:val="20"/>
                <w:szCs w:val="20"/>
              </w:rPr>
              <w:t xml:space="preserve">Marini ritrattò davanti alla Moro 2</w:t>
            </w:r>
            <w:r>
              <w:rPr>
                <w:rFonts w:ascii="Barlow Semi Condensed" w:cs="Barlow Semi Condensed" w:eastAsia="Barlow Semi Condensed" w:hAnsi="Barlow Semi Condensed"/>
                <w:sz w:val="20"/>
                <w:szCs w:val="20"/>
              </w:rPr>
              <w:t xml:space="preserve"> la circostanza del parabrezza infranto dai colpi (rotto da giorni, rattoppato, come da foto del mattino stesso) → la riga E2 della matrice ACH retrocessa da diagnostica a controversa, con annotazione nel documento delle metodologie: </w:t>
            </w:r>
            <w:r>
              <w:rPr>
                <w:rFonts w:ascii="Barlow Semi Condensed" w:cs="Barlow Semi Condensed" w:eastAsia="Barlow Semi Condensed" w:hAnsi="Barlow Semi Condensed"/>
                <w:i/>
                <w:iCs/>
                <w:sz w:val="20"/>
                <w:szCs w:val="20"/>
              </w:rPr>
              <w:t xml:space="preserve">a decidere sono i reperti, non i ricordi</w:t>
            </w:r>
            <w:r>
              <w:rPr>
                <w:rFonts w:ascii="Barlow Semi Condensed" w:cs="Barlow Semi Condensed" w:eastAsia="Barlow Semi Condensed" w:hAnsi="Barlow Semi Condensed"/>
                <w:sz w:val="20"/>
                <w:szCs w:val="20"/>
              </w:rPr>
              <w:t xml:space="preserve">. Le schede: </w:t>
            </w:r>
            <w:r>
              <w:rPr>
                <w:rFonts w:ascii="Barlow Semi Condensed" w:cs="Barlow Semi Condensed" w:eastAsia="Barlow Semi Condensed" w:hAnsi="Barlow Semi Condensed"/>
                <w:b/>
                <w:bCs/>
                <w:sz w:val="20"/>
                <w:szCs w:val="20"/>
              </w:rPr>
              <w:t xml:space="preserve">PN-1</w:t>
            </w:r>
            <w:r>
              <w:rPr>
                <w:rFonts w:ascii="Barlow Semi Condensed" w:cs="Barlow Semi Condensed" w:eastAsia="Barlow Semi Condensed" w:hAnsi="Barlow Semi Condensed"/>
                <w:sz w:val="20"/>
                <w:szCs w:val="20"/>
              </w:rPr>
              <w:t xml:space="preserve"> — i 91 bossoli e la divergenza peritale (ripartizione storica 49+22+5+3+8 confermata dalla perizia 2015, non confermata da Salza-Benedetti anni '90) come vero quesito, con perizia di sintesi e catena di custodia preliminare; </w:t>
            </w:r>
            <w:r>
              <w:rPr>
                <w:rFonts w:ascii="Barlow Semi Condensed" w:cs="Barlow Semi Condensed" w:eastAsia="Barlow Semi Condensed" w:hAnsi="Barlow Semi Condensed"/>
                <w:b/>
                <w:bCs/>
                <w:sz w:val="20"/>
                <w:szCs w:val="20"/>
              </w:rPr>
              <w:t xml:space="preserve">PN-7</w:t>
            </w:r>
            <w:r>
              <w:rPr>
                <w:rFonts w:ascii="Barlow Semi Condensed" w:cs="Barlow Semi Condensed" w:eastAsia="Barlow Semi Condensed" w:hAnsi="Barlow Semi Condensed"/>
                <w:sz w:val="20"/>
                <w:szCs w:val="20"/>
              </w:rPr>
              <w:t xml:space="preserve"> — la raccolta conservativa in contraddittorio documentale (il caso Marini prova che la ri-escussione serve a </w:t>
            </w:r>
            <w:r>
              <w:rPr>
                <w:rFonts w:ascii="Barlow Semi Condensed" w:cs="Barlow Semi Condensed" w:eastAsia="Barlow Semi Condensed" w:hAnsi="Barlow Semi Condensed"/>
                <w:i/>
                <w:iCs/>
                <w:sz w:val="20"/>
                <w:szCs w:val="20"/>
              </w:rPr>
              <w:t xml:space="preserve">correggere</w:t>
            </w:r>
            <w:r>
              <w:rPr>
                <w:rFonts w:ascii="Barlow Semi Condensed" w:cs="Barlow Semi Condensed" w:eastAsia="Barlow Semi Condensed" w:hAnsi="Barlow Semi Condensed"/>
                <w:sz w:val="20"/>
                <w:szCs w:val="20"/>
              </w:rPr>
              <w:t xml:space="preserve">; il caso De Chiara che il giacimento era inesplorato); </w:t>
            </w:r>
            <w:r>
              <w:rPr>
                <w:rFonts w:ascii="Barlow Semi Condensed" w:cs="Barlow Semi Condensed" w:eastAsia="Barlow Semi Condensed" w:hAnsi="Barlow Semi Condensed"/>
                <w:b/>
                <w:bCs/>
                <w:sz w:val="20"/>
                <w:szCs w:val="20"/>
              </w:rPr>
              <w:t xml:space="preserve">PN-4</w:t>
            </w:r>
            <w:r>
              <w:rPr>
                <w:rFonts w:ascii="Barlow Semi Condensed" w:cs="Barlow Semi Condensed" w:eastAsia="Barlow Semi Condensed" w:hAnsi="Barlow Semi Condensed"/>
                <w:sz w:val="20"/>
                <w:szCs w:val="20"/>
              </w:rPr>
              <w:t xml:space="preserve"> — la seduta di Zappolino (2/4/1978, dodici partecipanti concordi davanti alle autorità) e l'atto che cambia strategia: cercare la </w:t>
            </w:r>
            <w:r>
              <w:rPr>
                <w:rFonts w:ascii="Barlow Semi Condensed" w:cs="Barlow Semi Condensed" w:eastAsia="Barlow Semi Condensed" w:hAnsi="Barlow Semi Condensed"/>
                <w:b/>
                <w:bCs/>
                <w:sz w:val="20"/>
                <w:szCs w:val="20"/>
              </w:rPr>
              <w:t xml:space="preserve">catena documentale</w:t>
            </w:r>
            <w:r>
              <w:rPr>
                <w:rFonts w:ascii="Barlow Semi Condensed" w:cs="Barlow Semi Condensed" w:eastAsia="Barlow Semi Condensed" w:hAnsi="Barlow Semi Condensed"/>
                <w:sz w:val="20"/>
                <w:szCs w:val="20"/>
              </w:rPr>
              <w:t xml:space="preserve"> (verbalizzazione, ordine di perquisizione del paese di Gradoli, carteggio Viminale) e non la fonte; </w:t>
            </w:r>
            <w:r>
              <w:rPr>
                <w:rFonts w:ascii="Barlow Semi Condensed" w:cs="Barlow Semi Condensed" w:eastAsia="Barlow Semi Condensed" w:hAnsi="Barlow Semi Condensed"/>
                <w:b/>
                <w:bCs/>
                <w:sz w:val="20"/>
                <w:szCs w:val="20"/>
              </w:rPr>
              <w:t xml:space="preserve">PN-2</w:t>
            </w:r>
            <w:r>
              <w:rPr>
                <w:rFonts w:ascii="Barlow Semi Condensed" w:cs="Barlow Semi Condensed" w:eastAsia="Barlow Semi Condensed" w:hAnsi="Barlow Semi Condensed"/>
                <w:sz w:val="20"/>
                <w:szCs w:val="20"/>
              </w:rPr>
              <w:t xml:space="preserve"> — il caricatore come reperto-principe (non ritratta, non viene minacciato). Nessuna insinuazione verso alcuna persona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approfondimento-piste-entita.md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Approfondimento integrale delle sei piste su entità e strutture (PE-1…PE-6)</w:t>
            </w:r>
            <w:r>
              <w:rPr>
                <w:rFonts w:ascii="Barlow Semi Condensed" w:cs="Barlow Semi Condensed" w:eastAsia="Barlow Semi Condensed" w:hAnsi="Barlow Semi Condensed"/>
                <w:sz w:val="20"/>
                <w:szCs w:val="20"/>
              </w:rPr>
              <w:t xml:space="preserve">, in formato scheda. </w:t>
            </w:r>
            <w:r>
              <w:rPr>
                <w:rFonts w:ascii="Barlow Semi Condensed" w:cs="Barlow Semi Condensed" w:eastAsia="Barlow Semi Condensed" w:hAnsi="Barlow Semi Condensed"/>
                <w:b/>
                <w:bCs/>
                <w:sz w:val="20"/>
                <w:szCs w:val="20"/>
              </w:rPr>
              <w:t xml:space="preserve">PE-1</w:t>
            </w:r>
            <w:r>
              <w:rPr>
                <w:rFonts w:ascii="Barlow Semi Condensed" w:cs="Barlow Semi Condensed" w:eastAsia="Barlow Semi Condensed" w:hAnsi="Barlow Semi Condensed"/>
                <w:sz w:val="20"/>
                <w:szCs w:val="20"/>
              </w:rPr>
              <w:t xml:space="preserve">: la mappa documentata dei </w:t>
            </w:r>
            <w:r>
              <w:rPr>
                <w:rFonts w:ascii="Barlow Semi Condensed" w:cs="Barlow Semi Condensed" w:eastAsia="Barlow Semi Condensed" w:hAnsi="Barlow Semi Condensed"/>
                <w:b/>
                <w:bCs/>
                <w:sz w:val="20"/>
                <w:szCs w:val="20"/>
              </w:rPr>
              <w:t xml:space="preserve">tre livelli</w:t>
            </w:r>
            <w:r>
              <w:rPr>
                <w:rFonts w:ascii="Barlow Semi Condensed" w:cs="Barlow Semi Condensed" w:eastAsia="Barlow Semi Condensed" w:hAnsi="Barlow Semi Condensed"/>
                <w:sz w:val="20"/>
                <w:szCs w:val="20"/>
              </w:rPr>
              <w:t xml:space="preserve"> dei comitati del Viminale — politico-tecnico-operativo (16/3/1978, pres. Cossiga), tecnico-operativo (composizione nominale documentata), e il «comitato di esperti» informale </w:t>
            </w:r>
            <w:r>
              <w:rPr>
                <w:rFonts w:ascii="Barlow Semi Condensed" w:cs="Barlow Semi Condensed" w:eastAsia="Barlow Semi Condensed" w:hAnsi="Barlow Semi Condensed"/>
                <w:b/>
                <w:bCs/>
                <w:sz w:val="20"/>
                <w:szCs w:val="20"/>
              </w:rPr>
              <w:t xml:space="preserve">mai riunito collegialmente</w:t>
            </w:r>
            <w:r>
              <w:rPr>
                <w:rFonts w:ascii="Barlow Semi Condensed" w:cs="Barlow Semi Condensed" w:eastAsia="Barlow Semi Condensed" w:hAnsi="Barlow Semi Condensed"/>
                <w:sz w:val="20"/>
                <w:szCs w:val="20"/>
              </w:rPr>
              <w:t xml:space="preserve"> (Pieczenik, Ferracuti, Silvestri, Cappelletti…); le appartenenze P2 documentate (Santovito tessera 1630, Grassini) con la </w:t>
            </w:r>
            <w:r>
              <w:rPr>
                <w:rFonts w:ascii="Barlow Semi Condensed" w:cs="Barlow Semi Condensed" w:eastAsia="Barlow Semi Condensed" w:hAnsi="Barlow Semi Condensed"/>
                <w:b/>
                <w:bCs/>
                <w:sz w:val="20"/>
                <w:szCs w:val="20"/>
              </w:rPr>
              <w:t xml:space="preserve">divergenza sulla data di Ferracuti</w:t>
            </w:r>
            <w:r>
              <w:rPr>
                <w:rFonts w:ascii="Barlow Semi Condensed" w:cs="Barlow Semi Condensed" w:eastAsia="Barlow Semi Condensed" w:hAnsi="Barlow Semi Condensed"/>
                <w:sz w:val="20"/>
                <w:szCs w:val="20"/>
              </w:rPr>
              <w:t xml:space="preserve"> riportata e dirimibile dal censimento (elenchi con tessere e date); il dato che incrocia il cuore del corpus — la </w:t>
            </w:r>
            <w:r>
              <w:rPr>
                <w:rFonts w:ascii="Barlow Semi Condensed" w:cs="Barlow Semi Condensed" w:eastAsia="Barlow Semi Condensed" w:hAnsi="Barlow Semi Condensed"/>
                <w:b/>
                <w:bCs/>
                <w:sz w:val="20"/>
                <w:szCs w:val="20"/>
              </w:rPr>
              <w:t xml:space="preserve">qualificazione istituzionale di «inattendibilità» delle lettere di Moro</w:t>
            </w:r>
            <w:r>
              <w:rPr>
                <w:rFonts w:ascii="Barlow Semi Condensed" w:cs="Barlow Semi Condensed" w:eastAsia="Barlow Semi Condensed" w:hAnsi="Barlow Semi Condensed"/>
                <w:sz w:val="20"/>
                <w:szCs w:val="20"/>
              </w:rPr>
              <w:t xml:space="preserve"> (Ferracuti, Pieczenik: il prigioniero «fuori di sé») come atto documentato con effetti sulla fermezza, trasformato in quesito documentale; atto in quattro passi e chiusura a doppio guadagno (accertamento o caduta di una leggenda). </w:t>
            </w:r>
            <w:r>
              <w:rPr>
                <w:rFonts w:ascii="Barlow Semi Condensed" w:cs="Barlow Semi Condensed" w:eastAsia="Barlow Semi Condensed" w:hAnsi="Barlow Semi Condensed"/>
                <w:b/>
                <w:bCs/>
                <w:sz w:val="20"/>
                <w:szCs w:val="20"/>
              </w:rPr>
              <w:t xml:space="preserve">PE-3</w:t>
            </w:r>
            <w:r>
              <w:rPr>
                <w:rFonts w:ascii="Barlow Semi Condensed" w:cs="Barlow Semi Condensed" w:eastAsia="Barlow Semi Condensed" w:hAnsi="Barlow Semi Condensed"/>
                <w:sz w:val="20"/>
                <w:szCs w:val="20"/>
              </w:rPr>
              <w:t xml:space="preserve">: la sequenza integrale dei </w:t>
            </w:r>
            <w:r>
              <w:rPr>
                <w:rFonts w:ascii="Barlow Semi Condensed" w:cs="Barlow Semi Condensed" w:eastAsia="Barlow Semi Condensed" w:hAnsi="Barlow Semi Condensed"/>
                <w:b/>
                <w:bCs/>
                <w:sz w:val="20"/>
                <w:szCs w:val="20"/>
              </w:rPr>
              <w:t xml:space="preserve">trenta giorni di via Gradoli</w:t>
            </w:r>
            <w:r>
              <w:rPr>
                <w:rFonts w:ascii="Barlow Semi Condensed" w:cs="Barlow Semi Condensed" w:eastAsia="Barlow Semi Condensed" w:hAnsi="Barlow Semi Condensed"/>
                <w:sz w:val="20"/>
                <w:szCs w:val="20"/>
              </w:rPr>
              <w:t xml:space="preserve"> — la nota dell'informatrice Mokbel sui rumori, il campanello senza risposta del 18 marzo (squadra Merola, nessun ritorno), la «dimenticata chiusura del rubinetto della doccia» del verbale VVF del 18 aprile, l'affitto dal 1975 all'«ing. Borghi» (Moretti), il </w:t>
            </w:r>
            <w:r>
              <w:rPr>
                <w:rFonts w:ascii="Barlow Semi Condensed" w:cs="Barlow Semi Condensed" w:eastAsia="Barlow Semi Condensed" w:hAnsi="Barlow Semi Condensed"/>
                <w:b/>
                <w:bCs/>
                <w:sz w:val="20"/>
                <w:szCs w:val="20"/>
              </w:rPr>
              <w:t xml:space="preserve">triplo 18 aprile</w:t>
            </w:r>
            <w:r>
              <w:rPr>
                <w:rFonts w:ascii="Barlow Semi Condensed" w:cs="Barlow Semi Condensed" w:eastAsia="Barlow Semi Condensed" w:hAnsi="Barlow Semi Condensed"/>
                <w:sz w:val="20"/>
                <w:szCs w:val="20"/>
              </w:rPr>
              <w:t xml:space="preserve"> (falso comunicato n. 7 · covo · Duchessa); due quesiti ACH con evidenze discriminanti nominate (la catena protocollare della nota; </w:t>
            </w:r>
            <w:r>
              <w:rPr>
                <w:rFonts w:ascii="Barlow Semi Condensed" w:cs="Barlow Semi Condensed" w:eastAsia="Barlow Semi Condensed" w:hAnsi="Barlow Semi Condensed"/>
                <w:b/>
                <w:bCs/>
                <w:sz w:val="20"/>
                <w:szCs w:val="20"/>
              </w:rPr>
              <w:t xml:space="preserve">i rilievi fotografici originali del bagno</w:t>
            </w:r>
            <w:r>
              <w:rPr>
                <w:rFonts w:ascii="Barlow Semi Condensed" w:cs="Barlow Semi Condensed" w:eastAsia="Barlow Semi Condensed" w:hAnsi="Barlow Semi Condensed"/>
                <w:sz w:val="20"/>
                <w:szCs w:val="20"/>
              </w:rPr>
              <w:t xml:space="preserve"> per la tesi della perdita deliberata); il presidio: il sistema funzionava </w:t>
            </w:r>
            <w:r>
              <w:rPr>
                <w:rFonts w:ascii="Barlow Semi Condensed" w:cs="Barlow Semi Condensed" w:eastAsia="Barlow Semi Condensed" w:hAnsi="Barlow Semi Condensed"/>
                <w:i/>
                <w:iCs/>
                <w:sz w:val="20"/>
                <w:szCs w:val="20"/>
              </w:rPr>
              <w:t xml:space="preserve">in ingresso</w:t>
            </w:r>
            <w:r>
              <w:rPr>
                <w:rFonts w:ascii="Barlow Semi Condensed" w:cs="Barlow Semi Condensed" w:eastAsia="Barlow Semi Condensed" w:hAnsi="Barlow Semi Condensed"/>
                <w:sz w:val="20"/>
                <w:szCs w:val="20"/>
              </w:rPr>
              <w:t xml:space="preserve">, il quesito è l'</w:t>
            </w:r>
            <w:r>
              <w:rPr>
                <w:rFonts w:ascii="Barlow Semi Condensed" w:cs="Barlow Semi Condensed" w:eastAsia="Barlow Semi Condensed" w:hAnsi="Barlow Semi Condensed"/>
                <w:i/>
                <w:iCs/>
                <w:sz w:val="20"/>
                <w:szCs w:val="20"/>
              </w:rPr>
              <w:t xml:space="preserve">uscita</w:t>
            </w:r>
            <w:r>
              <w:rPr>
                <w:rFonts w:ascii="Barlow Semi Condensed" w:cs="Barlow Semi Condensed" w:eastAsia="Barlow Semi Condensed" w:hAnsi="Barlow Semi Condensed"/>
                <w:sz w:val="20"/>
                <w:szCs w:val="20"/>
              </w:rPr>
              <w:t xml:space="preserve">; la negligenza non diventa dolo per impazienza. </w:t>
            </w:r>
            <w:r>
              <w:rPr>
                <w:rFonts w:ascii="Barlow Semi Condensed" w:cs="Barlow Semi Condensed" w:eastAsia="Barlow Semi Condensed" w:hAnsi="Barlow Semi Condensed"/>
                <w:b/>
                <w:bCs/>
                <w:sz w:val="20"/>
                <w:szCs w:val="20"/>
              </w:rPr>
              <w:t xml:space="preserve">PE-2</w:t>
            </w:r>
            <w:r>
              <w:rPr>
                <w:rFonts w:ascii="Barlow Semi Condensed" w:cs="Barlow Semi Condensed" w:eastAsia="Barlow Semi Condensed" w:hAnsi="Barlow Semi Condensed"/>
                <w:sz w:val="20"/>
                <w:szCs w:val="20"/>
              </w:rPr>
              <w:t xml:space="preserve">: i due strati degli accertamenti — la relazione Moro 2 (24 appartamenti su 66 alle tre immobiliari con fiduciari dei servizi) e il </w:t>
            </w:r>
            <w:r>
              <w:rPr>
                <w:rFonts w:ascii="Barlow Semi Condensed" w:cs="Barlow Semi Condensed" w:eastAsia="Barlow Semi Condensed" w:hAnsi="Barlow Semi Condensed"/>
                <w:b/>
                <w:bCs/>
                <w:sz w:val="20"/>
                <w:szCs w:val="20"/>
              </w:rPr>
              <w:t xml:space="preserve">dibattimento di Bologna 2021</w:t>
            </w:r>
            <w:r>
              <w:rPr>
                <w:rFonts w:ascii="Barlow Semi Condensed" w:cs="Barlow Semi Condensed" w:eastAsia="Barlow Semi Condensed" w:hAnsi="Barlow Semi Condensed"/>
                <w:sz w:val="20"/>
                <w:szCs w:val="20"/>
              </w:rPr>
              <w:t xml:space="preserve"> (Catracchia amministratore unico di Caseroma e Immobiliare Gradoli, collegata alla fiduciaria SISDE </w:t>
            </w:r>
            <w:r>
              <w:rPr>
                <w:rFonts w:ascii="Barlow Semi Condensed" w:cs="Barlow Semi Condensed" w:eastAsia="Barlow Semi Condensed" w:hAnsi="Barlow Semi Condensed"/>
                <w:b/>
                <w:bCs/>
                <w:sz w:val="20"/>
                <w:szCs w:val="20"/>
              </w:rPr>
              <w:t xml:space="preserve">Fidrev</w:t>
            </w:r>
            <w:r>
              <w:rPr>
                <w:rFonts w:ascii="Barlow Semi Condensed" w:cs="Barlow Semi Condensed" w:eastAsia="Barlow Semi Condensed" w:hAnsi="Barlow Semi Condensed"/>
                <w:sz w:val="20"/>
                <w:szCs w:val="20"/>
              </w:rPr>
              <w:t xml:space="preserve">; i quattro immobili riferiti a </w:t>
            </w:r>
            <w:r>
              <w:rPr>
                <w:rFonts w:ascii="Barlow Semi Condensed" w:cs="Barlow Semi Condensed" w:eastAsia="Barlow Semi Condensed" w:hAnsi="Barlow Semi Condensed"/>
                <w:b/>
                <w:bCs/>
                <w:sz w:val="20"/>
                <w:szCs w:val="20"/>
              </w:rPr>
              <w:t xml:space="preserve">Parisi</w:t>
            </w:r>
            <w:r>
              <w:rPr>
                <w:rFonts w:ascii="Barlow Semi Condensed" w:cs="Barlow Semi Condensed" w:eastAsia="Barlow Semi Condensed" w:hAnsi="Barlow Semi Condensed"/>
                <w:sz w:val="20"/>
                <w:szCs w:val="20"/>
              </w:rPr>
              <w:t xml:space="preserve"> in via Gradoli 1979-1986 intestati a familiari, uno al civico 96; la presenza </w:t>
            </w:r>
            <w:r>
              <w:rPr>
                <w:rFonts w:ascii="Barlow Semi Condensed" w:cs="Barlow Semi Condensed" w:eastAsia="Barlow Semi Condensed" w:hAnsi="Barlow Semi Condensed"/>
                <w:b/>
                <w:bCs/>
                <w:sz w:val="20"/>
                <w:szCs w:val="20"/>
              </w:rPr>
              <w:t xml:space="preserve">NAR nel 1981</w:t>
            </w:r>
            <w:r>
              <w:rPr>
                <w:rFonts w:ascii="Barlow Semi Condensed" w:cs="Barlow Semi Condensed" w:eastAsia="Barlow Semi Condensed" w:hAnsi="Barlow Semi Condensed"/>
                <w:sz w:val="20"/>
                <w:szCs w:val="20"/>
              </w:rPr>
              <w:t xml:space="preserve">; il «non sapevamo» di Faranda come dichiarazione di parte F) — con la disciplina che decide tutto: </w:t>
            </w:r>
            <w:r>
              <w:rPr>
                <w:rFonts w:ascii="Barlow Semi Condensed" w:cs="Barlow Semi Condensed" w:eastAsia="Barlow Semi Condensed" w:hAnsi="Barlow Semi Condensed"/>
                <w:b/>
                <w:bCs/>
                <w:sz w:val="20"/>
                <w:szCs w:val="20"/>
              </w:rPr>
              <w:t xml:space="preserve">i legami documentati datano in larga parte 1979-1986, dopo il caso</w:t>
            </w:r>
            <w:r>
              <w:rPr>
                <w:rFonts w:ascii="Barlow Semi Condensed" w:cs="Barlow Semi Condensed" w:eastAsia="Barlow Semi Condensed" w:hAnsi="Barlow Semi Condensed"/>
                <w:sz w:val="20"/>
                <w:szCs w:val="20"/>
              </w:rPr>
              <w:t xml:space="preserve">, mentre la finestra del covo è 1975-1978 → quesito ACH a tre ipotesi (insediamento successivo / coabitazione coeva / coincidenza immobiliare) con </w:t>
            </w:r>
            <w:r>
              <w:rPr>
                <w:rFonts w:ascii="Barlow Semi Condensed" w:cs="Barlow Semi Condensed" w:eastAsia="Barlow Semi Condensed" w:hAnsi="Barlow Semi Condensed"/>
                <w:b/>
                <w:bCs/>
                <w:sz w:val="20"/>
                <w:szCs w:val="20"/>
              </w:rPr>
              <w:t xml:space="preserve">le date di conservatoria come unica evidenza discriminante</w:t>
            </w:r>
            <w:r>
              <w:rPr>
                <w:rFonts w:ascii="Barlow Semi Condensed" w:cs="Barlow Semi Condensed" w:eastAsia="Barlow Semi Condensed" w:hAnsi="Barlow Semi Condensed"/>
                <w:sz w:val="20"/>
                <w:szCs w:val="20"/>
              </w:rPr>
              <w:t xml:space="preserve">, e la tavola cronologica proprietà×tempo come atto che chiude in ogni direzione (l'accertamento della coabitazione, o la fine documentale di un equivoco ventennale). </w:t>
            </w:r>
            <w:r>
              <w:rPr>
                <w:rFonts w:ascii="Barlow Semi Condensed" w:cs="Barlow Semi Condensed" w:eastAsia="Barlow Semi Condensed" w:hAnsi="Barlow Semi Condensed"/>
                <w:b/>
                <w:bCs/>
                <w:sz w:val="20"/>
                <w:szCs w:val="20"/>
              </w:rPr>
              <w:t xml:space="preserve">PE-4</w:t>
            </w:r>
            <w:r>
              <w:rPr>
                <w:rFonts w:ascii="Barlow Semi Condensed" w:cs="Barlow Semi Condensed" w:eastAsia="Barlow Semi Condensed" w:hAnsi="Barlow Semi Condensed"/>
                <w:sz w:val="20"/>
                <w:szCs w:val="20"/>
              </w:rPr>
              <w:t xml:space="preserve">: il canale vaticano coi suoi due testimoni documentati — </w:t>
            </w:r>
            <w:r>
              <w:rPr>
                <w:rFonts w:ascii="Barlow Semi Condensed" w:cs="Barlow Semi Condensed" w:eastAsia="Barlow Semi Condensed" w:hAnsi="Barlow Semi Condensed"/>
                <w:b/>
                <w:bCs/>
                <w:sz w:val="20"/>
                <w:szCs w:val="20"/>
              </w:rPr>
              <w:t xml:space="preserve">Curioni</w:t>
            </w:r>
            <w:r>
              <w:rPr>
                <w:rFonts w:ascii="Barlow Semi Condensed" w:cs="Barlow Semi Condensed" w:eastAsia="Barlow Semi Condensed" w:hAnsi="Barlow Semi Condensed"/>
                <w:sz w:val="20"/>
                <w:szCs w:val="20"/>
              </w:rPr>
              <w:t xml:space="preserve"> (incaricato da Paolo VI della trattativa via riscatto; contatti coi brigatisti detenuti </w:t>
            </w:r>
            <w:r>
              <w:rPr>
                <w:rFonts w:ascii="Barlow Semi Condensed" w:cs="Barlow Semi Condensed" w:eastAsia="Barlow Semi Condensed" w:hAnsi="Barlow Semi Condensed"/>
                <w:b/>
                <w:bCs/>
                <w:sz w:val="20"/>
                <w:szCs w:val="20"/>
              </w:rPr>
              <w:t xml:space="preserve">e con un intermediario rimasto ignoto</w:t>
            </w:r>
            <w:r>
              <w:rPr>
                <w:rFonts w:ascii="Barlow Semi Condensed" w:cs="Barlow Semi Condensed" w:eastAsia="Barlow Semi Condensed" w:hAnsi="Barlow Semi Condensed"/>
                <w:sz w:val="20"/>
                <w:szCs w:val="20"/>
              </w:rPr>
              <w:t xml:space="preserve">; † 1996 senza rivelare) e </w:t>
            </w:r>
            <w:r>
              <w:rPr>
                <w:rFonts w:ascii="Barlow Semi Condensed" w:cs="Barlow Semi Condensed" w:eastAsia="Barlow Semi Condensed" w:hAnsi="Barlow Semi Condensed"/>
                <w:b/>
                <w:bCs/>
                <w:sz w:val="20"/>
                <w:szCs w:val="20"/>
              </w:rPr>
              <w:t xml:space="preserve">Fabbri</w:t>
            </w:r>
            <w:r>
              <w:rPr>
                <w:rFonts w:ascii="Barlow Semi Condensed" w:cs="Barlow Semi Condensed" w:eastAsia="Barlow Semi Condensed" w:hAnsi="Barlow Semi Condensed"/>
                <w:sz w:val="20"/>
                <w:szCs w:val="20"/>
              </w:rPr>
              <w:t xml:space="preserve"> (il riserbo rotto nel 2004 con Satta, poi l'audizione Moro 2 del 4/2/2016; il denaro mostrato dal papa sotto il panno — mazzette di dollari con </w:t>
            </w:r>
            <w:r>
              <w:rPr>
                <w:rFonts w:ascii="Barlow Semi Condensed" w:cs="Barlow Semi Condensed" w:eastAsia="Barlow Semi Condensed" w:hAnsi="Barlow Semi Condensed"/>
                <w:b/>
                <w:bCs/>
                <w:sz w:val="20"/>
                <w:szCs w:val="20"/>
              </w:rPr>
              <w:t xml:space="preserve">fascette di banca ebraica</w:t>
            </w:r>
            <w:r>
              <w:rPr>
                <w:rFonts w:ascii="Barlow Semi Condensed" w:cs="Barlow Semi Condensed" w:eastAsia="Barlow Semi Condensed" w:hAnsi="Barlow Semi Condensed"/>
                <w:sz w:val="20"/>
                <w:szCs w:val="20"/>
              </w:rPr>
              <w:t xml:space="preserve">, ~10 miliardi; </w:t>
            </w:r>
            <w:r>
              <w:rPr>
                <w:rFonts w:ascii="Barlow Semi Condensed" w:cs="Barlow Semi Condensed" w:eastAsia="Barlow Semi Condensed" w:hAnsi="Barlow Semi Condensed"/>
                <w:b/>
                <w:bCs/>
                <w:sz w:val="20"/>
                <w:szCs w:val="20"/>
              </w:rPr>
              <w:t xml:space="preserve">i nomi dei cappellani trovati nei covi BR</w:t>
            </w:r>
            <w:r>
              <w:rPr>
                <w:rFonts w:ascii="Barlow Semi Condensed" w:cs="Barlow Semi Condensed" w:eastAsia="Barlow Semi Condensed" w:hAnsi="Barlow Semi Condensed"/>
                <w:sz w:val="20"/>
                <w:szCs w:val="20"/>
              </w:rPr>
              <w:t xml:space="preserve"> col ruolo «rispettato da tutti»); il finanziatore </w:t>
            </w:r>
            <w:r>
              <w:rPr>
                <w:rFonts w:ascii="Barlow Semi Condensed" w:cs="Barlow Semi Condensed" w:eastAsia="Barlow Semi Condensed" w:hAnsi="Barlow Semi Condensed"/>
                <w:b/>
                <w:bCs/>
                <w:sz w:val="20"/>
                <w:szCs w:val="20"/>
              </w:rPr>
              <w:t xml:space="preserve">Flatto-Sharon</w:t>
            </w:r>
            <w:r>
              <w:rPr>
                <w:rFonts w:ascii="Barlow Semi Condensed" w:cs="Barlow Semi Condensed" w:eastAsia="Barlow Semi Condensed" w:hAnsi="Barlow Semi Condensed"/>
                <w:sz w:val="20"/>
                <w:szCs w:val="20"/>
              </w:rPr>
              <w:t xml:space="preserve"> da accertamento Moro 2; la </w:t>
            </w:r>
            <w:r>
              <w:rPr>
                <w:rFonts w:ascii="Barlow Semi Condensed" w:cs="Barlow Semi Condensed" w:eastAsia="Barlow Semi Condensed" w:hAnsi="Barlow Semi Condensed"/>
                <w:b/>
                <w:bCs/>
                <w:sz w:val="20"/>
                <w:szCs w:val="20"/>
              </w:rPr>
              <w:t xml:space="preserve">filologia della lettera</w:t>
            </w:r>
            <w:r>
              <w:rPr>
                <w:rFonts w:ascii="Barlow Semi Condensed" w:cs="Barlow Semi Condensed" w:eastAsia="Barlow Semi Condensed" w:hAnsi="Barlow Semi Condensed"/>
                <w:sz w:val="20"/>
                <w:szCs w:val="20"/>
              </w:rPr>
              <w:t xml:space="preserve"> del 21-22 aprile (la stesura «senza alcuna imbarazzante condizione» corretta in «senza condizioni» sotto dettatura di </w:t>
            </w:r>
            <w:r>
              <w:rPr>
                <w:rFonts w:ascii="Barlow Semi Condensed" w:cs="Barlow Semi Condensed" w:eastAsia="Barlow Semi Condensed" w:hAnsi="Barlow Semi Condensed"/>
                <w:b/>
                <w:bCs/>
                <w:sz w:val="20"/>
                <w:szCs w:val="20"/>
              </w:rPr>
              <w:t xml:space="preserve">Macchi</w:t>
            </w:r>
            <w:r>
              <w:rPr>
                <w:rFonts w:ascii="Barlow Semi Condensed" w:cs="Barlow Semi Condensed" w:eastAsia="Barlow Semi Condensed" w:hAnsi="Barlow Semi Condensed"/>
                <w:sz w:val="20"/>
                <w:szCs w:val="20"/>
              </w:rPr>
              <w:t xml:space="preserve"> — dato B, l'intenzione resta C) e il </w:t>
            </w:r>
            <w:r>
              <w:rPr>
                <w:rFonts w:ascii="Barlow Semi Condensed" w:cs="Barlow Semi Condensed" w:eastAsia="Barlow Semi Condensed" w:hAnsi="Barlow Semi Condensed"/>
                <w:b/>
                <w:bCs/>
                <w:sz w:val="20"/>
                <w:szCs w:val="20"/>
              </w:rPr>
              <w:t xml:space="preserve">doppio binario documentato</w:t>
            </w:r>
            <w:r>
              <w:rPr>
                <w:rFonts w:ascii="Barlow Semi Condensed" w:cs="Barlow Semi Condensed" w:eastAsia="Barlow Semi Condensed" w:hAnsi="Barlow Semi Condensed"/>
                <w:sz w:val="20"/>
                <w:szCs w:val="20"/>
              </w:rPr>
              <w:t xml:space="preserve"> (l'appello pubblico e il canale riservato come due strumenti della stessa volontà, non doppiezza); tre quesiti ACH (l'intermediario ignoto, con </w:t>
            </w:r>
            <w:r>
              <w:rPr>
                <w:rFonts w:ascii="Barlow Semi Condensed" w:cs="Barlow Semi Condensed" w:eastAsia="Barlow Semi Condensed" w:hAnsi="Barlow Semi Condensed"/>
                <w:b/>
                <w:bCs/>
                <w:sz w:val="20"/>
                <w:szCs w:val="20"/>
              </w:rPr>
              <w:t xml:space="preserve">i verbali di perquisizione dei covi</w:t>
            </w:r>
            <w:r>
              <w:rPr>
                <w:rFonts w:ascii="Barlow Semi Condensed" w:cs="Barlow Semi Condensed" w:eastAsia="Barlow Semi Condensed" w:hAnsi="Barlow Semi Condensed"/>
                <w:sz w:val="20"/>
                <w:szCs w:val="20"/>
              </w:rPr>
              <w:t xml:space="preserve"> come atto già esistente; la sorte del denaro, con le fascette come identificativo; l'edizione critica delle stesure); atto in quattro passi fino all'apertura dell'AAV. </w:t>
            </w:r>
            <w:r>
              <w:rPr>
                <w:rFonts w:ascii="Barlow Semi Condensed" w:cs="Barlow Semi Condensed" w:eastAsia="Barlow Semi Condensed" w:hAnsi="Barlow Semi Condensed"/>
                <w:b/>
                <w:bCs/>
                <w:sz w:val="20"/>
                <w:szCs w:val="20"/>
              </w:rPr>
              <w:t xml:space="preserve">PE-5</w:t>
            </w:r>
            <w:r>
              <w:rPr>
                <w:rFonts w:ascii="Barlow Semi Condensed" w:cs="Barlow Semi Condensed" w:eastAsia="Barlow Semi Condensed" w:hAnsi="Barlow Semi Condensed"/>
                <w:sz w:val="20"/>
                <w:szCs w:val="20"/>
              </w:rPr>
              <w:t xml:space="preserve">: il punto di partenza è un </w:t>
            </w:r>
            <w:r>
              <w:rPr>
                <w:rFonts w:ascii="Barlow Semi Condensed" w:cs="Barlow Semi Condensed" w:eastAsia="Barlow Semi Condensed" w:hAnsi="Barlow Semi Condensed"/>
                <w:b/>
                <w:bCs/>
                <w:sz w:val="20"/>
                <w:szCs w:val="20"/>
              </w:rPr>
              <w:t xml:space="preserve">reperto interno al corpus</w:t>
            </w:r>
            <w:r>
              <w:rPr>
                <w:rFonts w:ascii="Barlow Semi Condensed" w:cs="Barlow Semi Condensed" w:eastAsia="Barlow Semi Condensed" w:hAnsi="Barlow Semi Condensed"/>
                <w:sz w:val="20"/>
                <w:szCs w:val="20"/>
              </w:rPr>
              <w:t xml:space="preserve"> — il lotto State Dept della cartella Farnesina è un prodotto FOIA identificato (caso </w:t>
            </w:r>
            <w:r>
              <w:rPr>
                <w:rFonts w:ascii="Barlow Semi Condensed" w:cs="Barlow Semi Condensed" w:eastAsia="Barlow Semi Condensed" w:hAnsi="Barlow Semi Condensed"/>
                <w:b/>
                <w:bCs/>
                <w:sz w:val="20"/>
                <w:szCs w:val="20"/>
              </w:rPr>
              <w:t xml:space="preserve">R-2021-002xx</w:t>
            </w:r>
            <w:r>
              <w:rPr>
                <w:rFonts w:ascii="Barlow Semi Condensed" w:cs="Barlow Semi Condensed" w:eastAsia="Barlow Semi Condensed" w:hAnsi="Barlow Semi Condensed"/>
                <w:sz w:val="20"/>
                <w:szCs w:val="20"/>
              </w:rPr>
              <w:t xml:space="preserve">, lettura OCR fra 00202 e 00208 dichiarata; numeri di controllo B-00001939965…989; TAGS </w:t>
            </w:r>
            <w:r>
              <w:rPr>
                <w:rFonts w:ascii="Barlow Semi Condensed" w:cs="Barlow Semi Condensed" w:eastAsia="Barlow Semi Condensed" w:hAnsi="Barlow Semi Condensed"/>
                <w:i/>
                <w:iCs/>
                <w:sz w:val="20"/>
                <w:szCs w:val="20"/>
              </w:rPr>
              <w:t xml:space="preserve">PINT, IT</w:t>
            </w:r>
            <w:r>
              <w:rPr>
                <w:rFonts w:ascii="Barlow Semi Condensed" w:cs="Barlow Semi Condensed" w:eastAsia="Barlow Semi Condensed" w:hAnsi="Barlow Semi Condensed"/>
                <w:sz w:val="20"/>
                <w:szCs w:val="20"/>
              </w:rPr>
              <w:t xml:space="preserve">) — da cui i due giacimenti: </w:t>
            </w:r>
            <w:r>
              <w:rPr>
                <w:rFonts w:ascii="Barlow Semi Condensed" w:cs="Barlow Semi Condensed" w:eastAsia="Barlow Semi Condensed" w:hAnsi="Barlow Semi Condensed"/>
                <w:b/>
                <w:bCs/>
                <w:sz w:val="20"/>
                <w:szCs w:val="20"/>
              </w:rPr>
              <w:t xml:space="preserve">NARA AAD</w:t>
            </w:r>
            <w:r>
              <w:rPr>
                <w:rFonts w:ascii="Barlow Semi Condensed" w:cs="Barlow Semi Condensed" w:eastAsia="Barlow Semi Condensed" w:hAnsi="Barlow Semi Condensed"/>
                <w:sz w:val="20"/>
                <w:szCs w:val="20"/>
              </w:rPr>
              <w:t xml:space="preserve"> (telegrammi 1973-79 interrogabili online, e le </w:t>
            </w:r>
            <w:r>
              <w:rPr>
                <w:rFonts w:ascii="Barlow Semi Condensed" w:cs="Barlow Semi Condensed" w:eastAsia="Barlow Semi Condensed" w:hAnsi="Barlow Semi Condensed"/>
                <w:b/>
                <w:bCs/>
                <w:sz w:val="20"/>
                <w:szCs w:val="20"/>
              </w:rPr>
              <w:t xml:space="preserve">withdrawal cards 1978</w:t>
            </w:r>
            <w:r>
              <w:rPr>
                <w:rFonts w:ascii="Barlow Semi Condensed" w:cs="Barlow Semi Condensed" w:eastAsia="Barlow Semi Condensed" w:hAnsi="Barlow Semi Condensed"/>
                <w:sz w:val="20"/>
                <w:szCs w:val="20"/>
              </w:rPr>
              <w:t xml:space="preserve"> come censimento pubblico del trattenuto: la dietrologia specula sul non rilasciato, le schede lo </w:t>
            </w:r>
            <w:r>
              <w:rPr>
                <w:rFonts w:ascii="Barlow Semi Condensed" w:cs="Barlow Semi Condensed" w:eastAsia="Barlow Semi Condensed" w:hAnsi="Barlow Semi Condensed"/>
                <w:i/>
                <w:iCs/>
                <w:sz w:val="20"/>
                <w:szCs w:val="20"/>
              </w:rPr>
              <w:t xml:space="preserve">contano</w:t>
            </w:r>
            <w:r>
              <w:rPr>
                <w:rFonts w:ascii="Barlow Semi Condensed" w:cs="Barlow Semi Condensed" w:eastAsia="Barlow Semi Condensed" w:hAnsi="Barlow Semi Condensed"/>
                <w:sz w:val="20"/>
                <w:szCs w:val="20"/>
              </w:rPr>
              <w:t xml:space="preserve">) e la FOIA Library; il nodo della </w:t>
            </w:r>
            <w:r>
              <w:rPr>
                <w:rFonts w:ascii="Barlow Semi Condensed" w:cs="Barlow Semi Condensed" w:eastAsia="Barlow Semi Condensed" w:hAnsi="Barlow Semi Condensed"/>
                <w:b/>
                <w:bCs/>
                <w:sz w:val="20"/>
                <w:szCs w:val="20"/>
              </w:rPr>
              <w:t xml:space="preserve">regola dell'originatore</w:t>
            </w:r>
            <w:r>
              <w:rPr>
                <w:rFonts w:ascii="Barlow Semi Condensed" w:cs="Barlow Semi Condensed" w:eastAsia="Barlow Semi Condensed" w:hAnsi="Barlow Semi Condensed"/>
                <w:sz w:val="20"/>
                <w:szCs w:val="20"/>
              </w:rPr>
              <w:t xml:space="preserve"> per gli atti di origine alleata custoditi in Italia (cifra dei ~474 riferita, col suo grado), che salda la pista alla dimensione diplomatica; tre quesiti enumerativi e l'atto in quattro passi fino alla </w:t>
            </w:r>
            <w:r>
              <w:rPr>
                <w:rFonts w:ascii="Barlow Semi Condensed" w:cs="Barlow Semi Condensed" w:eastAsia="Barlow Semi Condensed" w:hAnsi="Barlow Semi Condensed"/>
                <w:b/>
                <w:bCs/>
                <w:sz w:val="20"/>
                <w:szCs w:val="20"/>
              </w:rPr>
              <w:t xml:space="preserve">tavola rilasciato/trattenuto/origine-alleata</w:t>
            </w:r>
            <w:r>
              <w:rPr>
                <w:rFonts w:ascii="Barlow Semi Condensed" w:cs="Barlow Semi Condensed" w:eastAsia="Barlow Semi Condensed" w:hAnsi="Barlow Semi Condensed"/>
                <w:sz w:val="20"/>
                <w:szCs w:val="20"/>
              </w:rPr>
              <w:t xml:space="preserve"> del traffico dei 55 giorni, che oggi non esiste in nessuna pubblicazione. In regime FOIA anche il diniego è un documento: qualunque esito, la pista produce carte. </w:t>
            </w:r>
            <w:r>
              <w:rPr>
                <w:rFonts w:ascii="Barlow Semi Condensed" w:cs="Barlow Semi Condensed" w:eastAsia="Barlow Semi Condensed" w:hAnsi="Barlow Semi Condensed"/>
                <w:b/>
                <w:bCs/>
                <w:sz w:val="20"/>
                <w:szCs w:val="20"/>
              </w:rPr>
              <w:t xml:space="preserve">PE-6</w:t>
            </w:r>
            <w:r>
              <w:rPr>
                <w:rFonts w:ascii="Barlow Semi Condensed" w:cs="Barlow Semi Condensed" w:eastAsia="Barlow Semi Condensed" w:hAnsi="Barlow Semi Condensed"/>
                <w:sz w:val="20"/>
                <w:szCs w:val="20"/>
              </w:rPr>
              <w:t xml:space="preserve">: la macchina delle ricerche </w:t>
            </w:r>
            <w:r>
              <w:rPr>
                <w:rFonts w:ascii="Barlow Semi Condensed" w:cs="Barlow Semi Condensed" w:eastAsia="Barlow Semi Condensed" w:hAnsi="Barlow Semi Condensed"/>
                <w:b/>
                <w:bCs/>
                <w:sz w:val="20"/>
                <w:szCs w:val="20"/>
              </w:rPr>
              <w:t xml:space="preserve">misurata a metà</w:t>
            </w:r>
            <w:r>
              <w:rPr>
                <w:rFonts w:ascii="Barlow Semi Condensed" w:cs="Barlow Semi Condensed" w:eastAsia="Barlow Semi Condensed" w:hAnsi="Barlow Semi Condensed"/>
                <w:sz w:val="20"/>
                <w:szCs w:val="20"/>
              </w:rPr>
              <w:t xml:space="preserve"> — le quattro colonne d'uscita sono celebri e verificate (72.460 posti di blocco, 37.702 perquisizioni, 6.413.713 persone controllate, 3.383.123 veicoli, con lo scorporo romano e la divergenza di lettura dichiarata), ma </w:t>
            </w:r>
            <w:r>
              <w:rPr>
                <w:rFonts w:ascii="Barlow Semi Condensed" w:cs="Barlow Semi Condensed" w:eastAsia="Barlow Semi Condensed" w:hAnsi="Barlow Semi Condensed"/>
                <w:b/>
                <w:bCs/>
                <w:sz w:val="20"/>
                <w:szCs w:val="20"/>
              </w:rPr>
              <w:t xml:space="preserve">la colonna d'ingresso — le segnalazioni — non ha una cifra canonica in quarantott'anni</w:t>
            </w:r>
            <w:r>
              <w:rPr>
                <w:rFonts w:ascii="Barlow Semi Condensed" w:cs="Barlow Semi Condensed" w:eastAsia="Barlow Semi Condensed" w:hAnsi="Barlow Semi Condensed"/>
                <w:sz w:val="20"/>
                <w:szCs w:val="20"/>
              </w:rPr>
              <w:t xml:space="preserve">; i tre campioni documentati del flusso (la nota Mokbel: ingresso riuscito, uscita fallita; Zappolino: smistamento alla lettera, al </w:t>
            </w:r>
            <w:r>
              <w:rPr>
                <w:rFonts w:ascii="Barlow Semi Condensed" w:cs="Barlow Semi Condensed" w:eastAsia="Barlow Semi Condensed" w:hAnsi="Barlow Semi Condensed"/>
                <w:i/>
                <w:iCs/>
                <w:sz w:val="20"/>
                <w:szCs w:val="20"/>
              </w:rPr>
              <w:t xml:space="preserve">paese</w:t>
            </w:r>
            <w:r>
              <w:rPr>
                <w:rFonts w:ascii="Barlow Semi Condensed" w:cs="Barlow Semi Condensed" w:eastAsia="Barlow Semi Condensed" w:hAnsi="Barlow Semi Condensed"/>
                <w:sz w:val="20"/>
                <w:szCs w:val="20"/>
              </w:rPr>
              <w:t xml:space="preserve"> di Gradoli; e </w:t>
            </w:r>
            <w:r>
              <w:rPr>
                <w:rFonts w:ascii="Barlow Semi Condensed" w:cs="Barlow Semi Condensed" w:eastAsia="Barlow Semi Condensed" w:hAnsi="Barlow Semi Condensed"/>
                <w:b/>
                <w:bCs/>
                <w:sz w:val="20"/>
                <w:szCs w:val="20"/>
              </w:rPr>
              <w:t xml:space="preserve">l'osservazione UCIGOS su via Montalcini 8, estate-ottobre 1978, non riferita alla magistratura per due anni</w:t>
            </w:r>
            <w:r>
              <w:rPr>
                <w:rFonts w:ascii="Barlow Semi Condensed" w:cs="Barlow Semi Condensed" w:eastAsia="Barlow Semi Condensed" w:hAnsi="Barlow Semi Condensed"/>
                <w:sz w:val="20"/>
                <w:szCs w:val="20"/>
              </w:rPr>
              <w:t xml:space="preserve"> — il segmento più grave, verso l'AG); il quesito come </w:t>
            </w:r>
            <w:r>
              <w:rPr>
                <w:rFonts w:ascii="Barlow Semi Condensed" w:cs="Barlow Semi Condensed" w:eastAsia="Barlow Semi Condensed" w:hAnsi="Barlow Semi Condensed"/>
                <w:b/>
                <w:bCs/>
                <w:sz w:val="20"/>
                <w:szCs w:val="20"/>
              </w:rPr>
              <w:t xml:space="preserve">verifica empirica dell'accertamento Anselmi</w:t>
            </w:r>
            <w:r>
              <w:rPr>
                <w:rFonts w:ascii="Barlow Semi Condensed" w:cs="Barlow Semi Condensed" w:eastAsia="Barlow Semi Condensed" w:hAnsi="Barlow Semi Condensed"/>
                <w:sz w:val="20"/>
                <w:szCs w:val="20"/>
              </w:rPr>
              <w:t xml:space="preserve"> — H1 collo di bottiglia da diluvio vs H2 filtro sistematico, con la </w:t>
            </w:r>
            <w:r>
              <w:rPr>
                <w:rFonts w:ascii="Barlow Semi Condensed" w:cs="Barlow Semi Condensed" w:eastAsia="Barlow Semi Condensed" w:hAnsi="Barlow Semi Condensed"/>
                <w:b/>
                <w:bCs/>
                <w:sz w:val="20"/>
                <w:szCs w:val="20"/>
              </w:rPr>
              <w:t xml:space="preserve">distribuzione delle interruzioni per segmento</w:t>
            </w:r>
            <w:r>
              <w:rPr>
                <w:rFonts w:ascii="Barlow Semi Condensed" w:cs="Barlow Semi Condensed" w:eastAsia="Barlow Semi Condensed" w:hAnsi="Barlow Semi Condensed"/>
                <w:sz w:val="20"/>
                <w:szCs w:val="20"/>
              </w:rPr>
              <w:t xml:space="preserve"> come evidenza discriminante che solo il registro può dare; l'atto in quattro passi (protocolli d'ingresso nei versamenti del Viminale; criteri di smistamento; tavola degli esiti; il registro delle mancate trasmissioni all'AG) fino alla </w:t>
            </w:r>
            <w:r>
              <w:rPr>
                <w:rFonts w:ascii="Barlow Semi Condensed" w:cs="Barlow Semi Condensed" w:eastAsia="Barlow Semi Condensed" w:hAnsi="Barlow Semi Condensed"/>
                <w:b/>
                <w:bCs/>
                <w:sz w:val="20"/>
                <w:szCs w:val="20"/>
              </w:rPr>
              <w:t xml:space="preserve">statistica documentale del tasso di seguito</w:t>
            </w:r>
            <w:r>
              <w:rPr>
                <w:rFonts w:ascii="Barlow Semi Condensed" w:cs="Barlow Semi Condensed" w:eastAsia="Barlow Semi Condensed" w:hAnsi="Barlow Semi Condensed"/>
                <w:sz w:val="20"/>
                <w:szCs w:val="20"/>
              </w:rPr>
              <w:t xml:space="preserve"> — l'ultima tavola che manca alla contabilità dei 55 giorni. Il registro è duale: misura le omissioni e insieme riabilita chi lavorò bene nel diluvio. Un protocollo, per definizione, o c'è — o la sua assenza è il dato. La lezione comune: il quesito non è mai «chi è colpevole» ma «dove sono le carte di un procedimento che esiste per definizione» — e l'assenza del documento dovuto è essa stessa una risposta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manuale-investigativo-nuovo-caso-moro.md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MANUALE TITANICO — seconda edizione accresciuta: come dovrebbero svolgersi le attività investigative per il nuovo Caso Moro, in 400 blocchi mirati</w:t>
            </w:r>
            <w:r>
              <w:rPr>
                <w:rFonts w:ascii="Barlow Semi Condensed" w:cs="Barlow Semi Condensed" w:eastAsia="Barlow Semi Condensed" w:hAnsi="Barlow Semi Condensed"/>
                <w:sz w:val="20"/>
                <w:szCs w:val="20"/>
              </w:rPr>
              <w:t xml:space="preserve"> (verificati: 400 esatti, numerazione continua 1-400, ~15.600 parole), ordinati in </w:t>
            </w:r>
            <w:r>
              <w:rPr>
                <w:rFonts w:ascii="Barlow Semi Condensed" w:cs="Barlow Semi Condensed" w:eastAsia="Barlow Semi Condensed" w:hAnsi="Barlow Semi Condensed"/>
                <w:b/>
                <w:bCs/>
                <w:sz w:val="20"/>
                <w:szCs w:val="20"/>
              </w:rPr>
              <w:t xml:space="preserve">quindici serie con statuto</w:t>
            </w:r>
            <w:r>
              <w:rPr>
                <w:rFonts w:ascii="Barlow Semi Condensed" w:cs="Barlow Semi Condensed" w:eastAsia="Barlow Semi Condensed" w:hAnsi="Barlow Semi Condensed"/>
                <w:sz w:val="20"/>
                <w:szCs w:val="20"/>
              </w:rPr>
              <w:t xml:space="preserve"> sull'architettura del Dossier maggiore: i principi costitutivi (1-20, la costituzione dell'indagine); l'architettura organizzativa (21-45, i tre cantieri — giudiziario, archivistico, conservativo — col custode del metodo); i reperti e le scienze forensi (46-90: catena di custodia retrospettiva, i 91 bossoli col quesito unico in tre rami, il caricatore come reperto-principe, i profili DNA 2016, il bagno di Gradoli, il falso della Duchessa, doppio cieco e replica, l'indecidibilità come esito nobile); gli archivi (91-140: il progetto di spoglio del fondo Renzi, i micro-fondi dovuti — Flaminio Nuovo, nota Mokbel, VVF, dossier Montalcini, comitati con gli elenchi P2 datati, conservatoria di via Gradoli, NARA/withdrawal cards, FOIA R-2021-002xx, istanza pronta per l'AAV, la diplomatica del Novecento); le persone (141-170: la raccolta conservativa a scadenza biologica, il contraddittorio documentale, la rogatoria conoscitiva, la deposizione sigillata); i quesiti in forma ACH (171-210: dieci matrici complete con ipotesi, evidenza discriminante, chiusura ed errore, più la meta-matrice); il progetto esecutivo del registro delle segnalazioni (211-235: schema-dati, quattro segmenti, metriche, il test Anselmi); il versante internazionale (236-250); </w:t>
            </w:r>
            <w:r>
              <w:rPr>
                <w:rFonts w:ascii="Barlow Semi Condensed" w:cs="Barlow Semi Condensed" w:eastAsia="Barlow Semi Condensed" w:hAnsi="Barlow Semi Condensed"/>
                <w:b/>
                <w:bCs/>
                <w:sz w:val="20"/>
                <w:szCs w:val="20"/>
              </w:rPr>
              <w:t xml:space="preserve">gli errori storici coi loro antidoti</w:t>
            </w:r>
            <w:r>
              <w:rPr>
                <w:rFonts w:ascii="Barlow Semi Condensed" w:cs="Barlow Semi Condensed" w:eastAsia="Barlow Semi Condensed" w:hAnsi="Barlow Semi Condensed"/>
                <w:sz w:val="20"/>
                <w:szCs w:val="20"/>
              </w:rPr>
              <w:t xml:space="preserve"> (251-280: trenta errori catalogati, dall'errore della lettera al «fu assolto, ma», fino all'errore di corpus con la Nota di revisione come prova); il cronoprogramma (281-300: i primi novanta giorni, le dipendenze, le condizioni d'arresto, la misura del successo in carte e non in colpevoli); e le cinque serie della seconda edizione — </w:t>
            </w:r>
            <w:r>
              <w:rPr>
                <w:rFonts w:ascii="Barlow Semi Condensed" w:cs="Barlow Semi Condensed" w:eastAsia="Barlow Semi Condensed" w:hAnsi="Barlow Semi Condensed"/>
                <w:b/>
                <w:bCs/>
                <w:sz w:val="20"/>
                <w:szCs w:val="20"/>
              </w:rPr>
              <w:t xml:space="preserve">il cantiere digitale</w:t>
            </w:r>
            <w:r>
              <w:rPr>
                <w:rFonts w:ascii="Barlow Semi Condensed" w:cs="Barlow Semi Condensed" w:eastAsia="Barlow Semi Condensed" w:hAnsi="Barlow Semi Condensed"/>
                <w:sz w:val="20"/>
                <w:szCs w:val="20"/>
              </w:rPr>
              <w:t xml:space="preserve"> (301-330: banca dati unica, grafo operativo, la macchina che propone e l'uomo che verbalizza, il divieto di generazione probatoria, riproducibilità come grado, il lascito digitale agli archivi nazionali), </w:t>
            </w:r>
            <w:r>
              <w:rPr>
                <w:rFonts w:ascii="Barlow Semi Condensed" w:cs="Barlow Semi Condensed" w:eastAsia="Barlow Semi Condensed" w:hAnsi="Barlow Semi Condensed"/>
                <w:b/>
                <w:bCs/>
                <w:sz w:val="20"/>
                <w:szCs w:val="20"/>
              </w:rPr>
              <w:t xml:space="preserve">gli strumenti giuridici</w:t>
            </w:r>
            <w:r>
              <w:rPr>
                <w:rFonts w:ascii="Barlow Semi Condensed" w:cs="Barlow Semi Condensed" w:eastAsia="Barlow Semi Condensed" w:hAnsi="Barlow Semi Condensed"/>
                <w:sz w:val="20"/>
                <w:szCs w:val="20"/>
              </w:rPr>
              <w:t xml:space="preserve"> (331-355: l'imprescrittibilità come fondamento, l'incidente probatorio per i testimoni fragili, il segreto di Stato coi suoi termini e il limite costituzionale, la disciplina archivistica come calendario e non mistero, i vincoli sui fondi a rischio), </w:t>
            </w:r>
            <w:r>
              <w:rPr>
                <w:rFonts w:ascii="Barlow Semi Condensed" w:cs="Barlow Semi Condensed" w:eastAsia="Barlow Semi Condensed" w:hAnsi="Barlow Semi Condensed"/>
                <w:b/>
                <w:bCs/>
                <w:sz w:val="20"/>
                <w:szCs w:val="20"/>
              </w:rPr>
              <w:t xml:space="preserve">il controllo di qualità e i bias</w:t>
            </w:r>
            <w:r>
              <w:rPr>
                <w:rFonts w:ascii="Barlow Semi Condensed" w:cs="Barlow Semi Condensed" w:eastAsia="Barlow Semi Condensed" w:hAnsi="Barlow Semi Condensed"/>
                <w:sz w:val="20"/>
                <w:szCs w:val="20"/>
              </w:rPr>
              <w:t xml:space="preserve"> (356-375: red team, avvocato del diavolo di matrice, dieci bias cognitivi con antidoti procedurali, audit esterno pubblico, il registro dei quasi-errori), </w:t>
            </w:r>
            <w:r>
              <w:rPr>
                <w:rFonts w:ascii="Barlow Semi Condensed" w:cs="Barlow Semi Condensed" w:eastAsia="Barlow Semi Condensed" w:hAnsi="Barlow Semi Condensed"/>
                <w:b/>
                <w:bCs/>
                <w:sz w:val="20"/>
                <w:szCs w:val="20"/>
              </w:rPr>
              <w:t xml:space="preserve">il raccordo esecutivo per pista</w:t>
            </w:r>
            <w:r>
              <w:rPr>
                <w:rFonts w:ascii="Barlow Semi Condensed" w:cs="Barlow Semi Condensed" w:eastAsia="Barlow Semi Condensed" w:hAnsi="Barlow Semi Condensed"/>
                <w:sz w:val="20"/>
                <w:szCs w:val="20"/>
              </w:rPr>
              <w:t xml:space="preserve"> (376-391: le sedici piste vive in blocchi cantiere-atti-evidenza, con la meta-tavola), </w:t>
            </w:r>
            <w:r>
              <w:rPr>
                <w:rFonts w:ascii="Barlow Semi Condensed" w:cs="Barlow Semi Condensed" w:eastAsia="Barlow Semi Condensed" w:hAnsi="Barlow Semi Condensed"/>
                <w:b/>
                <w:bCs/>
                <w:sz w:val="20"/>
                <w:szCs w:val="20"/>
              </w:rPr>
              <w:t xml:space="preserve">le contingenze</w:t>
            </w:r>
            <w:r>
              <w:rPr>
                <w:rFonts w:ascii="Barlow Semi Condensed" w:cs="Barlow Semi Condensed" w:eastAsia="Barlow Semi Condensed" w:hAnsi="Barlow Semi Condensed"/>
                <w:sz w:val="20"/>
                <w:szCs w:val="20"/>
              </w:rPr>
              <w:t xml:space="preserve"> (392-400: nove scenari col protocollo già scritto — dal profilo ignoto alla tesi virale, dall'archiviazione giudiziaria all'apertura improvvisa di un archivio — fino al blocco 400: un manuale d'indagine invecchia in un solo modo onorevole, venendo eseguito).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agenda-di-ricerca-del-nuovo-caso-moro.md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L'AGENDA DI RICERCA TITANICA — il gemello del manuale: che cosa cercare e dove, in 300 blocchi mirati di ricerca</w:t>
            </w:r>
            <w:r>
              <w:rPr>
                <w:rFonts w:ascii="Barlow Semi Condensed" w:cs="Barlow Semi Condensed" w:eastAsia="Barlow Semi Condensed" w:hAnsi="Barlow Semi Condensed"/>
                <w:sz w:val="20"/>
                <w:szCs w:val="20"/>
              </w:rPr>
              <w:t xml:space="preserve"> (verificati: 300 esatti, numerazione continua 1-300, ~18.000 parole), in </w:t>
            </w:r>
            <w:r>
              <w:rPr>
                <w:rFonts w:ascii="Barlow Semi Condensed" w:cs="Barlow Semi Condensed" w:eastAsia="Barlow Semi Condensed" w:hAnsi="Barlow Semi Condensed"/>
                <w:b/>
                <w:bCs/>
                <w:sz w:val="20"/>
                <w:szCs w:val="20"/>
              </w:rPr>
              <w:t xml:space="preserve">dodici serie con statuto</w:t>
            </w:r>
            <w:r>
              <w:rPr>
                <w:rFonts w:ascii="Barlow Semi Condensed" w:cs="Barlow Semi Condensed" w:eastAsia="Barlow Semi Condensed" w:hAnsi="Barlow Semi Condensed"/>
                <w:sz w:val="20"/>
                <w:szCs w:val="20"/>
              </w:rPr>
              <w:t xml:space="preserve">: i quesiti costitutivi (1-15, le quindici domande madri con evidenza attesa); il giacimento della Direttiva (16-45: la raccolta speciale ACS «Sequestro e uccisione dell'on. Aldo Moro», la sequenza Prodi 2008-Renzi 2014 verificata, il piano di spoglio delle ~2.000 buste con doppio controllo, il portale della Rete, l'Archivio Flamigni, conservatoria e catasto, il calendario delle declassifiche); gli archivi parlamentari (46-70: il fondo Moro 2 alla Camera con le ~20.000 pagine desecretate e il portale delle inchieste, la perizia balistica 2015 della Polizia scientifica dall'audizione del 10/6/2015, i fondi Moro 1 e Stragi al Senato, le declassifiche per DPS, gli indici unici di perizie e audizioni, «la stessa domanda tre volte»); i reperti da reinterrogare (71-100: i 91 bossoli in ricomparazione integrale, il DNA 2016, il caricatore, l'anagrafe delle Honda, gli abiti con la perizia Lombardi-Giacomini 1978 e il poligono dei luoghi, i negativi e i fuori onda, il borsello Chichiarelli con l'attribuzione istruttoria mai giudicata, lo schedario unico delle impronte); le persone e la raccolta conservativa (101-125: il censimento dei viventi, la rogatoria dell'unico mai sentito, gli operatori del 18 marzo e del 18 aprile, i custodi delle carte, la tavola degli stati); i giacimenti internazionali (126-155: withdrawal cards e full-text NARA, la collezione microfiche «Aldo Moro» della FOIA Library, la CIA Reading Room con la disciplina sui ritagli, la Carter Library, Kew, La Courneuve, il Politisches Archiv, il Vaticano con lo stato d'apertura verificato, la collazione bilaterale delle giornate chiave); le carte private e di partito (156-180); le scienze nuove sui dati vecchi (181-210: il tornello dei pareri, la banca dati DNA della legge 85/2009, genealogia genetica e fenotipo coi limiti dichiarati, la balistica computazionale, stilometria e linguistica coi gradi, la macchina che propone); </w:t>
            </w:r>
            <w:r>
              <w:rPr>
                <w:rFonts w:ascii="Barlow Semi Condensed" w:cs="Barlow Semi Condensed" w:eastAsia="Barlow Semi Condensed" w:hAnsi="Barlow Semi Condensed"/>
                <w:b/>
                <w:bCs/>
                <w:sz w:val="20"/>
                <w:szCs w:val="20"/>
              </w:rPr>
              <w:t xml:space="preserve">le verifiche di smentita</w:t>
            </w:r>
            <w:r>
              <w:rPr>
                <w:rFonts w:ascii="Barlow Semi Condensed" w:cs="Barlow Semi Condensed" w:eastAsia="Barlow Semi Condensed" w:hAnsi="Barlow Semi Condensed"/>
                <w:sz w:val="20"/>
                <w:szCs w:val="20"/>
              </w:rPr>
              <w:t xml:space="preserve"> (211-235: il Pollo di Popper come motore — per ogni tesi il documento che la smentirebbe, contro-agenda inclusa); le cronologie e i registri da ricostruire (236-260: il registro d'ingresso delle segnalazioni contro l'output 72.460/37.702, il brogliaccio del 16 marzo, i registri del 2 e del 18 aprile, il censimento dei distrutti); i raccordi con le piste e col manuale (261-280: ogni pista PN/PE coi suoi blocchi, la tavola sinottica); il governo dell'agenda (281-300: priorità biologica, campagne trimestrali, la ricerca a vuoto come atto, ciò che non si ricerca, il registro delle smentite, il congedo). Con l'</w:t>
            </w:r>
            <w:r>
              <w:rPr>
                <w:rFonts w:ascii="Barlow Semi Condensed" w:cs="Barlow Semi Condensed" w:eastAsia="Barlow Semi Condensed" w:hAnsi="Barlow Semi Condensed"/>
                <w:b/>
                <w:bCs/>
                <w:sz w:val="20"/>
                <w:szCs w:val="20"/>
              </w:rPr>
              <w:t xml:space="preserve">Apparato delle verifiche d'archivio</w:t>
            </w:r>
            <w:r>
              <w:rPr>
                <w:rFonts w:ascii="Barlow Semi Condensed" w:cs="Barlow Semi Condensed" w:eastAsia="Barlow Semi Condensed" w:hAnsi="Barlow Semi Condensed"/>
                <w:sz w:val="20"/>
                <w:szCs w:val="20"/>
              </w:rPr>
              <w:t xml:space="preserve"> (V-1…V-12): dodici campagne di verifica condotte prima della stesura, esiti negativi dichiarati (l'archivio vaticano chiuso oltre Pio XII; nessuno studio stilometrico esistente; nessuna ricostruzione 3D ufficiale; nessun cold case italiano anni '70-'80 mai chiuso con tecniche nuove — il caso sarebbe il primo). La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nove-cantieri-mille-blocchi.md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NOVE CANTIERI — L'OPERA MONUMENTALE: mille blocchi mirati di approfondimento</w:t>
            </w:r>
            <w:r>
              <w:rPr>
                <w:rFonts w:ascii="Barlow Semi Condensed" w:cs="Barlow Semi Condensed" w:eastAsia="Barlow Semi Condensed" w:hAnsi="Barlow Semi Condensed"/>
                <w:sz w:val="20"/>
                <w:szCs w:val="20"/>
              </w:rPr>
              <w:t xml:space="preserve"> (verificati: 1.000 esatti, numerazione continua 1-1000, ~54.000 parole, nove Parti con 39 sottosezioni), l'esecuzione approfondita dell'agenda sui nove fronti indicati dal committente, ciascuno con statuto: </w:t>
            </w:r>
            <w:r>
              <w:rPr>
                <w:rFonts w:ascii="Barlow Semi Condensed" w:cs="Barlow Semi Condensed" w:eastAsia="Barlow Semi Condensed" w:hAnsi="Barlow Semi Condensed"/>
                <w:b/>
                <w:bCs/>
                <w:sz w:val="20"/>
                <w:szCs w:val="20"/>
              </w:rPr>
              <w:t xml:space="preserve">Oltremanica, oltralpe, oltre Reno</w:t>
            </w:r>
            <w:r>
              <w:rPr>
                <w:rFonts w:ascii="Barlow Semi Condensed" w:cs="Barlow Semi Condensed" w:eastAsia="Barlow Semi Condensed" w:hAnsi="Barlow Semi Condensed"/>
                <w:sz w:val="20"/>
                <w:szCs w:val="20"/>
              </w:rPr>
              <w:t xml:space="preserve"> (1-120: il cantiere britannico dal fascicolo Discovery C11492660/FCO 33 alle richieste FoI; il francese da La Courneuve/1929INVA a Nantes «Rome-Quirinal», col fondo Grimaud in due sedi e la nota del 24/5/1983 su Hyperion; il tedesco dal Politisches Archiv all'AAPD 1978, dal contenzioso sul Krisenstab Schleyer allo Stasi-Unterlagen-Archiv); </w:t>
            </w:r>
            <w:r>
              <w:rPr>
                <w:rFonts w:ascii="Barlow Semi Condensed" w:cs="Barlow Semi Condensed" w:eastAsia="Barlow Semi Condensed" w:hAnsi="Barlow Semi Condensed"/>
                <w:b/>
                <w:bCs/>
                <w:sz w:val="20"/>
                <w:szCs w:val="20"/>
              </w:rPr>
              <w:t xml:space="preserve">il Vaticano e la Chiesa</w:t>
            </w:r>
            <w:r>
              <w:rPr>
                <w:rFonts w:ascii="Barlow Semi Condensed" w:cs="Barlow Semi Condensed" w:eastAsia="Barlow Semi Condensed" w:hAnsi="Barlow Semi Condensed"/>
                <w:sz w:val="20"/>
                <w:szCs w:val="20"/>
              </w:rPr>
              <w:t xml:space="preserve"> (121-220: la strategia dell'archivio chiuso — il limite Pio XII verificato — con le cento porte laterali: Concesio, le diocesi, la stampa vaticana aperta, le cause dei santi; il canale Curioni con le date fissate, il fondo del riscatto col doppio binario, la lettera del 21-22 aprile in filologia delle varianti, i quesiti già scritti per il giorno dell'apertura); </w:t>
            </w:r>
            <w:r>
              <w:rPr>
                <w:rFonts w:ascii="Barlow Semi Condensed" w:cs="Barlow Semi Condensed" w:eastAsia="Barlow Semi Condensed" w:hAnsi="Barlow Semi Condensed"/>
                <w:b/>
                <w:bCs/>
                <w:sz w:val="20"/>
                <w:szCs w:val="20"/>
              </w:rPr>
              <w:t xml:space="preserve">i fondi privati</w:t>
            </w:r>
            <w:r>
              <w:rPr>
                <w:rFonts w:ascii="Barlow Semi Condensed" w:cs="Barlow Semi Condensed" w:eastAsia="Barlow Semi Condensed" w:hAnsi="Barlow Semi Condensed"/>
                <w:sz w:val="20"/>
                <w:szCs w:val="20"/>
              </w:rPr>
              <w:t xml:space="preserve"> (221-330: i tre nuclei delle carte Moro distinti — ACS 218 buste, famiglia al Flamigni 2012-2016, raccolta statale —, Andreotti allo Sturzo, Cossiga alla Camera 308 buste, i diari di Fanfani, il fascicolo «Caso Moro» di Craxi, DC e PCI, Pecorelli, Sciascia a Racalmuto, le famiglie della scorta); </w:t>
            </w:r>
            <w:r>
              <w:rPr>
                <w:rFonts w:ascii="Barlow Semi Condensed" w:cs="Barlow Semi Condensed" w:eastAsia="Barlow Semi Condensed" w:hAnsi="Barlow Semi Condensed"/>
                <w:b/>
                <w:bCs/>
                <w:sz w:val="20"/>
                <w:szCs w:val="20"/>
              </w:rPr>
              <w:t xml:space="preserve">i reperti</w:t>
            </w:r>
            <w:r>
              <w:rPr>
                <w:rFonts w:ascii="Barlow Semi Condensed" w:cs="Barlow Semi Condensed" w:eastAsia="Barlow Semi Condensed" w:hAnsi="Barlow Semi Condensed"/>
                <w:sz w:val="20"/>
                <w:szCs w:val="20"/>
              </w:rPr>
              <w:t xml:space="preserve"> (331-460: la custodia e l'inventario unico che non esiste, la sequenza balistica 1978-1993-2015 con la declassificazione dei 22 bossoli, il caricatore mai esaminato in 48 anni ora negli esami del GIP, i sette profili ignoti riferiti, gli abiti con la perizia Lombardi-Giacomini, le cinque borse di cui due asportate, la R4 musealizzata); </w:t>
            </w:r>
            <w:r>
              <w:rPr>
                <w:rFonts w:ascii="Barlow Semi Condensed" w:cs="Barlow Semi Condensed" w:eastAsia="Barlow Semi Condensed" w:hAnsi="Barlow Semi Condensed"/>
                <w:b/>
                <w:bCs/>
                <w:sz w:val="20"/>
                <w:szCs w:val="20"/>
              </w:rPr>
              <w:t xml:space="preserve">il memoriale e le lettere</w:t>
            </w:r>
            <w:r>
              <w:rPr>
                <w:rFonts w:ascii="Barlow Semi Condensed" w:cs="Barlow Semi Condensed" w:eastAsia="Barlow Semi Condensed" w:hAnsi="Barlow Semi Condensed"/>
                <w:sz w:val="20"/>
                <w:szCs w:val="20"/>
              </w:rPr>
              <w:t xml:space="preserve"> (461-560: lo stemma delle tre stesure, i due ritrovamenti di Monte Nevoso in atti, l'edizione critica Di Sivo, le 97 lettere del canone Gotor, i nove comunicati datati, il falso della Duchessa non riconosciuto dalle verifiche del 1978, Chichiarelli col 28 settembre 1984 mai risolto, la stilometria che manca — bersaglio inedito); </w:t>
            </w:r>
            <w:r>
              <w:rPr>
                <w:rFonts w:ascii="Barlow Semi Condensed" w:cs="Barlow Semi Condensed" w:eastAsia="Barlow Semi Condensed" w:hAnsi="Barlow Semi Condensed"/>
                <w:b/>
                <w:bCs/>
                <w:sz w:val="20"/>
                <w:szCs w:val="20"/>
              </w:rPr>
              <w:t xml:space="preserve">l'audio e l'immagine</w:t>
            </w:r>
            <w:r>
              <w:rPr>
                <w:rFonts w:ascii="Barlow Semi Condensed" w:cs="Barlow Semi Condensed" w:eastAsia="Barlow Semi Condensed" w:hAnsi="Barlow Semi Condensed"/>
                <w:sz w:val="20"/>
                <w:szCs w:val="20"/>
              </w:rPr>
              <w:t xml:space="preserve"> (561-660: le due sole registrazioni superstiti dei 55 giorni, Ianni primo fotografo di via Fani, l'esclusiva GBR del 9 maggio, le teche e i grezzi di Zavoli con la Collezione al Quirinale, il 3D della Scientifica 2017 e il modello pubblico che ancora manca, l'etica dell'immagine); </w:t>
            </w:r>
            <w:r>
              <w:rPr>
                <w:rFonts w:ascii="Barlow Semi Condensed" w:cs="Barlow Semi Condensed" w:eastAsia="Barlow Semi Condensed" w:hAnsi="Barlow Semi Condensed"/>
                <w:b/>
                <w:bCs/>
                <w:sz w:val="20"/>
                <w:szCs w:val="20"/>
              </w:rPr>
              <w:t xml:space="preserve">le scienze forensi</w:t>
            </w:r>
            <w:r>
              <w:rPr>
                <w:rFonts w:ascii="Barlow Semi Condensed" w:cs="Barlow Semi Condensed" w:eastAsia="Barlow Semi Condensed" w:hAnsi="Barlow Semi Condensed"/>
                <w:sz w:val="20"/>
                <w:szCs w:val="20"/>
              </w:rPr>
              <w:t xml:space="preserve"> (661-790: il diritto della prova scientifica — legge 85/2009, d.P.R. 87/2016, i vuoti su parentela/genealogia/fenotipo —, i laboratori e gli standard, i precedenti che insegnano — Yara, l'Olgiata, il monito Macchi, e il dato capitale: nessun delitto italiano anni '70-'80 mai chiuso con tecniche nuove: il caso sarebbe il primo —, le frontiere coi pareri-tornello, i tre tavoli scienza-giustizia-storia); </w:t>
            </w:r>
            <w:r>
              <w:rPr>
                <w:rFonts w:ascii="Barlow Semi Condensed" w:cs="Barlow Semi Condensed" w:eastAsia="Barlow Semi Condensed" w:hAnsi="Barlow Semi Condensed"/>
                <w:b/>
                <w:bCs/>
                <w:sz w:val="20"/>
                <w:szCs w:val="20"/>
              </w:rPr>
              <w:t xml:space="preserve">il registro del giudicato</w:t>
            </w:r>
            <w:r>
              <w:rPr>
                <w:rFonts w:ascii="Barlow Semi Condensed" w:cs="Barlow Semi Condensed" w:eastAsia="Barlow Semi Condensed" w:hAnsi="Barlow Semi Condensed"/>
                <w:sz w:val="20"/>
                <w:szCs w:val="20"/>
              </w:rPr>
              <w:t xml:space="preserve"> (791-880: le tredici schede a tre strati con gli stati verificati — cinque deceduti, con la correzione della data Braghetti al novembre 2025 —, la regola Algranati per esteso, la tavola dei cinque processi, la memorialistica collazionata, il programma delle dichiarazioni spontanee, la rogatoria per l'unico mai sentito in forma d'atto); </w:t>
            </w:r>
            <w:r>
              <w:rPr>
                <w:rFonts w:ascii="Barlow Semi Condensed" w:cs="Barlow Semi Condensed" w:eastAsia="Barlow Semi Condensed" w:hAnsi="Barlow Semi Condensed"/>
                <w:b/>
                <w:bCs/>
                <w:sz w:val="20"/>
                <w:szCs w:val="20"/>
              </w:rPr>
              <w:t xml:space="preserve">il fascicolo di Roma</w:t>
            </w:r>
            <w:r>
              <w:rPr>
                <w:rFonts w:ascii="Barlow Semi Condensed" w:cs="Barlow Semi Condensed" w:eastAsia="Barlow Semi Condensed" w:hAnsi="Barlow Semi Condensed"/>
                <w:sz w:val="20"/>
                <w:szCs w:val="20"/>
              </w:rPr>
              <w:t xml:space="preserve"> (881-1000: la sequenza verificata 28/5/2025-estate 2026 — archiviazione chiesta, opposizione della famiglia Ricci, GIP che riapre con sei mesi d'indagini sul caricatore —, la consilienza corpus-giudice, gli atti dei cinque processi digitalizzati coi detenuti di Rebibbia, il portale federato proposto, l'audit delle direttive, il diritto della memoria, il cinquantennale 2028 come scadenza di consegne non di discorsi, il congedo coi blocchi 991-1000). Con l'</w:t>
            </w:r>
            <w:r>
              <w:rPr>
                <w:rFonts w:ascii="Barlow Semi Condensed" w:cs="Barlow Semi Condensed" w:eastAsia="Barlow Semi Condensed" w:hAnsi="Barlow Semi Condensed"/>
                <w:b/>
                <w:bCs/>
                <w:sz w:val="20"/>
                <w:szCs w:val="20"/>
              </w:rPr>
              <w:t xml:space="preserve">Apparato della seconda campagna</w:t>
            </w:r>
            <w:r>
              <w:rPr>
                <w:rFonts w:ascii="Barlow Semi Condensed" w:cs="Barlow Semi Condensed" w:eastAsia="Barlow Semi Condensed" w:hAnsi="Barlow Semi Condensed"/>
                <w:sz w:val="20"/>
                <w:szCs w:val="20"/>
              </w:rPr>
              <w:t xml:space="preserve"> (C-1…C-9): nove verificatori di profondità, gli esiti negativi dichiarati, le correzioni per nota incorporate. Quarta opera della quadriga investigativa (programma → manuale 400 → agenda 300 → cantieri 1000: 1.700 blocchi coordinati). La ricerca produce documenti, non colpevoli — mille volte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kissinger-mille-blocchi-il-codice-e-la-sua-trasmissione.md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CODICE E LA SUA TRASMISSIONE» — HENRY KISSINGER TRIANGOLATO COL CORPUS IN 4.999 BLOCCHI.</w:t>
            </w:r>
            <w:r>
              <w:rPr>
                <w:rFonts w:ascii="Barlow Semi Condensed" w:cs="Barlow Semi Condensed" w:eastAsia="Barlow Semi Condensed" w:hAnsi="Barlow Semi Condensed"/>
                <w:sz w:val="20"/>
                <w:szCs w:val="20"/>
              </w:rPr>
              <w:t xml:space="preserve"> Opera in </w:t>
            </w:r>
            <w:r>
              <w:rPr>
                <w:rFonts w:ascii="Barlow Semi Condensed" w:cs="Barlow Semi Condensed" w:eastAsia="Barlow Semi Condensed" w:hAnsi="Barlow Semi Condensed"/>
                <w:b/>
                <w:bCs/>
                <w:sz w:val="20"/>
                <w:szCs w:val="20"/>
              </w:rPr>
              <w:t xml:space="preserve">4.999 blocchi mirati</w:t>
            </w:r>
            <w:r>
              <w:rPr>
                <w:rFonts w:ascii="Barlow Semi Condensed" w:cs="Barlow Semi Condensed" w:eastAsia="Barlow Semi Condensed" w:hAnsi="Barlow Semi Condensed"/>
                <w:sz w:val="20"/>
                <w:szCs w:val="20"/>
              </w:rPr>
              <w:t xml:space="preserve">, sessantacinque serie e due campagne, costruita sulla chiave interpretativa indicata dall'autore — «Kissinger rappresenta metaforicamente la genetica» — </w:t>
            </w:r>
            <w:r>
              <w:rPr>
                <w:rFonts w:ascii="Barlow Semi Condensed" w:cs="Barlow Semi Condensed" w:eastAsia="Barlow Semi Condensed" w:hAnsi="Barlow Semi Condensed"/>
                <w:b/>
                <w:bCs/>
                <w:sz w:val="20"/>
                <w:szCs w:val="20"/>
              </w:rPr>
              <w:t xml:space="preserve">dichiarata in apertura come lente e non come sentenza</w:t>
            </w:r>
            <w:r>
              <w:rPr>
                <w:rFonts w:ascii="Barlow Semi Condensed" w:cs="Barlow Semi Condensed" w:eastAsia="Barlow Semi Condensed" w:hAnsi="Barlow Semi Condensed"/>
                <w:sz w:val="20"/>
                <w:szCs w:val="20"/>
              </w:rPr>
              <w:t xml:space="preserve">. Le tredici serie intestate ad altrettanti concetti: il nome e la mutazione (con la correzione per nota di «Harry» in </w:t>
            </w:r>
            <w:r>
              <w:rPr>
                <w:rFonts w:ascii="Barlow Semi Condensed" w:cs="Barlow Semi Condensed" w:eastAsia="Barlow Semi Condensed" w:hAnsi="Barlow Semi Condensed"/>
                <w:b/>
                <w:bCs/>
                <w:sz w:val="20"/>
                <w:szCs w:val="20"/>
              </w:rPr>
              <w:t xml:space="preserve">Henry</w:t>
            </w:r>
            <w:r>
              <w:rPr>
                <w:rFonts w:ascii="Barlow Semi Condensed" w:cs="Barlow Semi Condensed" w:eastAsia="Barlow Semi Condensed" w:hAnsi="Barlow Semi Condensed"/>
                <w:sz w:val="20"/>
                <w:szCs w:val="20"/>
              </w:rPr>
              <w:t xml:space="preserve">, e la divergenza documentata sulla data della mutazione onomastica Heinz→Henry — le opere di consultazione la collocano allo sbarco del 1938, il fascicolo d'immigrazione al 1942-1943 — come primo caso concreto della lente); il genoma dichiarato; l'ereditarietà dottrinale; la trascrizione dal codice all'atto (i memorandum of conversation, il verbale del </w:t>
            </w:r>
            <w:r>
              <w:rPr>
                <w:rFonts w:ascii="Barlow Semi Condensed" w:cs="Barlow Semi Condensed" w:eastAsia="Barlow Semi Condensed" w:hAnsi="Barlow Semi Condensed"/>
                <w:b/>
                <w:bCs/>
                <w:sz w:val="20"/>
                <w:szCs w:val="20"/>
              </w:rPr>
              <w:t xml:space="preserve">25 settembre 1974</w:t>
            </w:r>
            <w:r>
              <w:rPr>
                <w:rFonts w:ascii="Barlow Semi Condensed" w:cs="Barlow Semi Condensed" w:eastAsia="Barlow Semi Condensed" w:hAnsi="Barlow Semi Condensed"/>
                <w:sz w:val="20"/>
                <w:szCs w:val="20"/>
              </w:rPr>
              <w:t xml:space="preserve"> con Leone e Moro allo Studio Ovale); l'espressione differenziale nei teatri che il corpus già studia; </w:t>
            </w: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il cuore metodologico, cioè la distinzione fra filiazione documentata e convergenza indipendente; il vettore e la trasmissione orizzontale; la mutazione e l'errore di trascrizione; </w:t>
            </w:r>
            <w:r>
              <w:rPr>
                <w:rFonts w:ascii="Barlow Semi Condensed" w:cs="Barlow Semi Condensed" w:eastAsia="Barlow Semi Condensed" w:hAnsi="Barlow Semi Condensed"/>
                <w:b/>
                <w:bCs/>
                <w:sz w:val="20"/>
                <w:szCs w:val="20"/>
              </w:rPr>
              <w:t xml:space="preserve">il DNA non codificante</w:t>
            </w:r>
            <w:r>
              <w:rPr>
                <w:rFonts w:ascii="Barlow Semi Condensed" w:cs="Barlow Semi Condensed" w:eastAsia="Barlow Semi Condensed" w:hAnsi="Barlow Semi Condensed"/>
                <w:sz w:val="20"/>
                <w:szCs w:val="20"/>
              </w:rPr>
              <w:t xml:space="preserve">, cioè gli archivi muti e gli Stati Zero; fenotipo contro genotipo; l'epigenetica delle prassi non scritte; la filogenesi del caso Moro; e </w:t>
            </w:r>
            <w:r>
              <w:rPr>
                <w:rFonts w:ascii="Barlow Semi Condensed" w:cs="Barlow Semi Condensed" w:eastAsia="Barlow Semi Condensed" w:hAnsi="Barlow Semi Condensed"/>
                <w:b/>
                <w:bCs/>
                <w:sz w:val="20"/>
                <w:szCs w:val="20"/>
              </w:rPr>
              <w:t xml:space="preserve">il limite della metafora</w:t>
            </w:r>
            <w:r>
              <w:rPr>
                <w:rFonts w:ascii="Barlow Semi Condensed" w:cs="Barlow Semi Condensed" w:eastAsia="Barlow Semi Condensed" w:hAnsi="Barlow Semi Condensed"/>
                <w:sz w:val="20"/>
                <w:szCs w:val="20"/>
              </w:rPr>
              <w:t xml:space="preserve">, che è la serie di chiusura e la più importante: </w:t>
            </w:r>
            <w:r>
              <w:rPr>
                <w:rFonts w:ascii="Barlow Semi Condensed" w:cs="Barlow Semi Condensed" w:eastAsia="Barlow Semi Condensed" w:hAnsi="Barlow Semi Condensed"/>
                <w:i/>
                <w:iCs/>
                <w:sz w:val="20"/>
                <w:szCs w:val="20"/>
              </w:rPr>
              <w:t xml:space="preserve">in biologia il carattere si eredita, in storia la responsabilità no</w:t>
            </w:r>
            <w:r>
              <w:rPr>
                <w:rFonts w:ascii="Barlow Semi Condensed" w:cs="Barlow Semi Condensed" w:eastAsia="Barlow Semi Condensed" w:hAnsi="Barlow Semi Condensed"/>
                <w:sz w:val="20"/>
                <w:szCs w:val="20"/>
              </w:rPr>
              <w:t xml:space="preserve">. Vale in ogni blocco la </w:t>
            </w:r>
            <w:r>
              <w:rPr>
                <w:rFonts w:ascii="Barlow Semi Condensed" w:cs="Barlow Semi Condensed" w:eastAsia="Barlow Semi Condensed" w:hAnsi="Barlow Semi Condensed"/>
                <w:b/>
                <w:bCs/>
                <w:sz w:val="20"/>
                <w:szCs w:val="20"/>
              </w:rPr>
              <w:t xml:space="preserve">regola dei tre piani</w:t>
            </w:r>
            <w:r>
              <w:rPr>
                <w:rFonts w:ascii="Barlow Semi Condensed" w:cs="Barlow Semi Condensed" w:eastAsia="Barlow Semi Condensed" w:hAnsi="Barlow Semi Condensed"/>
                <w:sz w:val="20"/>
                <w:szCs w:val="20"/>
              </w:rPr>
              <w:t xml:space="preserve"> (rapporto documentato · convergenza strutturale · affermazione terziaria): un ponte è reale solo al piano 1. </w:t>
            </w:r>
            <w:r>
              <w:rPr>
                <w:rFonts w:ascii="Barlow Semi Condensed" w:cs="Barlow Semi Condensed" w:eastAsia="Barlow Semi Condensed" w:hAnsi="Barlow Semi Condensed"/>
                <w:b/>
                <w:bCs/>
                <w:sz w:val="20"/>
                <w:szCs w:val="20"/>
              </w:rPr>
              <w:t xml:space="preserve">Kissinger non fu condannato in alcun processo, non fu mai imputato né processato in alcun Paese, e nessun blocco lo indica come responsabile di reato</w:t>
            </w:r>
            <w:r>
              <w:rPr>
                <w:rFonts w:ascii="Barlow Semi Condensed" w:cs="Barlow Semi Condensed" w:eastAsia="Barlow Semi Condensed" w:hAnsi="Barlow Semi Condensed"/>
                <w:sz w:val="20"/>
                <w:szCs w:val="20"/>
              </w:rPr>
              <w:t xml:space="preserve">; il presunto avvertimento del 1974 è registrato come </w:t>
            </w:r>
            <w:r>
              <w:rPr>
                <w:rFonts w:ascii="Barlow Semi Condensed" w:cs="Barlow Semi Condensed" w:eastAsia="Barlow Semi Condensed" w:hAnsi="Barlow Semi Condensed"/>
                <w:b/>
                <w:bCs/>
                <w:sz w:val="20"/>
                <w:szCs w:val="20"/>
              </w:rPr>
              <w:t xml:space="preserve">testimonianza contestata</w:t>
            </w:r>
            <w:r>
              <w:rPr>
                <w:rFonts w:ascii="Barlow Semi Condensed" w:cs="Barlow Semi Condensed" w:eastAsia="Barlow Semi Condensed" w:hAnsi="Barlow Semi Condensed"/>
                <w:sz w:val="20"/>
                <w:szCs w:val="20"/>
              </w:rPr>
              <w:t xml:space="preserve">, con la smentita dell'interessato annotata e con l'accertamento — nuovo per il corpus — che il verbale dello Studio Ovale </w:t>
            </w:r>
            <w:r>
              <w:rPr>
                <w:rFonts w:ascii="Barlow Semi Condensed" w:cs="Barlow Semi Condensed" w:eastAsia="Barlow Semi Condensed" w:hAnsi="Barlow Semi Condensed"/>
                <w:b/>
                <w:bCs/>
                <w:sz w:val="20"/>
                <w:szCs w:val="20"/>
              </w:rPr>
              <w:t xml:space="preserve">non la contiene</w:t>
            </w:r>
            <w:r>
              <w:rPr>
                <w:rFonts w:ascii="Barlow Semi Condensed" w:cs="Barlow Semi Condensed" w:eastAsia="Barlow Semi Condensed" w:hAnsi="Barlow Semi Condensed"/>
                <w:sz w:val="20"/>
                <w:szCs w:val="20"/>
              </w:rPr>
              <w:t xml:space="preserve">. Chiude l'</w:t>
            </w:r>
            <w:r>
              <w:rPr>
                <w:rFonts w:ascii="Barlow Semi Condensed" w:cs="Barlow Semi Condensed" w:eastAsia="Barlow Semi Condensed" w:hAnsi="Barlow Semi Condensed"/>
                <w:b/>
                <w:bCs/>
                <w:sz w:val="20"/>
                <w:szCs w:val="20"/>
              </w:rPr>
              <w:t xml:space="preserve">Apparato K</w:t>
            </w:r>
            <w:r>
              <w:rPr>
                <w:rFonts w:ascii="Barlow Semi Condensed" w:cs="Barlow Semi Condensed" w:eastAsia="Barlow Semi Condensed" w:hAnsi="Barlow Semi Condensed"/>
                <w:sz w:val="20"/>
                <w:szCs w:val="20"/>
              </w:rPr>
              <w:t xml:space="preserve"> in cinque sezioni, con le sette precisazioni sull'avvertimento e il limite dichiarato della campagna di verifica. </w:t>
            </w:r>
            <w:r>
              <w:rPr>
                <w:rFonts w:ascii="Barlow Semi Condensed" w:cs="Barlow Semi Condensed" w:eastAsia="Barlow Semi Condensed" w:hAnsi="Barlow Semi Condensed"/>
                <w:b/>
                <w:bCs/>
                <w:sz w:val="20"/>
                <w:szCs w:val="20"/>
              </w:rPr>
              <w:t xml:space="preserve">SECONDA CAMPAGNA, TERRITORIALE (serie XIV-LXV, blocchi 1.001-4.999).</w:t>
            </w:r>
            <w:r>
              <w:rPr>
                <w:rFonts w:ascii="Barlow Semi Condensed" w:cs="Barlow Semi Condensed" w:eastAsia="Barlow Semi Condensed" w:hAnsi="Barlow Semi Condensed"/>
                <w:sz w:val="20"/>
                <w:szCs w:val="20"/>
              </w:rPr>
              <w:t xml:space="preserve"> Dove la prima campagna applicava una lente al nome, la seconda porta il nome contro </w:t>
            </w:r>
            <w:r>
              <w:rPr>
                <w:rFonts w:ascii="Barlow Semi Condensed" w:cs="Barlow Semi Condensed" w:eastAsia="Barlow Semi Condensed" w:hAnsi="Barlow Semi Condensed"/>
                <w:b/>
                <w:bCs/>
                <w:sz w:val="20"/>
                <w:szCs w:val="20"/>
              </w:rPr>
              <w:t xml:space="preserve">ogni territorio del corpus</w:t>
            </w:r>
            <w:r>
              <w:rPr>
                <w:rFonts w:ascii="Barlow Semi Condensed" w:cs="Barlow Semi Condensed" w:eastAsia="Barlow Semi Condensed" w:hAnsi="Barlow Semi Condensed"/>
                <w:sz w:val="20"/>
                <w:szCs w:val="20"/>
              </w:rPr>
              <w:t xml:space="preserve">, uno per serie, con l'obbligo di leggerlo prima di scriverne: il corpus narrativo (il ritratto, il saggio-cerniera, i cinque studi guevariani, Feltrinelli, il ceppo Simioni, il Tribunale Speciale, gli amnistiati, le questioni aperte, il Portale); il corpus metodologico e giudiziario (il presidio del garante, le metodologie del Dossier, il registro giudiziario, il repertorio, le responsabilità personali, l'apparato dei gradi e </w:t>
            </w:r>
            <w:r>
              <w:rPr>
                <w:rFonts w:ascii="Barlow Semi Condensed" w:cs="Barlow Semi Condensed" w:eastAsia="Barlow Semi Condensed" w:hAnsi="Barlow Semi Condensed"/>
                <w:b/>
                <w:bCs/>
                <w:sz w:val="20"/>
                <w:szCs w:val="20"/>
              </w:rPr>
              <w:t xml:space="preserve">le sette ricognizioni della Farnesina</w:t>
            </w:r>
            <w:r>
              <w:rPr>
                <w:rFonts w:ascii="Barlow Semi Condensed" w:cs="Barlow Semi Condensed" w:eastAsia="Barlow Semi Condensed" w:hAnsi="Barlow Semi Condensed"/>
                <w:sz w:val="20"/>
                <w:szCs w:val="20"/>
              </w:rPr>
              <w:t xml:space="preserve">, unico territorio dove i ponti di piano 1 esistono davvero); </w:t>
            </w:r>
            <w:r>
              <w:rPr>
                <w:rFonts w:ascii="Barlow Semi Condensed" w:cs="Barlow Semi Condensed" w:eastAsia="Barlow Semi Condensed" w:hAnsi="Barlow Semi Condensed"/>
                <w:b/>
                <w:bCs/>
                <w:sz w:val="20"/>
                <w:szCs w:val="20"/>
              </w:rPr>
              <w:t xml:space="preserve">l'intera quadriga investigativa</w:t>
            </w:r>
            <w:r>
              <w:rPr>
                <w:rFonts w:ascii="Barlow Semi Condensed" w:cs="Barlow Semi Condensed" w:eastAsia="Barlow Semi Condensed" w:hAnsi="Barlow Semi Condensed"/>
                <w:sz w:val="20"/>
                <w:szCs w:val="20"/>
              </w:rPr>
              <w:t xml:space="preserve"> letta blocco per blocco, col Libro quattordicesimo e con la rilettura esterna delle prime tredici serie; e le </w:t>
            </w:r>
            <w:r>
              <w:rPr>
                <w:rFonts w:ascii="Barlow Semi Condensed" w:cs="Barlow Semi Condensed" w:eastAsia="Barlow Semi Condensed" w:hAnsi="Barlow Semi Condensed"/>
                <w:b/>
                <w:bCs/>
                <w:sz w:val="20"/>
                <w:szCs w:val="20"/>
              </w:rPr>
              <w:t xml:space="preserve">cerniere e i censimenti</w:t>
            </w:r>
            <w:r>
              <w:rPr>
                <w:rFonts w:ascii="Barlow Semi Condensed" w:cs="Barlow Semi Condensed" w:eastAsia="Barlow Semi Condensed" w:hAnsi="Barlow Semi Condensed"/>
                <w:sz w:val="20"/>
                <w:szCs w:val="20"/>
              </w:rPr>
              <w:t xml:space="preserve"> — cronologia, geografia, istituzioni, archivi, fonti orali, criteri di falsificazione, numeri, lingue, e i tre censimenti che l'opera non aveva: </w:t>
            </w:r>
            <w:r>
              <w:rPr>
                <w:rFonts w:ascii="Barlow Semi Condensed" w:cs="Barlow Semi Condensed" w:eastAsia="Barlow Semi Condensed" w:hAnsi="Barlow Semi Condensed"/>
                <w:b/>
                <w:bCs/>
                <w:sz w:val="20"/>
                <w:szCs w:val="20"/>
              </w:rPr>
              <w:t xml:space="preserve">gli Stati Zero, le divergenze non sciolte, i ponti di piano 1</w:t>
            </w:r>
            <w:r>
              <w:rPr>
                <w:rFonts w:ascii="Barlow Semi Condensed" w:cs="Barlow Semi Condensed" w:eastAsia="Barlow Semi Condensed" w:hAnsi="Barlow Semi Condensed"/>
                <w:sz w:val="20"/>
                <w:szCs w:val="20"/>
              </w:rPr>
              <w:t xml:space="preserve">. Ogni serie tiene distinte quattro domande: dove il nome compare e con quale piano; dove il territorio tocca la cornice senza toccare il nome; dove circola un'affermazione terziaria che quel territorio non sostiene; e dove si dovrebbe cercare e nessuno ha cercato. Chiude l'</w:t>
            </w:r>
            <w:r>
              <w:rPr>
                <w:rFonts w:ascii="Barlow Semi Condensed" w:cs="Barlow Semi Condensed" w:eastAsia="Barlow Semi Condensed" w:hAnsi="Barlow Semi Condensed"/>
                <w:b/>
                <w:bCs/>
                <w:sz w:val="20"/>
                <w:szCs w:val="20"/>
              </w:rPr>
              <w:t xml:space="preserve">Apparato L</w:t>
            </w:r>
            <w:r>
              <w:rPr>
                <w:rFonts w:ascii="Barlow Semi Condensed" w:cs="Barlow Semi Condensed" w:eastAsia="Barlow Semi Condensed" w:hAnsi="Barlow Semi Condensed"/>
                <w:sz w:val="20"/>
                <w:szCs w:val="20"/>
              </w:rPr>
              <w:t xml:space="preserve">, che registra i due esiti che il corpus deve recepire: la distinzione fra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che si predica di una ricerca condotta in una sede nominata — e </w:t>
            </w: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 che si predica del perimetro di un testo, correzione sollevata da un agente di ricerca contro l'istruzione ricevuta; e </w:t>
            </w:r>
            <w:r>
              <w:rPr>
                <w:rFonts w:ascii="Barlow Semi Condensed" w:cs="Barlow Semi Condensed" w:eastAsia="Barlow Semi Condensed" w:hAnsi="Barlow Semi Condensed"/>
                <w:b/>
                <w:bCs/>
                <w:sz w:val="20"/>
                <w:szCs w:val="20"/>
              </w:rPr>
              <w:t xml:space="preserve">l'asimmetria atlantica</w:t>
            </w:r>
            <w:r>
              <w:rPr>
                <w:rFonts w:ascii="Barlow Semi Condensed" w:cs="Barlow Semi Condensed" w:eastAsia="Barlow Semi Condensed" w:hAnsi="Barlow Semi Condensed"/>
                <w:sz w:val="20"/>
                <w:szCs w:val="20"/>
              </w:rPr>
              <w:t xml:space="preserve"> del versante di ricerca, che ha tre cantieri d'archivio alleato (Londra 17 menzioni, Parigi 23, Bonn 17) e non il quarto (Washington 7), in un caso il cui nodo più contestato è per definizione americano. La raccomandazione è operativa: un cantiere atlantico con la stessa griglia degli altri tre. </w:t>
            </w:r>
            <w:r>
              <w:rPr>
                <w:rFonts w:ascii="Barlow Semi Condensed" w:cs="Barlow Semi Condensed" w:eastAsia="Barlow Semi Condensed" w:hAnsi="Barlow Semi Condensed"/>
                <w:b/>
                <w:bCs/>
                <w:sz w:val="20"/>
                <w:szCs w:val="20"/>
              </w:rPr>
              <w:t xml:space="preserve">Sono 4.999 blocchi e non cinquemila, e il numero non si arrotonda.</w:t>
            </w:r>
            <w:r>
              <w:rPr>
                <w:rFonts w:ascii="Barlow Semi Condensed" w:cs="Barlow Semi Condensed" w:eastAsia="Barlow Semi Condensed" w:hAnsi="Barlow Semi Condensed"/>
                <w:sz w:val="20"/>
                <w:szCs w:val="20"/>
              </w:rPr>
              <w:t xml:space="preserve">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il-meridiano-e-la-valle-mille-blocchi.md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MERIDIANO E LA VALLE» — DAL SUD AFRICA DELL'APARTHEID ALLA PAYPAL MAFIA.</w:t>
            </w:r>
            <w:r>
              <w:rPr>
                <w:rFonts w:ascii="Barlow Semi Condensed" w:cs="Barlow Semi Condensed" w:eastAsia="Barlow Semi Condensed" w:hAnsi="Barlow Semi Condensed"/>
                <w:sz w:val="20"/>
                <w:szCs w:val="20"/>
              </w:rPr>
              <w:t xml:space="preserve"> Opera in </w:t>
            </w:r>
            <w:r>
              <w:rPr>
                <w:rFonts w:ascii="Barlow Semi Condensed" w:cs="Barlow Semi Condensed" w:eastAsia="Barlow Semi Condensed" w:hAnsi="Barlow Semi Condensed"/>
                <w:b/>
                <w:bCs/>
                <w:sz w:val="20"/>
                <w:szCs w:val="20"/>
              </w:rPr>
              <w:t xml:space="preserve">1.000 blocchi mirati di ricerca</w:t>
            </w:r>
            <w:r>
              <w:rPr>
                <w:rFonts w:ascii="Barlow Semi Condensed" w:cs="Barlow Semi Condensed" w:eastAsia="Barlow Semi Condensed" w:hAnsi="Barlow Semi Condensed"/>
                <w:sz w:val="20"/>
                <w:szCs w:val="20"/>
              </w:rPr>
              <w:t xml:space="preserve"> e tredici serie, </w:t>
            </w:r>
            <w:r>
              <w:rPr>
                <w:rFonts w:ascii="Barlow Semi Condensed" w:cs="Barlow Semi Condensed" w:eastAsia="Barlow Semi Condensed" w:hAnsi="Barlow Semi Condensed"/>
                <w:b/>
                <w:bCs/>
                <w:sz w:val="20"/>
                <w:szCs w:val="20"/>
              </w:rPr>
              <w:t xml:space="preserve">Libro quattordicesimo dell'Opera integrale</w:t>
            </w:r>
            <w:r>
              <w:rPr>
                <w:rFonts w:ascii="Barlow Semi Condensed" w:cs="Barlow Semi Condensed" w:eastAsia="Barlow Semi Condensed" w:hAnsi="Barlow Semi Condensed"/>
                <w:sz w:val="20"/>
                <w:szCs w:val="20"/>
              </w:rPr>
              <w:t xml:space="preserve">, costruita sulla chiave di continuità indicata dall'autore e </w:t>
            </w:r>
            <w:r>
              <w:rPr>
                <w:rFonts w:ascii="Barlow Semi Condensed" w:cs="Barlow Semi Condensed" w:eastAsia="Barlow Semi Condensed" w:hAnsi="Barlow Semi Condensed"/>
                <w:b/>
                <w:bCs/>
                <w:sz w:val="20"/>
                <w:szCs w:val="20"/>
              </w:rPr>
              <w:t xml:space="preserve">dichiarata in apertura come lente e non come sentenza</w:t>
            </w:r>
            <w:r>
              <w:rPr>
                <w:rFonts w:ascii="Barlow Semi Condensed" w:cs="Barlow Semi Condensed" w:eastAsia="Barlow Semi Condensed" w:hAnsi="Barlow Semi Condensed"/>
                <w:sz w:val="20"/>
                <w:szCs w:val="20"/>
              </w:rPr>
              <w:t xml:space="preserve"> — e, novità di quest'opera, come </w:t>
            </w:r>
            <w:r>
              <w:rPr>
                <w:rFonts w:ascii="Barlow Semi Condensed" w:cs="Barlow Semi Condensed" w:eastAsia="Barlow Semi Condensed" w:hAnsi="Barlow Semi Condensed"/>
                <w:b/>
                <w:bCs/>
                <w:sz w:val="20"/>
                <w:szCs w:val="20"/>
              </w:rPr>
              <w:t xml:space="preserve">ipotesi da mettere alla prova e non premessa da illustrare</w:t>
            </w:r>
            <w:r>
              <w:rPr>
                <w:rFonts w:ascii="Barlow Semi Condensed" w:cs="Barlow Semi Condensed" w:eastAsia="Barlow Semi Condensed" w:hAnsi="Barlow Semi Condensed"/>
                <w:sz w:val="20"/>
                <w:szCs w:val="20"/>
              </w:rPr>
              <w:t xml:space="preserve">: ogni serie porta i propri </w:t>
            </w:r>
            <w:r>
              <w:rPr>
                <w:rFonts w:ascii="Barlow Semi Condensed" w:cs="Barlow Semi Condensed" w:eastAsia="Barlow Semi Condensed" w:hAnsi="Barlow Semi Condensed"/>
                <w:b/>
                <w:bCs/>
                <w:sz w:val="20"/>
                <w:szCs w:val="20"/>
              </w:rPr>
              <w:t xml:space="preserve">bersagli di smentita</w:t>
            </w:r>
            <w:r>
              <w:rPr>
                <w:rFonts w:ascii="Barlow Semi Condensed" w:cs="Barlow Semi Condensed" w:eastAsia="Barlow Semi Condensed" w:hAnsi="Barlow Semi Condensed"/>
                <w:sz w:val="20"/>
                <w:szCs w:val="20"/>
              </w:rPr>
              <w:t xml:space="preserve">. Le tredici serie: lo statuto e il metodo; l'anagrafe verificabile persona per persona; la cornice istituzionale del Sud Africa e dell'Africa del Sud-Ovest (Population Registration Act, risoluzione ONU 2145 del 1966, parere della Corte internazionale di giustizia del 1971, Decreto n. 1 del 1974, Truth and Reconciliation Commission); i lignaggi, con il caso </w:t>
            </w:r>
            <w:r>
              <w:rPr>
                <w:rFonts w:ascii="Barlow Semi Condensed" w:cs="Barlow Semi Condensed" w:eastAsia="Barlow Semi Condensed" w:hAnsi="Barlow Semi Condensed"/>
                <w:b/>
                <w:bCs/>
                <w:sz w:val="20"/>
                <w:szCs w:val="20"/>
              </w:rPr>
              <w:t xml:space="preserve">piano 1</w:t>
            </w:r>
            <w:r>
              <w:rPr>
                <w:rFonts w:ascii="Barlow Semi Condensed" w:cs="Barlow Semi Condensed" w:eastAsia="Barlow Semi Condensed" w:hAnsi="Barlow Semi Condensed"/>
                <w:sz w:val="20"/>
                <w:szCs w:val="20"/>
              </w:rPr>
              <w:t xml:space="preserve"> di Roelof Botha nipote di </w:t>
            </w:r>
            <w:r>
              <w:rPr>
                <w:rFonts w:ascii="Barlow Semi Condensed" w:cs="Barlow Semi Condensed" w:eastAsia="Barlow Semi Condensed" w:hAnsi="Barlow Semi Condensed"/>
                <w:b/>
                <w:bCs/>
                <w:sz w:val="20"/>
                <w:szCs w:val="20"/>
              </w:rPr>
              <w:t xml:space="preserve">Pik Botha</w:t>
            </w:r>
            <w:r>
              <w:rPr>
                <w:rFonts w:ascii="Barlow Semi Condensed" w:cs="Barlow Semi Condensed" w:eastAsia="Barlow Semi Condensed" w:hAnsi="Barlow Semi Condensed"/>
                <w:sz w:val="20"/>
                <w:szCs w:val="20"/>
              </w:rPr>
              <w:t xml:space="preserve"> — e l'avvertenza che Pik Botha non era parente di P.W. Botha, l'errore più diffuso della materia; le materie prime (gli smeraldi attribuiti a Errol Musk come caso di scuola della </w:t>
            </w:r>
            <w:r>
              <w:rPr>
                <w:rFonts w:ascii="Barlow Semi Condensed" w:cs="Barlow Semi Condensed" w:eastAsia="Barlow Semi Condensed" w:hAnsi="Barlow Semi Condensed"/>
                <w:b/>
                <w:bCs/>
                <w:sz w:val="20"/>
                <w:szCs w:val="20"/>
              </w:rPr>
              <w:t xml:space="preserve">divergenza irrisolta</w:t>
            </w:r>
            <w:r>
              <w:rPr>
                <w:rFonts w:ascii="Barlow Semi Condensed" w:cs="Barlow Semi Condensed" w:eastAsia="Barlow Semi Condensed" w:hAnsi="Barlow Semi Condensed"/>
                <w:sz w:val="20"/>
                <w:szCs w:val="20"/>
              </w:rPr>
              <w:t xml:space="preserve">, l'uranio di Rössing, oro e platino); l'embargo e le vie d'aggiramento; le rotte migratorie e le naturalizzazioni; la formazione e la coscrizione; la valle, cioè PayPal letta sui depositi societari; le dottrine e le loro genealogie; il denaro e le giurisdizioni, la serie con più Stati Zero; la critica delle fonti; e </w:t>
            </w:r>
            <w:r>
              <w:rPr>
                <w:rFonts w:ascii="Barlow Semi Condensed" w:cs="Barlow Semi Condensed" w:eastAsia="Barlow Semi Condensed" w:hAnsi="Barlow Semi Condensed"/>
                <w:b/>
                <w:bCs/>
                <w:sz w:val="20"/>
                <w:szCs w:val="20"/>
              </w:rPr>
              <w:t xml:space="preserve">il limite: la colpa non si eredita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Nessuna delle persone nominate è indicata come responsabile di reato o di illecito</w:t>
            </w:r>
            <w:r>
              <w:rPr>
                <w:rFonts w:ascii="Barlow Semi Condensed" w:cs="Barlow Semi Condensed" w:eastAsia="Barlow Semi Condensed" w:hAnsi="Barlow Semi Condensed"/>
                <w:sz w:val="20"/>
                <w:szCs w:val="20"/>
              </w:rPr>
              <w:t xml:space="preserve">, e nessuna risulta condannata: i nomi compaiono solo per fatti pubblici e documentabili. Vale la </w:t>
            </w:r>
            <w:r>
              <w:rPr>
                <w:rFonts w:ascii="Barlow Semi Condensed" w:cs="Barlow Semi Condensed" w:eastAsia="Barlow Semi Condensed" w:hAnsi="Barlow Semi Condensed"/>
                <w:b/>
                <w:bCs/>
                <w:sz w:val="20"/>
                <w:szCs w:val="20"/>
              </w:rPr>
              <w:t xml:space="preserve">regola dei tre piani</w:t>
            </w:r>
            <w:r>
              <w:rPr>
                <w:rFonts w:ascii="Barlow Semi Condensed" w:cs="Barlow Semi Condensed" w:eastAsia="Barlow Semi Condensed" w:hAnsi="Barlow Semi Condensed"/>
                <w:sz w:val="20"/>
                <w:szCs w:val="20"/>
              </w:rPr>
              <w:t xml:space="preserve"> — un ponte è reale solo al piano 1 — e la distinzione fra omologia e analogia. Il raccordo con l'opera-madre è </w:t>
            </w:r>
            <w:r>
              <w:rPr>
                <w:rFonts w:ascii="Barlow Semi Condensed" w:cs="Barlow Semi Condensed" w:eastAsia="Barlow Semi Condensed" w:hAnsi="Barlow Semi Condensed"/>
                <w:b/>
                <w:bCs/>
                <w:sz w:val="20"/>
                <w:szCs w:val="20"/>
              </w:rPr>
              <w:t xml:space="preserve">tematico e non documentale</w:t>
            </w:r>
            <w:r>
              <w:rPr>
                <w:rFonts w:ascii="Barlow Semi Condensed" w:cs="Barlow Semi Condensed" w:eastAsia="Barlow Semi Condensed" w:hAnsi="Barlow Semi Condensed"/>
                <w:sz w:val="20"/>
                <w:szCs w:val="20"/>
              </w:rPr>
              <w:t xml:space="preserve">, dichiarato in copertina: l'unico ponte documentato che il corpus possiede col tema è il nodo </w:t>
            </w:r>
            <w:r>
              <w:rPr>
                <w:rFonts w:ascii="Barlow Semi Condensed" w:cs="Barlow Semi Condensed" w:eastAsia="Barlow Semi Condensed" w:hAnsi="Barlow Semi Condensed"/>
                <w:b/>
                <w:bCs/>
                <w:sz w:val="20"/>
                <w:szCs w:val="20"/>
              </w:rPr>
              <w:t xml:space="preserve">E-16</w:t>
            </w:r>
            <w:r>
              <w:rPr>
                <w:rFonts w:ascii="Barlow Semi Condensed" w:cs="Barlow Semi Condensed" w:eastAsia="Barlow Semi Condensed" w:hAnsi="Barlow Semi Condensed"/>
                <w:sz w:val="20"/>
                <w:szCs w:val="20"/>
              </w:rPr>
              <w:t xml:space="preserve"> della triangolazione Guevara-Moro, il discorso alle Nazioni Unite dell'</w:t>
            </w:r>
            <w:r>
              <w:rPr>
                <w:rFonts w:ascii="Barlow Semi Condensed" w:cs="Barlow Semi Condensed" w:eastAsia="Barlow Semi Condensed" w:hAnsi="Barlow Semi Condensed"/>
                <w:b/>
                <w:bCs/>
                <w:sz w:val="20"/>
                <w:szCs w:val="20"/>
              </w:rPr>
              <w:t xml:space="preserve">11 dicembre 1964</w:t>
            </w:r>
            <w:r>
              <w:rPr>
                <w:rFonts w:ascii="Barlow Semi Condensed" w:cs="Barlow Semi Condensed" w:eastAsia="Barlow Semi Condensed" w:hAnsi="Barlow Semi Condensed"/>
                <w:sz w:val="20"/>
                <w:szCs w:val="20"/>
              </w:rPr>
              <w:t xml:space="preserve">. Escluse come fonti </w:t>
            </w:r>
            <w:r>
              <w:rPr>
                <w:rFonts w:ascii="Barlow Semi Condensed" w:cs="Barlow Semi Condensed" w:eastAsia="Barlow Semi Condensed" w:hAnsi="Barlow Semi Condensed"/>
                <w:i/>
                <w:iCs/>
                <w:sz w:val="20"/>
                <w:szCs w:val="20"/>
              </w:rPr>
              <w:t xml:space="preserve">il manifesto</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Grokipedia</w:t>
            </w:r>
            <w:r>
              <w:rPr>
                <w:rFonts w:ascii="Barlow Semi Condensed" w:cs="Barlow Semi Condensed" w:eastAsia="Barlow Semi Condensed" w:hAnsi="Barlow Semi Condensed"/>
                <w:sz w:val="20"/>
                <w:szCs w:val="20"/>
              </w:rPr>
              <w:t xml:space="preserve">, quest'ultima anche perché parte in causa sul tema. Una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IL_DITTICO_DELLA_RICERCA_AGENDA_E_NOVE_CANTIERI.docx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.pdf`](IL_DITTICO_DELLA_RICERCA_AGENDA_E_NOVE_CANTIERI.pdf)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dittico della ricerca — volume rilegato del versante di ricerca della quadriga, in doppia edizione DOCX e PDF.</w:t>
            </w:r>
            <w:r>
              <w:rPr>
                <w:rFonts w:ascii="Barlow Semi Condensed" w:cs="Barlow Semi Condensed" w:eastAsia="Barlow Semi Condensed" w:hAnsi="Barlow Semi Condensed"/>
                <w:sz w:val="20"/>
                <w:szCs w:val="20"/>
              </w:rPr>
              <w:t xml:space="preserve"> Parte prima: l'agenda di ricerca in 300 blocchi mirati (dodici serie con statuto, l'Apparato V-1…V-12). Parte seconda: i nove cantieri in 1.000 blocchi mirati (nove Parti con statuto, l'Apparato C-1…C-9). Milletrecento bersagli documentali in un solo dorso; il gemello operativo (programma + manuale) resta rilegato nel volume del fascicolo aperto. DOCX verificato (1.433 paragrafi, zero residui); </w:t>
            </w:r>
            <w:r>
              <w:rPr>
                <w:rFonts w:ascii="Barlow Semi Condensed" w:cs="Barlow Semi Condensed" w:eastAsia="Barlow Semi Condensed" w:hAnsi="Barlow Semi Condensed"/>
                <w:b/>
                <w:bCs/>
                <w:sz w:val="20"/>
                <w:szCs w:val="20"/>
              </w:rPr>
              <w:t xml:space="preserve">PDF di 134 pagine</w:t>
            </w:r>
            <w:r>
              <w:rPr>
                <w:rFonts w:ascii="Barlow Semi Condensed" w:cs="Barlow Semi Condensed" w:eastAsia="Barlow Semi Condensed" w:hAnsi="Barlow Semi Condensed"/>
                <w:sz w:val="20"/>
                <w:szCs w:val="20"/>
              </w:rPr>
              <w:t xml:space="preserve"> composto tipograficamente in </w:t>
            </w:r>
            <w:r>
              <w:rPr>
                <w:rFonts w:ascii="Barlow Semi Condensed" w:cs="Barlow Semi Condensed" w:eastAsia="Barlow Semi Condensed" w:hAnsi="Barlow Semi Condensed"/>
                <w:b/>
                <w:bCs/>
                <w:sz w:val="20"/>
                <w:szCs w:val="20"/>
              </w:rPr>
              <w:t xml:space="preserve">Barlow Semi Condensed</w:t>
            </w:r>
            <w:r>
              <w:rPr>
                <w:rFonts w:ascii="Barlow Semi Condensed" w:cs="Barlow Semi Condensed" w:eastAsia="Barlow Semi Condensed" w:hAnsi="Barlow Semi Condensed"/>
                <w:sz w:val="20"/>
                <w:szCs w:val="20"/>
              </w:rPr>
              <w:t xml:space="preserve"> (font incorporato) e verificato per campione. La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note-bibliografiche-opera-integrale.md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L'apparato delle note bibliografiche dell'opera integrale — dalla prima all'ultima</w:t>
            </w:r>
            <w:r>
              <w:rPr>
                <w:rFonts w:ascii="Barlow Semi Condensed" w:cs="Barlow Semi Condensed" w:eastAsia="Barlow Semi Condensed" w:hAnsi="Barlow Semi Condensed"/>
                <w:sz w:val="20"/>
                <w:szCs w:val="20"/>
              </w:rPr>
              <w:t xml:space="preserve">: il censimento meccanico e integrale di tutti gli indirizzi citati nei 35 capitoli (283 indirizzi distinti per 416 citazioni complessive su 139 domini), numerati in ordine di apparizione e registrati sotto il capitolo della prima citazione, con le ripetizioni contate; inclusi gli indirizzi citati in forma semplice senza collegamento (lo stile dell'agenda e dei cantieri). Con il riepilogo dei domini più citati. Generato dai testi e rigenerabile con essi: non una bibliografia selettiva ma l'impronta documentale dell'opera — 283 porte aperte alla verifica. Rilegato come Apparato conclusivo dell'OPERA INTEGRALE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Cartella: la dimensione diplomatica dello statista.</w:t>
            </w:r>
            <w:r>
              <w:rPr>
                <w:rFonts w:ascii="Barlow Semi Condensed" w:cs="Barlow Semi Condensed" w:eastAsia="Barlow Semi Condensed" w:hAnsi="Barlow Semi Condensed"/>
                <w:sz w:val="20"/>
                <w:szCs w:val="20"/>
              </w:rPr>
              <w:t xml:space="preserve"> Aldo Moro ministro degli Esteri (1969-1974) come complemento documentale della Fase ottava. Contiene: la ricognizione-madre in dodici capitoli (i due mandati, la dottrina dell'equilibrio,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i versanti libico e mediterraneo, CSCE); quattro versanti nazionali che verificano una proposizione confutabile sull'insediamento dell'Opus Dei — </w:t>
            </w:r>
            <w:r>
              <w:rPr>
                <w:rFonts w:ascii="Barlow Semi Condensed" w:cs="Barlow Semi Condensed" w:eastAsia="Barlow Semi Condensed" w:hAnsi="Barlow Semi Condensed"/>
                <w:b/>
                <w:bCs/>
                <w:sz w:val="20"/>
                <w:szCs w:val="20"/>
              </w:rPr>
              <w:t xml:space="preserve">Germania</w:t>
            </w:r>
            <w:r>
              <w:rPr>
                <w:rFonts w:ascii="Barlow Semi Condensed" w:cs="Barlow Semi Condensed" w:eastAsia="Barlow Semi Condensed" w:hAnsi="Barlow Semi Condensed"/>
                <w:sz w:val="20"/>
                <w:szCs w:val="20"/>
              </w:rPr>
              <w:t xml:space="preserve"> (presenza dal 1952) e </w:t>
            </w:r>
            <w:r>
              <w:rPr>
                <w:rFonts w:ascii="Barlow Semi Condensed" w:cs="Barlow Semi Condensed" w:eastAsia="Barlow Semi Condensed" w:hAnsi="Barlow Semi Condensed"/>
                <w:b/>
                <w:bCs/>
                <w:sz w:val="20"/>
                <w:szCs w:val="20"/>
              </w:rPr>
              <w:t xml:space="preserve">Portogallo</w:t>
            </w:r>
            <w:r>
              <w:rPr>
                <w:rFonts w:ascii="Barlow Semi Condensed" w:cs="Barlow Semi Condensed" w:eastAsia="Barlow Semi Condensed" w:hAnsi="Barlow Semi Condensed"/>
                <w:sz w:val="20"/>
                <w:szCs w:val="20"/>
              </w:rPr>
              <w:t xml:space="preserve"> (presenza dal 1945, «Stato Zero» su Moro) contro </w:t>
            </w:r>
            <w:r>
              <w:rPr>
                <w:rFonts w:ascii="Barlow Semi Condensed" w:cs="Barlow Semi Condensed" w:eastAsia="Barlow Semi Condensed" w:hAnsi="Barlow Semi Condensed"/>
                <w:b/>
                <w:bCs/>
                <w:sz w:val="20"/>
                <w:szCs w:val="20"/>
              </w:rPr>
              <w:t xml:space="preserve">Grecia</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Turchia</w:t>
            </w:r>
            <w:r>
              <w:rPr>
                <w:rFonts w:ascii="Barlow Semi Condensed" w:cs="Barlow Semi Condensed" w:eastAsia="Barlow Semi Condensed" w:hAnsi="Barlow Semi Condensed"/>
                <w:sz w:val="20"/>
                <w:szCs w:val="20"/>
              </w:rPr>
              <w:t xml:space="preserve"> («Stato Zero»), ciascuno col rispettivo versante moroteo (Ostpolitik e Moro-Brandt/Scheel; Grecia dei colonnelli e Consiglio d'Europa 1969; Accordo provvisorio CEE-Turchia firmato da Moro il 27/7/1971; Cipro 1974, embargo, oppiacei, Halki); il dossier </w:t>
            </w:r>
            <w:r>
              <w:rPr>
                <w:rFonts w:ascii="Barlow Semi Condensed" w:cs="Barlow Semi Condensed" w:eastAsia="Barlow Semi Condensed" w:hAnsi="Barlow Semi Condensed"/>
                <w:b/>
                <w:bCs/>
                <w:sz w:val="20"/>
                <w:szCs w:val="20"/>
              </w:rPr>
              <w:t xml:space="preserve">Santa Sede-Turchia e l'attentato del 13/5/1981 a Giovanni Paolo II</w:t>
            </w:r>
            <w:r>
              <w:rPr>
                <w:rFonts w:ascii="Barlow Semi Condensed" w:cs="Barlow Semi Condensed" w:eastAsia="Barlow Semi Condensed" w:hAnsi="Barlow Semi Condensed"/>
                <w:sz w:val="20"/>
                <w:szCs w:val="20"/>
              </w:rPr>
              <w:t xml:space="preserve"> (pista bulgara giudizialmente non provata; «appartenenza ≠ condotta» per i Lupi Grigi); una nota che estrae dall'OCR i </w:t>
            </w:r>
            <w:r>
              <w:rPr>
                <w:rFonts w:ascii="Barlow Semi Condensed" w:cs="Barlow Semi Condensed" w:eastAsia="Barlow Semi Condensed" w:hAnsi="Barlow Semi Condensed"/>
                <w:b/>
                <w:bCs/>
                <w:sz w:val="20"/>
                <w:szCs w:val="20"/>
              </w:rPr>
              <w:t xml:space="preserve">documenti del Dipartimento di Stato USA</w:t>
            </w:r>
            <w:r>
              <w:rPr>
                <w:rFonts w:ascii="Barlow Semi Condensed" w:cs="Barlow Semi Condensed" w:eastAsia="Barlow Semi Condensed" w:hAnsi="Barlow Semi Condensed"/>
                <w:sz w:val="20"/>
                <w:szCs w:val="20"/>
              </w:rPr>
              <w:t xml:space="preserve"> — la visita ufficiale del 1965 (Johnson, ONU, cittadinanza di Philadelphia) e i cablogrammi del 1978 (Montoneros, reazioni alla morte). Le tre firme convergenti (Moro, Santa Sede, Turchia) sull'Atto finale di Helsinki come triangolazione certa. </w:t>
            </w:r>
            <w:r>
              <w:rPr>
                <w:rFonts w:ascii="Barlow Semi Condensed" w:cs="Barlow Semi Condensed" w:eastAsia="Barlow Semi Condensed" w:hAnsi="Barlow Semi Condensed"/>
                <w:b/>
                <w:bCs/>
                <w:sz w:val="20"/>
                <w:szCs w:val="20"/>
              </w:rPr>
              <w:t xml:space="preserve">Seconda campagna (25 agosto 2026): tre ricognizioni nuove</w:t>
            </w:r>
            <w:r>
              <w:rPr>
                <w:rFonts w:ascii="Barlow Semi Condensed" w:cs="Barlow Semi Condensed" w:eastAsia="Barlow Semi Condensed" w:hAnsi="Barlow Semi Condensed"/>
                <w:sz w:val="20"/>
                <w:szCs w:val="20"/>
              </w:rPr>
              <w:t xml:space="preserve"> — i documenti di Stato italiani e spagnoli con l'Opus Dei come soggetto storico (documento CIA del 22/5/1970; la frase anonima sull'«Italian official» </w:t>
            </w:r>
            <w:r>
              <w:rPr>
                <w:rFonts w:ascii="Barlow Semi Condensed" w:cs="Barlow Semi Condensed" w:eastAsia="Barlow Semi Condensed" w:hAnsi="Barlow Semi Condensed"/>
                <w:b/>
                <w:bCs/>
                <w:sz w:val="20"/>
                <w:szCs w:val="20"/>
              </w:rPr>
              <w:t xml:space="preserve">non attribuibile a Moro</w:t>
            </w:r>
            <w:r>
              <w:rPr>
                <w:rFonts w:ascii="Barlow Semi Condensed" w:cs="Barlow Semi Condensed" w:eastAsia="Barlow Semi Condensed" w:hAnsi="Barlow Semi Condensed"/>
                <w:sz w:val="20"/>
                <w:szCs w:val="20"/>
              </w:rPr>
              <w:t xml:space="preserve">; Stato Zero sul contatto diretto coi ministri spagnoli); la Santa Sede e le due Germanie con l'</w:t>
            </w:r>
            <w:r>
              <w:rPr>
                <w:rFonts w:ascii="Barlow Semi Condensed" w:cs="Barlow Semi Condensed" w:eastAsia="Barlow Semi Condensed" w:hAnsi="Barlow Semi Condensed"/>
                <w:b/>
                <w:bCs/>
                <w:sz w:val="20"/>
                <w:szCs w:val="20"/>
              </w:rPr>
              <w:t xml:space="preserve">accertamento della sequenza Oder-Neisse</w:t>
            </w:r>
            <w:r>
              <w:rPr>
                <w:rFonts w:ascii="Barlow Semi Condensed" w:cs="Barlow Semi Condensed" w:eastAsia="Barlow Semi Condensed" w:hAnsi="Barlow Semi Condensed"/>
                <w:sz w:val="20"/>
                <w:szCs w:val="20"/>
              </w:rPr>
              <w:t xml:space="preserve"> (costituzioni apostoliche del 28/6/1972, venticinque giorni dopo l'entrata in vigore del Trattato di Varsavia, col nesso attestato dalla comunicazione vaticana e non dalla sola prossimità); il Portogallo e la Santa Sede (udienza di Paolo VI dell'1/7/1970, Wiriyamu, espulsione dei comboniani del 13/4/1974, </w:t>
            </w:r>
            <w:r>
              <w:rPr>
                <w:rFonts w:ascii="Barlow Semi Condensed" w:cs="Barlow Semi Condensed" w:eastAsia="Barlow Semi Condensed" w:hAnsi="Barlow Semi Condensed"/>
                <w:b/>
                <w:bCs/>
                <w:sz w:val="20"/>
                <w:szCs w:val="20"/>
              </w:rPr>
              <w:t xml:space="preserve">nessun atto italiano reperito</w:t>
            </w:r>
            <w:r>
              <w:rPr>
                <w:rFonts w:ascii="Barlow Semi Condensed" w:cs="Barlow Semi Condensed" w:eastAsia="Barlow Semi Condensed" w:hAnsi="Barlow Semi Condensed"/>
                <w:sz w:val="20"/>
                <w:szCs w:val="20"/>
              </w:rPr>
              <w:t xml:space="preserve">) — e il </w:t>
            </w:r>
            <w:r>
              <w:rPr>
                <w:rFonts w:ascii="Barlow Semi Condensed" w:cs="Barlow Semi Condensed" w:eastAsia="Barlow Semi Condensed" w:hAnsi="Barlow Semi Condensed"/>
                <w:b/>
                <w:bCs/>
                <w:sz w:val="20"/>
                <w:szCs w:val="20"/>
              </w:rPr>
              <w:t xml:space="preserve">verbale delle sei letture incrociate</w:t>
            </w:r>
            <w:r>
              <w:rPr>
                <w:rFonts w:ascii="Barlow Semi Condensed" w:cs="Barlow Semi Condensed" w:eastAsia="Barlow Semi Condensed" w:hAnsi="Barlow Semi Condensed"/>
                <w:sz w:val="20"/>
                <w:szCs w:val="20"/>
              </w:rPr>
              <w:t xml:space="preserve"> in `</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i/>
                <w:iCs/>
                <w:sz w:val="20"/>
                <w:szCs w:val="20"/>
              </w:rPr>
              <w:t xml:space="preserve">, con quindici acquisizioni, cinque correzioni (due dal corpus verso i documenti nuovi), otto divergenze lasciate aperte, sei Stati Zero condivisi e **tre correzioni imposte alla quadriga investigativa**. Con </w:t>
            </w:r>
            <w:r>
              <w:rPr>
                <w:rFonts w:ascii="Barlow Semi Condensed" w:cs="Barlow Semi Condensed" w:eastAsia="Barlow Semi Condensed" w:hAnsi="Barlow Semi Condensed"/>
                <w:sz w:val="20"/>
                <w:szCs w:val="20"/>
              </w:rPr>
              <w:t xml:space="preserve">manifest-sha256.txt` (catena di custodia, due file Germania identici deduplicati). Nessuna imputazione oltre il giudicato; esiti negativi dichiarati come acquisizioni di pieno 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ALDO_MORO_UNA_GUERRA_SENZA_FINE_OPERA_COMPLETA.docx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.pdf`](ALDO_MORO_UNA_GUERRA_SENZA_FINE_OPERA_COMPLETA.pdf) (57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integrale rilegato dell'intera opera</w:t>
            </w:r>
            <w:r>
              <w:rPr>
                <w:rFonts w:ascii="Barlow Semi Condensed" w:cs="Barlow Semi Condensed" w:eastAsia="Barlow Semi Condensed" w:hAnsi="Barlow Semi Condensed"/>
                <w:sz w:val="20"/>
                <w:szCs w:val="20"/>
              </w:rPr>
              <w:t xml:space="preserve"> su Moro, nell'ordine di lettura consigliato: Fase ottava (il ritratto), «Dal Che a Moro» (il saggio-cerniera con la Parte quarta pastiche dichiarato), Parte terza (il dossier delle questioni aperte), Fase sesta (il presidio del garante), Fase settima (il registro giudiziario), Fase nona (il repertorio), Fase decima (il principio personalistico: le responsabilità dei singoli, mai dei gruppi), Apparato dei gradi (indice analitico, in appendice). Frontespizio con l'ordine dell'opera e la disciplina dei gradi, indice, Barlow Semi Condensed 12, testo interamente giustificato. Verificato (45 H1, 10 tabelle). L'uomo al principio; nessuna imputazione oltre il giudicato; la graduatoria non riprodotta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ALDO_MORO_UNA_GUERRA_SENZA_FINE_TRE_NUOVE_FASI.docx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.pdf`](ALDO_MORO_UNA_GUERRA_SENZA_FINE_TRE_NUOVE_FASI.pdf) (26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delle tre continuazioni più recenti dell'opera (capp. 56-76): Fase ottava (il ritratto dell'uomo), Fase settima (il registro giudiziario), Fase nona (il repertorio del caso). Frontespizio con l'ordine di lettura e la disciplina dei gradi, indice, Barlow Semi Condensed 12, testo interamente giustificato, fonti con indirizzi. Verificato strutturalmente (26 H1, 3 tabelle)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ALDO_MORO_UNA_GUERRA_SENZA_FINE_TRE_CONTINUAZIONI.docx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.pdf`](ALDO_MORO_UNA_GUERRA_SENZA_FINE_TRE_CONTINUAZIONI.pdf) (20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delle tre continuazioni originali dell'opera (Il ritorno del Pollo di Popper · Il presidio del garante · L'apparato dei gradi), in doppia edizione DOCX e PDF, Barlow Semi Condensed 12, testo interamente giustificato. Verificato strutturalmente (13 H1, 5 tabelle). Nessuna persona indicata come responsabile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ALDO_MORO_MINISTRO_DEGLI_ESTERI_LA_DIMENSIONE_DIPLOMATICA.docx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.pdf`](ALDO_MORO_MINISTRO_DEGLI_ESTERI_LA_DIMENSIONE_DIPLOMATICA.pdf) (145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della cartella ``moro-ministro-esteri/``</w:t>
            </w:r>
            <w:r>
              <w:rPr>
                <w:rFonts w:ascii="Barlow Semi Condensed" w:cs="Barlow Semi Condensed" w:eastAsia="Barlow Semi Condensed" w:hAnsi="Barlow Semi Condensed"/>
                <w:sz w:val="20"/>
                <w:szCs w:val="20"/>
              </w:rPr>
              <w:t xml:space="preserve">: la dimensione diplomatica dello statista in </w:t>
            </w:r>
            <w:r>
              <w:rPr>
                <w:rFonts w:ascii="Barlow Semi Condensed" w:cs="Barlow Semi Condensed" w:eastAsia="Barlow Semi Condensed" w:hAnsi="Barlow Semi Condensed"/>
                <w:b/>
                <w:bCs/>
                <w:sz w:val="20"/>
                <w:szCs w:val="20"/>
              </w:rPr>
              <w:t xml:space="preserve">undici parti</w:t>
            </w:r>
            <w:r>
              <w:rPr>
                <w:rFonts w:ascii="Barlow Semi Condensed" w:cs="Barlow Semi Condensed" w:eastAsia="Barlow Semi Condensed" w:hAnsi="Barlow Semi Condensed"/>
                <w:sz w:val="20"/>
                <w:szCs w:val="20"/>
              </w:rPr>
              <w:t xml:space="preserve"> — la collazione d'apertura, la ricognizione-madre sui due mandati (1969-1974), i quattro versanti nazionali (Germania, Portogallo, Grecia, Turchia con l'Opus Dei), il dossier Santa Sede-Turchia con l'attentato del 1981 a Giovanni Paolo II, </w:t>
            </w:r>
            <w:r>
              <w:rPr>
                <w:rFonts w:ascii="Barlow Semi Condensed" w:cs="Barlow Semi Condensed" w:eastAsia="Barlow Semi Condensed" w:hAnsi="Barlow Semi Condensed"/>
                <w:b/>
                <w:bCs/>
                <w:sz w:val="20"/>
                <w:szCs w:val="20"/>
              </w:rPr>
              <w:t xml:space="preserve">le tre ricognizioni della seconda campagna</w:t>
            </w:r>
            <w:r>
              <w:rPr>
                <w:rFonts w:ascii="Barlow Semi Condensed" w:cs="Barlow Semi Condensed" w:eastAsia="Barlow Semi Condensed" w:hAnsi="Barlow Semi Condensed"/>
                <w:sz w:val="20"/>
                <w:szCs w:val="20"/>
              </w:rPr>
              <w:t xml:space="preserve"> (documenti italiani e spagnoli con l'Opus Dei; la Santa Sede e le due Germanie con la sequenza Oder-Neisse; il Portogallo e la Santa Sede), </w:t>
            </w:r>
            <w:r>
              <w:rPr>
                <w:rFonts w:ascii="Barlow Semi Condensed" w:cs="Barlow Semi Condensed" w:eastAsia="Barlow Semi Condensed" w:hAnsi="Barlow Semi Condensed"/>
                <w:b/>
                <w:bCs/>
                <w:sz w:val="20"/>
                <w:szCs w:val="20"/>
              </w:rPr>
              <w:t xml:space="preserve">la triangolazione della seconda campagna</w:t>
            </w:r>
            <w:r>
              <w:rPr>
                <w:rFonts w:ascii="Barlow Semi Condensed" w:cs="Barlow Semi Condensed" w:eastAsia="Barlow Semi Condensed" w:hAnsi="Barlow Semi Condensed"/>
                <w:sz w:val="20"/>
                <w:szCs w:val="20"/>
              </w:rPr>
              <w:t xml:space="preserve"> e, in appendice, i documenti del Dipartimento di Stato USA (1965 e 1978). Frontespizio con l'ordine del volume e la disciplina, indice, Barlow Semi Condensed 12, testo interamente giustificato, fonti con indirizzi per la tracciabilità. Verificato strutturalmente (25 H1, 96 H2, 6 tabelle; 652 paragrafi, testo giustificato con sillabazione). Nessuna imputazione oltre il giudicato; esiti negativi dichiarati; pista bulgara qualificata come non provata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ALDO_MORO_FASE_DECIMA_IL_PRINCIPIO_PERSONALISTICO.docx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.pdf`](ALDO_MORO_FASE_DECIMA_IL_PRINCIPIO_PERSONALISTICO.pdf) (17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della Fase decima</w:t>
            </w:r>
            <w:r>
              <w:rPr>
                <w:rFonts w:ascii="Barlow Semi Condensed" w:cs="Barlow Semi Condensed" w:eastAsia="Barlow Semi Condensed" w:hAnsi="Barlow Semi Condensed"/>
                <w:sz w:val="20"/>
                <w:szCs w:val="20"/>
              </w:rPr>
              <w:t xml:space="preserve"> (capp. 77-82) con, in appendice, la triangolazione dei tredici condannati con il corpus. Frontespizio con l'ordine del volume e la disciplina, indice, Barlow Semi Condensed 12, testo interamente giustificato, fonti con indirizzi. Verificato strutturalmente (11 H1, 16 H2, 4 tabelle; tabella del registro = intestazione + 13 persone). Nessuna graduatoria né percentuale; nessun ponte promosso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LA_TERZA_STRADA_CEPPO_SIMIONI_E_NODO_HYPERION.docx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.pdf`](LA_TERZA_STRADA_CEPPO_SIMIONI_E_NODO_HYPERION.pdf) (18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 dittico della «terza strada»</w:t>
            </w:r>
            <w:r>
              <w:rPr>
                <w:rFonts w:ascii="Barlow Semi Condensed" w:cs="Barlow Semi Condensed" w:eastAsia="Barlow Semi Condensed" w:hAnsi="Barlow Semi Condensed"/>
                <w:sz w:val="20"/>
                <w:szCs w:val="20"/>
              </w:rPr>
              <w:t xml:space="preserve">: pannello primo, lo studio monografico del ceppo Simioni (CPM → Superclan → Hyperion, nove capitoli); pannello secondo, la triangolazione del nodo Hyperion con il corpus (HY-1…HY-9). Frontespizio con l'esito in testa (proscioglimenti e assoluzioni per tutti), indice, Barlow Semi Condensed 12, testo interamente giustificato, fonti con indirizzi. Verificato strutturalmente (15 H1, 3 tabelle). Il «fu assolto, ma» bandito; nessuna tesi oltre il grado C</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IL_CODICE_E_LA_SUA_TRASMISSIONE_KISSINGER_MILLE_BLOCCHI.docx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.pdf`](IL_CODICE_E_LA_SUA_TRASMISSIONE_KISSINGER_MILLE_BLOCCHI.pdf) (626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dell'opera Kissinger, in doppia edizione DOCX e PDF.</w:t>
            </w:r>
            <w:r>
              <w:rPr>
                <w:rFonts w:ascii="Barlow Semi Condensed" w:cs="Barlow Semi Condensed" w:eastAsia="Barlow Semi Condensed" w:hAnsi="Barlow Semi Condensed"/>
                <w:sz w:val="20"/>
                <w:szCs w:val="20"/>
              </w:rPr>
              <w:t xml:space="preserve"> I 4.999 blocchi mirati nelle sessantacinque serie, col frontespizio che dichiara la chiave («Kissinger rappresenta metaforicamente la genetica» — lente e non sentenza), la regola dei tre piani e l'esito in testa: </w:t>
            </w:r>
            <w:r>
              <w:rPr>
                <w:rFonts w:ascii="Barlow Semi Condensed" w:cs="Barlow Semi Condensed" w:eastAsia="Barlow Semi Condensed" w:hAnsi="Barlow Semi Condensed"/>
                <w:b/>
                <w:bCs/>
                <w:sz w:val="20"/>
                <w:szCs w:val="20"/>
              </w:rPr>
              <w:t xml:space="preserve">nessuna condanna, nessuna imputazione, nessun blocco che indichi alcuno come responsabile di reato</w:t>
            </w:r>
            <w:r>
              <w:rPr>
                <w:rFonts w:ascii="Barlow Semi Condensed" w:cs="Barlow Semi Condensed" w:eastAsia="Barlow Semi Condensed" w:hAnsi="Barlow Semi Condensed"/>
                <w:sz w:val="20"/>
                <w:szCs w:val="20"/>
              </w:rPr>
              <w:t xml:space="preserve">. Indice, Barlow Semi Condensed, testo interamente giustificato con sillabazione automatica in entrambe le edizioni. In coda: «Che cosa quest'opera non ha stabilito» e l'</w:t>
            </w:r>
            <w:r>
              <w:rPr>
                <w:rFonts w:ascii="Barlow Semi Condensed" w:cs="Barlow Semi Condensed" w:eastAsia="Barlow Semi Condensed" w:hAnsi="Barlow Semi Condensed"/>
                <w:b/>
                <w:bCs/>
                <w:sz w:val="20"/>
                <w:szCs w:val="20"/>
              </w:rPr>
              <w:t xml:space="preserve">Apparato K</w:t>
            </w:r>
            <w:r>
              <w:rPr>
                <w:rFonts w:ascii="Barlow Semi Condensed" w:cs="Barlow Semi Condensed" w:eastAsia="Barlow Semi Condensed" w:hAnsi="Barlow Semi Condensed"/>
                <w:sz w:val="20"/>
                <w:szCs w:val="20"/>
              </w:rPr>
              <w:t xml:space="preserve"> delle verifiche. In biologia il carattere si eredita, in storia la responsabilità 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IL_MERIDIANO_E_LA_VALLE_DAL_SUD_AFRICA_ALLA_PAYPAL_MAFIA.docx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.pdf`](IL_MERIDIANO_E_LA_VALLE_DAL_SUD_AFRICA_ALLA_PAYPAL_MAFIA.pdf) (133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 Libro quattordicesimo, in doppia edizione DOCX e PDF.</w:t>
            </w:r>
            <w:r>
              <w:rPr>
                <w:rFonts w:ascii="Barlow Semi Condensed" w:cs="Barlow Semi Condensed" w:eastAsia="Barlow Semi Condensed" w:hAnsi="Barlow Semi Condensed"/>
                <w:sz w:val="20"/>
                <w:szCs w:val="20"/>
              </w:rPr>
              <w:t xml:space="preserve"> I 1.000 blocchi mirati di ricerca nelle tredici serie, col frontespizio che dichiara la chiave (lente e non sentenza, ipotesi e non premessa), la regola dei tre piani e lo statuto delle persone: </w:t>
            </w:r>
            <w:r>
              <w:rPr>
                <w:rFonts w:ascii="Barlow Semi Condensed" w:cs="Barlow Semi Condensed" w:eastAsia="Barlow Semi Condensed" w:hAnsi="Barlow Semi Condensed"/>
                <w:b/>
                <w:bCs/>
                <w:sz w:val="20"/>
                <w:szCs w:val="20"/>
              </w:rPr>
              <w:t xml:space="preserve">nessun blocco indica alcuno come responsabile di reato o di illecito</w:t>
            </w:r>
            <w:r>
              <w:rPr>
                <w:rFonts w:ascii="Barlow Semi Condensed" w:cs="Barlow Semi Condensed" w:eastAsia="Barlow Semi Condensed" w:hAnsi="Barlow Semi Condensed"/>
                <w:sz w:val="20"/>
                <w:szCs w:val="20"/>
              </w:rPr>
              <w:t xml:space="preserve">; l'origine non è una colpa e l'infanzia non è una scelta. Indice, Barlow Semi Condensed, testo interamente giustificato con sillabazione automatica in entrambe le edizioni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IL_FASCICOLO_APERTO_PROGRAMMA_INVESTIGATIVO.docx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.pdf`](IL_FASCICOLO_APERTO_PROGRAMMA_INVESTIGATIVO.pdf)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 versante investigativo, in doppia edizione DOCX e PDF — edizione aggiornata e completa.</w:t>
            </w:r>
            <w:r>
              <w:rPr>
                <w:rFonts w:ascii="Barlow Semi Condensed" w:cs="Barlow Semi Condensed" w:eastAsia="Barlow Semi Condensed" w:hAnsi="Barlow Semi Condensed"/>
                <w:sz w:val="20"/>
                <w:szCs w:val="20"/>
              </w:rPr>
              <w:t xml:space="preserve"> Parte prima: il programma e le graduatorie. Parte seconda: le schede delle piste di testa con la Nota di revisione n. 1. Parte terza: </w:t>
            </w:r>
            <w:r>
              <w:rPr>
                <w:rFonts w:ascii="Barlow Semi Condensed" w:cs="Barlow Semi Condensed" w:eastAsia="Barlow Semi Condensed" w:hAnsi="Barlow Semi Condensed"/>
                <w:b/>
                <w:bCs/>
                <w:sz w:val="20"/>
                <w:szCs w:val="20"/>
              </w:rPr>
              <w:t xml:space="preserve">tutte e sei</w:t>
            </w:r>
            <w:r>
              <w:rPr>
                <w:rFonts w:ascii="Barlow Semi Condensed" w:cs="Barlow Semi Condensed" w:eastAsia="Barlow Semi Condensed" w:hAnsi="Barlow Semi Condensed"/>
                <w:sz w:val="20"/>
                <w:szCs w:val="20"/>
              </w:rPr>
              <w:t xml:space="preserve"> le schede delle entità (comitati, via Gradoli, condominio, mediazione vaticana, alleati, registro delle segnalazioni). </w:t>
            </w:r>
            <w:r>
              <w:rPr>
                <w:rFonts w:ascii="Barlow Semi Condensed" w:cs="Barlow Semi Condensed" w:eastAsia="Barlow Semi Condensed" w:hAnsi="Barlow Semi Condensed"/>
                <w:b/>
                <w:bCs/>
                <w:sz w:val="20"/>
                <w:szCs w:val="20"/>
              </w:rPr>
              <w:t xml:space="preserve">Parte quarta: il manuale del nuovo Caso Moro in quattrocento blocchi mirati (seconda edizione accresciuta)</w:t>
            </w:r>
            <w:r>
              <w:rPr>
                <w:rFonts w:ascii="Barlow Semi Condensed" w:cs="Barlow Semi Condensed" w:eastAsia="Barlow Semi Condensed" w:hAnsi="Barlow Semi Condensed"/>
                <w:sz w:val="20"/>
                <w:szCs w:val="20"/>
              </w:rPr>
              <w:t xml:space="preserve">, con la nota d'edizione al blocco 300. DOCX verificato (628 paragrafi, 10 H1, 3 tabelle, zero residui); </w:t>
            </w:r>
            <w:r>
              <w:rPr>
                <w:rFonts w:ascii="Barlow Semi Condensed" w:cs="Barlow Semi Condensed" w:eastAsia="Barlow Semi Condensed" w:hAnsi="Barlow Semi Condensed"/>
                <w:b/>
                <w:bCs/>
                <w:sz w:val="20"/>
                <w:szCs w:val="20"/>
              </w:rPr>
              <w:t xml:space="preserve">PDF di 60 pagine</w:t>
            </w:r>
            <w:r>
              <w:rPr>
                <w:rFonts w:ascii="Barlow Semi Condensed" w:cs="Barlow Semi Condensed" w:eastAsia="Barlow Semi Condensed" w:hAnsi="Barlow Semi Condensed"/>
                <w:sz w:val="20"/>
                <w:szCs w:val="20"/>
              </w:rPr>
              <w:t xml:space="preserve"> composto tipograficamente in </w:t>
            </w:r>
            <w:r>
              <w:rPr>
                <w:rFonts w:ascii="Barlow Semi Condensed" w:cs="Barlow Semi Condensed" w:eastAsia="Barlow Semi Condensed" w:hAnsi="Barlow Semi Condensed"/>
                <w:b/>
                <w:bCs/>
                <w:sz w:val="20"/>
                <w:szCs w:val="20"/>
              </w:rPr>
              <w:t xml:space="preserve">Barlow Semi Condensed</w:t>
            </w:r>
            <w:r>
              <w:rPr>
                <w:rFonts w:ascii="Barlow Semi Condensed" w:cs="Barlow Semi Condensed" w:eastAsia="Barlow Semi Condensed" w:hAnsi="Barlow Semi Condensed"/>
                <w:sz w:val="20"/>
                <w:szCs w:val="20"/>
              </w:rPr>
              <w:t xml:space="preserve"> (font incorporato) e verificato per campione.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UNA_GUERRA_SENZA_FINE_OPERA_INTEGRALE.docx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.pdf`](UNA_GUERRA_SENZA_FINE_OPERA_INTEGRALE.pdf)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«ALDO MORO — OTTANTA ANNI DI PACE» — L'OPERA INTEGRALE</w:t>
            </w:r>
            <w:r>
              <w:rPr>
                <w:rFonts w:ascii="Barlow Semi Condensed" w:cs="Barlow Semi Condensed" w:eastAsia="Barlow Semi Condensed" w:hAnsi="Barlow Semi Condensed"/>
                <w:sz w:val="20"/>
                <w:szCs w:val="20"/>
              </w:rPr>
              <w:t xml:space="preserve"> (il titolo è la chiave interpretativa scelta dall'autore, dichiarata in copertina come lente e non sentenza, e portatrice di due letture che l'opera non scioglie — gli ottant'anni dal 1945 e il decennio che il 1978 apre; l'opera resta, nel suo nome proprio, «Una guerra senza fine») — l'intero corpus storico del branch in un solo volume</w:t>
            </w:r>
            <w:r>
              <w:rPr>
                <w:rFonts w:ascii="Barlow Semi Condensed" w:cs="Barlow Semi Condensed" w:eastAsia="Barlow Semi Condensed" w:hAnsi="Barlow Semi Condensed"/>
                <w:b/>
                <w:bCs/>
                <w:sz w:val="20"/>
                <w:szCs w:val="20"/>
              </w:rPr>
              <w:t xml:space="preserve">, in doppia edizione DOCX e PDF: il Portale (l'edizione strutturata), i quattordici Libri (il ritratto; Dal Che a Moro; la parabola di Guevara in sei studi; </w:t>
            </w:r>
            <w:r>
              <w:rPr>
                <w:rFonts w:ascii="Barlow Semi Condensed" w:cs="Barlow Semi Condensed" w:eastAsia="Barlow Semi Condensed" w:hAnsi="Barlow Semi Condensed"/>
                <w:sz w:val="20"/>
                <w:szCs w:val="20"/>
              </w:rPr>
              <w:t xml:space="preserve">il Dossier maggiore dell'autore, «Una Pace senza Pace · Tutta la verità», conservato per intero come volume nel volume, con la divergenza di regime dichiarata in sua apertura</w:t>
            </w:r>
            <w:r>
              <w:rPr>
                <w:rFonts w:ascii="Barlow Semi Condensed" w:cs="Barlow Semi Condensed" w:eastAsia="Barlow Semi Condensed" w:hAnsi="Barlow Semi Condensed"/>
                <w:b/>
                <w:bCs/>
                <w:sz w:val="20"/>
                <w:szCs w:val="20"/>
              </w:rPr>
              <w:t xml:space="preserve">; il vettore e il ceppo in cinque; il filo del 1926 in tre; le questioni aperte; il metodo col presidio del garante e le metodologie calcolate; il registro giudiziario; il repertorio; le responsabilità personali col principio personalistico e la prosopografia; la dimensione diplomatica con la collazione Farnesina, i documenti State Dept e le pene oltre confine; </w:t>
            </w:r>
            <w:r>
              <w:rPr>
                <w:rFonts w:ascii="Barlow Semi Condensed" w:cs="Barlow Semi Condensed" w:eastAsia="Barlow Semi Condensed" w:hAnsi="Barlow Semi Condensed"/>
                <w:sz w:val="20"/>
                <w:szCs w:val="20"/>
              </w:rPr>
              <w:t xml:space="preserve">il fascicolo aperto in sette parti, con l'intera quadriga investigativa — il programma, il manuale in 400 blocchi, l'agenda in 300, i nove cantieri in 1.000 — e, in chiusura, la triangolazione di un solo nome contro tutto il corpus in altri 1.000: «Il codice e la sua trasmissione»</w:t>
            </w:r>
            <w:r>
              <w:rPr>
                <w:rFonts w:ascii="Barlow Semi Condensed" w:cs="Barlow Semi Condensed" w:eastAsia="Barlow Semi Condensed" w:hAnsi="Barlow Semi Condensed"/>
                <w:b/>
                <w:bCs/>
                <w:sz w:val="20"/>
                <w:szCs w:val="20"/>
              </w:rPr>
              <w:t xml:space="preserve">) e le quattro Appendici (l'apparato dei gradi; il pastiche dichiarato; la verifica di un elenco esterno, con lo Stato Zero sul calcolo per finestra temporale; e l'Appendice IV, che assorbe nel volume l'apparato di navigazione — guida e indice — e i tredici documenti del dossier di invio, sicché nessuna parte dell'opera resta fuori dal volume salvo il registro delle impronte, che non vi può entrare perché elenca impronte che la ricomposizione stessa cambia). </w:t>
            </w:r>
            <w:r>
              <w:rPr>
                <w:rFonts w:ascii="Barlow Semi Condensed" w:cs="Barlow Semi Condensed" w:eastAsia="Barlow Semi Condensed" w:hAnsi="Barlow Semi Condensed"/>
                <w:sz w:val="20"/>
                <w:szCs w:val="20"/>
              </w:rPr>
              <w:t xml:space="preserve">Centouno documenti</w:t>
            </w:r>
            <w:r>
              <w:rPr>
                <w:rFonts w:ascii="Barlow Semi Condensed" w:cs="Barlow Semi Condensed" w:eastAsia="Barlow Semi Condensed" w:hAnsi="Barlow Semi Condensed"/>
                <w:b/>
                <w:bCs/>
                <w:sz w:val="20"/>
                <w:szCs w:val="20"/>
              </w:rPr>
              <w:t xml:space="preserve"> in ordine di lettura — sesta edizione accresciuta. Chiude il volume l'</w:t>
            </w:r>
            <w:r>
              <w:rPr>
                <w:rFonts w:ascii="Barlow Semi Condensed" w:cs="Barlow Semi Condensed" w:eastAsia="Barlow Semi Condensed" w:hAnsi="Barlow Semi Condensed"/>
                <w:sz w:val="20"/>
                <w:szCs w:val="20"/>
              </w:rPr>
              <w:t xml:space="preserve">apparato conclusivo delle note bibliografiche, dalla prima all'ultima</w:t>
            </w:r>
            <w:r>
              <w:rPr>
                <w:rFonts w:ascii="Barlow Semi Condensed" w:cs="Barlow Semi Condensed" w:eastAsia="Barlow Semi Condensed" w:hAnsi="Barlow Semi Condensed"/>
                <w:b/>
                <w:bCs/>
                <w:sz w:val="20"/>
                <w:szCs w:val="20"/>
              </w:rPr>
              <w:t xml:space="preserve"> (687 indirizzi distinti per 1.043 citazioni su 357 domini, numerati in ordine di apparizione, coi propri due grafici 3D — che da questa edizione stanno sull'apparato stesso e non più, per un indice cablato, sul capitolo che li precedeva). DOCX verificato (1.183.437 parole, 235 immagini incorporate, zero duplicati); </w:t>
            </w:r>
            <w:r>
              <w:rPr>
                <w:rFonts w:ascii="Barlow Semi Condensed" w:cs="Barlow Semi Condensed" w:eastAsia="Barlow Semi Condensed" w:hAnsi="Barlow Semi Condensed"/>
                <w:sz w:val="20"/>
                <w:szCs w:val="20"/>
              </w:rPr>
              <w:t xml:space="preserve">PDF di 2.425 pagine</w:t>
            </w:r>
            <w:r>
              <w:rPr>
                <w:rFonts w:ascii="Barlow Semi Condensed" w:cs="Barlow Semi Condensed" w:eastAsia="Barlow Semi Condensed" w:hAnsi="Barlow Semi Condensed"/>
                <w:b/>
                <w:bCs/>
                <w:sz w:val="20"/>
                <w:szCs w:val="20"/>
              </w:rPr>
              <w:t xml:space="preserve"> composto tipograficamente in </w:t>
            </w:r>
            <w:r>
              <w:rPr>
                <w:rFonts w:ascii="Barlow Semi Condensed" w:cs="Barlow Semi Condensed" w:eastAsia="Barlow Semi Condensed" w:hAnsi="Barlow Semi Condensed"/>
                <w:sz w:val="20"/>
                <w:szCs w:val="20"/>
              </w:rPr>
              <w:t xml:space="preserve">Barlow Semi Condensed</w:t>
            </w:r>
            <w:r>
              <w:rPr>
                <w:rFonts w:ascii="Barlow Semi Condensed" w:cs="Barlow Semi Condensed" w:eastAsia="Barlow Semi Condensed" w:hAnsi="Barlow Semi Condensed"/>
                <w:b/>
                <w:bCs/>
                <w:sz w:val="20"/>
                <w:szCs w:val="20"/>
              </w:rPr>
              <w:t xml:space="preserve"> (font incorporato; A4, copertina, occhielli di libro) e verificato per campione. Con l'</w:t>
            </w:r>
            <w:r>
              <w:rPr>
                <w:rFonts w:ascii="Barlow Semi Condensed" w:cs="Barlow Semi Condensed" w:eastAsia="Barlow Semi Condensed" w:hAnsi="Barlow Semi Condensed"/>
                <w:sz w:val="20"/>
                <w:szCs w:val="20"/>
              </w:rPr>
              <w:t xml:space="preserve">apparato grafico a piè di ogni capitolo</w:t>
            </w:r>
            <w:r>
              <w:rPr>
                <w:rFonts w:ascii="Barlow Semi Condensed" w:cs="Barlow Semi Condensed" w:eastAsia="Barlow Semi Condensed" w:hAnsi="Barlow Semi Condensed"/>
                <w:b/>
                <w:bCs/>
                <w:sz w:val="20"/>
                <w:szCs w:val="20"/>
              </w:rPr>
              <w:t xml:space="preserve">: 235 grafici a barre orizzontali su fondo a gradiente crema (mai meno di due per capitolo, 102 capitoli coperti) — le misure del testo per sezione e, dove il corpus ha numeri verificati, i dati (le graduatorie delle piste, i 91 bossoli per attribuzione peritale, la macchina delle ricerche, i blocchi per serie della quadriga e delle tredici serie della triangolazione Kissinger, la scala ordinale dei tre piani, la centralità della rete documentata, gli stati e i decessi del registro); colori a palette: tavolozza a otto colori — blu, arancione, viola, verde, rosa, giallo, teal, rosso — convalidata col validatore del metodo (luminosità, croma, separazione CVD, contrasto), assegnata in ordine fisso con rotazione per capitolo; le metriche contano parole, documenti e atti — mai colpe. </w:t>
            </w:r>
            <w:r>
              <w:rPr>
                <w:rFonts w:ascii="Barlow Semi Condensed" w:cs="Barlow Semi Condensed" w:eastAsia="Barlow Semi Condensed" w:hAnsi="Barlow Semi Condensed"/>
                <w:sz w:val="20"/>
                <w:szCs w:val="20"/>
              </w:rPr>
              <w:t xml:space="preserve">Testo interamente giustificato</w:t>
            </w:r>
            <w:r>
              <w:rPr>
                <w:rFonts w:ascii="Barlow Semi Condensed" w:cs="Barlow Semi Condensed" w:eastAsia="Barlow Semi Condensed" w:hAnsi="Barlow Semi Condensed"/>
                <w:b/>
                <w:bCs/>
                <w:sz w:val="20"/>
                <w:szCs w:val="20"/>
              </w:rPr>
              <w:t xml:space="preserve"> (corpi, elenchi, citazioni e celle di tabella) con sillabazione automatica in entrambe le edizioni, come negli altri due volumi in doppia edizione. </w:t>
            </w:r>
            <w:r>
              <w:rPr>
                <w:rFonts w:ascii="Barlow Semi Condensed" w:cs="Barlow Semi Condensed" w:eastAsia="Barlow Semi Condensed" w:hAnsi="Barlow Semi Condensed"/>
                <w:sz w:val="20"/>
                <w:szCs w:val="20"/>
              </w:rPr>
              <w:t xml:space="preserve">Edizione integrale in senso stretto**: le nove ricognizioni originali della cartella Farnesina e la triangolazione della seconda campagna, prima rappresentate dalla sola collazione, vi compaiono per esteso nel Libro dodicesimo. Nessun documento del corpus moroteano resta fuori. La disciplina in copertina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IMPRONTE-SHA256.md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IMPRONTE-OPERA-MORO.txt</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IMPRONTE-SHA256.txt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REGISTRO DELLE IMPRONTE SHA-256.</w:t>
            </w:r>
            <w:r>
              <w:rPr>
                <w:rFonts w:ascii="Barlow Semi Condensed" w:cs="Barlow Semi Condensed" w:eastAsia="Barlow Semi Condensed" w:hAnsi="Barlow Semi Condensed"/>
                <w:sz w:val="20"/>
                <w:szCs w:val="20"/>
              </w:rPr>
              <w:t xml:space="preserve"> L'impronta crittografica di ogni file, con i comandi di verifica per Linux, macOS e Windows. </w:t>
            </w:r>
            <w:r>
              <w:rPr>
                <w:rFonts w:ascii="Barlow Semi Condensed" w:cs="Barlow Semi Condensed" w:eastAsia="Barlow Semi Condensed" w:hAnsi="Barlow Semi Condensed"/>
                <w:b/>
                <w:bCs/>
                <w:sz w:val="20"/>
                <w:szCs w:val="20"/>
              </w:rPr>
              <w:t xml:space="preserve">Tiene separate le due opere che il repository ospita</w:t>
            </w:r>
            <w:r>
              <w:rPr>
                <w:rFonts w:ascii="Barlow Semi Condensed" w:cs="Barlow Semi Condensed" w:eastAsia="Barlow Semi Condensed" w:hAnsi="Barlow Semi Condensed"/>
                <w:sz w:val="20"/>
                <w:szCs w:val="20"/>
              </w:rPr>
              <w:t xml:space="preserve">, come questo indice dichiara alla terza riga: l'opera del caso Moro (</w:t>
            </w:r>
            <w:r>
              <w:rPr>
                <w:rFonts w:ascii="Barlow Semi Condensed" w:cs="Barlow Semi Condensed" w:eastAsia="Barlow Semi Condensed" w:hAnsi="Barlow Semi Condensed"/>
                <w:b/>
                <w:bCs/>
                <w:sz w:val="20"/>
                <w:szCs w:val="20"/>
              </w:rPr>
              <w:t xml:space="preserve">131 file</w:t>
            </w:r>
            <w:r>
              <w:rPr>
                <w:rFonts w:ascii="Barlow Semi Condensed" w:cs="Barlow Semi Condensed" w:eastAsia="Barlow Semi Condensed" w:hAnsi="Barlow Semi Condensed"/>
                <w:sz w:val="20"/>
                <w:szCs w:val="20"/>
              </w:rPr>
              <w:t xml:space="preserve">, 66.308.876 byte) e lo Studio Integrale Puglia (78 file), che non è opera moroteana. Le impronte valgono per entrambe; l'attribuzione no, e contarle insieme sarebbe un errore di descrizione. Due manifesti in formato </w:t>
            </w:r>
            <w:r>
              <w:rPr>
                <w:rFonts w:ascii="Barlow Semi Condensed" w:cs="Barlow Semi Condensed" w:eastAsia="Barlow Semi Condensed" w:hAnsi="Barlow Semi Condensed"/>
                <w:i/>
                <w:iCs/>
                <w:sz w:val="20"/>
                <w:szCs w:val="20"/>
              </w:rPr>
              <w:t xml:space="preserve">sha256sum --check</w:t>
            </w:r>
            <w:r>
              <w:rPr>
                <w:rFonts w:ascii="Barlow Semi Condensed" w:cs="Barlow Semi Condensed" w:eastAsia="Barlow Semi Condensed" w:hAnsi="Barlow Semi Condensed"/>
                <w:sz w:val="20"/>
                <w:szCs w:val="20"/>
              </w:rPr>
              <w:t xml:space="preserve">, uno per opera, e </w:t>
            </w:r>
            <w:r>
              <w:rPr>
                <w:rFonts w:ascii="Barlow Semi Condensed" w:cs="Barlow Semi Condensed" w:eastAsia="Barlow Semi Condensed" w:hAnsi="Barlow Semi Condensed"/>
                <w:b/>
                <w:bCs/>
                <w:sz w:val="20"/>
                <w:szCs w:val="20"/>
              </w:rPr>
              <w:t xml:space="preserve">due impronte uniche</w:t>
            </w:r>
            <w:r>
              <w:rPr>
                <w:rFonts w:ascii="Barlow Semi Condensed" w:cs="Barlow Semi Condensed" w:eastAsia="Barlow Semi Condensed" w:hAnsi="Barlow Semi Condensed"/>
                <w:sz w:val="20"/>
                <w:szCs w:val="20"/>
              </w:rPr>
              <w:t xml:space="preserve">, una per ciascun insieme: </w:t>
            </w:r>
            <w:r>
              <w:rPr>
                <w:rFonts w:ascii="Barlow Semi Condensed" w:cs="Barlow Semi Condensed" w:eastAsia="Barlow Semi Condensed" w:hAnsi="Barlow Semi Condensed"/>
                <w:i/>
                <w:iCs/>
                <w:sz w:val="20"/>
                <w:szCs w:val="20"/>
              </w:rPr>
              <w:t xml:space="preserve">sha256sum IMPRONTE-OPERA-MORO.txt</w:t>
            </w:r>
            <w:r>
              <w:rPr>
                <w:rFonts w:ascii="Barlow Semi Condensed" w:cs="Barlow Semi Condensed" w:eastAsia="Barlow Semi Condensed" w:hAnsi="Barlow Semi Condensed"/>
                <w:sz w:val="20"/>
                <w:szCs w:val="20"/>
              </w:rPr>
              <w:t xml:space="preserve"> risponde </w:t>
            </w:r>
            <w:r>
              <w:rPr>
                <w:rFonts w:ascii="Barlow Semi Condensed" w:cs="Barlow Semi Condensed" w:eastAsia="Barlow Semi Condensed" w:hAnsi="Barlow Semi Condensed"/>
                <w:i/>
                <w:iCs/>
                <w:sz w:val="20"/>
                <w:szCs w:val="20"/>
              </w:rPr>
              <w:t xml:space="preserve">d7bc4f65…</w:t>
            </w:r>
            <w:r>
              <w:rPr>
                <w:rFonts w:ascii="Barlow Semi Condensed" w:cs="Barlow Semi Condensed" w:eastAsia="Barlow Semi Condensed" w:hAnsi="Barlow Semi Condensed"/>
                <w:sz w:val="20"/>
                <w:szCs w:val="20"/>
              </w:rPr>
              <w:t xml:space="preserve"> se il corpus moroteano è quello depositato, non un file di meno né uno diverso. Restano fuori dai manifesti due soli file, il manifesto stesso e il registro, perché un registro non può certificare sé stesso; la catena si chiude senza circoli, ed è dichiarato. Registra anche i tre archivi di consegna dell'opera intera, non versionati. Il registro dichiara il proprio limite, che è la distinzione su cui l'opera è costruita: l'impronta certifica l'</w:t>
            </w:r>
            <w:r>
              <w:rPr>
                <w:rFonts w:ascii="Barlow Semi Condensed" w:cs="Barlow Semi Condensed" w:eastAsia="Barlow Semi Condensed" w:hAnsi="Barlow Semi Condensed"/>
                <w:b/>
                <w:bCs/>
                <w:sz w:val="20"/>
                <w:szCs w:val="20"/>
              </w:rPr>
              <w:t xml:space="preserve">integrità del supporto</w:t>
            </w:r>
            <w:r>
              <w:rPr>
                <w:rFonts w:ascii="Barlow Semi Condensed" w:cs="Barlow Semi Condensed" w:eastAsia="Barlow Semi Condensed" w:hAnsi="Barlow Semi Condensed"/>
                <w:sz w:val="20"/>
                <w:szCs w:val="20"/>
              </w:rPr>
              <w:t xml:space="preserve">, non la verità del contenuto — un documento falso conserva la propria impronta con la stessa fedeltà di uno esatto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moro-ministro-esteri/volume.html</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HTML navigabile</w:t>
            </w:r>
            <w:r>
              <w:rPr>
                <w:rFonts w:ascii="Barlow Semi Condensed" w:cs="Barlow Semi Condensed" w:eastAsia="Barlow Semi Condensed" w:hAnsi="Barlow Semi Condensed"/>
                <w:sz w:val="20"/>
                <w:szCs w:val="20"/>
              </w:rPr>
              <w:t xml:space="preserve"> dello stesso volume (pagina autonoma, tema chiaro/scuro): frontespizio con la legenda dei gradi, indice laterale con evidenziazione della parte corrente e barra di avanzamento, le otto parti in colonna di lettura. Tipografia Fraunces/Spectral/IBM Plex Mono; citazioni esterne come link tracciabili, rimandi interni neutralizzati. Stessi contenuti e stessa disciplina del .docx</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GUEVARA_LA_PARABOLA_INTEGRALE_1928-1967.docx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.pdf`](GUEVARA_LA_PARABOLA_INTEGRALE_1928-1967.pdf) (32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della parabola guevariana completa (i cinque studi 1928-1967 + la triangolazione Guevara-Moro), Barlow Semi Condensed 12, testo interamente giustificato, con indice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IL_VETTORE_E_IL_TRIBUNALE_DUE_STUDI_1926-1972.docx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.pdf`](IL_VETTORE_E_IL_TRIBUNALE_DUE_STUDI_1926-1972.pdf) (24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dei fronti italiani in sei parti: la monografia su Feltrinelli con la triangolazione integrale, la triangolazione del nodo Hyperion, la triangolazione d'incrocio Feltrinelli-Hyperion, lo studio sul Tribunale Speciale e l'approfondimento in otto sottonodi. Frontespizio comune sul «filo del 1926», indice, Barlow Semi Condensed 12, testo interamente giustificato, fonti con indirizzi per la tracciabilità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cronologia-guevara-moro.html</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parabola e il mito» — cronologia sinottica navigabile (pagina HTML autonoma, tema chiaro/scuro): tre fili documentati su un unico asse del tempo (1916-1997) — la vita di Guevara, la trasmissione della sua immagine in mito (Korda 1960, Feltrinelli/</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Pecorile 1970), la vita di Moro. Solo fatti pubblici documentati; nessuna imputazione oltre il giudicato; nessun nesso causale affermato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tre troncature originarie dei testi guevariani (1934-47, 1958-65, Congo→Bolivia) sono state </w:t>
      </w:r>
      <w:r>
        <w:rPr>
          <w:rFonts w:ascii="Barlow Semi Condensed" w:cs="Barlow Semi Condensed" w:eastAsia="Barlow Semi Condensed" w:hAnsi="Barlow Semi Condensed"/>
          <w:b/>
          <w:bCs/>
          <w:sz w:val="24"/>
          <w:szCs w:val="24"/>
        </w:rPr>
        <w:t xml:space="preserve">completate il 24 agosto 2026</w:t>
      </w:r>
      <w:r>
        <w:rPr>
          <w:rFonts w:ascii="Barlow Semi Condensed" w:cs="Barlow Semi Condensed" w:eastAsia="Barlow Semi Condensed" w:hAnsi="Barlow Semi Condensed"/>
          <w:sz w:val="24"/>
          <w:szCs w:val="24"/>
        </w:rPr>
        <w:t xml:space="preserve"> con sezioni di integrazione esplicitamente marcate come tali, distinte dalla stesura d'autore e redatte su cronologia storiografica consolidata. Con l'aggiunta del capitolo sulla campagna boliviana, il corpus guevariano copre ora </w:t>
      </w:r>
      <w:r>
        <w:rPr>
          <w:rFonts w:ascii="Barlow Semi Condensed" w:cs="Barlow Semi Condensed" w:eastAsia="Barlow Semi Condensed" w:hAnsi="Barlow Semi Condensed"/>
          <w:b/>
          <w:bCs/>
          <w:sz w:val="24"/>
          <w:szCs w:val="24"/>
        </w:rPr>
        <w:t xml:space="preserve">senza soluzione di continuità l'intera parabola, dal 1928 alla morte a La Higuera (9 ottobre 1967) e al ritrovamento dei resti nel 1997</w:t>
      </w:r>
      <w:r>
        <w:rPr>
          <w:rFonts w:ascii="Barlow Semi Condensed" w:cs="Barlow Semi Condensed" w:eastAsia="Barlow Semi Condensed" w:hAnsi="Barlow Semi Condensed"/>
          <w:sz w:val="24"/>
          <w:szCs w:val="24"/>
        </w:rPr>
        <w:t xml:space="preserve">.</w:t>
      </w:r>
    </w:p>
    <w:p>
      <w:pPr>
        <w:pStyle w:val="Heading3"/>
        <w:spacing w:after="80" w:before="240"/>
      </w:pPr>
      <w:r>
        <w:rPr>
          <w:rFonts w:ascii="Barlow Semi Condensed" w:cs="Barlow Semi Condensed" w:eastAsia="Barlow Semi Condensed" w:hAnsi="Barlow Semi Condensed"/>
          <w:sz w:val="24"/>
          <w:szCs w:val="24"/>
        </w:rPr>
        <w:t xml:space="preserve">Apparato grafico — Appendici · ii. L'indice dei documenti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 62 parole in 3 sezioni; la più ampia è §3 Segmento 3, con 34.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 3 paragrafi in 3 sezioni, 1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iii. Il dossier di invio — la mappa</w:t>
      </w:r>
    </w:p>
    <w:p>
      <w:pPr>
        <w:pStyle w:val="Heading1"/>
        <w:spacing w:after="120" w:before="240"/>
      </w:pPr>
      <w:r>
        <w:rPr>
          <w:rFonts w:ascii="Barlow Semi Condensed" w:cs="Barlow Semi Condensed" w:eastAsia="Barlow Semi Condensed" w:hAnsi="Barlow Semi Condensed"/>
          <w:sz w:val="24"/>
          <w:szCs w:val="24"/>
        </w:rPr>
        <w:t xml:space="preserve">Diffusione dell'opera</w:t>
      </w:r>
    </w:p>
    <w:p>
      <w:pPr>
        <w:spacing w:after="120" w:line="276"/>
        <w:jc w:val="both"/>
      </w:pPr>
      <w:r>
        <w:rPr>
          <w:rFonts w:ascii="Barlow Semi Condensed" w:cs="Barlow Semi Condensed" w:eastAsia="Barlow Semi Condensed" w:hAnsi="Barlow Semi Condensed"/>
          <w:sz w:val="24"/>
          <w:szCs w:val="24"/>
        </w:rPr>
        <w:t xml:space="preserve">*Il dossier di invio: che cosa si manda, a chi, in che ordine. Sette documenti,</w:t>
      </w:r>
    </w:p>
    <w:p>
      <w:pPr>
        <w:spacing w:after="120" w:line="276"/>
        <w:jc w:val="both"/>
      </w:pPr>
      <w:r>
        <w:rPr>
          <w:rFonts w:ascii="Barlow Semi Condensed" w:cs="Barlow Semi Condensed" w:eastAsia="Barlow Semi Condensed" w:hAnsi="Barlow Semi Condensed"/>
          <w:sz w:val="24"/>
          <w:szCs w:val="24"/>
        </w:rPr>
        <w:t xml:space="preserve">uno solo dei quali va letto per primo.*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dove si comincia</w:t>
      </w:r>
    </w:p>
    <w:p>
      <w:pPr>
        <w:spacing w:after="120" w:line="276"/>
        <w:jc w:val="both"/>
      </w:pPr>
      <w:r>
        <w:rPr>
          <w:rFonts w:ascii="Barlow Semi Condensed" w:cs="Barlow Semi Condensed" w:eastAsia="Barlow Semi Condensed" w:hAnsi="Barlow Semi Condensed"/>
          <w:b/>
          <w:bCs/>
          <w:sz w:val="24"/>
          <w:szCs w:val="24"/>
        </w:rPr>
        <w:t xml:space="preserve">``checklist-di-invio.md``</w:t>
      </w:r>
      <w:r>
        <w:rPr>
          <w:rFonts w:ascii="Barlow Semi Condensed" w:cs="Barlow Semi Condensed" w:eastAsia="Barlow Semi Condensed" w:hAnsi="Barlow Semi Condensed"/>
          <w:sz w:val="24"/>
          <w:szCs w:val="24"/>
        </w:rPr>
        <w:t xml:space="preserve"> — è il documento operativo.</w:t>
      </w:r>
    </w:p>
    <w:p>
      <w:pPr>
        <w:spacing w:after="120" w:line="276"/>
        <w:jc w:val="both"/>
      </w:pPr>
      <w:r>
        <w:rPr>
          <w:rFonts w:ascii="Barlow Semi Condensed" w:cs="Barlow Semi Condensed" w:eastAsia="Barlow Semi Condensed" w:hAnsi="Barlow Semi Condensed"/>
          <w:sz w:val="24"/>
          <w:szCs w:val="24"/>
        </w:rPr>
        <w:t xml:space="preserve">Chi riceve che cosa, con quali allegati, in quale ordine, e la tabella su cui</w:t>
      </w:r>
    </w:p>
    <w:p>
      <w:pPr>
        <w:spacing w:after="120" w:line="276"/>
        <w:jc w:val="both"/>
      </w:pPr>
      <w:r>
        <w:rPr>
          <w:rFonts w:ascii="Barlow Semi Condensed" w:cs="Barlow Semi Condensed" w:eastAsia="Barlow Semi Condensed" w:hAnsi="Barlow Semi Condensed"/>
          <w:sz w:val="24"/>
          <w:szCs w:val="24"/>
        </w:rPr>
        <w:t xml:space="preserve">segnare le date. Gli altri sei sono materiale che la checklist richiama.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cos'è</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checklist-di-invio.md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leggere per primo.</w:t>
            </w:r>
            <w:r>
              <w:rPr>
                <w:rFonts w:ascii="Barlow Semi Condensed" w:cs="Barlow Semi Condensed" w:eastAsia="Barlow Semi Condensed" w:hAnsi="Barlow Semi Condensed"/>
                <w:sz w:val="20"/>
                <w:szCs w:val="20"/>
              </w:rPr>
              <w:t xml:space="preserve"> Seconda edizione: </w:t>
            </w:r>
            <w:r>
              <w:rPr>
                <w:rFonts w:ascii="Barlow Semi Condensed" w:cs="Barlow Semi Condensed" w:eastAsia="Barlow Semi Condensed" w:hAnsi="Barlow Semi Condensed"/>
                <w:b/>
                <w:bCs/>
                <w:sz w:val="20"/>
                <w:szCs w:val="20"/>
              </w:rPr>
              <w:t xml:space="preserve">nove editori</w:t>
            </w:r>
            <w:r>
              <w:rPr>
                <w:rFonts w:ascii="Barlow Semi Condensed" w:cs="Barlow Semi Condensed" w:eastAsia="Barlow Semi Condensed" w:hAnsi="Barlow Semi Condensed"/>
                <w:sz w:val="20"/>
                <w:szCs w:val="20"/>
              </w:rPr>
              <w:t xml:space="preserve">, un archivio, un deposito, una rivista. Tavola sinottica dei canali, quattro ondate d'invio, una scheda a sei campi per ciascun destinatario, tabella di tracciamento, e che cosa fare se arriva un rifiuto o un interesse. Dichiara il grado di verifica di ogni canale, comprese le due voci che non è stato possibile accertare sulla pagina ufficiale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mappa-dei-destinatari.md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mappa ragionata: chi potrebbe pubblicare, distinguendo i </w:t>
            </w:r>
            <w:r>
              <w:rPr>
                <w:rFonts w:ascii="Barlow Semi Condensed" w:cs="Barlow Semi Condensed" w:eastAsia="Barlow Semi Condensed" w:hAnsi="Barlow Semi Condensed"/>
                <w:b/>
                <w:bCs/>
                <w:sz w:val="20"/>
                <w:szCs w:val="20"/>
              </w:rPr>
              <w:t xml:space="preserve">tre oggetti</w:t>
            </w:r>
            <w:r>
              <w:rPr>
                <w:rFonts w:ascii="Barlow Semi Condensed" w:cs="Barlow Semi Condensed" w:eastAsia="Barlow Semi Condensed" w:hAnsi="Barlow Semi Condensed"/>
                <w:sz w:val="20"/>
                <w:szCs w:val="20"/>
              </w:rPr>
              <w:t xml:space="preserve"> diversi che il lavoro contiene — l'apparato, il saggio, la nota scientifica — perché vanno a porte diverse. Include le porte a cui non bussare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scheda-dell-opera.md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Una pagina con i numeri, la disciplina in sei righe, i tre accertamenti e i limiti dichiarati. </w:t>
            </w:r>
            <w:r>
              <w:rPr>
                <w:rFonts w:ascii="Barlow Semi Condensed" w:cs="Barlow Semi Condensed" w:eastAsia="Barlow Semi Condensed" w:hAnsi="Barlow Semi Condensed"/>
                <w:b/>
                <w:bCs/>
                <w:sz w:val="20"/>
                <w:szCs w:val="20"/>
              </w:rPr>
              <w:t xml:space="preserve">Allegato invariante</w:t>
            </w:r>
            <w:r>
              <w:rPr>
                <w:rFonts w:ascii="Barlow Semi Condensed" w:cs="Barlow Semi Condensed" w:eastAsia="Barlow Semi Condensed" w:hAnsi="Barlow Semi Condensed"/>
                <w:sz w:val="20"/>
                <w:szCs w:val="20"/>
              </w:rPr>
              <w:t xml:space="preserve">: lo stesso per tutti, perché tre editori ricevano gli stessi numeri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capitolo-campione.md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capitolo quarto scritto per intero — «Il documento che non dice ciò che tutti citano» — con l'esercizio eseguibile in coda. È il pezzo su cui si viene giudicati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pec-archivio-flamigni.md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di presa in carico dell'apparato al Centro documentazione Archivio «Flamigni». Non è una proposta di libro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lettera-fondazione-aldo-moro.md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 propone nulla.</w:t>
            </w:r>
            <w:r>
              <w:rPr>
                <w:rFonts w:ascii="Barlow Semi Condensed" w:cs="Barlow Semi Condensed" w:eastAsia="Barlow Semi Condensed" w:hAnsi="Barlow Semi Condensed"/>
                <w:sz w:val="20"/>
                <w:szCs w:val="20"/>
              </w:rPr>
              <w:t xml:space="preserve"> Porta alla Fondazione una domanda d'archivio sola — se esista l'appunto italiano del colloquio del 25 settembre 1974 — e comunica, prima che lo leggano altrove, l'accertamento sul verbale americano. È la lettera che riguarda la memoria di una persona: la nota di prudenza in coda vale più del testo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proposta-editrice-laterza.md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a Laterza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proposte-mulino-carocci-einaudi.md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Tre proposte differenziate, ciascuna nel formato che quell'editore usa davvero. Contiene l'avvertimento su Einaudi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proposte-chiarelettere-bompiani.md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Le due proposte che mancavano. </w:t>
            </w:r>
            <w:r>
              <w:rPr>
                <w:rFonts w:ascii="Barlow Semi Condensed" w:cs="Barlow Semi Condensed" w:eastAsia="Barlow Semi Condensed" w:hAnsi="Barlow Semi Condensed"/>
                <w:b/>
                <w:bCs/>
                <w:sz w:val="20"/>
                <w:szCs w:val="20"/>
              </w:rPr>
              <w:t xml:space="preserve">Chiarelettere</w:t>
            </w:r>
            <w:r>
              <w:rPr>
                <w:rFonts w:ascii="Barlow Semi Condensed" w:cs="Barlow Semi Condensed" w:eastAsia="Barlow Semi Condensed" w:hAnsi="Barlow Semi Condensed"/>
                <w:sz w:val="20"/>
                <w:szCs w:val="20"/>
              </w:rPr>
              <w:t xml:space="preserve">: la porta più affine, e per questo la più difficile — l'angolatura non promette la rivelazione che quel catalogo cerca, ma offre il criterio per giudicarle. </w:t>
            </w:r>
            <w:r>
              <w:rPr>
                <w:rFonts w:ascii="Barlow Semi Condensed" w:cs="Barlow Semi Condensed" w:eastAsia="Barlow Semi Condensed" w:hAnsi="Barlow Semi Condensed"/>
                <w:b/>
                <w:bCs/>
                <w:sz w:val="20"/>
                <w:szCs w:val="20"/>
              </w:rPr>
              <w:t xml:space="preserve">Bompiani</w:t>
            </w:r>
            <w:r>
              <w:rPr>
                <w:rFonts w:ascii="Barlow Semi Condensed" w:cs="Barlow Semi Condensed" w:eastAsia="Barlow Semi Condensed" w:hAnsi="Barlow Semi Condensed"/>
                <w:sz w:val="20"/>
                <w:szCs w:val="20"/>
              </w:rPr>
              <w:t xml:space="preserve">: pronta ma in attesa, perché la regola dei dodici mesi rende l'attesa meno costosa del tentativo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relazione-al-centro-flamigni.md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Accompagna la PEC. Come il progetto è nato, come è cambiato e dove può andare, ricostruito sul registro delle revisioni: 154 revisioni, di cui 103 del corpus, in tre giornate. Ogni regola con la data del lavoro che l'ha resa necessaria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curriculum-modello.md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Modello da compilare. Richiesto per intero da Einaudi, in forma ridotta dagli altri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allegati già composti</w:t>
      </w:r>
    </w:p>
    <w:p>
      <w:pPr>
        <w:spacing w:after="120" w:line="276"/>
        <w:jc w:val="both"/>
      </w:pPr>
      <w:r>
        <w:rPr>
          <w:rFonts w:ascii="Barlow Semi Condensed" w:cs="Barlow Semi Condensed" w:eastAsia="Barlow Semi Condensed" w:hAnsi="Barlow Semi Condensed"/>
          <w:sz w:val="24"/>
          <w:szCs w:val="24"/>
        </w:rPr>
        <w:t xml:space="preserve">I tre documenti che si spediscono come file — e non si incollano in un modulo —</w:t>
      </w:r>
    </w:p>
    <w:p>
      <w:pPr>
        <w:spacing w:after="120" w:line="276"/>
        <w:jc w:val="both"/>
      </w:pPr>
      <w:r>
        <w:rPr>
          <w:rFonts w:ascii="Barlow Semi Condensed" w:cs="Barlow Semi Condensed" w:eastAsia="Barlow Semi Condensed" w:hAnsi="Barlow Semi Condensed"/>
          <w:sz w:val="24"/>
          <w:szCs w:val="24"/>
        </w:rPr>
        <w:t xml:space="preserve">esistono anche in DOCX e in PDF, nella stessa tipografia dei volumi del corpus</w:t>
      </w:r>
    </w:p>
    <w:p>
      <w:pPr>
        <w:spacing w:after="120" w:line="276"/>
        <w:jc w:val="both"/>
      </w:pPr>
      <w:r>
        <w:rPr>
          <w:rFonts w:ascii="Barlow Semi Condensed" w:cs="Barlow Semi Condensed" w:eastAsia="Barlow Semi Condensed" w:hAnsi="Barlow Semi Condensed"/>
          <w:sz w:val="24"/>
          <w:szCs w:val="24"/>
        </w:rPr>
        <w:t xml:space="preserve">(Barlow Semi Condensed, testo giustificato con sillabazione automatica):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Formati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Capitolo campione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ALLEGATO_CAPITOLO_CAMPIONE.docx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Scheda dell'opera</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ALLEGATO_SCHEDA_DELL_OPERA.docx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Curriculum da compilare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ALLEGATO_CURRICULUM_DA_COMPILARE.docx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Checklist di invio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CHECKLIST_DI_INVIO.docx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Relazione sul progetto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RELAZIONE_SUL_PROGETTO.docx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DOCX serve dove va compilato o annotato — il curriculum, sempre; il capitolo,</w:t>
      </w:r>
    </w:p>
    <w:p>
      <w:pPr>
        <w:spacing w:after="120" w:line="276"/>
        <w:jc w:val="both"/>
      </w:pPr>
      <w:r>
        <w:rPr>
          <w:rFonts w:ascii="Barlow Semi Condensed" w:cs="Barlow Semi Condensed" w:eastAsia="Barlow Semi Condensed" w:hAnsi="Barlow Semi Condensed"/>
          <w:sz w:val="24"/>
          <w:szCs w:val="24"/>
        </w:rPr>
        <w:t xml:space="preserve">se un editor chiede di lavorarci sopra. </w:t>
      </w:r>
      <w:r>
        <w:rPr>
          <w:rFonts w:ascii="Barlow Semi Condensed" w:cs="Barlow Semi Condensed" w:eastAsia="Barlow Semi Condensed" w:hAnsi="Barlow Semi Condensed"/>
          <w:b/>
          <w:bCs/>
          <w:sz w:val="24"/>
          <w:szCs w:val="24"/>
        </w:rPr>
        <w:t xml:space="preserve">Il PDF serve in tutti gli altri casi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perché non si riformatta sullo schermo di chi lo apre.</w:t>
      </w:r>
    </w:p>
    <w:p>
      <w:pPr>
        <w:spacing w:after="120" w:line="276"/>
        <w:jc w:val="both"/>
      </w:pPr>
      <w:r>
        <w:rPr>
          <w:rFonts w:ascii="Barlow Semi Condensed" w:cs="Barlow Semi Condensed" w:eastAsia="Barlow Semi Condensed" w:hAnsi="Barlow Semi Condensed"/>
          <w:sz w:val="24"/>
          <w:szCs w:val="24"/>
        </w:rPr>
        <w:t xml:space="preserve">La checklist non si allega a nessuno: è il documento di lavoro. Esiste in PDF</w:t>
      </w:r>
    </w:p>
    <w:p>
      <w:pPr>
        <w:spacing w:after="120" w:line="276"/>
        <w:jc w:val="both"/>
      </w:pPr>
      <w:r>
        <w:rPr>
          <w:rFonts w:ascii="Barlow Semi Condensed" w:cs="Barlow Semi Condensed" w:eastAsia="Barlow Semi Condensed" w:hAnsi="Barlow Semi Condensed"/>
          <w:sz w:val="24"/>
          <w:szCs w:val="24"/>
        </w:rPr>
        <w:t xml:space="preserve">perché si stampi e si tenga accanto — le caselle e la tabella di tracciamento</w:t>
      </w:r>
    </w:p>
    <w:p>
      <w:pPr>
        <w:spacing w:after="120" w:line="276"/>
        <w:jc w:val="both"/>
      </w:pPr>
      <w:r>
        <w:rPr>
          <w:rFonts w:ascii="Barlow Semi Condensed" w:cs="Barlow Semi Condensed" w:eastAsia="Barlow Semi Condensed" w:hAnsi="Barlow Semi Condensed"/>
          <w:sz w:val="24"/>
          <w:szCs w:val="24"/>
        </w:rPr>
        <w:t xml:space="preserve">sono rigate per essere compilate a mano — e in DOCX per chi preferisce</w:t>
      </w:r>
    </w:p>
    <w:p>
      <w:pPr>
        <w:spacing w:after="120" w:line="276"/>
        <w:jc w:val="both"/>
      </w:pPr>
      <w:r>
        <w:rPr>
          <w:rFonts w:ascii="Barlow Semi Condensed" w:cs="Barlow Semi Condensed" w:eastAsia="Barlow Semi Condensed" w:hAnsi="Barlow Semi Condensed"/>
          <w:sz w:val="24"/>
          <w:szCs w:val="24"/>
        </w:rPr>
        <w:t xml:space="preserve">compilarla sullo schermo.</w:t>
      </w:r>
    </w:p>
    <w:p>
      <w:pPr>
        <w:spacing w:after="120" w:line="276"/>
        <w:jc w:val="both"/>
      </w:pPr>
      <w:r>
        <w:rPr>
          <w:rFonts w:ascii="Barlow Semi Condensed" w:cs="Barlow Semi Condensed" w:eastAsia="Barlow Semi Condensed" w:hAnsi="Barlow Semi Condensed"/>
          <w:sz w:val="24"/>
          <w:szCs w:val="24"/>
        </w:rPr>
        <w:t xml:space="preserve">I due documenti restanti — la PEC all'archivio e le proposte agli editori — non</w:t>
      </w:r>
    </w:p>
    <w:p>
      <w:pPr>
        <w:spacing w:after="120" w:line="276"/>
        <w:jc w:val="both"/>
      </w:pPr>
      <w:r>
        <w:rPr>
          <w:rFonts w:ascii="Barlow Semi Condensed" w:cs="Barlow Semi Condensed" w:eastAsia="Barlow Semi Condensed" w:hAnsi="Barlow Semi Condensed"/>
          <w:sz w:val="24"/>
          <w:szCs w:val="24"/>
        </w:rPr>
        <w:t xml:space="preserve">si allegano: si incollano nel corpo del messaggio o nei campi del modulo.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Tre cose da non perdere di vista</w:t>
      </w:r>
    </w:p>
    <w:p>
      <w:pPr>
        <w:spacing w:after="120" w:line="276"/>
        <w:jc w:val="both"/>
      </w:pPr>
      <w:r>
        <w:rPr>
          <w:rFonts w:ascii="Barlow Semi Condensed" w:cs="Barlow Semi Condensed" w:eastAsia="Barlow Semi Condensed" w:hAnsi="Barlow Semi Condensed"/>
          <w:b/>
          <w:bCs/>
          <w:sz w:val="24"/>
          <w:szCs w:val="24"/>
        </w:rPr>
        <w:t xml:space="preserve">Le porte non sono tutte dello stesso tipo.</w:t>
      </w:r>
      <w:r>
        <w:rPr>
          <w:rFonts w:ascii="Barlow Semi Condensed" w:cs="Barlow Semi Condensed" w:eastAsia="Barlow Semi Condensed" w:hAnsi="Barlow Semi Condensed"/>
          <w:sz w:val="24"/>
          <w:szCs w:val="24"/>
        </w:rPr>
        <w:t xml:space="preserve"> Agli editori si propone un libro;</w:t>
      </w:r>
    </w:p>
    <w:p>
      <w:pPr>
        <w:spacing w:after="120" w:line="276"/>
        <w:jc w:val="both"/>
      </w:pPr>
      <w:r>
        <w:rPr>
          <w:rFonts w:ascii="Barlow Semi Condensed" w:cs="Barlow Semi Condensed" w:eastAsia="Barlow Semi Condensed" w:hAnsi="Barlow Semi Condensed"/>
          <w:sz w:val="24"/>
          <w:szCs w:val="24"/>
        </w:rPr>
        <w:t xml:space="preserve">al Centro Flamigni un apparato da valutare e correggere; alla Fondazione Aldo</w:t>
      </w:r>
    </w:p>
    <w:p>
      <w:pPr>
        <w:spacing w:after="120" w:line="276"/>
        <w:jc w:val="both"/>
      </w:pPr>
      <w:r>
        <w:rPr>
          <w:rFonts w:ascii="Barlow Semi Condensed" w:cs="Barlow Semi Condensed" w:eastAsia="Barlow Semi Condensed" w:hAnsi="Barlow Semi Condensed"/>
          <w:sz w:val="24"/>
          <w:szCs w:val="24"/>
        </w:rPr>
        <w:t xml:space="preserve">Moro </w:t>
      </w:r>
      <w:r>
        <w:rPr>
          <w:rFonts w:ascii="Barlow Semi Condensed" w:cs="Barlow Semi Condensed" w:eastAsia="Barlow Semi Condensed" w:hAnsi="Barlow Semi Condensed"/>
          <w:b/>
          <w:bCs/>
          <w:sz w:val="24"/>
          <w:szCs w:val="24"/>
        </w:rPr>
        <w:t xml:space="preserve">non si propone nulla</w:t>
      </w:r>
      <w:r>
        <w:rPr>
          <w:rFonts w:ascii="Barlow Semi Condensed" w:cs="Barlow Semi Condensed" w:eastAsia="Barlow Semi Condensed" w:hAnsi="Barlow Semi Condensed"/>
          <w:sz w:val="24"/>
          <w:szCs w:val="24"/>
        </w:rPr>
        <w:t xml:space="preserve"> — si porta una domanda e si dà una notizia dovuta.</w:t>
      </w:r>
    </w:p>
    <w:p>
      <w:pPr>
        <w:spacing w:after="120" w:line="276"/>
        <w:jc w:val="both"/>
      </w:pPr>
      <w:r>
        <w:rPr>
          <w:rFonts w:ascii="Barlow Semi Condensed" w:cs="Barlow Semi Condensed" w:eastAsia="Barlow Semi Condensed" w:hAnsi="Barlow Semi Condensed"/>
          <w:sz w:val="24"/>
          <w:szCs w:val="24"/>
        </w:rPr>
        <w:t xml:space="preserve">Usare il registro sbagliato alla porta sbagliata è il modo più rapido per non</w:t>
      </w:r>
    </w:p>
    <w:p>
      <w:pPr>
        <w:spacing w:after="120" w:line="276"/>
        <w:jc w:val="both"/>
      </w:pPr>
      <w:r>
        <w:rPr>
          <w:rFonts w:ascii="Barlow Semi Condensed" w:cs="Barlow Semi Condensed" w:eastAsia="Barlow Semi Condensed" w:hAnsi="Barlow Semi Condensed"/>
          <w:sz w:val="24"/>
          <w:szCs w:val="24"/>
        </w:rPr>
        <w:t xml:space="preserve">essere letti.</w:t>
      </w:r>
    </w:p>
    <w:p>
      <w:pPr>
        <w:spacing w:after="120" w:line="276"/>
        <w:jc w:val="both"/>
      </w:pPr>
      <w:r>
        <w:rPr>
          <w:rFonts w:ascii="Barlow Semi Condensed" w:cs="Barlow Semi Condensed" w:eastAsia="Barlow Semi Condensed" w:hAnsi="Barlow Semi Condensed"/>
          <w:b/>
          <w:bCs/>
          <w:sz w:val="24"/>
          <w:szCs w:val="24"/>
        </w:rPr>
        <w:t xml:space="preserve">Non si propone il corpus.</w:t>
      </w:r>
      <w:r>
        <w:rPr>
          <w:rFonts w:ascii="Barlow Semi Condensed" w:cs="Barlow Semi Condensed" w:eastAsia="Barlow Semi Condensed" w:hAnsi="Barlow Semi Condensed"/>
          <w:sz w:val="24"/>
          <w:szCs w:val="24"/>
        </w:rPr>
        <w:t xml:space="preserve"> L'opera integrale di 1.762 pagine resta apparato di</w:t>
      </w:r>
    </w:p>
    <w:p>
      <w:pPr>
        <w:spacing w:after="120" w:line="276"/>
        <w:jc w:val="both"/>
      </w:pPr>
      <w:r>
        <w:rPr>
          <w:rFonts w:ascii="Barlow Semi Condensed" w:cs="Barlow Semi Condensed" w:eastAsia="Barlow Semi Condensed" w:hAnsi="Barlow Semi Condensed"/>
          <w:sz w:val="24"/>
          <w:szCs w:val="24"/>
        </w:rPr>
        <w:t xml:space="preserve">consultazione, e va a un archivio. Agli editori si propone il </w:t>
      </w:r>
      <w:r>
        <w:rPr>
          <w:rFonts w:ascii="Barlow Semi Condensed" w:cs="Barlow Semi Condensed" w:eastAsia="Barlow Semi Condensed" w:hAnsi="Barlow Semi Condensed"/>
          <w:b/>
          <w:bCs/>
          <w:sz w:val="24"/>
          <w:szCs w:val="24"/>
        </w:rPr>
        <w:t xml:space="preserve">saggio breve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140-200 pagine, sette capitoli — che ne nasce. Confondere i due oggetti è il modo</w:t>
      </w:r>
    </w:p>
    <w:p>
      <w:pPr>
        <w:spacing w:after="120" w:line="276"/>
        <w:jc w:val="both"/>
      </w:pPr>
      <w:r>
        <w:rPr>
          <w:rFonts w:ascii="Barlow Semi Condensed" w:cs="Barlow Semi Condensed" w:eastAsia="Barlow Semi Condensed" w:hAnsi="Barlow Semi Condensed"/>
          <w:sz w:val="24"/>
          <w:szCs w:val="24"/>
        </w:rPr>
        <w:t xml:space="preserve">più rapido per essere rifiutati da entrambe le porte.</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ogni proposta e nel libro. Non è cautela legale: è l'oggetto del libro. Un</w:t>
      </w:r>
    </w:p>
    <w:p>
      <w:pPr>
        <w:spacing w:after="120" w:line="276"/>
        <w:jc w:val="both"/>
      </w:pPr>
      <w:r>
        <w:rPr>
          <w:rFonts w:ascii="Barlow Semi Condensed" w:cs="Barlow Semi Condensed" w:eastAsia="Barlow Semi Condensed" w:hAnsi="Barlow Semi Condensed"/>
          <w:sz w:val="24"/>
          <w:szCs w:val="24"/>
        </w:rPr>
        <w:t xml:space="preserve">editore che chiedesse di spostarla in fondo starebbe chiedendo un altro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per intero.</w:t>
      </w:r>
      <w:r>
        <w:rPr>
          <w:rFonts w:ascii="Barlow Semi Condensed" w:cs="Barlow Semi Condensed" w:eastAsia="Barlow Semi Condensed" w:hAnsi="Barlow Semi Condensed"/>
          <w:sz w:val="24"/>
          <w:szCs w:val="24"/>
        </w:rPr>
        <w:t xml:space="preserve"> Corpus completo e verificato,</w:t>
      </w:r>
    </w:p>
    <w:p>
      <w:pPr>
        <w:spacing w:after="120" w:line="276"/>
        <w:jc w:val="both"/>
      </w:pPr>
      <w:r>
        <w:rPr>
          <w:rFonts w:ascii="Barlow Semi Condensed" w:cs="Barlow Semi Condensed" w:eastAsia="Barlow Semi Condensed" w:hAnsi="Barlow Semi Condensed"/>
          <w:sz w:val="24"/>
          <w:szCs w:val="24"/>
        </w:rPr>
        <w:t xml:space="preserve">struttura definita, capitolo campione scritto, resto da scrivere. La stessa</w:t>
      </w:r>
    </w:p>
    <w:p>
      <w:pPr>
        <w:spacing w:after="120" w:line="276"/>
        <w:jc w:val="both"/>
      </w:pPr>
      <w:r>
        <w:rPr>
          <w:rFonts w:ascii="Barlow Semi Condensed" w:cs="Barlow Semi Condensed" w:eastAsia="Barlow Semi Condensed" w:hAnsi="Barlow Semi Condensed"/>
          <w:sz w:val="24"/>
          <w:szCs w:val="24"/>
        </w:rPr>
        <w:t xml:space="preserve">formula ovunque. Una reticenza su questo punto si paga più del ritardo che</w:t>
      </w:r>
    </w:p>
    <w:p>
      <w:pPr>
        <w:spacing w:after="120" w:line="276"/>
        <w:jc w:val="both"/>
      </w:pPr>
      <w:r>
        <w:rPr>
          <w:rFonts w:ascii="Barlow Semi Condensed" w:cs="Barlow Semi Condensed" w:eastAsia="Barlow Semi Condensed" w:hAnsi="Barlow Semi Condensed"/>
          <w:sz w:val="24"/>
          <w:szCs w:val="24"/>
        </w:rPr>
        <w:t xml:space="preserve">eviterebbe.</w:t>
      </w:r>
    </w:p>
    <w:p>
      <w:pPr>
        <w:pStyle w:val="Heading3"/>
        <w:spacing w:after="80" w:before="240"/>
      </w:pPr>
      <w:r>
        <w:rPr>
          <w:rFonts w:ascii="Barlow Semi Condensed" w:cs="Barlow Semi Condensed" w:eastAsia="Barlow Semi Condensed" w:hAnsi="Barlow Semi Condensed"/>
          <w:sz w:val="24"/>
          <w:szCs w:val="24"/>
        </w:rPr>
        <w:t xml:space="preserve">Apparato grafico — Appendici · la mappa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IV.iii: 830 parole in 4 sezioni; la più ampia è §2 I documenti, con 401.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iv. La scheda dell'opera</w:t>
      </w:r>
    </w:p>
    <w:p>
      <w:pPr>
        <w:pStyle w:val="Heading1"/>
        <w:spacing w:after="120" w:before="240"/>
      </w:pPr>
      <w:r>
        <w:rPr>
          <w:rFonts w:ascii="Barlow Semi Condensed" w:cs="Barlow Semi Condensed" w:eastAsia="Barlow Semi Condensed" w:hAnsi="Barlow Semi Condensed"/>
          <w:sz w:val="24"/>
          <w:szCs w:val="24"/>
        </w:rPr>
        <w:t xml:space="preserve">Scheda dell'opera</w:t>
      </w:r>
    </w:p>
    <w:p>
      <w:pPr>
        <w:spacing w:after="120" w:line="276"/>
        <w:jc w:val="both"/>
      </w:pPr>
      <w:r>
        <w:rPr>
          <w:rFonts w:ascii="Barlow Semi Condensed" w:cs="Barlow Semi Condensed" w:eastAsia="Barlow Semi Condensed" w:hAnsi="Barlow Semi Condensed"/>
          <w:sz w:val="24"/>
          <w:szCs w:val="24"/>
        </w:rPr>
        <w:t xml:space="preserve">*Una pagina. È l'allegato che accompagna ogni proposta, invariato, in modo che</w:t>
      </w:r>
    </w:p>
    <w:p>
      <w:pPr>
        <w:spacing w:after="120" w:line="276"/>
        <w:jc w:val="both"/>
      </w:pPr>
      <w:r>
        <w:rPr>
          <w:rFonts w:ascii="Barlow Semi Condensed" w:cs="Barlow Semi Condensed" w:eastAsia="Barlow Semi Condensed" w:hAnsi="Barlow Semi Condensed"/>
          <w:sz w:val="24"/>
          <w:szCs w:val="24"/>
        </w:rPr>
        <w:t xml:space="preserve">tre editori diversi ricevano gli stessi numeri. Aggiornata al 27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cos'è</w:t>
      </w:r>
    </w:p>
    <w:p>
      <w:pPr>
        <w:spacing w:after="120" w:line="276"/>
        <w:jc w:val="both"/>
      </w:pPr>
      <w:r>
        <w:rPr>
          <w:rFonts w:ascii="Barlow Semi Condensed" w:cs="Barlow Semi Condensed" w:eastAsia="Barlow Semi Condensed" w:hAnsi="Barlow Semi Condensed"/>
          <w:sz w:val="24"/>
          <w:szCs w:val="24"/>
        </w:rPr>
        <w:t xml:space="preserve">Un corpus di ricerca storica sul caso Moro e sul suo contesto internazionale,</w:t>
      </w:r>
    </w:p>
    <w:p>
      <w:pPr>
        <w:spacing w:after="120" w:line="276"/>
        <w:jc w:val="both"/>
      </w:pPr>
      <w:r>
        <w:rPr>
          <w:rFonts w:ascii="Barlow Semi Condensed" w:cs="Barlow Semi Condensed" w:eastAsia="Barlow Semi Condensed" w:hAnsi="Barlow Semi Condensed"/>
          <w:sz w:val="24"/>
          <w:szCs w:val="24"/>
        </w:rPr>
        <w:t xml:space="preserve">prodotto nel 2026 con sistemi di intelligenza artificiale sotto direzione umana e</w:t>
      </w:r>
    </w:p>
    <w:p>
      <w:pPr>
        <w:spacing w:after="120" w:line="276"/>
        <w:jc w:val="both"/>
      </w:pPr>
      <w:r>
        <w:rPr>
          <w:rFonts w:ascii="Barlow Semi Condensed" w:cs="Barlow Semi Condensed" w:eastAsia="Barlow Semi Condensed" w:hAnsi="Barlow Semi Condensed"/>
          <w:sz w:val="24"/>
          <w:szCs w:val="24"/>
        </w:rPr>
        <w:t xml:space="preserve">sotto una disciplina metodologica vincolante, **scritta prima di ciascun lotto di</w:t>
      </w:r>
    </w:p>
    <w:p>
      <w:pPr>
        <w:spacing w:after="120" w:line="276"/>
        <w:jc w:val="both"/>
      </w:pPr>
      <w:r>
        <w:rPr>
          <w:rFonts w:ascii="Barlow Semi Condensed" w:cs="Barlow Semi Condensed" w:eastAsia="Barlow Semi Condensed" w:hAnsi="Barlow Semi Condensed"/>
          <w:sz w:val="24"/>
          <w:szCs w:val="24"/>
        </w:rPr>
        <w:t xml:space="preserve">lavoro e riscritta ogni volta che un lotto la incrinava**. L'accrescimento è</w:t>
      </w:r>
    </w:p>
    <w:p>
      <w:pPr>
        <w:spacing w:after="120" w:line="276"/>
        <w:jc w:val="both"/>
      </w:pPr>
      <w:r>
        <w:rPr>
          <w:rFonts w:ascii="Barlow Semi Condensed" w:cs="Barlow Semi Condensed" w:eastAsia="Barlow Semi Condensed" w:hAnsi="Barlow Semi Condensed"/>
          <w:sz w:val="24"/>
          <w:szCs w:val="24"/>
        </w:rPr>
        <w:t xml:space="preserve">datato: il registro delle revisioni assegna a ciascuna regola il giorno e l'ora</w:t>
      </w:r>
    </w:p>
    <w:p>
      <w:pPr>
        <w:spacing w:after="120" w:line="276"/>
        <w:jc w:val="both"/>
      </w:pPr>
      <w:r>
        <w:rPr>
          <w:rFonts w:ascii="Barlow Semi Condensed" w:cs="Barlow Semi Condensed" w:eastAsia="Barlow Semi Condensed" w:hAnsi="Barlow Semi Condensed"/>
          <w:sz w:val="24"/>
          <w:szCs w:val="24"/>
        </w:rPr>
        <w:t xml:space="preserve">del lavoro che l'ha resa necessaria.</w:t>
      </w:r>
    </w:p>
    <w:p>
      <w:pPr>
        <w:spacing w:after="120" w:line="276"/>
        <w:jc w:val="both"/>
      </w:pPr>
      <w:r>
        <w:rPr>
          <w:rFonts w:ascii="Barlow Semi Condensed" w:cs="Barlow Semi Condensed" w:eastAsia="Barlow Semi Condensed" w:hAnsi="Barlow Semi Condensed"/>
          <w:b/>
          <w:bCs/>
          <w:sz w:val="24"/>
          <w:szCs w:val="24"/>
        </w:rPr>
        <w:t xml:space="preserve">Il corpus non è, nel suo impianto, una ricostruzione dei fatti del 1978.</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propone una tesi sul sequestro, non indica responsabili, non rivela nulla.</w:t>
      </w:r>
    </w:p>
    <w:p>
      <w:pPr>
        <w:spacing w:after="120" w:line="276"/>
        <w:jc w:val="both"/>
      </w:pPr>
      <w:r>
        <w:rPr>
          <w:rFonts w:ascii="Barlow Semi Condensed" w:cs="Barlow Semi Condensed" w:eastAsia="Barlow Semi Condensed" w:hAnsi="Barlow Semi Condensed"/>
          <w:sz w:val="24"/>
          <w:szCs w:val="24"/>
        </w:rPr>
        <w:t xml:space="preserve">Produce </w:t>
      </w:r>
      <w:r>
        <w:rPr>
          <w:rFonts w:ascii="Barlow Semi Condensed" w:cs="Barlow Semi Condensed" w:eastAsia="Barlow Semi Condensed" w:hAnsi="Barlow Semi Condensed"/>
          <w:b/>
          <w:bCs/>
          <w:sz w:val="24"/>
          <w:szCs w:val="24"/>
        </w:rPr>
        <w:t xml:space="preserve">bersagli di ricerca</w:t>
      </w:r>
      <w:r>
        <w:rPr>
          <w:rFonts w:ascii="Barlow Semi Condensed" w:cs="Barlow Semi Condensed" w:eastAsia="Barlow Semi Condensed" w:hAnsi="Barlow Semi Condensed"/>
          <w:sz w:val="24"/>
          <w:szCs w:val="24"/>
        </w:rPr>
        <w:t xml:space="preserve">: domande formulate in modo che qualcuno possa</w:t>
      </w:r>
    </w:p>
    <w:p>
      <w:pPr>
        <w:spacing w:after="120" w:line="276"/>
        <w:jc w:val="both"/>
      </w:pPr>
      <w:r>
        <w:rPr>
          <w:rFonts w:ascii="Barlow Semi Condensed" w:cs="Barlow Semi Condensed" w:eastAsia="Barlow Semi Condensed" w:hAnsi="Barlow Semi Condensed"/>
          <w:sz w:val="24"/>
          <w:szCs w:val="24"/>
        </w:rPr>
        <w:t xml:space="preserve">andare in archivio a rispondervi, ciascuna col grado di ciò che si sa già e con</w:t>
      </w:r>
    </w:p>
    <w:p>
      <w:pPr>
        <w:spacing w:after="120" w:line="276"/>
        <w:jc w:val="both"/>
      </w:pPr>
      <w:r>
        <w:rPr>
          <w:rFonts w:ascii="Barlow Semi Condensed" w:cs="Barlow Semi Condensed" w:eastAsia="Barlow Semi Condensed" w:hAnsi="Barlow Semi Condensed"/>
          <w:sz w:val="24"/>
          <w:szCs w:val="24"/>
        </w:rPr>
        <w:t xml:space="preserve">la sede in cui si</w:t>
      </w:r>
    </w:p>
    <w:p>
      <w:pPr>
        <w:spacing w:after="120" w:line="276"/>
        <w:jc w:val="both"/>
      </w:pPr>
      <w:r>
        <w:rPr>
          <w:rFonts w:ascii="Barlow Semi Condensed" w:cs="Barlow Semi Condensed" w:eastAsia="Barlow Semi Condensed" w:hAnsi="Barlow Semi Condensed"/>
          <w:sz w:val="24"/>
          <w:szCs w:val="24"/>
        </w:rPr>
        <w:t xml:space="preserve">cercherebbe.</w:t>
      </w:r>
    </w:p>
    <w:p>
      <w:pPr>
        <w:spacing w:after="120" w:line="276"/>
        <w:jc w:val="both"/>
      </w:pPr>
      <w:r>
        <w:rPr>
          <w:rFonts w:ascii="Barlow Semi Condensed" w:cs="Barlow Semi Condensed" w:eastAsia="Barlow Semi Condensed" w:hAnsi="Barlow Semi Condensed"/>
          <w:b/>
          <w:bCs/>
          <w:sz w:val="24"/>
          <w:szCs w:val="24"/>
        </w:rPr>
        <w:t xml:space="preserve">Un solo Libro fa eccezione, e la dichiara.</w:t>
      </w:r>
      <w:r>
        <w:rPr>
          <w:rFonts w:ascii="Barlow Semi Condensed" w:cs="Barlow Semi Condensed" w:eastAsia="Barlow Semi Condensed" w:hAnsi="Barlow Semi Condensed"/>
          <w:sz w:val="24"/>
          <w:szCs w:val="24"/>
        </w:rPr>
        <w:t xml:space="preserve"> Il Libro quarto — il Dossier</w:t>
      </w:r>
    </w:p>
    <w:p>
      <w:pPr>
        <w:spacing w:after="120" w:line="276"/>
        <w:jc w:val="both"/>
      </w:pPr>
      <w:r>
        <w:rPr>
          <w:rFonts w:ascii="Barlow Semi Condensed" w:cs="Barlow Semi Condensed" w:eastAsia="Barlow Semi Condensed" w:hAnsi="Barlow Semi Condensed"/>
          <w:sz w:val="24"/>
          <w:szCs w:val="24"/>
        </w:rPr>
        <w:t xml:space="preserve">maggiore dell'autore, «Una Pace senza Pace · Tutta la verità», opera anteriore</w:t>
      </w:r>
    </w:p>
    <w:p>
      <w:pPr>
        <w:spacing w:after="120" w:line="276"/>
        <w:jc w:val="both"/>
      </w:pPr>
      <w:r>
        <w:rPr>
          <w:rFonts w:ascii="Barlow Semi Condensed" w:cs="Barlow Semi Condensed" w:eastAsia="Barlow Semi Condensed" w:hAnsi="Barlow Semi Condensed"/>
          <w:sz w:val="24"/>
          <w:szCs w:val="24"/>
        </w:rPr>
        <w:t xml:space="preserve">al corpus e qui conservata per intero anziché riscritta — ricostruisce i fatti</w:t>
      </w:r>
    </w:p>
    <w:p>
      <w:pPr>
        <w:spacing w:after="120" w:line="276"/>
        <w:jc w:val="both"/>
      </w:pPr>
      <w:r>
        <w:rPr>
          <w:rFonts w:ascii="Barlow Semi Condensed" w:cs="Barlow Semi Condensed" w:eastAsia="Barlow Semi Condensed" w:hAnsi="Barlow Semi Condensed"/>
          <w:sz w:val="24"/>
          <w:szCs w:val="24"/>
        </w:rPr>
        <w:t xml:space="preserve">e, nella sua seconda metà, congeda dichiaratamente la sospensione prudente per</w:t>
      </w:r>
    </w:p>
    <w:p>
      <w:pPr>
        <w:spacing w:after="120" w:line="276"/>
        <w:jc w:val="both"/>
      </w:pPr>
      <w:r>
        <w:rPr>
          <w:rFonts w:ascii="Barlow Semi Condensed" w:cs="Barlow Semi Condensed" w:eastAsia="Barlow Semi Condensed" w:hAnsi="Barlow Semi Condensed"/>
          <w:sz w:val="24"/>
          <w:szCs w:val="24"/>
        </w:rPr>
        <w:t xml:space="preserve">ordinare secondo la plausibilità del coinvolgimento. **Ordina categorie di</w:t>
      </w:r>
    </w:p>
    <w:p>
      <w:pPr>
        <w:spacing w:after="120" w:line="276"/>
        <w:jc w:val="both"/>
      </w:pPr>
      <w:r>
        <w:rPr>
          <w:rFonts w:ascii="Barlow Semi Condensed" w:cs="Barlow Semi Condensed" w:eastAsia="Barlow Semi Condensed" w:hAnsi="Barlow Semi Condensed"/>
          <w:sz w:val="24"/>
          <w:szCs w:val="24"/>
        </w:rPr>
        <w:t xml:space="preserve">soggetti, non nomi individuali**: i condannati in via definitiva, gli apparati</w:t>
      </w:r>
    </w:p>
    <w:p>
      <w:pPr>
        <w:spacing w:after="120" w:line="276"/>
        <w:jc w:val="both"/>
      </w:pPr>
      <w:r>
        <w:rPr>
          <w:rFonts w:ascii="Barlow Semi Condensed" w:cs="Barlow Semi Condensed" w:eastAsia="Barlow Semi Condensed" w:hAnsi="Barlow Semi Condensed"/>
          <w:sz w:val="24"/>
          <w:szCs w:val="24"/>
        </w:rPr>
        <w:t xml:space="preserve">coinvolti nei depistaggi, i portatori d'interesse esterno. L'eccezione è</w:t>
      </w:r>
    </w:p>
    <w:p>
      <w:pPr>
        <w:spacing w:after="120" w:line="276"/>
        <w:jc w:val="both"/>
      </w:pPr>
      <w:r>
        <w:rPr>
          <w:rFonts w:ascii="Barlow Semi Condensed" w:cs="Barlow Semi Condensed" w:eastAsia="Barlow Semi Condensed" w:hAnsi="Barlow Semi Condensed"/>
          <w:sz w:val="24"/>
          <w:szCs w:val="24"/>
        </w:rPr>
        <w:t xml:space="preserve">registrata nella disciplina in copertina dell'opera, ripetuta nella nota che</w:t>
      </w:r>
    </w:p>
    <w:p>
      <w:pPr>
        <w:spacing w:after="120" w:line="276"/>
        <w:jc w:val="both"/>
      </w:pPr>
      <w:r>
        <w:rPr>
          <w:rFonts w:ascii="Barlow Semi Condensed" w:cs="Barlow Semi Condensed" w:eastAsia="Barlow Semi Condensed" w:hAnsi="Barlow Semi Condensed"/>
          <w:sz w:val="24"/>
          <w:szCs w:val="24"/>
        </w:rPr>
        <w:t xml:space="preserve">apre quel Libro, e vale per quel Libro soltanto.</w:t>
      </w:r>
    </w:p>
    <w:p>
      <w:pPr>
        <w:pStyle w:val="Heading2"/>
        <w:spacing w:after="100" w:before="200"/>
      </w:pPr>
      <w:r>
        <w:rPr>
          <w:rFonts w:ascii="Barlow Semi Condensed" w:cs="Barlow Semi Condensed" w:eastAsia="Barlow Semi Condensed" w:hAnsi="Barlow Semi Condensed"/>
          <w:sz w:val="24"/>
          <w:szCs w:val="24"/>
        </w:rPr>
        <w:t xml:space="preserve">I numeri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Blocchi mirati di ricerca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7.699</w:t>
            </w:r>
            <w:r>
              <w:rPr>
                <w:rFonts w:ascii="Barlow Semi Condensed" w:cs="Barlow Semi Condensed" w:eastAsia="Barlow Semi Condensed" w:hAnsi="Barlow Semi Condensed"/>
                <w:sz w:val="20"/>
                <w:szCs w:val="20"/>
              </w:rPr>
              <w:t xml:space="preserve"> in cinque opere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Opera integrale rilegata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2.425</w:t>
            </w:r>
            <w:r>
              <w:rPr>
                <w:rFonts w:ascii="Barlow Semi Condensed" w:cs="Barlow Semi Condensed" w:eastAsia="Barlow Semi Condensed" w:hAnsi="Barlow Semi Condensed"/>
                <w:sz w:val="20"/>
                <w:szCs w:val="20"/>
              </w:rPr>
              <w:t xml:space="preserve"> pagine, </w:t>
            </w:r>
            <w:r>
              <w:rPr>
                <w:rFonts w:ascii="Barlow Semi Condensed" w:cs="Barlow Semi Condensed" w:eastAsia="Barlow Semi Condensed" w:hAnsi="Barlow Semi Condensed"/>
                <w:b/>
                <w:bCs/>
                <w:sz w:val="20"/>
                <w:szCs w:val="20"/>
              </w:rPr>
              <w:t xml:space="preserve">101</w:t>
            </w:r>
            <w:r>
              <w:rPr>
                <w:rFonts w:ascii="Barlow Semi Condensed" w:cs="Barlow Semi Condensed" w:eastAsia="Barlow Semi Condensed" w:hAnsi="Barlow Semi Condensed"/>
                <w:sz w:val="20"/>
                <w:szCs w:val="20"/>
              </w:rPr>
              <w:t xml:space="preserve"> documenti, quindici Libri, doppia edizione DOCX e PDF</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Documenti in markdown nel ramo pubblico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Volumi rilegati in doppia edizione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14 DOCX + 14 PDF</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Riferimenti bibliografici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687</w:t>
            </w:r>
            <w:r>
              <w:rPr>
                <w:rFonts w:ascii="Barlow Semi Condensed" w:cs="Barlow Semi Condensed" w:eastAsia="Barlow Semi Condensed" w:hAnsi="Barlow Semi Condensed"/>
                <w:sz w:val="20"/>
                <w:szCs w:val="20"/>
              </w:rPr>
              <w:t xml:space="preserve"> indirizzi distinti, </w:t>
            </w:r>
            <w:r>
              <w:rPr>
                <w:rFonts w:ascii="Barlow Semi Condensed" w:cs="Barlow Semi Condensed" w:eastAsia="Barlow Semi Condensed" w:hAnsi="Barlow Semi Condensed"/>
                <w:b/>
                <w:bCs/>
                <w:sz w:val="20"/>
                <w:szCs w:val="20"/>
              </w:rPr>
              <w:t xml:space="preserve">1.043</w:t>
            </w:r>
            <w:r>
              <w:rPr>
                <w:rFonts w:ascii="Barlow Semi Condensed" w:cs="Barlow Semi Condensed" w:eastAsia="Barlow Semi Condensed" w:hAnsi="Barlow Semi Condensed"/>
                <w:sz w:val="20"/>
                <w:szCs w:val="20"/>
              </w:rPr>
              <w:t xml:space="preserve"> citazioni, </w:t>
            </w:r>
            <w:r>
              <w:rPr>
                <w:rFonts w:ascii="Barlow Semi Condensed" w:cs="Barlow Semi Condensed" w:eastAsia="Barlow Semi Condensed" w:hAnsi="Barlow Semi Condensed"/>
                <w:b/>
                <w:bCs/>
                <w:sz w:val="20"/>
                <w:szCs w:val="20"/>
              </w:rPr>
              <w:t xml:space="preserve">357</w:t>
            </w:r>
            <w:r>
              <w:rPr>
                <w:rFonts w:ascii="Barlow Semi Condensed" w:cs="Barlow Semi Condensed" w:eastAsia="Barlow Semi Condensed" w:hAnsi="Barlow Semi Condensed"/>
                <w:sz w:val="20"/>
                <w:szCs w:val="20"/>
              </w:rPr>
              <w:t xml:space="preserve"> domini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Apparato grafico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235</w:t>
            </w:r>
            <w:r>
              <w:rPr>
                <w:rFonts w:ascii="Barlow Semi Condensed" w:cs="Barlow Semi Condensed" w:eastAsia="Barlow Semi Condensed" w:hAnsi="Barlow Semi Condensed"/>
                <w:sz w:val="20"/>
                <w:szCs w:val="20"/>
              </w:rPr>
              <w:t xml:space="preserve"> grafici su 102 capitoli, mai meno di due per capitolo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*Annotazione del 27 agosto 2026 — Questa tavola è stata aggiornata, e va detto\</w:t>
      </w:r>
    </w:p>
    <w:p>
      <w:pPr>
        <w:spacing w:after="120" w:line="276"/>
        <w:jc w:val="both"/>
      </w:pPr>
      <w:r>
        <w:rPr>
          <w:rFonts w:ascii="Barlow Semi Condensed" w:cs="Barlow Semi Condensed" w:eastAsia="Barlow Semi Condensed" w:hAnsi="Barlow Semi Condensed"/>
          <w:sz w:val="24"/>
          <w:szCs w:val="24"/>
        </w:rPr>
        <w:t xml:space="preserve">da che cosa. Fino al 26 agosto vi si leggeva: opera integrale di **1.331 pagine\</w:t>
      </w:r>
    </w:p>
    <w:p>
      <w:pPr>
        <w:spacing w:after="120" w:line="276"/>
        <w:jc w:val="both"/>
      </w:pPr>
      <w:r>
        <w:rPr>
          <w:rFonts w:ascii="Barlow Semi Condensed" w:cs="Barlow Semi Condensed" w:eastAsia="Barlow Semi Condensed" w:hAnsi="Barlow Semi Condensed"/>
          <w:sz w:val="24"/>
          <w:szCs w:val="24"/>
        </w:rPr>
        <w:t xml:space="preserve">e 47 documenti</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39</w:t>
      </w:r>
      <w:r>
        <w:rPr>
          <w:rFonts w:ascii="Barlow Semi Condensed" w:cs="Barlow Semi Condensed" w:eastAsia="Barlow Semi Condensed" w:hAnsi="Barlow Semi Condensed"/>
          <w:b/>
          <w:bCs/>
          <w:sz w:val="24"/>
          <w:szCs w:val="24"/>
        </w:rPr>
        <w:t xml:space="preserve"> documenti in markdown, </w:t>
      </w:r>
      <w:r>
        <w:rPr>
          <w:rFonts w:ascii="Barlow Semi Condensed" w:cs="Barlow Semi Condensed" w:eastAsia="Barlow Semi Condensed" w:hAnsi="Barlow Semi Condensed"/>
          <w:sz w:val="24"/>
          <w:szCs w:val="24"/>
        </w:rPr>
        <w:t xml:space="preserve">667** indirizzi distinti con\</w:t>
      </w:r>
    </w:p>
    <w:p>
      <w:pPr>
        <w:spacing w:after="120" w:line="276"/>
        <w:jc w:val="both"/>
      </w:pPr>
      <w:r>
        <w:rPr>
          <w:rFonts w:ascii="Barlow Semi Condensed" w:cs="Barlow Semi Condensed" w:eastAsia="Barlow Semi Condensed" w:hAnsi="Barlow Semi Condensed"/>
          <w:b/>
          <w:bCs/>
          <w:sz w:val="24"/>
          <w:szCs w:val="24"/>
        </w:rPr>
        <w:t xml:space="preserve">1.002</w:t>
      </w:r>
      <w:r>
        <w:rPr>
          <w:rFonts w:ascii="Barlow Semi Condensed" w:cs="Barlow Semi Condensed" w:eastAsia="Barlow Semi Condensed" w:hAnsi="Barlow Semi Condensed"/>
          <w:sz w:val="24"/>
          <w:szCs w:val="24"/>
        </w:rPr>
        <w:t xml:space="preserve"> citazioni su </w:t>
      </w: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domini, </w:t>
      </w: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grafici. Quelle cifre erano esatte\</w:t>
      </w:r>
    </w:p>
    <w:p>
      <w:pPr>
        <w:spacing w:after="120" w:line="276"/>
        <w:jc w:val="both"/>
      </w:pPr>
      <w:r>
        <w:rPr>
          <w:rFonts w:ascii="Barlow Semi Condensed" w:cs="Barlow Semi Condensed" w:eastAsia="Barlow Semi Condensed" w:hAnsi="Barlow Semi Condensed"/>
          <w:sz w:val="24"/>
          <w:szCs w:val="24"/>
        </w:rPr>
        <w:t xml:space="preserve">alla loro data e sono diventate false quando l'opera è cresciuta della terza\</w:t>
      </w:r>
    </w:p>
    <w:p>
      <w:pPr>
        <w:spacing w:after="120" w:line="276"/>
        <w:jc w:val="both"/>
      </w:pPr>
      <w:r>
        <w:rPr>
          <w:rFonts w:ascii="Barlow Semi Condensed" w:cs="Barlow Semi Condensed" w:eastAsia="Barlow Semi Condensed" w:hAnsi="Barlow Semi Condensed"/>
          <w:sz w:val="24"/>
          <w:szCs w:val="24"/>
        </w:rPr>
        <w:t xml:space="preserve">campagna Farnesina, dell'opera seconda sui cinquantacinque giorni e delle undici\</w:t>
      </w:r>
    </w:p>
    <w:p>
      <w:pPr>
        <w:spacing w:after="120" w:line="276"/>
        <w:jc w:val="both"/>
      </w:pPr>
      <w:r>
        <w:rPr>
          <w:rFonts w:ascii="Barlow Semi Condensed" w:cs="Barlow Semi Condensed" w:eastAsia="Barlow Semi Condensed" w:hAnsi="Barlow Semi Condensed"/>
          <w:sz w:val="24"/>
          <w:szCs w:val="24"/>
        </w:rPr>
        <w:t xml:space="preserve">appendici alla Fase settima. Sono lasciate qui accanto alle nuove, e non\</w:t>
      </w:r>
    </w:p>
    <w:p>
      <w:pPr>
        <w:spacing w:after="120" w:line="276"/>
        <w:jc w:val="both"/>
      </w:pPr>
      <w:r>
        <w:rPr>
          <w:rFonts w:ascii="Barlow Semi Condensed" w:cs="Barlow Semi Condensed" w:eastAsia="Barlow Semi Condensed" w:hAnsi="Barlow Semi Condensed"/>
          <w:sz w:val="24"/>
          <w:szCs w:val="24"/>
        </w:rPr>
        <w:t xml:space="preserve">cancellate, perché una scheda che si aggiorna in silenzio non permette a chi l'ha\</w:t>
      </w:r>
    </w:p>
    <w:p>
      <w:pPr>
        <w:spacing w:after="120" w:line="276"/>
        <w:jc w:val="both"/>
      </w:pPr>
      <w:r>
        <w:rPr>
          <w:rFonts w:ascii="Barlow Semi Condensed" w:cs="Barlow Semi Condensed" w:eastAsia="Barlow Semi Condensed" w:hAnsi="Barlow Semi Condensed"/>
          <w:sz w:val="24"/>
          <w:szCs w:val="24"/>
        </w:rPr>
        <w:t xml:space="preserve">già ricevuta di accorgersi che i numeri sono cambiati. Chi ha in mano la\</w:t>
      </w:r>
    </w:p>
    <w:p>
      <w:pPr>
        <w:spacing w:after="120" w:line="276"/>
        <w:jc w:val="both"/>
      </w:pPr>
      <w:r>
        <w:rPr>
          <w:rFonts w:ascii="Barlow Semi Condensed" w:cs="Barlow Semi Condensed" w:eastAsia="Barlow Semi Condensed" w:hAnsi="Barlow Semi Condensed"/>
          <w:sz w:val="24"/>
          <w:szCs w:val="24"/>
        </w:rPr>
        <w:t xml:space="preserve">redazione del 26 agosto legga questa riga: nessuna cifra è stata ritirata come\</w:t>
      </w:r>
    </w:p>
    <w:p>
      <w:pPr>
        <w:spacing w:after="120" w:line="276"/>
        <w:jc w:val="both"/>
      </w:pPr>
      <w:r>
        <w:rPr>
          <w:rFonts w:ascii="Barlow Semi Condensed" w:cs="Barlow Semi Condensed" w:eastAsia="Barlow Semi Condensed" w:hAnsi="Barlow Semi Condensed"/>
          <w:sz w:val="24"/>
          <w:szCs w:val="24"/>
        </w:rPr>
        <w:t xml:space="preserve">sbagliata, tutte sono state superate dalla crescita del corpus. Un esemplare\</w:t>
      </w:r>
    </w:p>
    <w:p>
      <w:pPr>
        <w:spacing w:after="120" w:line="276"/>
        <w:jc w:val="both"/>
      </w:pPr>
      <w:r>
        <w:rPr>
          <w:rFonts w:ascii="Barlow Semi Condensed" w:cs="Barlow Semi Condensed" w:eastAsia="Barlow Semi Condensed" w:hAnsi="Barlow Semi Condensed"/>
          <w:sz w:val="24"/>
          <w:szCs w:val="24"/>
        </w:rPr>
        <w:t xml:space="preserve">dell'allegato in quella redazione, in PDF, è stato ripresentato il 27 agosto ed è\</w:t>
      </w:r>
    </w:p>
    <w:p>
      <w:pPr>
        <w:spacing w:after="120" w:line="276"/>
        <w:jc w:val="both"/>
      </w:pPr>
      <w:r>
        <w:rPr>
          <w:rFonts w:ascii="Barlow Semi Condensed" w:cs="Barlow Semi Condensed" w:eastAsia="Barlow Semi Condensed" w:hAnsi="Barlow Semi Condensed"/>
          <w:sz w:val="24"/>
          <w:szCs w:val="24"/>
        </w:rPr>
        <w:t xml:space="preserve">appunto quello che porta le cifre anteriori.*</w:t>
      </w:r>
    </w:p>
    <w:p>
      <w:pPr>
        <w:spacing w:after="120" w:line="276"/>
        <w:jc w:val="both"/>
      </w:pPr>
      <w:r>
        <w:rPr>
          <w:rFonts w:ascii="Barlow Semi Condensed" w:cs="Barlow Semi Condensed" w:eastAsia="Barlow Semi Condensed" w:hAnsi="Barlow Semi Condensed"/>
          <w:sz w:val="24"/>
          <w:szCs w:val="24"/>
        </w:rPr>
        <w:t xml:space="preserve">Le cinque opere in blocchi: la triangolazione di un solo nome contro tutto il</w:t>
      </w:r>
    </w:p>
    <w:p>
      <w:pPr>
        <w:spacing w:after="120" w:line="276"/>
        <w:jc w:val="both"/>
      </w:pPr>
      <w:r>
        <w:rPr>
          <w:rFonts w:ascii="Barlow Semi Condensed" w:cs="Barlow Semi Condensed" w:eastAsia="Barlow Semi Condensed" w:hAnsi="Barlow Semi Condensed"/>
          <w:sz w:val="24"/>
          <w:szCs w:val="24"/>
        </w:rPr>
        <w:t xml:space="preserve">corpus (</w:t>
      </w:r>
      <w:r>
        <w:rPr>
          <w:rFonts w:ascii="Barlow Semi Condensed" w:cs="Barlow Semi Condensed" w:eastAsia="Barlow Semi Condensed" w:hAnsi="Barlow Semi Condensed"/>
          <w:b/>
          <w:bCs/>
          <w:sz w:val="24"/>
          <w:szCs w:val="24"/>
        </w:rPr>
        <w:t xml:space="preserve">4.999</w:t>
      </w:r>
      <w:r>
        <w:rPr>
          <w:rFonts w:ascii="Barlow Semi Condensed" w:cs="Barlow Semi Condensed" w:eastAsia="Barlow Semi Condensed" w:hAnsi="Barlow Semi Condensed"/>
          <w:sz w:val="24"/>
          <w:szCs w:val="24"/>
        </w:rPr>
        <w:t xml:space="preserve"> blocchi, 65 serie); i nove cantieri d'archivio (</w:t>
      </w:r>
      <w:r>
        <w:rPr>
          <w:rFonts w:ascii="Barlow Semi Condensed" w:cs="Barlow Semi Condensed" w:eastAsia="Barlow Semi Condensed" w:hAnsi="Barlow Semi Condensed"/>
          <w:b/>
          <w:bCs/>
          <w:sz w:val="24"/>
          <w:szCs w:val="24"/>
        </w:rPr>
        <w:t xml:space="preserve">1.000</w:t>
      </w:r>
      <w:r>
        <w:rPr>
          <w:rFonts w:ascii="Barlow Semi Condensed" w:cs="Barlow Semi Condensed" w:eastAsia="Barlow Semi Condensed" w:hAnsi="Barlow Semi Condensed"/>
          <w:sz w:val="24"/>
          <w:szCs w:val="24"/>
        </w:rPr>
        <w:t xml:space="preserve">); la</w:t>
      </w:r>
    </w:p>
    <w:p>
      <w:pPr>
        <w:spacing w:after="120" w:line="276"/>
        <w:jc w:val="both"/>
      </w:pPr>
      <w:r>
        <w:rPr>
          <w:rFonts w:ascii="Barlow Semi Condensed" w:cs="Barlow Semi Condensed" w:eastAsia="Barlow Semi Condensed" w:hAnsi="Barlow Semi Condensed"/>
          <w:sz w:val="24"/>
          <w:szCs w:val="24"/>
        </w:rPr>
        <w:t xml:space="preserve">continuità dal Sud Africa dell'apartheid alle imprese tecnologiche californiane</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b/>
          <w:bCs/>
          <w:sz w:val="24"/>
          <w:szCs w:val="24"/>
        </w:rPr>
        <w:t xml:space="preserve">1.000</w:t>
      </w:r>
      <w:r>
        <w:rPr>
          <w:rFonts w:ascii="Barlow Semi Condensed" w:cs="Barlow Semi Condensed" w:eastAsia="Barlow Semi Condensed" w:hAnsi="Barlow Semi Condensed"/>
          <w:sz w:val="24"/>
          <w:szCs w:val="24"/>
        </w:rPr>
        <w:t xml:space="preserve">); il manuale investigativo (</w:t>
      </w: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l'agenda di ricerca (</w:t>
      </w: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La disciplina, in sei righe</w:t>
      </w:r>
    </w:p>
    <w:p>
      <w:pPr>
        <w:spacing w:after="40"/>
        <w:ind w:left="360"/>
        <w:jc w:val="both"/>
      </w:pPr>
      <w:r>
        <w:rPr>
          <w:rFonts w:ascii="Barlow Semi Condensed" w:cs="Barlow Semi Condensed" w:eastAsia="Barlow Semi Condensed" w:hAnsi="Barlow Semi Condensed"/>
          <w:sz w:val="24"/>
          <w:szCs w:val="24"/>
        </w:rPr>
        <w:t xml:space="preserve">1. Un legame è reale solo se **un documento di provenienza nomina entrambe le</w:t>
      </w:r>
    </w:p>
    <w:p>
      <w:pPr>
        <w:spacing w:after="120" w:line="276"/>
        <w:jc w:val="both"/>
      </w:pPr>
      <w:r>
        <w:rPr>
          <w:rFonts w:ascii="Barlow Semi Condensed" w:cs="Barlow Semi Condensed" w:eastAsia="Barlow Semi Condensed" w:hAnsi="Barlow Semi Condensed"/>
          <w:sz w:val="24"/>
          <w:szCs w:val="24"/>
        </w:rPr>
        <w:t xml:space="preserve">   parti**. La convergenza strutturale e l'affermazione di terza mano si</w:t>
      </w:r>
    </w:p>
    <w:p>
      <w:pPr>
        <w:spacing w:after="120" w:line="276"/>
        <w:jc w:val="both"/>
      </w:pPr>
      <w:r>
        <w:rPr>
          <w:rFonts w:ascii="Barlow Semi Condensed" w:cs="Barlow Semi Condensed" w:eastAsia="Barlow Semi Condensed" w:hAnsi="Barlow Semi Condensed"/>
          <w:sz w:val="24"/>
          <w:szCs w:val="24"/>
        </w:rPr>
        <w:t xml:space="preserve">   registrano, ma su un altro piano, e il piano si dichiara ogni volta.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contemporaneità non è prova di nesso.</w:t>
      </w:r>
      <w:r>
        <w:rPr>
          <w:rFonts w:ascii="Barlow Semi Condensed" w:cs="Barlow Semi Condensed" w:eastAsia="Barlow Semi Condensed" w:hAnsi="Barlow Semi Condensed"/>
          <w:sz w:val="24"/>
          <w:szCs w:val="24"/>
        </w:rPr>
        <w:t xml:space="preserve"> Due fatti dello stesso anno</w:t>
      </w:r>
    </w:p>
    <w:p>
      <w:pPr>
        <w:spacing w:after="120" w:line="276"/>
        <w:jc w:val="both"/>
      </w:pPr>
      <w:r>
        <w:rPr>
          <w:rFonts w:ascii="Barlow Semi Condensed" w:cs="Barlow Semi Condensed" w:eastAsia="Barlow Semi Condensed" w:hAnsi="Barlow Semi Condensed"/>
          <w:sz w:val="24"/>
          <w:szCs w:val="24"/>
        </w:rPr>
        <w:t xml:space="preserve">   restano due fatti.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L'appartenenza a un'organizzazione non è prova di condotta.</w:t>
      </w:r>
    </w:p>
    <w:p>
      <w:pPr>
        <w:spacing w:after="40"/>
        <w:ind w:left="360"/>
        <w:jc w:val="both"/>
      </w:pPr>
      <w:r>
        <w:rPr>
          <w:rFonts w:ascii="Barlow Semi Condensed" w:cs="Barlow Semi Condensed" w:eastAsia="Barlow Semi Condensed" w:hAnsi="Barlow Semi Condensed"/>
          <w:sz w:val="24"/>
          <w:szCs w:val="24"/>
        </w:rPr>
        <w:t xml:space="preserve">4. **Nessuna persona è indicata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   definitivo.** Nessuna graduatoria di colpa è compilata, con una sola eccezione</w:t>
      </w:r>
    </w:p>
    <w:p>
      <w:pPr>
        <w:spacing w:after="120" w:line="276"/>
        <w:jc w:val="both"/>
      </w:pPr>
      <w:r>
        <w:rPr>
          <w:rFonts w:ascii="Barlow Semi Condensed" w:cs="Barlow Semi Condensed" w:eastAsia="Barlow Semi Condensed" w:hAnsi="Barlow Semi Condensed"/>
          <w:sz w:val="24"/>
          <w:szCs w:val="24"/>
        </w:rPr>
        <w:t xml:space="preserve">   dichiarata: il Libro quarto, nella seconda metà, ordina secondo la plausibilità</w:t>
      </w:r>
    </w:p>
    <w:p>
      <w:pPr>
        <w:spacing w:after="120" w:line="276"/>
        <w:jc w:val="both"/>
      </w:pPr>
      <w:r>
        <w:rPr>
          <w:rFonts w:ascii="Barlow Semi Condensed" w:cs="Barlow Semi Condensed" w:eastAsia="Barlow Semi Condensed" w:hAnsi="Barlow Semi Condensed"/>
          <w:sz w:val="24"/>
          <w:szCs w:val="24"/>
        </w:rPr>
        <w:t xml:space="preserve">   del coinvolgimento — per categorie di soggetti, non per nomi individuali — e lo</w:t>
      </w:r>
    </w:p>
    <w:p>
      <w:pPr>
        <w:spacing w:after="120" w:line="276"/>
        <w:jc w:val="both"/>
      </w:pPr>
      <w:r>
        <w:rPr>
          <w:rFonts w:ascii="Barlow Semi Condensed" w:cs="Barlow Semi Condensed" w:eastAsia="Barlow Semi Condensed" w:hAnsi="Barlow Semi Condensed"/>
          <w:sz w:val="24"/>
          <w:szCs w:val="24"/>
        </w:rPr>
        <w:t xml:space="preserve">   avverte in apertura. Ordinare per plausibilità non è condannare, l'eccezione vale</w:t>
      </w:r>
    </w:p>
    <w:p>
      <w:pPr>
        <w:spacing w:after="120" w:line="276"/>
        <w:jc w:val="both"/>
      </w:pPr>
      <w:r>
        <w:rPr>
          <w:rFonts w:ascii="Barlow Semi Condensed" w:cs="Barlow Semi Condensed" w:eastAsia="Barlow Semi Condensed" w:hAnsi="Barlow Semi Condensed"/>
          <w:sz w:val="24"/>
          <w:szCs w:val="24"/>
        </w:rPr>
        <w:t xml:space="preserve">   per quel Libro soltanto, e nessuna sua affermazione è trasportata negli altri.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divergenze si riportano e non si scelgono in silenzio.</w:t>
      </w:r>
      <w:r>
        <w:rPr>
          <w:rFonts w:ascii="Barlow Semi Condensed" w:cs="Barlow Semi Condensed" w:eastAsia="Barlow Semi Condensed" w:hAnsi="Barlow Semi Condensed"/>
          <w:sz w:val="24"/>
          <w:szCs w:val="24"/>
        </w:rPr>
        <w:t xml:space="preserve"> Quando due fonti</w:t>
      </w:r>
    </w:p>
    <w:p>
      <w:pPr>
        <w:spacing w:after="120" w:line="276"/>
        <w:jc w:val="both"/>
      </w:pPr>
      <w:r>
        <w:rPr>
          <w:rFonts w:ascii="Barlow Semi Condensed" w:cs="Barlow Semi Condensed" w:eastAsia="Barlow Semi Condensed" w:hAnsi="Barlow Semi Condensed"/>
          <w:sz w:val="24"/>
          <w:szCs w:val="24"/>
        </w:rPr>
        <w:t xml:space="preserve">   danno date diverse, il testo dà due date.</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Le correzioni si fanno per nota, mai riscrivendo in silenzio.</w:t>
      </w:r>
      <w:r>
        <w:rPr>
          <w:rFonts w:ascii="Barlow Semi Condensed" w:cs="Barlow Semi Condensed" w:eastAsia="Barlow Semi Condensed" w:hAnsi="Barlow Semi Condensed"/>
          <w:sz w:val="24"/>
          <w:szCs w:val="24"/>
        </w:rPr>
        <w:t xml:space="preserve"> L'opera</w:t>
      </w:r>
    </w:p>
    <w:p>
      <w:pPr>
        <w:spacing w:after="120" w:line="276"/>
        <w:jc w:val="both"/>
      </w:pPr>
      <w:r>
        <w:rPr>
          <w:rFonts w:ascii="Barlow Semi Condensed" w:cs="Barlow Semi Condensed" w:eastAsia="Barlow Semi Condensed" w:hAnsi="Barlow Semi Condensed"/>
          <w:sz w:val="24"/>
          <w:szCs w:val="24"/>
        </w:rPr>
        <w:t xml:space="preserve">   registra il proprio tasso d'errore.</w:t>
      </w:r>
    </w:p>
    <w:p>
      <w:pPr>
        <w:pStyle w:val="Heading2"/>
        <w:spacing w:after="100" w:before="200"/>
      </w:pPr>
      <w:r>
        <w:rPr>
          <w:rFonts w:ascii="Barlow Semi Condensed" w:cs="Barlow Semi Condensed" w:eastAsia="Barlow Semi Condensed" w:hAnsi="Barlow Semi Condensed"/>
          <w:sz w:val="24"/>
          <w:szCs w:val="24"/>
        </w:rPr>
        <w:t xml:space="preserve">Che cosa il corpus ha effettivamente accertato</w:t>
      </w:r>
    </w:p>
    <w:p>
      <w:pPr>
        <w:spacing w:after="120" w:line="276"/>
        <w:jc w:val="both"/>
      </w:pPr>
      <w:r>
        <w:rPr>
          <w:rFonts w:ascii="Barlow Semi Condensed" w:cs="Barlow Semi Condensed" w:eastAsia="Barlow Semi Condensed" w:hAnsi="Barlow Semi Condensed"/>
          <w:sz w:val="24"/>
          <w:szCs w:val="24"/>
        </w:rPr>
        <w:t xml:space="preserve">Tre cose, tutte verificabili da terzi, tutte di natura documentale e nessuna di</w:t>
      </w:r>
    </w:p>
    <w:p>
      <w:pPr>
        <w:spacing w:after="120" w:line="276"/>
        <w:jc w:val="both"/>
      </w:pPr>
      <w:r>
        <w:rPr>
          <w:rFonts w:ascii="Barlow Semi Condensed" w:cs="Barlow Semi Condensed" w:eastAsia="Barlow Semi Condensed" w:hAnsi="Barlow Semi Condensed"/>
          <w:sz w:val="24"/>
          <w:szCs w:val="24"/>
        </w:rPr>
        <w:t xml:space="preserve">natura rivelatoria: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verbale dello Studio Ovale del 25 settembre 1974</w:t>
      </w:r>
      <w:r>
        <w:rPr>
          <w:rFonts w:ascii="Barlow Semi Condensed" w:cs="Barlow Semi Condensed" w:eastAsia="Barlow Semi Condensed" w:hAnsi="Barlow Semi Condensed"/>
          <w:sz w:val="24"/>
          <w:szCs w:val="24"/>
        </w:rPr>
        <w:t xml:space="preserve"> — pubblicato, dotato di</w:t>
      </w:r>
    </w:p>
    <w:p>
      <w:pPr>
        <w:spacing w:after="120" w:line="276"/>
        <w:jc w:val="both"/>
      </w:pPr>
      <w:r>
        <w:rPr>
          <w:rFonts w:ascii="Barlow Semi Condensed" w:cs="Barlow Semi Condensed" w:eastAsia="Barlow Semi Condensed" w:hAnsi="Barlow Semi Condensed"/>
          <w:sz w:val="24"/>
          <w:szCs w:val="24"/>
        </w:rPr>
        <w:t xml:space="preserve">  doppia segnatura d'archivio — è correntemente citato come la prova documentale</w:t>
      </w:r>
    </w:p>
    <w:p>
      <w:pPr>
        <w:spacing w:after="120" w:line="276"/>
        <w:jc w:val="both"/>
      </w:pPr>
      <w:r>
        <w:rPr>
          <w:rFonts w:ascii="Barlow Semi Condensed" w:cs="Barlow Semi Condensed" w:eastAsia="Barlow Semi Condensed" w:hAnsi="Barlow Semi Condensed"/>
          <w:sz w:val="24"/>
          <w:szCs w:val="24"/>
        </w:rPr>
        <w:t xml:space="preserve">  di un ultimatum ad Aldo Moro, e non contiene quella frase.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 quel colloquio esiste un solo versante, quello americano.</w:t>
      </w:r>
      <w:r>
        <w:rPr>
          <w:rFonts w:ascii="Barlow Semi Condensed" w:cs="Barlow Semi Condensed" w:eastAsia="Barlow Semi Condensed" w:hAnsi="Barlow Semi Condensed"/>
          <w:sz w:val="24"/>
          <w:szCs w:val="24"/>
        </w:rPr>
        <w:t xml:space="preserve"> L'appunto</w:t>
      </w:r>
    </w:p>
    <w:p>
      <w:pPr>
        <w:spacing w:after="120" w:line="276"/>
        <w:jc w:val="both"/>
      </w:pPr>
      <w:r>
        <w:rPr>
          <w:rFonts w:ascii="Barlow Semi Condensed" w:cs="Barlow Semi Condensed" w:eastAsia="Barlow Semi Condensed" w:hAnsi="Barlow Semi Condensed"/>
          <w:sz w:val="24"/>
          <w:szCs w:val="24"/>
        </w:rPr>
        <w:t xml:space="preserve">  italiano dello stesso incontro non risulta mai cercato, in cinquant'anni. Sono</w:t>
      </w:r>
    </w:p>
    <w:p>
      <w:pPr>
        <w:spacing w:after="120" w:line="276"/>
        <w:jc w:val="both"/>
      </w:pPr>
      <w:r>
        <w:rPr>
          <w:rFonts w:ascii="Barlow Semi Condensed" w:cs="Barlow Semi Condensed" w:eastAsia="Barlow Semi Condensed" w:hAnsi="Barlow Semi Condensed"/>
          <w:sz w:val="24"/>
          <w:szCs w:val="24"/>
        </w:rPr>
        <w:t xml:space="preserve">  indicate cinque sedi in cui cercarlo.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decine di riprese pressoché</w:t>
      </w:r>
    </w:p>
    <w:p>
      <w:pPr>
        <w:spacing w:after="120" w:line="276"/>
        <w:jc w:val="both"/>
      </w:pPr>
      <w:r>
        <w:rPr>
          <w:rFonts w:ascii="Barlow Semi Condensed" w:cs="Barlow Semi Condensed" w:eastAsia="Barlow Semi Condensed" w:hAnsi="Barlow Semi Condensed"/>
          <w:sz w:val="24"/>
          <w:szCs w:val="24"/>
        </w:rPr>
        <w:t xml:space="preserve">  identiche della stessa frase risalgono a un unico lancio d'agenzia del 30</w:t>
      </w:r>
    </w:p>
    <w:p>
      <w:pPr>
        <w:spacing w:after="120" w:line="276"/>
        <w:jc w:val="both"/>
      </w:pPr>
      <w:r>
        <w:rPr>
          <w:rFonts w:ascii="Barlow Semi Condensed" w:cs="Barlow Semi Condensed" w:eastAsia="Barlow Semi Condensed" w:hAnsi="Barlow Semi Condensed"/>
          <w:sz w:val="24"/>
          <w:szCs w:val="24"/>
        </w:rPr>
        <w:t xml:space="preserve">  novembre 2023. Cento copie di una fonte restano una fonte.</w:t>
      </w:r>
    </w:p>
    <w:p>
      <w:pPr>
        <w:pStyle w:val="Heading2"/>
        <w:spacing w:after="100" w:before="200"/>
      </w:pPr>
      <w:r>
        <w:rPr>
          <w:rFonts w:ascii="Barlow Semi Condensed" w:cs="Barlow Semi Condensed" w:eastAsia="Barlow Semi Condensed" w:hAnsi="Barlow Semi Condensed"/>
          <w:sz w:val="24"/>
          <w:szCs w:val="24"/>
        </w:rPr>
        <w:t xml:space="preserve">Che cosa il corpus dichiara di non aver stabilito</w:t>
      </w:r>
    </w:p>
    <w:p>
      <w:pPr>
        <w:spacing w:after="120" w:line="276"/>
        <w:jc w:val="both"/>
      </w:pPr>
      <w:r>
        <w:rPr>
          <w:rFonts w:ascii="Barlow Semi Condensed" w:cs="Barlow Semi Condensed" w:eastAsia="Barlow Semi Condensed" w:hAnsi="Barlow Semi Condensed"/>
          <w:sz w:val="24"/>
          <w:szCs w:val="24"/>
        </w:rPr>
        <w:t xml:space="preserve">Che la frase non sia stata pronunciata; che qualcuno menta; qualsiasi cosa</w:t>
      </w:r>
    </w:p>
    <w:p>
      <w:pPr>
        <w:spacing w:after="120" w:line="276"/>
        <w:jc w:val="both"/>
      </w:pPr>
      <w:r>
        <w:rPr>
          <w:rFonts w:ascii="Barlow Semi Condensed" w:cs="Barlow Semi Condensed" w:eastAsia="Barlow Semi Condensed" w:hAnsi="Barlow Semi Condensed"/>
          <w:sz w:val="24"/>
          <w:szCs w:val="24"/>
        </w:rPr>
        <w:t xml:space="preserve">riguardi la responsabilità del sequestro e dell'omicidio. **Henry Kissinger non</w:t>
      </w:r>
    </w:p>
    <w:p>
      <w:pPr>
        <w:spacing w:after="120" w:line="276"/>
        <w:jc w:val="both"/>
      </w:pPr>
      <w:r>
        <w:rPr>
          <w:rFonts w:ascii="Barlow Semi Condensed" w:cs="Barlow Semi Condensed" w:eastAsia="Barlow Semi Condensed" w:hAnsi="Barlow Semi Condensed"/>
          <w:sz w:val="24"/>
          <w:szCs w:val="24"/>
        </w:rPr>
        <w:t xml:space="preserve">fu condannato in alcun processo, non fu mai imputato né processato in alcun</w:t>
      </w:r>
    </w:p>
    <w:p>
      <w:pPr>
        <w:spacing w:after="120" w:line="276"/>
        <w:jc w:val="both"/>
      </w:pPr>
      <w:r>
        <w:rPr>
          <w:rFonts w:ascii="Barlow Semi Condensed" w:cs="Barlow Semi Condensed" w:eastAsia="Barlow Semi Condensed" w:hAnsi="Barlow Semi Condensed"/>
          <w:sz w:val="24"/>
          <w:szCs w:val="24"/>
        </w:rPr>
        <w:t xml:space="preserve">Paese**, e nessuna sentenza definitiva ha attribuito ad alcuna autorità</w:t>
      </w:r>
    </w:p>
    <w:p>
      <w:pPr>
        <w:spacing w:after="120" w:line="276"/>
        <w:jc w:val="both"/>
      </w:pPr>
      <w:r>
        <w:rPr>
          <w:rFonts w:ascii="Barlow Semi Condensed" w:cs="Barlow Semi Condensed" w:eastAsia="Barlow Semi Condensed" w:hAnsi="Barlow Semi Condensed"/>
          <w:sz w:val="24"/>
          <w:szCs w:val="24"/>
        </w:rPr>
        <w:t xml:space="preserve">statunitense responsabilità penali nel caso: le condanne definitive riguardano</w:t>
      </w:r>
    </w:p>
    <w:p>
      <w:pPr>
        <w:spacing w:after="120" w:line="276"/>
        <w:jc w:val="both"/>
      </w:pPr>
      <w:r>
        <w:rPr>
          <w:rFonts w:ascii="Barlow Semi Condensed" w:cs="Barlow Semi Condensed" w:eastAsia="Barlow Semi Condensed" w:hAnsi="Barlow Semi Condensed"/>
          <w:sz w:val="24"/>
          <w:szCs w:val="24"/>
        </w:rPr>
        <w:t xml:space="preserve">esponenti delle Brigate Rosse.</w:t>
      </w:r>
    </w:p>
    <w:p>
      <w:pPr>
        <w:spacing w:after="120" w:line="276"/>
        <w:jc w:val="both"/>
      </w:pPr>
      <w:r>
        <w:rPr>
          <w:rFonts w:ascii="Barlow Semi Condensed" w:cs="Barlow Semi Condensed" w:eastAsia="Barlow Semi Condensed" w:hAnsi="Barlow Semi Condensed"/>
          <w:sz w:val="24"/>
          <w:szCs w:val="24"/>
        </w:rPr>
        <w:t xml:space="preserve">Il corpus dichiara inoltre i propri limiti d'accesso: per una parte dei materiali</w:t>
      </w:r>
    </w:p>
    <w:p>
      <w:pPr>
        <w:spacing w:after="120" w:line="276"/>
        <w:jc w:val="both"/>
      </w:pPr>
      <w:r>
        <w:rPr>
          <w:rFonts w:ascii="Barlow Semi Condensed" w:cs="Barlow Semi Condensed" w:eastAsia="Barlow Semi Condensed" w:hAnsi="Barlow Semi Condensed"/>
          <w:sz w:val="24"/>
          <w:szCs w:val="24"/>
        </w:rPr>
        <w:t xml:space="preserve">primari ha lavorato su sintesi e fonti secondarie, 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sui resoconti</w:t>
      </w:r>
    </w:p>
    <w:p>
      <w:pPr>
        <w:spacing w:after="120" w:line="276"/>
        <w:jc w:val="both"/>
      </w:pPr>
      <w:r>
        <w:rPr>
          <w:rFonts w:ascii="Barlow Semi Condensed" w:cs="Barlow Semi Condensed" w:eastAsia="Barlow Semi Condensed" w:hAnsi="Barlow Semi Condensed"/>
          <w:sz w:val="24"/>
          <w:szCs w:val="24"/>
        </w:rPr>
        <w:t xml:space="preserve">stenografici della Commissione parlamentare d'inchiesta né sui verbali d'udienza</w:t>
      </w:r>
    </w:p>
    <w:p>
      <w:pPr>
        <w:spacing w:after="120" w:line="276"/>
        <w:jc w:val="both"/>
      </w:pPr>
      <w:r>
        <w:rPr>
          <w:rFonts w:ascii="Barlow Semi Condensed" w:cs="Barlow Semi Condensed" w:eastAsia="Barlow Semi Condensed" w:hAnsi="Barlow Semi Condensed"/>
          <w:sz w:val="24"/>
          <w:szCs w:val="24"/>
        </w:rPr>
        <w:t xml:space="preserve">del processo.</w:t>
      </w:r>
    </w:p>
    <w:p>
      <w:pPr>
        <w:pStyle w:val="Heading2"/>
        <w:spacing w:after="100" w:before="200"/>
      </w:pPr>
      <w:r>
        <w:rPr>
          <w:rFonts w:ascii="Barlow Semi Condensed" w:cs="Barlow Semi Condensed" w:eastAsia="Barlow Semi Condensed" w:hAnsi="Barlow Semi Condensed"/>
          <w:sz w:val="24"/>
          <w:szCs w:val="24"/>
        </w:rPr>
        <w:t xml:space="preserve">Il libro proposto agli editori</w:t>
      </w:r>
    </w:p>
    <w:p>
      <w:pPr>
        <w:spacing w:after="120" w:line="276"/>
        <w:jc w:val="both"/>
      </w:pPr>
      <w:r>
        <w:rPr>
          <w:rFonts w:ascii="Barlow Semi Condensed" w:cs="Barlow Semi Condensed" w:eastAsia="Barlow Semi Condensed" w:hAnsi="Barlow Semi Condensed"/>
          <w:b/>
          <w:bCs/>
          <w:sz w:val="24"/>
          <w:szCs w:val="24"/>
        </w:rPr>
        <w:t xml:space="preserve">Non è questo corpus</w:t>
      </w:r>
      <w:r>
        <w:rPr>
          <w:rFonts w:ascii="Barlow Semi Condensed" w:cs="Barlow Semi Condensed" w:eastAsia="Barlow Semi Condensed" w:hAnsi="Barlow Semi Condensed"/>
          <w:sz w:val="24"/>
          <w:szCs w:val="24"/>
        </w:rPr>
        <w:t xml:space="preserve">, che resta apparato di consultazione. È il saggio breve</w:t>
      </w:r>
    </w:p>
    <w:p>
      <w:pPr>
        <w:spacing w:after="120" w:line="276"/>
        <w:jc w:val="both"/>
      </w:pPr>
      <w:r>
        <w:rPr>
          <w:rFonts w:ascii="Barlow Semi Condensed" w:cs="Barlow Semi Condensed" w:eastAsia="Barlow Semi Condensed" w:hAnsi="Barlow Semi Condensed"/>
          <w:sz w:val="24"/>
          <w:szCs w:val="24"/>
        </w:rPr>
        <w:t xml:space="preserve">che ne nasce: </w:t>
      </w:r>
      <w:r>
        <w:rPr>
          <w:rFonts w:ascii="Barlow Semi Condensed" w:cs="Barlow Semi Condensed" w:eastAsia="Barlow Semi Condensed" w:hAnsi="Barlow Semi Condensed"/>
          <w:b/>
          <w:bCs/>
          <w:sz w:val="24"/>
          <w:szCs w:val="24"/>
        </w:rPr>
        <w:t xml:space="preserve">140-200 pagine</w:t>
      </w:r>
      <w:r>
        <w:rPr>
          <w:rFonts w:ascii="Barlow Semi Condensed" w:cs="Barlow Semi Condensed" w:eastAsia="Barlow Semi Condensed" w:hAnsi="Barlow Semi Condensed"/>
          <w:sz w:val="24"/>
          <w:szCs w:val="24"/>
        </w:rPr>
        <w:t xml:space="preserve">, sette capitoli, il resoconto dell'esperimento e</w:t>
      </w:r>
    </w:p>
    <w:p>
      <w:pPr>
        <w:spacing w:after="120" w:line="276"/>
        <w:jc w:val="both"/>
      </w:pPr>
      <w:r>
        <w:rPr>
          <w:rFonts w:ascii="Barlow Semi Condensed" w:cs="Barlow Semi Condensed" w:eastAsia="Barlow Semi Condensed" w:hAnsi="Barlow Semi Condensed"/>
          <w:sz w:val="24"/>
          <w:szCs w:val="24"/>
        </w:rPr>
        <w:t xml:space="preserve">dei suoi fallimenti metodologici. Il caso Moro vi funziona da banco di prova e</w:t>
      </w:r>
    </w:p>
    <w:p>
      <w:pPr>
        <w:spacing w:after="120" w:line="276"/>
        <w:jc w:val="both"/>
      </w:pPr>
      <w:r>
        <w:rPr>
          <w:rFonts w:ascii="Barlow Semi Condensed" w:cs="Barlow Semi Condensed" w:eastAsia="Barlow Semi Condensed" w:hAnsi="Barlow Semi Condensed"/>
          <w:sz w:val="24"/>
          <w:szCs w:val="24"/>
        </w:rPr>
        <w:t xml:space="preserve">non da oggetto.</w:t>
      </w:r>
    </w:p>
    <w:p>
      <w:pPr>
        <w:pStyle w:val="Heading2"/>
        <w:spacing w:after="100" w:before="200"/>
      </w:pPr>
      <w:r>
        <w:rPr>
          <w:rFonts w:ascii="Barlow Semi Condensed" w:cs="Barlow Semi Condensed" w:eastAsia="Barlow Semi Condensed" w:hAnsi="Barlow Semi Condensed"/>
          <w:sz w:val="24"/>
          <w:szCs w:val="24"/>
        </w:rPr>
        <w:t xml:space="preserve">Stato del lavoro</w:t>
      </w:r>
    </w:p>
    <w:p>
      <w:pPr>
        <w:spacing w:after="120" w:line="276"/>
        <w:jc w:val="both"/>
      </w:pPr>
      <w:r>
        <w:rPr>
          <w:rFonts w:ascii="Barlow Semi Condensed" w:cs="Barlow Semi Condensed" w:eastAsia="Barlow Semi Condensed" w:hAnsi="Barlow Semi Condensed"/>
          <w:sz w:val="24"/>
          <w:szCs w:val="24"/>
        </w:rPr>
        <w:t xml:space="preserve">Corpus completo e verificato. Struttura del saggio definita, sette casi</w:t>
      </w:r>
    </w:p>
    <w:p>
      <w:pPr>
        <w:spacing w:after="120" w:line="276"/>
        <w:jc w:val="both"/>
      </w:pPr>
      <w:r>
        <w:rPr>
          <w:rFonts w:ascii="Barlow Semi Condensed" w:cs="Barlow Semi Condensed" w:eastAsia="Barlow Semi Condensed" w:hAnsi="Barlow Semi Condensed"/>
          <w:sz w:val="24"/>
          <w:szCs w:val="24"/>
        </w:rPr>
        <w:t xml:space="preserve">documentati, </w:t>
      </w:r>
      <w:r>
        <w:rPr>
          <w:rFonts w:ascii="Barlow Semi Condensed" w:cs="Barlow Semi Condensed" w:eastAsia="Barlow Semi Condensed" w:hAnsi="Barlow Semi Condensed"/>
          <w:b/>
          <w:bCs/>
          <w:sz w:val="24"/>
          <w:szCs w:val="24"/>
        </w:rPr>
        <w:t xml:space="preserve">capitolo campione scritto</w:t>
      </w:r>
      <w:r>
        <w:rPr>
          <w:rFonts w:ascii="Barlow Semi Condensed" w:cs="Barlow Semi Condensed" w:eastAsia="Barlow Semi Condensed" w:hAnsi="Barlow Semi Condensed"/>
          <w:sz w:val="24"/>
          <w:szCs w:val="24"/>
        </w:rPr>
        <w:t xml:space="preserve">. Il resto del testo è da scrivere.</w:t>
      </w:r>
    </w:p>
    <w:p>
      <w:pPr>
        <w:pStyle w:val="Heading2"/>
        <w:spacing w:after="100" w:before="200"/>
      </w:pPr>
      <w:r>
        <w:rPr>
          <w:rFonts w:ascii="Barlow Semi Condensed" w:cs="Barlow Semi Condensed" w:eastAsia="Barlow Semi Condensed" w:hAnsi="Barlow Semi Condensed"/>
          <w:sz w:val="24"/>
          <w:szCs w:val="24"/>
        </w:rPr>
        <w:t xml:space="preserve">Regime dei diritti e disponibilità</w:t>
      </w:r>
    </w:p>
    <w:p>
      <w:pPr>
        <w:spacing w:after="120" w:line="276"/>
        <w:jc w:val="both"/>
      </w:pPr>
      <w:r>
        <w:rPr>
          <w:rFonts w:ascii="Barlow Semi Condensed" w:cs="Barlow Semi Condensed" w:eastAsia="Barlow Semi Condensed" w:hAnsi="Barlow Semi Condensed"/>
          <w:sz w:val="24"/>
          <w:szCs w:val="24"/>
        </w:rPr>
        <w:t xml:space="preserve">Il corpus è depositato su un archivio pubblico ad accesso libero. Nulla di ciò</w:t>
      </w:r>
    </w:p>
    <w:p>
      <w:pPr>
        <w:spacing w:after="120" w:line="276"/>
        <w:jc w:val="both"/>
      </w:pPr>
      <w:r>
        <w:rPr>
          <w:rFonts w:ascii="Barlow Semi Condensed" w:cs="Barlow Semi Condensed" w:eastAsia="Barlow Semi Condensed" w:hAnsi="Barlow Semi Condensed"/>
          <w:sz w:val="24"/>
          <w:szCs w:val="24"/>
        </w:rPr>
        <w:t xml:space="preserve">che riguarda persone viventi con attribuzioni non verificate è pubblicato: quel</w:t>
      </w:r>
    </w:p>
    <w:p>
      <w:pPr>
        <w:spacing w:after="120" w:line="276"/>
        <w:jc w:val="both"/>
      </w:pPr>
      <w:r>
        <w:rPr>
          <w:rFonts w:ascii="Barlow Semi Condensed" w:cs="Barlow Semi Condensed" w:eastAsia="Barlow Semi Condensed" w:hAnsi="Barlow Semi Condensed"/>
          <w:sz w:val="24"/>
          <w:szCs w:val="24"/>
        </w:rPr>
        <w:t xml:space="preserve">materiale resta in un archivio separato e non divulgabile.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p>
      <w:pPr>
        <w:pStyle w:val="Heading3"/>
        <w:spacing w:after="80" w:before="240"/>
      </w:pPr>
      <w:r>
        <w:rPr>
          <w:rFonts w:ascii="Barlow Semi Condensed" w:cs="Barlow Semi Condensed" w:eastAsia="Barlow Semi Condensed" w:hAnsi="Barlow Semi Condensed"/>
          <w:sz w:val="24"/>
          <w:szCs w:val="24"/>
        </w:rPr>
        <w:t xml:space="preserve">Apparato grafico — Appendici · iv. La scheda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IV.iv: 990 parole in 8 sezioni; la più ampia è §2 I numeri, con 287.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IV.iv: 16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 Il capitolo campione</w:t>
      </w:r>
    </w:p>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*È il quarto dei sette, ed è</w:t>
      </w:r>
    </w:p>
    <w:p>
      <w:pPr>
        <w:spacing w:after="120" w:line="276"/>
        <w:jc w:val="both"/>
      </w:pPr>
      <w:r>
        <w:rPr>
          <w:rFonts w:ascii="Barlow Semi Condensed" w:cs="Barlow Semi Condensed" w:eastAsia="Barlow Semi Condensed" w:hAnsi="Barlow Semi Condensed"/>
          <w:sz w:val="24"/>
          <w:szCs w:val="24"/>
        </w:rPr>
        <w:t xml:space="preserve">stato scelto come estratto perché è il più verificabile: ogni sua affermazione</w:t>
      </w:r>
    </w:p>
    <w:p>
      <w:pPr>
        <w:spacing w:after="120" w:line="276"/>
        <w:jc w:val="both"/>
      </w:pPr>
      <w:r>
        <w:rPr>
          <w:rFonts w:ascii="Barlow Semi Condensed" w:cs="Barlow Semi Condensed" w:eastAsia="Barlow Semi Condensed" w:hAnsi="Barlow Semi Condensed"/>
          <w:sz w:val="24"/>
          <w:szCs w:val="24"/>
        </w:rPr>
        <w:t xml:space="preserve">può essere controllata da chi legge, in mezz'ora, senza uscire di casa e senza</w:t>
      </w:r>
    </w:p>
    <w:p>
      <w:pPr>
        <w:spacing w:after="120" w:line="276"/>
        <w:jc w:val="both"/>
      </w:pPr>
      <w:r>
        <w:rPr>
          <w:rFonts w:ascii="Barlow Semi Condensed" w:cs="Barlow Semi Condensed" w:eastAsia="Barlow Semi Condensed" w:hAnsi="Barlow Semi Condensed"/>
          <w:sz w:val="24"/>
          <w:szCs w:val="24"/>
        </w:rPr>
        <w:t xml:space="preserve">chiedere niente a nessuno. Il capitolo si chiude con l'esercizio che permette di</w:t>
      </w:r>
    </w:p>
    <w:p>
      <w:pPr>
        <w:spacing w:after="120" w:line="276"/>
        <w:jc w:val="both"/>
      </w:pPr>
      <w:r>
        <w:rPr>
          <w:rFonts w:ascii="Barlow Semi Condensed" w:cs="Barlow Semi Condensed" w:eastAsia="Barlow Semi Condensed" w:hAnsi="Barlow Semi Condensed"/>
          <w:sz w:val="24"/>
          <w:szCs w:val="24"/>
        </w:rPr>
        <w:t xml:space="preserve">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w:t>
      </w:r>
    </w:p>
    <w:p>
      <w:pPr>
        <w:spacing w:after="120" w:line="276"/>
        <w:jc w:val="both"/>
      </w:pPr>
      <w:r>
        <w:rPr>
          <w:rFonts w:ascii="Barlow Semi Condensed" w:cs="Barlow Semi Condensed" w:eastAsia="Barlow Semi Condensed" w:hAnsi="Barlow Semi Condensed"/>
          <w:sz w:val="24"/>
          <w:szCs w:val="24"/>
        </w:rPr>
        <w:t xml:space="preserve">Basta accennarle e la sala le completa. Una di queste dice, più o meno, che nel</w:t>
      </w:r>
    </w:p>
    <w:p>
      <w:pPr>
        <w:spacing w:after="120" w:line="276"/>
        <w:jc w:val="both"/>
      </w:pPr>
      <w:r>
        <w:rPr>
          <w:rFonts w:ascii="Barlow Semi Condensed" w:cs="Barlow Semi Condensed" w:eastAsia="Barlow Semi Condensed" w:hAnsi="Barlow Semi Condensed"/>
          <w:sz w:val="24"/>
          <w:szCs w:val="24"/>
        </w:rPr>
        <w:t xml:space="preserve">settembre del 1974 il Segretario di Stato americano avvertì Aldo Moro che se</w:t>
      </w:r>
    </w:p>
    <w:p>
      <w:pPr>
        <w:spacing w:after="120" w:line="276"/>
        <w:jc w:val="both"/>
      </w:pPr>
      <w:r>
        <w:rPr>
          <w:rFonts w:ascii="Barlow Semi Condensed" w:cs="Barlow Semi Condensed" w:eastAsia="Barlow Semi Condensed" w:hAnsi="Barlow Semi Condensed"/>
          <w:sz w:val="24"/>
          <w:szCs w:val="24"/>
        </w:rPr>
        <w:t xml:space="preserve">avesse insistito sulla sua linea politica l'avrebbe pagata cara. Le versioni</w:t>
      </w:r>
    </w:p>
    <w:p>
      <w:pPr>
        <w:spacing w:after="120" w:line="276"/>
        <w:jc w:val="both"/>
      </w:pPr>
      <w:r>
        <w:rPr>
          <w:rFonts w:ascii="Barlow Semi Condensed" w:cs="Barlow Semi Condensed" w:eastAsia="Barlow Semi Condensed" w:hAnsi="Barlow Semi Condensed"/>
          <w:sz w:val="24"/>
          <w:szCs w:val="24"/>
        </w:rPr>
        <w:t xml:space="preserve">oscillano — «la pagherà cara», «smetta o ne subirà le conseguenze» — ma la</w:t>
      </w:r>
    </w:p>
    <w:p>
      <w:pPr>
        <w:spacing w:after="120" w:line="276"/>
        <w:jc w:val="both"/>
      </w:pPr>
      <w:r>
        <w:rPr>
          <w:rFonts w:ascii="Barlow Semi Condensed" w:cs="Barlow Semi Condensed" w:eastAsia="Barlow Semi Condensed" w:hAnsi="Barlow Semi Condensed"/>
          <w:sz w:val="24"/>
          <w:szCs w:val="24"/>
        </w:rPr>
        <w:t xml:space="preserve">sostanza circola compatta da quarant'anni, e circola sempre agganciata a un</w:t>
      </w:r>
    </w:p>
    <w:p>
      <w:pPr>
        <w:spacing w:after="120" w:line="276"/>
        <w:jc w:val="both"/>
      </w:pPr>
      <w:r>
        <w:rPr>
          <w:rFonts w:ascii="Barlow Semi Condensed" w:cs="Barlow Semi Condensed" w:eastAsia="Barlow Semi Condensed" w:hAnsi="Barlow Semi Condensed"/>
          <w:sz w:val="24"/>
          <w:szCs w:val="24"/>
        </w:rPr>
        <w:t xml:space="preserve">appiglio documentale preciso: **il verbale del colloquio dello Studio Ovale del</w:t>
      </w:r>
    </w:p>
    <w:p>
      <w:pPr>
        <w:spacing w:after="120" w:line="276"/>
        <w:jc w:val="both"/>
      </w:pPr>
      <w:r>
        <w:rPr>
          <w:rFonts w:ascii="Barlow Semi Condensed" w:cs="Barlow Semi Condensed" w:eastAsia="Barlow Semi Condensed" w:hAnsi="Barlow Semi Condensed"/>
          <w:sz w:val="24"/>
          <w:szCs w:val="24"/>
        </w:rPr>
        <w:t xml:space="preserve">25 settembre 1974**.</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w:t>
      </w:r>
    </w:p>
    <w:p>
      <w:pPr>
        <w:spacing w:after="120" w:line="276"/>
        <w:jc w:val="both"/>
      </w:pPr>
      <w:r>
        <w:rPr>
          <w:rFonts w:ascii="Barlow Semi Condensed" w:cs="Barlow Semi Condensed" w:eastAsia="Barlow Semi Condensed" w:hAnsi="Barlow Semi Condensed"/>
          <w:sz w:val="24"/>
          <w:szCs w:val="24"/>
        </w:rPr>
        <w:t xml:space="preserve">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w:t>
      </w:r>
    </w:p>
    <w:p>
      <w:pPr>
        <w:spacing w:after="120" w:line="276"/>
        <w:jc w:val="both"/>
      </w:pPr>
      <w:r>
        <w:rPr>
          <w:rFonts w:ascii="Barlow Semi Condensed" w:cs="Barlow Semi Condensed" w:eastAsia="Barlow Semi Condensed" w:hAnsi="Barlow Semi Condensed"/>
          <w:sz w:val="24"/>
          <w:szCs w:val="24"/>
        </w:rPr>
        <w:t xml:space="preserve">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w:t>
      </w:r>
    </w:p>
    <w:p>
      <w:pPr>
        <w:spacing w:after="120" w:line="276"/>
        <w:jc w:val="both"/>
      </w:pPr>
      <w:r>
        <w:rPr>
          <w:rFonts w:ascii="Barlow Semi Condensed" w:cs="Barlow Semi Condensed" w:eastAsia="Barlow Semi Condensed" w:hAnsi="Barlow Semi Condensed"/>
          <w:sz w:val="24"/>
          <w:szCs w:val="24"/>
        </w:rPr>
        <w:t xml:space="preserve">arrivati qui, è di scrivere che la storia è smontata; e sarebbe un errore dello</w:t>
      </w:r>
    </w:p>
    <w:p>
      <w:pPr>
        <w:spacing w:after="120" w:line="276"/>
        <w:jc w:val="both"/>
      </w:pPr>
      <w:r>
        <w:rPr>
          <w:rFonts w:ascii="Barlow Semi Condensed" w:cs="Barlow Semi Condensed" w:eastAsia="Barlow Semi Condensed" w:hAnsi="Barlow Semi Condensed"/>
          <w:sz w:val="24"/>
          <w:szCs w:val="24"/>
        </w:rPr>
        <w:t xml:space="preserve">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**Studio Ovale, 25 settembre 1974, ore</w:t>
      </w:r>
    </w:p>
    <w:p>
      <w:pPr>
        <w:spacing w:after="120" w:line="276"/>
        <w:jc w:val="both"/>
      </w:pPr>
      <w:r>
        <w:rPr>
          <w:rFonts w:ascii="Barlow Semi Condensed" w:cs="Barlow Semi Condensed" w:eastAsia="Barlow Semi Condensed" w:hAnsi="Barlow Semi Condensed"/>
          <w:sz w:val="24"/>
          <w:szCs w:val="24"/>
        </w:rPr>
        <w:t xml:space="preserve">11.30**. Presenti: il Presidente della Repubblica italiana Giovanni Leone, il</w:t>
      </w:r>
    </w:p>
    <w:p>
      <w:pPr>
        <w:spacing w:after="120" w:line="276"/>
        <w:jc w:val="both"/>
      </w:pPr>
      <w:r>
        <w:rPr>
          <w:rFonts w:ascii="Barlow Semi Condensed" w:cs="Barlow Semi Condensed" w:eastAsia="Barlow Semi Condensed" w:hAnsi="Barlow Semi Condensed"/>
          <w:sz w:val="24"/>
          <w:szCs w:val="24"/>
        </w:rPr>
        <w:t xml:space="preserve">ministro degli Esteri Aldo Moro, il Presidente degli Stati Uniti Gerald Ford, il</w:t>
      </w:r>
    </w:p>
    <w:p>
      <w:pPr>
        <w:spacing w:after="120" w:line="276"/>
        <w:jc w:val="both"/>
      </w:pPr>
      <w:r>
        <w:rPr>
          <w:rFonts w:ascii="Barlow Semi Condensed" w:cs="Barlow Semi Condensed" w:eastAsia="Barlow Semi Condensed" w:hAnsi="Barlow Semi Condensed"/>
          <w:sz w:val="24"/>
          <w:szCs w:val="24"/>
        </w:rPr>
        <w:t xml:space="preserve">Segretario di Stato Henry Kissinger, e Brent Scowcroft, allora vice consigliere</w:t>
      </w:r>
    </w:p>
    <w:p>
      <w:pPr>
        <w:spacing w:after="120" w:line="276"/>
        <w:jc w:val="both"/>
      </w:pPr>
      <w:r>
        <w:rPr>
          <w:rFonts w:ascii="Barlow Semi Condensed" w:cs="Barlow Semi Condensed" w:eastAsia="Barlow Semi Condensed" w:hAnsi="Barlow Semi Condensed"/>
          <w:sz w:val="24"/>
          <w:szCs w:val="24"/>
        </w:rPr>
        <w:t xml:space="preserve">per la sicurezza nazionale, che dei colloqui presidenziali era anche il</w:t>
      </w:r>
    </w:p>
    <w:p>
      <w:pPr>
        <w:spacing w:after="120" w:line="276"/>
        <w:jc w:val="both"/>
      </w:pPr>
      <w:r>
        <w:rPr>
          <w:rFonts w:ascii="Barlow Semi Condensed" w:cs="Barlow Semi Condensed" w:eastAsia="Barlow Semi Condensed" w:hAnsi="Barlow Semi Condensed"/>
          <w:sz w:val="24"/>
          <w:szCs w:val="24"/>
        </w:rPr>
        <w:t xml:space="preserve">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w:t>
      </w:r>
    </w:p>
    <w:p>
      <w:pPr>
        <w:spacing w:after="120" w:line="276"/>
        <w:jc w:val="both"/>
      </w:pPr>
      <w:r>
        <w:rPr>
          <w:rFonts w:ascii="Barlow Semi Condensed" w:cs="Barlow Semi Condensed" w:eastAsia="Barlow Semi Condensed" w:hAnsi="Barlow Semi Condensed"/>
          <w:sz w:val="24"/>
          <w:szCs w:val="24"/>
        </w:rPr>
        <w:t xml:space="preserve">ma il resoconto redatto da uno dei presenti, in inglese, per uso interno</w:t>
      </w:r>
    </w:p>
    <w:p>
      <w:pPr>
        <w:spacing w:after="120" w:line="276"/>
        <w:jc w:val="both"/>
      </w:pPr>
      <w:r>
        <w:rPr>
          <w:rFonts w:ascii="Barlow Semi Condensed" w:cs="Barlow Semi Condensed" w:eastAsia="Barlow Semi Condensed" w:hAnsi="Barlow Semi Condensed"/>
          <w:sz w:val="24"/>
          <w:szCs w:val="24"/>
        </w:rPr>
        <w:t xml:space="preserve">dell'amministrazione. È stato pubblicato come **documento 350 del volume</w:t>
      </w:r>
    </w:p>
    <w:p>
      <w:pPr>
        <w:spacing w:after="120" w:line="276"/>
        <w:jc w:val="both"/>
      </w:pPr>
      <w:r>
        <w:rPr>
          <w:rFonts w:ascii="Barlow Semi Condensed" w:cs="Barlow Semi Condensed" w:eastAsia="Barlow Semi Condensed" w:hAnsi="Barlow Semi Condensed"/>
          <w:i/>
          <w:iCs/>
          <w:sz w:val="24"/>
          <w:szCs w:val="24"/>
        </w:rPr>
        <w:t xml:space="preserve">Foreign Relations of the United States</w:t>
      </w:r>
      <w:r>
        <w:rPr>
          <w:rFonts w:ascii="Barlow Semi Condensed" w:cs="Barlow Semi Condensed" w:eastAsia="Barlow Semi Condensed" w:hAnsi="Barlow Semi Condensed"/>
          <w:sz w:val="24"/>
          <w:szCs w:val="24"/>
        </w:rPr>
        <w:t xml:space="preserve">, 1969-1976, E-15, parte 2**, ed è</w:t>
      </w:r>
    </w:p>
    <w:p>
      <w:pPr>
        <w:spacing w:after="120" w:line="276"/>
        <w:jc w:val="both"/>
      </w:pPr>
      <w:r>
        <w:rPr>
          <w:rFonts w:ascii="Barlow Semi Condensed" w:cs="Barlow Semi Condensed" w:eastAsia="Barlow Semi Condensed" w:hAnsi="Barlow Semi Condensed"/>
          <w:sz w:val="24"/>
          <w:szCs w:val="24"/>
        </w:rPr>
        <w:t xml:space="preserve">conservato come </w:t>
      </w:r>
      <w:r>
        <w:rPr>
          <w:rFonts w:ascii="Barlow Semi Condensed" w:cs="Barlow Semi Condensed" w:eastAsia="Barlow Semi Condensed" w:hAnsi="Barlow Semi Condensed"/>
          <w:b/>
          <w:b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w:t>
      </w:r>
    </w:p>
    <w:p>
      <w:pPr>
        <w:spacing w:after="120" w:line="276"/>
        <w:jc w:val="both"/>
      </w:pPr>
      <w:r>
        <w:rPr>
          <w:rFonts w:ascii="Barlow Semi Condensed" w:cs="Barlow Semi Condensed" w:eastAsia="Barlow Semi Condensed" w:hAnsi="Barlow Semi Condensed"/>
          <w:sz w:val="24"/>
          <w:szCs w:val="24"/>
        </w:rPr>
        <w:t xml:space="preserve">dei documenti non è garantita identica fra le edizioni. Chi cita «documento 350»</w:t>
      </w:r>
    </w:p>
    <w:p>
      <w:pPr>
        <w:spacing w:after="120" w:line="276"/>
        <w:jc w:val="both"/>
      </w:pPr>
      <w:r>
        <w:rPr>
          <w:rFonts w:ascii="Barlow Semi Condensed" w:cs="Barlow Semi Condensed" w:eastAsia="Barlow Semi Condensed" w:hAnsi="Barlow Semi Condensed"/>
          <w:sz w:val="24"/>
          <w:szCs w:val="24"/>
        </w:rPr>
        <w:t xml:space="preserve">senza dire quale edizione sta citando consegna al lettore un riferimento che fra</w:t>
      </w:r>
    </w:p>
    <w:p>
      <w:pPr>
        <w:spacing w:after="120" w:line="276"/>
        <w:jc w:val="both"/>
      </w:pPr>
      <w:r>
        <w:rPr>
          <w:rFonts w:ascii="Barlow Semi Condensed" w:cs="Barlow Semi Condensed" w:eastAsia="Barlow Semi Condensed" w:hAnsi="Barlow Semi Condensed"/>
          <w:sz w:val="24"/>
          <w:szCs w:val="24"/>
        </w:rPr>
        <w:t xml:space="preserve">dieci anni potrebbe non risolvere. Ho perso un pomeriggio su questo, e lo scrivo</w:t>
      </w:r>
    </w:p>
    <w:p>
      <w:pPr>
        <w:spacing w:after="120" w:line="276"/>
        <w:jc w:val="both"/>
      </w:pPr>
      <w:r>
        <w:rPr>
          <w:rFonts w:ascii="Barlow Semi Condensed" w:cs="Barlow Semi Condensed" w:eastAsia="Barlow Semi Condensed" w:hAnsi="Barlow Semi Condensed"/>
          <w:sz w:val="24"/>
          <w:szCs w:val="24"/>
        </w:rPr>
        <w:t xml:space="preserve">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w:t>
      </w:r>
    </w:p>
    <w:p>
      <w:pPr>
        <w:spacing w:after="120" w:line="276"/>
        <w:jc w:val="both"/>
      </w:pPr>
      <w:r>
        <w:rPr>
          <w:rFonts w:ascii="Barlow Semi Condensed" w:cs="Barlow Semi Condensed" w:eastAsia="Barlow Semi Condensed" w:hAnsi="Barlow Semi Condensed"/>
          <w:sz w:val="24"/>
          <w:szCs w:val="24"/>
        </w:rPr>
        <w:t xml:space="preserve">della stessa biblioteca presidenziale), relativo a un incontro del giorno</w:t>
      </w:r>
    </w:p>
    <w:p>
      <w:pPr>
        <w:spacing w:after="120" w:line="276"/>
        <w:jc w:val="both"/>
      </w:pPr>
      <w:r>
        <w:rPr>
          <w:rFonts w:ascii="Barlow Semi Condensed" w:cs="Barlow Semi Condensed" w:eastAsia="Barlow Semi Condensed" w:hAnsi="Barlow Semi Condensed"/>
          <w:sz w:val="24"/>
          <w:szCs w:val="24"/>
        </w:rPr>
        <w:t xml:space="preserve">successivo. Sui suoi contenuti gli estratti che ho potuto reperire sono parziali</w:t>
      </w:r>
    </w:p>
    <w:p>
      <w:pPr>
        <w:spacing w:after="120" w:line="276"/>
        <w:jc w:val="both"/>
      </w:pPr>
      <w:r>
        <w:rPr>
          <w:rFonts w:ascii="Barlow Semi Condensed" w:cs="Barlow Semi Condensed" w:eastAsia="Barlow Semi Condensed" w:hAnsi="Barlow Semi Condensed"/>
          <w:sz w:val="24"/>
          <w:szCs w:val="24"/>
        </w:rPr>
        <w:t xml:space="preserve">e non del tutto concordi fra loro. Lo segnalo perché è il primo posto dove</w:t>
      </w:r>
    </w:p>
    <w:p>
      <w:pPr>
        <w:spacing w:after="120" w:line="276"/>
        <w:jc w:val="both"/>
      </w:pPr>
      <w:r>
        <w:rPr>
          <w:rFonts w:ascii="Barlow Semi Condensed" w:cs="Barlow Semi Condensed" w:eastAsia="Barlow Semi Condensed" w:hAnsi="Barlow Semi Condensed"/>
          <w:sz w:val="24"/>
          <w:szCs w:val="24"/>
        </w:rPr>
        <w:t xml:space="preserve">guarderebbe chiunque volesse obiettare a questo capitolo, e ha ragione di</w:t>
      </w:r>
    </w:p>
    <w:p>
      <w:pPr>
        <w:spacing w:after="120" w:line="276"/>
        <w:jc w:val="both"/>
      </w:pPr>
      <w:r>
        <w:rPr>
          <w:rFonts w:ascii="Barlow Semi Condensed" w:cs="Barlow Semi Condensed" w:eastAsia="Barlow Semi Condensed" w:hAnsi="Barlow Semi Condensed"/>
          <w:sz w:val="24"/>
          <w:szCs w:val="24"/>
        </w:rPr>
        <w:t xml:space="preserve">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w:t>
      </w:r>
    </w:p>
    <w:p>
      <w:pPr>
        <w:spacing w:after="120" w:line="276"/>
        <w:jc w:val="both"/>
      </w:pPr>
      <w:r>
        <w:rPr>
          <w:rFonts w:ascii="Barlow Semi Condensed" w:cs="Barlow Semi Condensed" w:eastAsia="Barlow Semi Condensed" w:hAnsi="Barlow Semi Condensed"/>
          <w:sz w:val="24"/>
          <w:szCs w:val="24"/>
        </w:rPr>
        <w:t xml:space="preserve">perché il criterio di questo libro è riportarle tutte anche quando non pesano: il</w:t>
      </w:r>
    </w:p>
    <w:p>
      <w:pPr>
        <w:spacing w:after="120" w:line="276"/>
        <w:jc w:val="both"/>
      </w:pPr>
      <w:r>
        <w:rPr>
          <w:rFonts w:ascii="Barlow Semi Condensed" w:cs="Barlow Semi Condensed" w:eastAsia="Barlow Semi Condensed" w:hAnsi="Barlow Semi Condensed"/>
          <w:sz w:val="24"/>
          <w:szCs w:val="24"/>
        </w:rPr>
        <w:t xml:space="preserve">comunicato congiunto pubblicato negli atti presidenziali parla di visita **dal 25</w:t>
      </w:r>
    </w:p>
    <w:p>
      <w:pPr>
        <w:spacing w:after="120" w:line="276"/>
        <w:jc w:val="both"/>
      </w:pPr>
      <w:r>
        <w:rPr>
          <w:rFonts w:ascii="Barlow Semi Condensed" w:cs="Barlow Semi Condensed" w:eastAsia="Barlow Semi Condensed" w:hAnsi="Barlow Semi Condensed"/>
          <w:sz w:val="24"/>
          <w:szCs w:val="24"/>
        </w:rPr>
        <w:t xml:space="preserve">al 29 settembre 1974</w:t>
      </w:r>
      <w:r>
        <w:rPr>
          <w:rFonts w:ascii="Barlow Semi Condensed" w:cs="Barlow Semi Condensed" w:eastAsia="Barlow Semi Condensed" w:hAnsi="Barlow Semi Condensed"/>
          <w:b/>
          <w:bCs/>
          <w:sz w:val="24"/>
          <w:szCs w:val="24"/>
        </w:rPr>
        <w:t xml:space="preserve">; la nota editoriale del volume FRUS indica </w:t>
      </w:r>
      <w:r>
        <w:rPr>
          <w:rFonts w:ascii="Barlow Semi Condensed" w:cs="Barlow Semi Condensed" w:eastAsia="Barlow Semi Condensed" w:hAnsi="Barlow Semi Condensed"/>
          <w:sz w:val="24"/>
          <w:szCs w:val="24"/>
        </w:rPr>
        <w:t xml:space="preserve">dal 25 al</w:t>
      </w:r>
    </w:p>
    <w:p>
      <w:pPr>
        <w:spacing w:after="120" w:line="276"/>
        <w:jc w:val="both"/>
      </w:pPr>
      <w:r>
        <w:rPr>
          <w:rFonts w:ascii="Barlow Semi Condensed" w:cs="Barlow Semi Condensed" w:eastAsia="Barlow Semi Condensed" w:hAnsi="Barlow Semi Condensed"/>
          <w:sz w:val="24"/>
          <w:szCs w:val="24"/>
        </w:rPr>
        <w:t xml:space="preserve">27**. Non ho elementi per sciogliere la divergenza. Non serve scioglierla per</w:t>
      </w:r>
    </w:p>
    <w:p>
      <w:pPr>
        <w:spacing w:after="120" w:line="276"/>
        <w:jc w:val="both"/>
      </w:pPr>
      <w:r>
        <w:rPr>
          <w:rFonts w:ascii="Barlow Semi Condensed" w:cs="Barlow Semi Condensed" w:eastAsia="Barlow Semi Condensed" w:hAnsi="Barlow Semi Condensed"/>
          <w:sz w:val="24"/>
          <w:szCs w:val="24"/>
        </w:rPr>
        <w:t xml:space="preserve">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**non potrebbero</w:t>
      </w:r>
    </w:p>
    <w:p>
      <w:pPr>
        <w:spacing w:after="120" w:line="276"/>
        <w:jc w:val="both"/>
      </w:pPr>
      <w:r>
        <w:rPr>
          <w:rFonts w:ascii="Barlow Semi Condensed" w:cs="Barlow Semi Condensed" w:eastAsia="Barlow Semi Condensed" w:hAnsi="Barlow Semi Condensed"/>
          <w:sz w:val="24"/>
          <w:szCs w:val="24"/>
        </w:rPr>
        <w:t xml:space="preserve">scambiare informazioni militari** con un governo che includesse i comunisti, col</w:t>
      </w:r>
    </w:p>
    <w:p>
      <w:pPr>
        <w:spacing w:after="120" w:line="276"/>
        <w:jc w:val="both"/>
      </w:pPr>
      <w:r>
        <w:rPr>
          <w:rFonts w:ascii="Barlow Semi Condensed" w:cs="Barlow Semi Condensed" w:eastAsia="Barlow Semi Condensed" w:hAnsi="Barlow Semi Condensed"/>
          <w:sz w:val="24"/>
          <w:szCs w:val="24"/>
        </w:rPr>
        <w:t xml:space="preserve">precedente portoghese richiamato esplicitamente — il Portogallo del 1974, dopo</w:t>
      </w:r>
    </w:p>
    <w:p>
      <w:pPr>
        <w:spacing w:after="120" w:line="276"/>
        <w:jc w:val="both"/>
      </w:pPr>
      <w:r>
        <w:rPr>
          <w:rFonts w:ascii="Barlow Semi Condensed" w:cs="Barlow Semi Condensed" w:eastAsia="Barlow Semi Condensed" w:hAnsi="Barlow Semi Condensed"/>
          <w:sz w:val="24"/>
          <w:szCs w:val="24"/>
        </w:rPr>
        <w:t xml:space="preserve">il 25 aprile, era in quel momento la ferita aperta dell'Alleanza. E vi è messo a</w:t>
      </w:r>
    </w:p>
    <w:p>
      <w:pPr>
        <w:spacing w:after="120" w:line="276"/>
        <w:jc w:val="both"/>
      </w:pPr>
      <w:r>
        <w:rPr>
          <w:rFonts w:ascii="Barlow Semi Condensed" w:cs="Barlow Semi Condensed" w:eastAsia="Barlow Semi Condensed" w:hAnsi="Barlow Semi Condensed"/>
          <w:sz w:val="24"/>
          <w:szCs w:val="24"/>
        </w:rPr>
        <w:t xml:space="preserve">verbale il rilievo che un partito comunista «responsabile» sarebbe alla lunga</w:t>
      </w:r>
    </w:p>
    <w:p>
      <w:pPr>
        <w:spacing w:after="120" w:line="276"/>
        <w:jc w:val="both"/>
      </w:pP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w:t>
      </w:r>
    </w:p>
    <w:p>
      <w:pPr>
        <w:spacing w:after="120" w:line="276"/>
        <w:jc w:val="both"/>
      </w:pPr>
      <w:r>
        <w:rPr>
          <w:rFonts w:ascii="Barlow Semi Condensed" w:cs="Barlow Semi Condensed" w:eastAsia="Barlow Semi Condensed" w:hAnsi="Barlow Semi Condensed"/>
          <w:sz w:val="24"/>
          <w:szCs w:val="24"/>
        </w:rPr>
        <w:t xml:space="preserve">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w:t>
      </w:r>
    </w:p>
    <w:p>
      <w:pPr>
        <w:spacing w:after="120" w:line="276"/>
        <w:jc w:val="both"/>
      </w:pPr>
      <w:r>
        <w:rPr>
          <w:rFonts w:ascii="Barlow Semi Condensed" w:cs="Barlow Semi Condensed" w:eastAsia="Barlow Semi Condensed" w:hAnsi="Barlow Semi Condensed"/>
          <w:sz w:val="24"/>
          <w:szCs w:val="24"/>
        </w:rPr>
        <w:t xml:space="preserve">messa nero su bianco da chi la esprimeva, in presenza del ministro degli Esteri</w:t>
      </w:r>
    </w:p>
    <w:p>
      <w:pPr>
        <w:spacing w:after="120" w:line="276"/>
        <w:jc w:val="both"/>
      </w:pPr>
      <w:r>
        <w:rPr>
          <w:rFonts w:ascii="Barlow Semi Condensed" w:cs="Barlow Semi Condensed" w:eastAsia="Barlow Semi Condensed" w:hAnsi="Barlow Semi Condensed"/>
          <w:sz w:val="24"/>
          <w:szCs w:val="24"/>
        </w:rPr>
        <w:t xml:space="preserve">italiano, in un documento d'archivio. Chi volesse sostenere che gli Stati Uniti</w:t>
      </w:r>
    </w:p>
    <w:p>
      <w:pPr>
        <w:spacing w:after="120" w:line="276"/>
        <w:jc w:val="both"/>
      </w:pPr>
      <w:r>
        <w:rPr>
          <w:rFonts w:ascii="Barlow Semi Condensed" w:cs="Barlow Semi Condensed" w:eastAsia="Barlow Semi Condensed" w:hAnsi="Barlow Semi Condensed"/>
          <w:sz w:val="24"/>
          <w:szCs w:val="24"/>
        </w:rPr>
        <w:t xml:space="preserve">guardassero con favore alla linea di Moro troverebbe qui la sua smentita, e non</w:t>
      </w:r>
    </w:p>
    <w:p>
      <w:pPr>
        <w:spacing w:after="120" w:line="276"/>
        <w:jc w:val="both"/>
      </w:pPr>
      <w:r>
        <w:rPr>
          <w:rFonts w:ascii="Barlow Semi Condensed" w:cs="Barlow Semi Condensed" w:eastAsia="Barlow Semi Condensed" w:hAnsi="Barlow Semi Condensed"/>
          <w:sz w:val="24"/>
          <w:szCs w:val="24"/>
        </w:rPr>
        <w:t xml:space="preserve">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w:t>
      </w:r>
    </w:p>
    <w:p>
      <w:pPr>
        <w:spacing w:after="120" w:line="276"/>
        <w:jc w:val="both"/>
      </w:pPr>
      <w:r>
        <w:rPr>
          <w:rFonts w:ascii="Barlow Semi Condensed" w:cs="Barlow Semi Condensed" w:eastAsia="Barlow Semi Condensed" w:hAnsi="Barlow Semi Condensed"/>
          <w:sz w:val="24"/>
          <w:szCs w:val="24"/>
        </w:rPr>
        <w:t xml:space="preserve">molto più specifica: che in quella stanza, quel giorno, a quell'uomo, sia stata</w:t>
      </w:r>
    </w:p>
    <w:p>
      <w:pPr>
        <w:spacing w:after="120" w:line="276"/>
        <w:jc w:val="both"/>
      </w:pPr>
      <w:r>
        <w:rPr>
          <w:rFonts w:ascii="Barlow Semi Condensed" w:cs="Barlow Semi Condensed" w:eastAsia="Barlow Semi Condensed" w:hAnsi="Barlow Semi Condensed"/>
          <w:sz w:val="24"/>
          <w:szCs w:val="24"/>
        </w:rPr>
        <w:t xml:space="preserve">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w:t>
      </w:r>
    </w:p>
    <w:p>
      <w:pPr>
        <w:spacing w:after="120" w:line="276"/>
        <w:jc w:val="both"/>
      </w:pPr>
      <w:r>
        <w:rPr>
          <w:rFonts w:ascii="Barlow Semi Condensed" w:cs="Barlow Semi Condensed" w:eastAsia="Barlow Semi Condensed" w:hAnsi="Barlow Semi Condensed"/>
          <w:sz w:val="24"/>
          <w:szCs w:val="24"/>
        </w:rPr>
        <w:t xml:space="preserve">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w:t>
      </w:r>
    </w:p>
    <w:p>
      <w:pPr>
        <w:spacing w:after="120" w:line="276"/>
        <w:jc w:val="both"/>
      </w:pPr>
      <w:r>
        <w:rPr>
          <w:rFonts w:ascii="Barlow Semi Condensed" w:cs="Barlow Semi Condensed" w:eastAsia="Barlow Semi Condensed" w:hAnsi="Barlow Semi Condensed"/>
          <w:sz w:val="24"/>
          <w:szCs w:val="24"/>
        </w:rPr>
        <w:t xml:space="preserve">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w:t>
      </w:r>
    </w:p>
    <w:p>
      <w:pPr>
        <w:spacing w:after="120" w:line="276"/>
        <w:jc w:val="both"/>
      </w:pPr>
      <w:r>
        <w:rPr>
          <w:rFonts w:ascii="Barlow Semi Condensed" w:cs="Barlow Semi Condensed" w:eastAsia="Barlow Semi Condensed" w:hAnsi="Barlow Semi Condensed"/>
          <w:sz w:val="24"/>
          <w:szCs w:val="24"/>
        </w:rPr>
        <w:t xml:space="preserve">descrizioni d'archivio della biblioteca presidenziale e ogni resa del contenuto</w:t>
      </w:r>
    </w:p>
    <w:p>
      <w:pPr>
        <w:spacing w:after="120" w:line="276"/>
        <w:jc w:val="both"/>
      </w:pPr>
      <w:r>
        <w:rPr>
          <w:rFonts w:ascii="Barlow Semi Condensed" w:cs="Barlow Semi Condensed" w:eastAsia="Barlow Semi Condensed" w:hAnsi="Barlow Semi Condensed"/>
          <w:sz w:val="24"/>
          <w:szCs w:val="24"/>
        </w:rPr>
        <w:t xml:space="preserve">che ho potuto raccogliere **riportano le due posizioni politiche appena citate e</w:t>
      </w:r>
    </w:p>
    <w:p>
      <w:pPr>
        <w:spacing w:after="120" w:line="276"/>
        <w:jc w:val="both"/>
      </w:pPr>
      <w:r>
        <w:rPr>
          <w:rFonts w:ascii="Barlow Semi Condensed" w:cs="Barlow Semi Condensed" w:eastAsia="Barlow Semi Condensed" w:hAnsi="Barlow Semi Condensed"/>
          <w:sz w:val="24"/>
          <w:szCs w:val="24"/>
        </w:rPr>
        <w:t xml:space="preserve">non riportano la frase**. Nessuna delle fonti che affermano la minaccia la cita</w:t>
      </w:r>
    </w:p>
    <w:p>
      <w:pPr>
        <w:spacing w:after="120" w:line="276"/>
        <w:jc w:val="both"/>
      </w:pP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w:t>
      </w:r>
    </w:p>
    <w:p>
      <w:pPr>
        <w:spacing w:after="120" w:line="276"/>
        <w:jc w:val="both"/>
      </w:pPr>
      <w:r>
        <w:rPr>
          <w:rFonts w:ascii="Barlow Semi Condensed" w:cs="Barlow Semi Condensed" w:eastAsia="Barlow Semi Condensed" w:hAnsi="Barlow Semi Condensed"/>
          <w:sz w:val="24"/>
          <w:szCs w:val="24"/>
        </w:rPr>
        <w:t xml:space="preserve">contesto. La distanza fra queste due operazioni è tutto ciò di cui tratta questo</w:t>
      </w:r>
    </w:p>
    <w:p>
      <w:pPr>
        <w:spacing w:after="120" w:line="276"/>
        <w:jc w:val="both"/>
      </w:pPr>
      <w:r>
        <w:rPr>
          <w:rFonts w:ascii="Barlow Semi Condensed" w:cs="Barlow Semi Condensed" w:eastAsia="Barlow Semi Condensed" w:hAnsi="Barlow Semi Condensed"/>
          <w:sz w:val="24"/>
          <w:szCs w:val="24"/>
        </w:rPr>
        <w:t xml:space="preserve">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w:t>
      </w:r>
    </w:p>
    <w:p>
      <w:pPr>
        <w:spacing w:after="120" w:line="276"/>
        <w:jc w:val="both"/>
      </w:pPr>
      <w:r>
        <w:rPr>
          <w:rFonts w:ascii="Barlow Semi Condensed" w:cs="Barlow Semi Condensed" w:eastAsia="Barlow Semi Condensed" w:hAnsi="Barlow Semi Condensed"/>
          <w:sz w:val="24"/>
          <w:szCs w:val="24"/>
        </w:rPr>
        <w:t xml:space="preserve">nota. La campagna di ricerca da cui questo capitolo nasce **ha lavorato con un</w:t>
      </w:r>
    </w:p>
    <w:p>
      <w:pPr>
        <w:spacing w:after="120" w:line="276"/>
        <w:jc w:val="both"/>
      </w:pPr>
      <w:r>
        <w:rPr>
          <w:rFonts w:ascii="Barlow Semi Condensed" w:cs="Barlow Semi Condensed" w:eastAsia="Barlow Semi Condensed" w:hAnsi="Barlow Semi Condensed"/>
          <w:sz w:val="24"/>
          <w:szCs w:val="24"/>
        </w:rPr>
        <w:t xml:space="preserve">accesso di rete filtrato**, e per una parte dei materiali primari ha dovuto</w:t>
      </w:r>
    </w:p>
    <w:p>
      <w:pPr>
        <w:spacing w:after="120" w:line="276"/>
        <w:jc w:val="both"/>
      </w:pPr>
      <w:r>
        <w:rPr>
          <w:rFonts w:ascii="Barlow Semi Condensed" w:cs="Barlow Semi Condensed" w:eastAsia="Barlow Semi Condensed" w:hAnsi="Barlow Semi Condensed"/>
          <w:sz w:val="24"/>
          <w:szCs w:val="24"/>
        </w:rPr>
        <w:t xml:space="preserve">appoggiarsi a sintesi e a fonti secondarie invece che alla pagina originale.</w:t>
      </w:r>
    </w:p>
    <w:p>
      <w:pPr>
        <w:spacing w:after="120" w:line="276"/>
        <w:jc w:val="both"/>
      </w:pPr>
      <w:r>
        <w:rPr>
          <w:rFonts w:ascii="Barlow Semi Condensed" w:cs="Barlow Semi Condensed" w:eastAsia="Barlow Semi Condensed" w:hAnsi="Barlow Semi Condensed"/>
          <w:sz w:val="24"/>
          <w:szCs w:val="24"/>
        </w:rPr>
        <w:t xml:space="preserve">Questo vale in modo particolarmente pesante per due giacimenti che avrebbero</w:t>
      </w:r>
    </w:p>
    <w:p>
      <w:pPr>
        <w:spacing w:after="120" w:line="276"/>
        <w:jc w:val="both"/>
      </w:pPr>
      <w:r>
        <w:rPr>
          <w:rFonts w:ascii="Barlow Semi Condensed" w:cs="Barlow Semi Condensed" w:eastAsia="Barlow Semi Condensed" w:hAnsi="Barlow Semi Condensed"/>
          <w:sz w:val="24"/>
          <w:szCs w:val="24"/>
        </w:rPr>
        <w:t xml:space="preserve">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w:t>
      </w:r>
    </w:p>
    <w:p>
      <w:pPr>
        <w:spacing w:after="120" w:line="276"/>
        <w:jc w:val="both"/>
      </w:pPr>
      <w:r>
        <w:rPr>
          <w:rFonts w:ascii="Barlow Semi Condensed" w:cs="Barlow Semi Condensed" w:eastAsia="Barlow Semi Condensed" w:hAnsi="Barlow Semi Condensed"/>
          <w:sz w:val="24"/>
          <w:szCs w:val="24"/>
        </w:rPr>
        <w:t xml:space="preserve">contiene la frase» detto con la voce di chi ha collazionato l'originale riga per</w:t>
      </w:r>
    </w:p>
    <w:p>
      <w:pPr>
        <w:spacing w:after="120" w:line="276"/>
        <w:jc w:val="both"/>
      </w:pPr>
      <w:r>
        <w:rPr>
          <w:rFonts w:ascii="Barlow Semi Condensed" w:cs="Barlow Semi Condensed" w:eastAsia="Barlow Semi Condensed" w:hAnsi="Barlow Semi Condensed"/>
          <w:sz w:val="24"/>
          <w:szCs w:val="24"/>
        </w:rPr>
        <w:t xml:space="preserve">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w:t>
      </w:r>
    </w:p>
    <w:p>
      <w:pPr>
        <w:spacing w:after="120" w:line="276"/>
        <w:jc w:val="both"/>
      </w:pPr>
      <w:r>
        <w:rPr>
          <w:rFonts w:ascii="Barlow Semi Condensed" w:cs="Barlow Semi Condensed" w:eastAsia="Barlow Semi Condensed" w:hAnsi="Barlow Semi Condensed"/>
          <w:sz w:val="24"/>
          <w:szCs w:val="24"/>
        </w:rPr>
        <w:t xml:space="preserve">posso firmare. E ha una proprietà che la versione forte non avrebbe: **è</w:t>
      </w:r>
    </w:p>
    <w:p>
      <w:pPr>
        <w:spacing w:after="120" w:line="276"/>
        <w:jc w:val="both"/>
      </w:pPr>
      <w:r>
        <w:rPr>
          <w:rFonts w:ascii="Barlow Semi Condensed" w:cs="Barlow Semi Condensed" w:eastAsia="Barlow Semi Condensed" w:hAnsi="Barlow Semi Condensed"/>
          <w:sz w:val="24"/>
          <w:szCs w:val="24"/>
        </w:rPr>
        <w:t xml:space="preserve">falsificabile da chi legge**. Se sbaglio, si vede subito, e si vede senza</w:t>
      </w:r>
    </w:p>
    <w:p>
      <w:pPr>
        <w:spacing w:after="120" w:line="276"/>
        <w:jc w:val="both"/>
      </w:pPr>
      <w:r>
        <w:rPr>
          <w:rFonts w:ascii="Barlow Semi Condensed" w:cs="Barlow Semi Condensed" w:eastAsia="Barlow Semi Condensed" w:hAnsi="Barlow Semi Condensed"/>
          <w:sz w:val="24"/>
          <w:szCs w:val="24"/>
        </w:rPr>
        <w:t xml:space="preserve">credermi sulla parola. Nel capitolo secondo ho chiamato questa cosa la regola</w:t>
      </w:r>
    </w:p>
    <w:p>
      <w:pPr>
        <w:spacing w:after="120" w:line="276"/>
        <w:jc w:val="both"/>
      </w:pPr>
      <w:r>
        <w:rPr>
          <w:rFonts w:ascii="Barlow Semi Condensed" w:cs="Barlow Semi Condensed" w:eastAsia="Barlow Semi Condensed" w:hAnsi="Barlow Semi Condensed"/>
          <w:sz w:val="24"/>
          <w:szCs w:val="24"/>
        </w:rPr>
        <w:t xml:space="preserve">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w:t>
      </w:r>
    </w:p>
    <w:p>
      <w:pPr>
        <w:spacing w:after="120" w:line="276"/>
        <w:jc w:val="both"/>
      </w:pPr>
      <w:r>
        <w:rPr>
          <w:rFonts w:ascii="Barlow Semi Condensed" w:cs="Barlow Semi Condensed" w:eastAsia="Barlow Semi Condensed" w:hAnsi="Barlow Semi Condensed"/>
          <w:sz w:val="24"/>
          <w:szCs w:val="24"/>
        </w:rPr>
        <w:t xml:space="preserve">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**la frase, secondo chi la riporta, non sarebbe stata pronunciata nel</w:t>
      </w:r>
    </w:p>
    <w:p>
      <w:pPr>
        <w:spacing w:after="120" w:line="276"/>
        <w:jc w:val="both"/>
      </w:pPr>
      <w:r>
        <w:rPr>
          <w:rFonts w:ascii="Barlow Semi Condensed" w:cs="Barlow Semi Condensed" w:eastAsia="Barlow Semi Condensed" w:hAnsi="Barlow Semi Condensed"/>
          <w:sz w:val="24"/>
          <w:szCs w:val="24"/>
        </w:rPr>
        <w:t xml:space="preserve">colloquio ufficiale.** Sarebbe stata detta a margine — in un fuori programma, in</w:t>
      </w:r>
    </w:p>
    <w:p>
      <w:pPr>
        <w:spacing w:after="120" w:line="276"/>
        <w:jc w:val="both"/>
      </w:pPr>
      <w:r>
        <w:rPr>
          <w:rFonts w:ascii="Barlow Semi Condensed" w:cs="Barlow Semi Condensed" w:eastAsia="Barlow Semi Condensed" w:hAnsi="Barlow Semi Condensed"/>
          <w:sz w:val="24"/>
          <w:szCs w:val="24"/>
        </w:rPr>
        <w:t xml:space="preserve">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w:t>
      </w:r>
    </w:p>
    <w:p>
      <w:pPr>
        <w:spacing w:after="120" w:line="276"/>
        <w:jc w:val="both"/>
      </w:pPr>
      <w:r>
        <w:rPr>
          <w:rFonts w:ascii="Barlow Semi Condensed" w:cs="Barlow Semi Condensed" w:eastAsia="Barlow Semi Condensed" w:hAnsi="Barlow Semi Condensed"/>
          <w:sz w:val="24"/>
          <w:szCs w:val="24"/>
        </w:rPr>
        <w:t xml:space="preserve">la riunione, non i corridoi. Il verbalizzante annota ciò che si dice al tavolo.</w:t>
      </w:r>
    </w:p>
    <w:p>
      <w:pPr>
        <w:spacing w:after="120" w:line="276"/>
        <w:jc w:val="both"/>
      </w:pPr>
      <w:r>
        <w:rPr>
          <w:rFonts w:ascii="Barlow Semi Condensed" w:cs="Barlow Semi Condensed" w:eastAsia="Barlow Semi Condensed" w:hAnsi="Barlow Semi Condensed"/>
          <w:sz w:val="24"/>
          <w:szCs w:val="24"/>
        </w:rPr>
        <w:t xml:space="preserve">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**L'assenza dal verbale non</w:t>
      </w:r>
    </w:p>
    <w:p>
      <w:pPr>
        <w:spacing w:after="120" w:line="276"/>
        <w:jc w:val="both"/>
      </w:pPr>
      <w:r>
        <w:rPr>
          <w:rFonts w:ascii="Barlow Semi Condensed" w:cs="Barlow Semi Condensed" w:eastAsia="Barlow Semi Condensed" w:hAnsi="Barlow Semi Condensed"/>
          <w:sz w:val="24"/>
          <w:szCs w:val="24"/>
        </w:rPr>
        <w:t xml:space="preserve">prova né la falsità né la verità dell'episodio.** Un fatto avvenuto fuori</w:t>
      </w:r>
    </w:p>
    <w:p>
      <w:pPr>
        <w:spacing w:after="120" w:line="276"/>
        <w:jc w:val="both"/>
      </w:pPr>
      <w:r>
        <w:rPr>
          <w:rFonts w:ascii="Barlow Semi Condensed" w:cs="Barlow Semi Condensed" w:eastAsia="Barlow Semi Condensed" w:hAnsi="Barlow Semi Condensed"/>
          <w:sz w:val="24"/>
          <w:szCs w:val="24"/>
        </w:rPr>
        <w:t xml:space="preserve">verbale è, per definizione, un fatto che il verbale non registra; e pretendere il</w:t>
      </w:r>
    </w:p>
    <w:p>
      <w:pPr>
        <w:spacing w:after="120" w:line="276"/>
        <w:jc w:val="both"/>
      </w:pPr>
      <w:r>
        <w:rPr>
          <w:rFonts w:ascii="Barlow Semi Condensed" w:cs="Barlow Semi Condensed" w:eastAsia="Barlow Semi Condensed" w:hAnsi="Barlow Semi Condensed"/>
          <w:sz w:val="24"/>
          <w:szCs w:val="24"/>
        </w:rPr>
        <w:t xml:space="preserve">contrario significherebbe sostenere che tutto ciò che non è archiviato non è</w:t>
      </w:r>
    </w:p>
    <w:p>
      <w:pPr>
        <w:spacing w:after="120" w:line="276"/>
        <w:jc w:val="both"/>
      </w:pPr>
      <w:r>
        <w:rPr>
          <w:rFonts w:ascii="Barlow Semi Condensed" w:cs="Barlow Semi Condensed" w:eastAsia="Barlow Semi Condensed" w:hAnsi="Barlow Semi Condensed"/>
          <w:sz w:val="24"/>
          <w:szCs w:val="24"/>
        </w:rPr>
        <w:t xml:space="preserve">accaduto, che è una sciocchezza dimostrabile in ogni giornata di lavoro di</w:t>
      </w:r>
    </w:p>
    <w:p>
      <w:pPr>
        <w:spacing w:after="120" w:line="276"/>
        <w:jc w:val="both"/>
      </w:pPr>
      <w:r>
        <w:rPr>
          <w:rFonts w:ascii="Barlow Semi Condensed" w:cs="Barlow Semi Condensed" w:eastAsia="Barlow Semi Condensed" w:hAnsi="Barlow Semi Condensed"/>
          <w:sz w:val="24"/>
          <w:szCs w:val="24"/>
        </w:rPr>
        <w:t xml:space="preserve">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**Il documento smette di essere una prova</w:t>
      </w:r>
    </w:p>
    <w:p>
      <w:pPr>
        <w:spacing w:after="120" w:line="276"/>
        <w:jc w:val="both"/>
      </w:pPr>
      <w:r>
        <w:rPr>
          <w:rFonts w:ascii="Barlow Semi Condensed" w:cs="Barlow Semi Condensed" w:eastAsia="Barlow Semi Condensed" w:hAnsi="Barlow Semi Condensed"/>
          <w:sz w:val="24"/>
          <w:szCs w:val="24"/>
        </w:rPr>
        <w:t xml:space="preserve">e torna a essere un contesto.** L'operazione che la circolazione pubblica compie</w:t>
      </w:r>
    </w:p>
    <w:p>
      <w:pPr>
        <w:spacing w:after="120" w:line="276"/>
        <w:jc w:val="both"/>
      </w:pPr>
      <w:r>
        <w:rPr>
          <w:rFonts w:ascii="Barlow Semi Condensed" w:cs="Barlow Semi Condensed" w:eastAsia="Barlow Semi Condensed" w:hAnsi="Barlow Semi Condensed"/>
          <w:sz w:val="24"/>
          <w:szCs w:val="24"/>
        </w:rPr>
        <w:t xml:space="preserve">da decenni — presentare il verbale dello Studio Ovale come </w:t>
      </w:r>
      <w:r>
        <w:rPr>
          <w:rFonts w:ascii="Barlow Semi Condensed" w:cs="Barlow Semi Condensed" w:eastAsia="Barlow Semi Condensed" w:hAnsi="Barlow Semi Condensed"/>
          <w:i/>
          <w:iCs/>
          <w:sz w:val="24"/>
          <w:szCs w:val="24"/>
        </w:rPr>
        <w:t xml:space="preserve">la prova documentale</w:t>
      </w:r>
    </w:p>
    <w:p>
      <w:pPr>
        <w:spacing w:after="120" w:line="276"/>
        <w:jc w:val="both"/>
      </w:pPr>
      <w:r>
        <w:rPr>
          <w:rFonts w:ascii="Barlow Semi Condensed" w:cs="Barlow Semi Condensed" w:eastAsia="Barlow Semi Condensed" w:hAnsi="Barlow Semi Condensed"/>
          <w:sz w:val="24"/>
          <w:szCs w:val="24"/>
        </w:rPr>
        <w:t xml:space="preserve">della minaccia — è un'operazione che il documento non regge. La minaccia, se fu</w:t>
      </w:r>
    </w:p>
    <w:p>
      <w:pPr>
        <w:spacing w:after="120" w:line="276"/>
        <w:jc w:val="both"/>
      </w:pPr>
      <w:r>
        <w:rPr>
          <w:rFonts w:ascii="Barlow Semi Condensed" w:cs="Barlow Semi Condensed" w:eastAsia="Barlow Semi Condensed" w:hAnsi="Barlow Semi Condensed"/>
          <w:sz w:val="24"/>
          <w:szCs w:val="24"/>
        </w:rPr>
        <w:t xml:space="preserve">detta, fu detta altrove: e allora il verbale non c'entra, e chi lo esibisce sta</w:t>
      </w:r>
    </w:p>
    <w:p>
      <w:pPr>
        <w:spacing w:after="120" w:line="276"/>
        <w:jc w:val="both"/>
      </w:pPr>
      <w:r>
        <w:rPr>
          <w:rFonts w:ascii="Barlow Semi Condensed" w:cs="Barlow Semi Condensed" w:eastAsia="Barlow Semi Condensed" w:hAnsi="Barlow Semi Condensed"/>
          <w:sz w:val="24"/>
          <w:szCs w:val="24"/>
        </w:rPr>
        <w:t xml:space="preserve">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**l'unico oggetto materiale a cui</w:t>
      </w:r>
    </w:p>
    <w:p>
      <w:pPr>
        <w:spacing w:after="120" w:line="276"/>
        <w:jc w:val="both"/>
      </w:pPr>
      <w:r>
        <w:rPr>
          <w:rFonts w:ascii="Barlow Semi Condensed" w:cs="Barlow Semi Condensed" w:eastAsia="Barlow Semi Condensed" w:hAnsi="Barlow Semi Condensed"/>
          <w:sz w:val="24"/>
          <w:szCs w:val="24"/>
        </w:rPr>
        <w:t xml:space="preserve">si era attaccata**, e l'ho restituita a ciò che è sempre stata: una</w:t>
      </w:r>
    </w:p>
    <w:p>
      <w:pPr>
        <w:spacing w:after="120" w:line="276"/>
        <w:jc w:val="both"/>
      </w:pPr>
      <w:r>
        <w:rPr>
          <w:rFonts w:ascii="Barlow Semi Condensed" w:cs="Barlow Semi Condensed" w:eastAsia="Barlow Semi Condensed" w:hAnsi="Barlow Semi Condensed"/>
          <w:sz w:val="24"/>
          <w:szCs w:val="24"/>
        </w:rPr>
        <w:t xml:space="preserve">testimonianza. Contesa, indiretta, resa anni dopo. Il capitolo successivo si</w:t>
      </w:r>
    </w:p>
    <w:p>
      <w:pPr>
        <w:spacing w:after="120" w:line="276"/>
        <w:jc w:val="both"/>
      </w:pPr>
      <w:r>
        <w:rPr>
          <w:rFonts w:ascii="Barlow Semi Condensed" w:cs="Barlow Semi Condensed" w:eastAsia="Barlow Semi Condensed" w:hAnsi="Barlow Semi Condensed"/>
          <w:sz w:val="24"/>
          <w:szCs w:val="24"/>
        </w:rPr>
        <w:t xml:space="preserve">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w:t>
      </w:r>
    </w:p>
    <w:p>
      <w:pPr>
        <w:spacing w:after="120" w:line="276"/>
        <w:jc w:val="both"/>
      </w:pPr>
      <w:r>
        <w:rPr>
          <w:rFonts w:ascii="Barlow Semi Condensed" w:cs="Barlow Semi Condensed" w:eastAsia="Barlow Semi Condensed" w:hAnsi="Barlow Semi Condensed"/>
          <w:sz w:val="24"/>
          <w:szCs w:val="24"/>
        </w:rPr>
        <w:t xml:space="preserve">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w:t>
      </w:r>
    </w:p>
    <w:p>
      <w:pPr>
        <w:spacing w:after="120" w:line="276"/>
        <w:jc w:val="both"/>
      </w:pPr>
      <w:r>
        <w:rPr>
          <w:rFonts w:ascii="Barlow Semi Condensed" w:cs="Barlow Semi Condensed" w:eastAsia="Barlow Semi Condensed" w:hAnsi="Barlow Semi Condensed"/>
          <w:sz w:val="24"/>
          <w:szCs w:val="24"/>
        </w:rPr>
        <w:t xml:space="preserve">Ma una fonte d'agenzia statunitense coeva — un lancio dell'aprile 1983 — riferiva</w:t>
      </w:r>
    </w:p>
    <w:p>
      <w:pPr>
        <w:spacing w:after="120" w:line="276"/>
        <w:jc w:val="both"/>
      </w:pPr>
      <w:r>
        <w:rPr>
          <w:rFonts w:ascii="Barlow Semi Condensed" w:cs="Barlow Semi Condensed" w:eastAsia="Barlow Semi Condensed" w:hAnsi="Barlow Semi Condensed"/>
          <w:sz w:val="24"/>
          <w:szCs w:val="24"/>
        </w:rPr>
        <w:t xml:space="preserve">che i magistrati che allora indagavano volevano interrogare Kissinger su un</w:t>
      </w:r>
    </w:p>
    <w:p>
      <w:pPr>
        <w:spacing w:after="120" w:line="276"/>
        <w:jc w:val="both"/>
      </w:pP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w:t>
      </w:r>
    </w:p>
    <w:p>
      <w:pPr>
        <w:spacing w:after="120" w:line="276"/>
        <w:jc w:val="both"/>
      </w:pPr>
      <w:r>
        <w:rPr>
          <w:rFonts w:ascii="Barlow Semi Condensed" w:cs="Barlow Semi Condensed" w:eastAsia="Barlow Semi Condensed" w:hAnsi="Barlow Semi Condensed"/>
          <w:sz w:val="24"/>
          <w:szCs w:val="24"/>
        </w:rPr>
        <w:t xml:space="preserve">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w:t>
      </w:r>
    </w:p>
    <w:p>
      <w:pPr>
        <w:spacing w:after="120" w:line="276"/>
        <w:jc w:val="both"/>
      </w:pPr>
      <w:r>
        <w:rPr>
          <w:rFonts w:ascii="Barlow Semi Condensed" w:cs="Barlow Semi Condensed" w:eastAsia="Barlow Semi Condensed" w:hAnsi="Barlow Semi Condensed"/>
          <w:sz w:val="24"/>
          <w:szCs w:val="24"/>
        </w:rPr>
        <w:t xml:space="preserve">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w:t>
      </w:r>
    </w:p>
    <w:p>
      <w:pPr>
        <w:spacing w:after="120" w:line="276"/>
        <w:jc w:val="both"/>
      </w:pPr>
      <w:r>
        <w:rPr>
          <w:rFonts w:ascii="Barlow Semi Condensed" w:cs="Barlow Semi Condensed" w:eastAsia="Barlow Semi Condensed" w:hAnsi="Barlow Semi Condensed"/>
          <w:sz w:val="24"/>
          <w:szCs w:val="24"/>
        </w:rPr>
        <w:t xml:space="preserve">ricordato male nei particolari. È un episodio **la cui identità stessa non è</w:t>
      </w:r>
    </w:p>
    <w:p>
      <w:pPr>
        <w:spacing w:after="120" w:line="276"/>
        <w:jc w:val="both"/>
      </w:pPr>
      <w:r>
        <w:rPr>
          <w:rFonts w:ascii="Barlow Semi Condensed" w:cs="Barlow Semi Condensed" w:eastAsia="Barlow Semi Condensed" w:hAnsi="Barlow Semi Condensed"/>
          <w:sz w:val="24"/>
          <w:szCs w:val="24"/>
        </w:rPr>
        <w:t xml:space="preserve">fissata**: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**Nel 1977 Kissinger non era più</w:t>
      </w:r>
    </w:p>
    <w:p>
      <w:pPr>
        <w:spacing w:after="120" w:line="276"/>
        <w:jc w:val="both"/>
      </w:pPr>
      <w:r>
        <w:rPr>
          <w:rFonts w:ascii="Barlow Semi Condensed" w:cs="Barlow Semi Condensed" w:eastAsia="Barlow Semi Condensed" w:hAnsi="Barlow Semi Condensed"/>
          <w:sz w:val="24"/>
          <w:szCs w:val="24"/>
        </w:rPr>
        <w:t xml:space="preserve">Segretario di Stato.** Il suo mandato era finito il 20 gennaio di quell'anno.</w:t>
      </w:r>
    </w:p>
    <w:p>
      <w:pPr>
        <w:spacing w:after="120" w:line="276"/>
        <w:jc w:val="both"/>
      </w:pPr>
      <w:r>
        <w:rPr>
          <w:rFonts w:ascii="Barlow Semi Condensed" w:cs="Barlow Semi Condensed" w:eastAsia="Barlow Semi Condensed" w:hAnsi="Barlow Semi Condensed"/>
          <w:sz w:val="24"/>
          <w:szCs w:val="24"/>
        </w:rPr>
        <w:t xml:space="preserve">Chi colloca l'episodio nel 1977 sta raccontando un uomo che parla da privato</w:t>
      </w:r>
    </w:p>
    <w:p>
      <w:pPr>
        <w:spacing w:after="120" w:line="276"/>
        <w:jc w:val="both"/>
      </w:pPr>
      <w:r>
        <w:rPr>
          <w:rFonts w:ascii="Barlow Semi Condensed" w:cs="Barlow Semi Condensed" w:eastAsia="Barlow Semi Condensed" w:hAnsi="Barlow Semi Condensed"/>
          <w:sz w:val="24"/>
          <w:szCs w:val="24"/>
        </w:rPr>
        <w:t xml:space="preserve">cittadino; chi lo colloca nel 1974 sta raccontando il capo della diplomazia</w:t>
      </w:r>
    </w:p>
    <w:p>
      <w:pPr>
        <w:spacing w:after="120" w:line="276"/>
        <w:jc w:val="both"/>
      </w:pPr>
      <w:r>
        <w:rPr>
          <w:rFonts w:ascii="Barlow Semi Condensed" w:cs="Barlow Semi Condensed" w:eastAsia="Barlow Semi Condensed" w:hAnsi="Barlow Semi Condensed"/>
          <w:sz w:val="24"/>
          <w:szCs w:val="24"/>
        </w:rPr>
        <w:t xml:space="preserve">americana in carica che parla a un ministro degli Esteri alleato. Sono due fatti</w:t>
      </w:r>
    </w:p>
    <w:p>
      <w:pPr>
        <w:spacing w:after="120" w:line="276"/>
        <w:jc w:val="both"/>
      </w:pPr>
      <w:r>
        <w:rPr>
          <w:rFonts w:ascii="Barlow Semi Condensed" w:cs="Barlow Semi Condensed" w:eastAsia="Barlow Semi Condensed" w:hAnsi="Barlow Semi Condensed"/>
          <w:sz w:val="24"/>
          <w:szCs w:val="24"/>
        </w:rPr>
        <w:t xml:space="preserve">di natura giuridica e politica completamente diversa, e in circolazione stanno</w:t>
      </w:r>
    </w:p>
    <w:p>
      <w:pPr>
        <w:spacing w:after="120" w:line="276"/>
        <w:jc w:val="both"/>
      </w:pPr>
      <w:r>
        <w:rPr>
          <w:rFonts w:ascii="Barlow Semi Condensed" w:cs="Barlow Semi Condensed" w:eastAsia="Barlow Semi Condensed" w:hAnsi="Barlow Semi Condensed"/>
          <w:sz w:val="24"/>
          <w:szCs w:val="24"/>
        </w:rPr>
        <w:t xml:space="preserve">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w:t>
      </w:r>
    </w:p>
    <w:p>
      <w:pPr>
        <w:spacing w:after="120" w:line="276"/>
        <w:jc w:val="both"/>
      </w:pPr>
      <w:r>
        <w:rPr>
          <w:rFonts w:ascii="Barlow Semi Condensed" w:cs="Barlow Semi Condensed" w:eastAsia="Barlow Semi Condensed" w:hAnsi="Barlow Semi Condensed"/>
          <w:sz w:val="24"/>
          <w:szCs w:val="24"/>
        </w:rPr>
        <w:t xml:space="preserve">serve a stabilire se qualcuno mente. Serve a stabilire **di che cosa si stia</w:t>
      </w:r>
    </w:p>
    <w:p>
      <w:pPr>
        <w:spacing w:after="120" w:line="276"/>
        <w:jc w:val="both"/>
      </w:pPr>
      <w:r>
        <w:rPr>
          <w:rFonts w:ascii="Barlow Semi Condensed" w:cs="Barlow Semi Condensed" w:eastAsia="Barlow Semi Condensed" w:hAnsi="Barlow Semi Condensed"/>
          <w:sz w:val="24"/>
          <w:szCs w:val="24"/>
        </w:rPr>
        <w:t xml:space="preserve">parlando**,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w:t>
      </w:r>
    </w:p>
    <w:p>
      <w:pPr>
        <w:spacing w:after="120" w:line="276"/>
        <w:jc w:val="both"/>
      </w:pPr>
      <w:r>
        <w:rPr>
          <w:rFonts w:ascii="Barlow Semi Condensed" w:cs="Barlow Semi Condensed" w:eastAsia="Barlow Semi Condensed" w:hAnsi="Barlow Semi Condensed"/>
          <w:sz w:val="24"/>
          <w:szCs w:val="24"/>
        </w:rPr>
        <w:t xml:space="preserve">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**portavoce di Moro, Corrado Guerzoni, depose come teste davanti alla Corte</w:t>
      </w:r>
    </w:p>
    <w:p>
      <w:pPr>
        <w:spacing w:after="120" w:line="276"/>
        <w:jc w:val="both"/>
      </w:pPr>
      <w:r>
        <w:rPr>
          <w:rFonts w:ascii="Barlow Semi Condensed" w:cs="Barlow Semi Condensed" w:eastAsia="Barlow Semi Condensed" w:hAnsi="Barlow Semi Condensed"/>
          <w:sz w:val="24"/>
          <w:szCs w:val="24"/>
        </w:rPr>
        <w:t xml:space="preserve">d'assise di Roma nel novembre 1982** — il 10, secondo la datazione più</w:t>
      </w:r>
    </w:p>
    <w:p>
      <w:pPr>
        <w:spacing w:after="120" w:line="276"/>
        <w:jc w:val="both"/>
      </w:pPr>
      <w:r>
        <w:rPr>
          <w:rFonts w:ascii="Barlow Semi Condensed" w:cs="Barlow Semi Condensed" w:eastAsia="Barlow Semi Condensed" w:hAnsi="Barlow Semi Condensed"/>
          <w:sz w:val="24"/>
          <w:szCs w:val="24"/>
        </w:rPr>
        <w:t xml:space="preserve">ricorrente; una fonte indica il 15, e la divergenza resta lì irrisolta. Ma</w:t>
      </w:r>
    </w:p>
    <w:p>
      <w:pPr>
        <w:spacing w:after="120" w:line="276"/>
        <w:jc w:val="both"/>
      </w:pPr>
      <w:r>
        <w:rPr>
          <w:rFonts w:ascii="Barlow Semi Condensed" w:cs="Barlow Semi Condensed" w:eastAsia="Barlow Semi Condensed" w:hAnsi="Barlow Semi Condensed"/>
          <w:sz w:val="24"/>
          <w:szCs w:val="24"/>
        </w:rPr>
        <w:t xml:space="preserve">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w:t>
      </w:r>
    </w:p>
    <w:p>
      <w:pPr>
        <w:spacing w:after="120" w:line="276"/>
        <w:jc w:val="both"/>
      </w:pPr>
      <w:r>
        <w:rPr>
          <w:rFonts w:ascii="Barlow Semi Condensed" w:cs="Barlow Semi Condensed" w:eastAsia="Barlow Semi Condensed" w:hAnsi="Barlow Semi Condensed"/>
          <w:sz w:val="24"/>
          <w:szCs w:val="24"/>
        </w:rPr>
        <w:t xml:space="preserve">fatto da Moro e dall'entourage. Questo dato è quello che le riprese omettono più</w:t>
      </w:r>
    </w:p>
    <w:p>
      <w:pPr>
        <w:spacing w:after="120" w:line="276"/>
        <w:jc w:val="both"/>
      </w:pPr>
      <w:r>
        <w:rPr>
          <w:rFonts w:ascii="Barlow Semi Condensed" w:cs="Barlow Semi Condensed" w:eastAsia="Barlow Semi Condensed" w:hAnsi="Barlow Semi Condensed"/>
          <w:sz w:val="24"/>
          <w:szCs w:val="24"/>
        </w:rPr>
        <w:t xml:space="preserve">spesso, e cambia tutto. Non squalifica la deposizione — un teste indiretto è un</w:t>
      </w:r>
    </w:p>
    <w:p>
      <w:pPr>
        <w:spacing w:after="120" w:line="276"/>
        <w:jc w:val="both"/>
      </w:pPr>
      <w:r>
        <w:rPr>
          <w:rFonts w:ascii="Barlow Semi Condensed" w:cs="Barlow Semi Condensed" w:eastAsia="Barlow Semi Condensed" w:hAnsi="Barlow Semi Condensed"/>
          <w:sz w:val="24"/>
          <w:szCs w:val="24"/>
        </w:rPr>
        <w:t xml:space="preserve">teste, e la sua deposizione è un atto processuale — ma la colloca dove</w:t>
      </w:r>
    </w:p>
    <w:p>
      <w:pPr>
        <w:spacing w:after="120" w:line="276"/>
        <w:jc w:val="both"/>
      </w:pPr>
      <w:r>
        <w:rPr>
          <w:rFonts w:ascii="Barlow Semi Condensed" w:cs="Barlow Semi Condensed" w:eastAsia="Barlow Semi Condensed" w:hAnsi="Barlow Semi Condensed"/>
          <w:sz w:val="24"/>
          <w:szCs w:val="24"/>
        </w:rPr>
        <w:t xml:space="preserve">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w:t>
      </w:r>
    </w:p>
    <w:p>
      <w:pPr>
        <w:spacing w:after="120" w:line="276"/>
        <w:jc w:val="both"/>
      </w:pPr>
      <w:r>
        <w:rPr>
          <w:rFonts w:ascii="Barlow Semi Condensed" w:cs="Barlow Semi Condensed" w:eastAsia="Barlow Semi Condensed" w:hAnsi="Barlow Semi Condensed"/>
          <w:sz w:val="24"/>
          <w:szCs w:val="24"/>
        </w:rPr>
        <w:t xml:space="preserve">il presidente della corte, richiamando quanto detto dal portavoce, a ottenere</w:t>
      </w:r>
    </w:p>
    <w:p>
      <w:pPr>
        <w:spacing w:after="120" w:line="276"/>
        <w:jc w:val="both"/>
      </w:pPr>
      <w:r>
        <w:rPr>
          <w:rFonts w:ascii="Barlow Semi Condensed" w:cs="Barlow Semi Condensed" w:eastAsia="Barlow Semi Condensed" w:hAnsi="Barlow Semi Condensed"/>
          <w:sz w:val="24"/>
          <w:szCs w:val="24"/>
        </w:rPr>
        <w:t xml:space="preserve">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**1°</w:t>
      </w:r>
    </w:p>
    <w:p>
      <w:pPr>
        <w:spacing w:after="120" w:line="276"/>
        <w:jc w:val="both"/>
      </w:pPr>
      <w:r>
        <w:rPr>
          <w:rFonts w:ascii="Barlow Semi Condensed" w:cs="Barlow Semi Condensed" w:eastAsia="Barlow Semi Condensed" w:hAnsi="Barlow Semi Condensed"/>
          <w:sz w:val="24"/>
          <w:szCs w:val="24"/>
        </w:rPr>
        <w:t xml:space="preserve">agosto 1980** (una fonte indica l'11, verosimilmente per lettura errata di «1°»)</w:t>
      </w:r>
    </w:p>
    <w:p>
      <w:pPr>
        <w:spacing w:after="120" w:line="276"/>
        <w:jc w:val="both"/>
      </w:pPr>
      <w:r>
        <w:rPr>
          <w:rFonts w:ascii="Barlow Semi Condensed" w:cs="Barlow Semi Condensed" w:eastAsia="Barlow Semi Condensed" w:hAnsi="Barlow Semi Condensed"/>
          <w:sz w:val="24"/>
          <w:szCs w:val="24"/>
        </w:rPr>
        <w:t xml:space="preserve">— ma qui devo di nuovo dichiarare un grado. **Il contenuto verbatim della frase</w:t>
      </w:r>
    </w:p>
    <w:p>
      <w:pPr>
        <w:spacing w:after="120" w:line="276"/>
        <w:jc w:val="both"/>
      </w:pPr>
      <w:r>
        <w:rPr>
          <w:rFonts w:ascii="Barlow Semi Condensed" w:cs="Barlow Semi Condensed" w:eastAsia="Barlow Semi Condensed" w:hAnsi="Barlow Semi Condensed"/>
          <w:sz w:val="24"/>
          <w:szCs w:val="24"/>
        </w:rPr>
        <w:t xml:space="preserve">in quella sede resta da riscontrare**: le sintesi attribuiscono la frase alla</w:t>
      </w:r>
    </w:p>
    <w:p>
      <w:pPr>
        <w:spacing w:after="120" w:line="276"/>
        <w:jc w:val="both"/>
      </w:pPr>
      <w:r>
        <w:rPr>
          <w:rFonts w:ascii="Barlow Semi Condensed" w:cs="Barlow Semi Condensed" w:eastAsia="Barlow Semi Condensed" w:hAnsi="Barlow Semi Condensed"/>
          <w:sz w:val="24"/>
          <w:szCs w:val="24"/>
        </w:rPr>
        <w:t xml:space="preserve">deposizione giudiziaria del 1982, mentre dell'audizione del 1980 riportano</w:t>
      </w:r>
    </w:p>
    <w:p>
      <w:pPr>
        <w:spacing w:after="120" w:line="276"/>
        <w:jc w:val="both"/>
      </w:pPr>
      <w:r>
        <w:rPr>
          <w:rFonts w:ascii="Barlow Semi Condensed" w:cs="Barlow Semi Condensed" w:eastAsia="Barlow Semi Condensed" w:hAnsi="Barlow Semi Condensed"/>
          <w:sz w:val="24"/>
          <w:szCs w:val="24"/>
        </w:rPr>
        <w:t xml:space="preserve">soprattutto un riferimento a minacce risalenti al 1975 e crescenti nel tempo.</w:t>
      </w:r>
    </w:p>
    <w:p>
      <w:pPr>
        <w:spacing w:after="120" w:line="276"/>
        <w:jc w:val="both"/>
      </w:pPr>
      <w:r>
        <w:rPr>
          <w:rFonts w:ascii="Barlow Semi Condensed" w:cs="Barlow Semi Condensed" w:eastAsia="Barlow Semi Condensed" w:hAnsi="Barlow Semi Condensed"/>
          <w:sz w:val="24"/>
          <w:szCs w:val="24"/>
        </w:rPr>
        <w:t xml:space="preserve">Sede confermata, contenuto no. Sono due piani, e vanno tenuti separati anche</w:t>
      </w:r>
    </w:p>
    <w:p>
      <w:pPr>
        <w:spacing w:after="120" w:line="276"/>
        <w:jc w:val="both"/>
      </w:pPr>
      <w:r>
        <w:rPr>
          <w:rFonts w:ascii="Barlow Semi Condensed" w:cs="Barlow Semi Condensed" w:eastAsia="Barlow Semi Condensed" w:hAnsi="Barlow Semi Condensed"/>
          <w:sz w:val="24"/>
          <w:szCs w:val="24"/>
        </w:rPr>
        <w:t xml:space="preserve">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w:t>
      </w:r>
    </w:p>
    <w:p>
      <w:pPr>
        <w:spacing w:after="120" w:line="276"/>
        <w:jc w:val="both"/>
      </w:pPr>
      <w:r>
        <w:rPr>
          <w:rFonts w:ascii="Barlow Semi Condensed" w:cs="Barlow Semi Condensed" w:eastAsia="Barlow Semi Condensed" w:hAnsi="Barlow Semi Condensed"/>
          <w:sz w:val="24"/>
          <w:szCs w:val="24"/>
        </w:rPr>
        <w:t xml:space="preserve">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w:t>
      </w:r>
    </w:p>
    <w:p>
      <w:pPr>
        <w:spacing w:after="120" w:line="276"/>
        <w:jc w:val="both"/>
      </w:pPr>
      <w:r>
        <w:rPr>
          <w:rFonts w:ascii="Barlow Semi Condensed" w:cs="Barlow Semi Condensed" w:eastAsia="Barlow Semi Condensed" w:hAnsi="Barlow Semi Condensed"/>
          <w:sz w:val="24"/>
          <w:szCs w:val="24"/>
        </w:rPr>
        <w:t xml:space="preserve">Italia si pensasse davvero questo di lui. È testimonianza giornalistica di un</w:t>
      </w:r>
    </w:p>
    <w:p>
      <w:pPr>
        <w:spacing w:after="120" w:line="276"/>
        <w:jc w:val="both"/>
      </w:pPr>
      <w:r>
        <w:rPr>
          <w:rFonts w:ascii="Barlow Semi Condensed" w:cs="Barlow Semi Condensed" w:eastAsia="Barlow Semi Condensed" w:hAnsi="Barlow Semi Condensed"/>
          <w:sz w:val="24"/>
          <w:szCs w:val="24"/>
        </w:rPr>
        <w:t xml:space="preserve">solo interlocutore, non un comunicato: vale quanto vale, e va detto quanto vale.</w:t>
      </w:r>
    </w:p>
    <w:p>
      <w:pPr>
        <w:spacing w:after="120" w:line="276"/>
        <w:jc w:val="both"/>
      </w:pPr>
      <w:r>
        <w:rPr>
          <w:rFonts w:ascii="Barlow Semi Condensed" w:cs="Barlow Semi Condensed" w:eastAsia="Barlow Semi Condensed" w:hAnsi="Barlow Semi Condensed"/>
          <w:sz w:val="24"/>
          <w:szCs w:val="24"/>
        </w:rPr>
        <w:t xml:space="preserve">Già nel 1983, però, l'agenzia americana scriveva che egli ammetteva la propria</w:t>
      </w:r>
    </w:p>
    <w:p>
      <w:pPr>
        <w:spacing w:after="120" w:line="276"/>
        <w:jc w:val="both"/>
      </w:pPr>
      <w:r>
        <w:rPr>
          <w:rFonts w:ascii="Barlow Semi Condensed" w:cs="Barlow Semi Condensed" w:eastAsia="Barlow Semi Condensed" w:hAnsi="Barlow Semi Condensed"/>
          <w:sz w:val="24"/>
          <w:szCs w:val="24"/>
        </w:rPr>
        <w:t xml:space="preserve">contrarietà all'ingresso dei comunisti al governo ma </w:t>
      </w:r>
      <w:r>
        <w:rPr>
          <w:rFonts w:ascii="Barlow Semi Condensed" w:cs="Barlow Semi Condensed" w:eastAsia="Barlow Semi Condensed" w:hAnsi="Barlow Semi Condensed"/>
          <w:b/>
          <w:bCs/>
          <w:sz w:val="24"/>
          <w:szCs w:val="24"/>
        </w:rPr>
        <w:t xml:space="preserve">aveva smentito più volte</w:t>
      </w:r>
    </w:p>
    <w:p>
      <w:pPr>
        <w:spacing w:after="120" w:line="276"/>
        <w:jc w:val="both"/>
      </w:pPr>
      <w:r>
        <w:rPr>
          <w:rFonts w:ascii="Barlow Semi Condensed" w:cs="Barlow Semi Condensed" w:eastAsia="Barlow Semi Condensed" w:hAnsi="Barlow Semi Condensed"/>
          <w:sz w:val="24"/>
          <w:szCs w:val="24"/>
        </w:rPr>
        <w:t xml:space="preserve">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w:t>
      </w:r>
    </w:p>
    <w:p>
      <w:pPr>
        <w:spacing w:after="120" w:line="276"/>
        <w:jc w:val="both"/>
      </w:pPr>
      <w:r>
        <w:rPr>
          <w:rFonts w:ascii="Barlow Semi Condensed" w:cs="Barlow Semi Condensed" w:eastAsia="Barlow Semi Condensed" w:hAnsi="Barlow Semi Condensed"/>
          <w:sz w:val="24"/>
          <w:szCs w:val="24"/>
        </w:rPr>
        <w:t xml:space="preserve">portavoce personale sul merito. E un dato che pesa: **Kissinger non fu mai</w:t>
      </w:r>
    </w:p>
    <w:p>
      <w:pPr>
        <w:spacing w:after="120" w:line="276"/>
        <w:jc w:val="both"/>
      </w:pPr>
      <w:r>
        <w:rPr>
          <w:rFonts w:ascii="Barlow Semi Condensed" w:cs="Barlow Semi Condensed" w:eastAsia="Barlow Semi Condensed" w:hAnsi="Barlow Semi Condensed"/>
          <w:sz w:val="24"/>
          <w:szCs w:val="24"/>
        </w:rPr>
        <w:t xml:space="preserve">sentito dai magistrati italiani** — la richiesta informale del 1983 non ebbe</w:t>
      </w:r>
    </w:p>
    <w:p>
      <w:pPr>
        <w:spacing w:after="120" w:line="276"/>
        <w:jc w:val="both"/>
      </w:pPr>
      <w:r>
        <w:rPr>
          <w:rFonts w:ascii="Barlow Semi Condensed" w:cs="Barlow Semi Condensed" w:eastAsia="Barlow Semi Condensed" w:hAnsi="Barlow Semi Condensed"/>
          <w:sz w:val="24"/>
          <w:szCs w:val="24"/>
        </w:rPr>
        <w:t xml:space="preserve">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w:t>
      </w:r>
    </w:p>
    <w:p>
      <w:pPr>
        <w:spacing w:after="120" w:line="276"/>
        <w:jc w:val="both"/>
      </w:pPr>
      <w:r>
        <w:rPr>
          <w:rFonts w:ascii="Barlow Semi Condensed" w:cs="Barlow Semi Condensed" w:eastAsia="Barlow Semi Condensed" w:hAnsi="Barlow Semi Condensed"/>
          <w:sz w:val="24"/>
          <w:szCs w:val="24"/>
        </w:rPr>
        <w:t xml:space="preserve">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dicendo di averlo verificato allora con l'interprete, **perché Moro non parlava</w:t>
      </w:r>
    </w:p>
    <w:p>
      <w:pPr>
        <w:spacing w:after="120" w:line="276"/>
        <w:jc w:val="both"/>
      </w:pPr>
      <w:r>
        <w:rPr>
          <w:rFonts w:ascii="Barlow Semi Condensed" w:cs="Barlow Semi Condensed" w:eastAsia="Barlow Semi Condensed" w:hAnsi="Barlow Semi Condensed"/>
          <w:sz w:val="24"/>
          <w:szCs w:val="24"/>
        </w:rPr>
        <w:t xml:space="preserve">inglese**; lo stesso testimone, altrove, ha però descritto un colloquio</w:t>
      </w:r>
    </w:p>
    <w:p>
      <w:pPr>
        <w:spacing w:after="120" w:line="276"/>
        <w:jc w:val="both"/>
      </w:pPr>
      <w:r>
        <w:rPr>
          <w:rFonts w:ascii="Barlow Semi Condensed" w:cs="Barlow Semi Condensed" w:eastAsia="Barlow Semi Condensed" w:hAnsi="Barlow Semi Condensed"/>
          <w:sz w:val="24"/>
          <w:szCs w:val="24"/>
        </w:rPr>
        <w:t xml:space="preserve">politicamente durissimo, distinguendo il rimprovero aspro dalla minaccia. Un</w:t>
      </w:r>
    </w:p>
    <w:p>
      <w:pPr>
        <w:spacing w:after="120" w:line="276"/>
        <w:jc w:val="both"/>
      </w:pPr>
      <w:r>
        <w:rPr>
          <w:rFonts w:ascii="Barlow Semi Condensed" w:cs="Barlow Semi Condensed" w:eastAsia="Barlow Semi Condensed" w:hAnsi="Barlow Semi Condensed"/>
          <w:sz w:val="24"/>
          <w:szCs w:val="24"/>
        </w:rPr>
        <w:t xml:space="preserve">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w:t>
      </w:r>
    </w:p>
    <w:p>
      <w:pPr>
        <w:spacing w:after="120" w:line="276"/>
        <w:jc w:val="both"/>
      </w:pPr>
      <w:r>
        <w:rPr>
          <w:rFonts w:ascii="Barlow Semi Condensed" w:cs="Barlow Semi Condensed" w:eastAsia="Barlow Semi Condensed" w:hAnsi="Barlow Semi Condensed"/>
          <w:sz w:val="24"/>
          <w:szCs w:val="24"/>
        </w:rPr>
        <w:t xml:space="preserve">plausibilità materiale di uno scambio verbale diretto e riservato: una minaccia</w:t>
      </w:r>
    </w:p>
    <w:p>
      <w:pPr>
        <w:spacing w:after="120" w:line="276"/>
        <w:jc w:val="both"/>
      </w:pPr>
      <w:r>
        <w:rPr>
          <w:rFonts w:ascii="Barlow Semi Condensed" w:cs="Barlow Semi Condensed" w:eastAsia="Barlow Semi Condensed" w:hAnsi="Barlow Semi Condensed"/>
          <w:sz w:val="24"/>
          <w:szCs w:val="24"/>
        </w:rPr>
        <w:t xml:space="preserve">sussurrata a margine ha bisogno di una lingua comune, o di un terzo che traduca —</w:t>
      </w:r>
    </w:p>
    <w:p>
      <w:pPr>
        <w:spacing w:after="120" w:line="276"/>
        <w:jc w:val="both"/>
      </w:pPr>
      <w:r>
        <w:rPr>
          <w:rFonts w:ascii="Barlow Semi Condensed" w:cs="Barlow Semi Condensed" w:eastAsia="Barlow Semi Condensed" w:hAnsi="Barlow Semi Condensed"/>
          <w:sz w:val="24"/>
          <w:szCs w:val="24"/>
        </w:rPr>
        <w:t xml:space="preserve">e un terzo che traduce è un testimone in più, di cui non si ha notizia. Ma non</w:t>
      </w:r>
    </w:p>
    <w:p>
      <w:pPr>
        <w:spacing w:after="120" w:line="276"/>
        <w:jc w:val="both"/>
      </w:pPr>
      <w:r>
        <w:rPr>
          <w:rFonts w:ascii="Barlow Semi Condensed" w:cs="Barlow Semi Condensed" w:eastAsia="Barlow Semi Condensed" w:hAnsi="Barlow Semi Condensed"/>
          <w:sz w:val="24"/>
          <w:szCs w:val="24"/>
        </w:rPr>
        <w:t xml:space="preserve">concludo neppure di qui, per una ragione semplice: **nessuna di queste smentite</w:t>
      </w:r>
    </w:p>
    <w:p>
      <w:pPr>
        <w:spacing w:after="120" w:line="276"/>
        <w:jc w:val="both"/>
      </w:pPr>
      <w:r>
        <w:rPr>
          <w:rFonts w:ascii="Barlow Semi Condensed" w:cs="Barlow Semi Condensed" w:eastAsia="Barlow Semi Condensed" w:hAnsi="Barlow Semi Condensed"/>
          <w:sz w:val="24"/>
          <w:szCs w:val="24"/>
        </w:rPr>
        <w:t xml:space="preserve">proviene da un presente al colloquio riservato**. Chi nega non c'era più di</w:t>
      </w:r>
    </w:p>
    <w:p>
      <w:pPr>
        <w:spacing w:after="120" w:line="276"/>
        <w:jc w:val="both"/>
      </w:pPr>
      <w:r>
        <w:rPr>
          <w:rFonts w:ascii="Barlow Semi Condensed" w:cs="Barlow Semi Condensed" w:eastAsia="Barlow Semi Condensed" w:hAnsi="Barlow Semi Condensed"/>
          <w:sz w:val="24"/>
          <w:szCs w:val="24"/>
        </w:rPr>
        <w:t xml:space="preserve">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w:t>
      </w:r>
    </w:p>
    <w:p>
      <w:pPr>
        <w:spacing w:after="120" w:line="276"/>
        <w:jc w:val="both"/>
      </w:pPr>
      <w:r>
        <w:rPr>
          <w:rFonts w:ascii="Barlow Semi Condensed" w:cs="Barlow Semi Condensed" w:eastAsia="Barlow Semi Condensed" w:hAnsi="Barlow Semi Condensed"/>
          <w:sz w:val="24"/>
          <w:szCs w:val="24"/>
        </w:rPr>
        <w:t xml:space="preserve">siti, aggregatori, enciclopedie collaborative, blog. La sensazione, per il</w:t>
      </w:r>
    </w:p>
    <w:p>
      <w:pPr>
        <w:spacing w:after="120" w:line="276"/>
        <w:jc w:val="both"/>
      </w:pPr>
      <w:r>
        <w:rPr>
          <w:rFonts w:ascii="Barlow Semi Condensed" w:cs="Barlow Semi Condensed" w:eastAsia="Barlow Semi Condensed" w:hAnsi="Barlow Semi Condensed"/>
          <w:sz w:val="24"/>
          <w:szCs w:val="24"/>
        </w:rPr>
        <w:t xml:space="preserve">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w:t>
      </w:r>
    </w:p>
    <w:p>
      <w:pPr>
        <w:spacing w:after="120" w:line="276"/>
        <w:jc w:val="both"/>
      </w:pPr>
      <w:r>
        <w:rPr>
          <w:rFonts w:ascii="Barlow Semi Condensed" w:cs="Barlow Semi Condensed" w:eastAsia="Barlow Semi Condensed" w:hAnsi="Barlow Semi Condensed"/>
          <w:sz w:val="24"/>
          <w:szCs w:val="24"/>
        </w:rPr>
        <w:t xml:space="preserve">E la convergenza di fonti indipendenti è, giustamente, uno dei criteri più solidi</w:t>
      </w:r>
    </w:p>
    <w:p>
      <w:pPr>
        <w:spacing w:after="120" w:line="276"/>
        <w:jc w:val="both"/>
      </w:pPr>
      <w:r>
        <w:rPr>
          <w:rFonts w:ascii="Barlow Semi Condensed" w:cs="Barlow Semi Condensed" w:eastAsia="Barlow Semi Condensed" w:hAnsi="Barlow Semi Condensed"/>
          <w:sz w:val="24"/>
          <w:szCs w:val="24"/>
        </w:rPr>
        <w:t xml:space="preserve">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**in forma pressoché</w:t>
      </w:r>
    </w:p>
    <w:p>
      <w:pPr>
        <w:spacing w:after="120" w:line="276"/>
        <w:jc w:val="both"/>
      </w:pPr>
      <w:r>
        <w:rPr>
          <w:rFonts w:ascii="Barlow Semi Condensed" w:cs="Barlow Semi Condensed" w:eastAsia="Barlow Semi Condensed" w:hAnsi="Barlow Semi Condensed"/>
          <w:sz w:val="24"/>
          <w:szCs w:val="24"/>
        </w:rPr>
        <w:t xml:space="preserve">identica**, con gli stessi incisi e gli stessi errori, e risalgono — a spoglio —</w:t>
      </w:r>
    </w:p>
    <w:p>
      <w:pPr>
        <w:spacing w:after="120" w:line="276"/>
        <w:jc w:val="both"/>
      </w:pPr>
      <w:r>
        <w:rPr>
          <w:rFonts w:ascii="Barlow Semi Condensed" w:cs="Barlow Semi Condensed" w:eastAsia="Barlow Semi Condensed" w:hAnsi="Barlow Semi Condensed"/>
          <w:sz w:val="24"/>
          <w:szCs w:val="24"/>
        </w:rPr>
        <w:t xml:space="preserve">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w:t>
      </w:r>
    </w:p>
    <w:p>
      <w:pPr>
        <w:spacing w:after="120" w:line="276"/>
        <w:jc w:val="both"/>
      </w:pPr>
      <w:r>
        <w:rPr>
          <w:rFonts w:ascii="Barlow Semi Condensed" w:cs="Barlow Semi Condensed" w:eastAsia="Barlow Semi Condensed" w:hAnsi="Barlow Semi Condensed"/>
          <w:sz w:val="24"/>
          <w:szCs w:val="24"/>
        </w:rPr>
        <w:t xml:space="preserve">Kissinger. Sul piano internazionale la vicenda era già stata rilanciata nel 1982</w:t>
      </w:r>
    </w:p>
    <w:p>
      <w:pPr>
        <w:spacing w:after="120" w:line="276"/>
        <w:jc w:val="both"/>
      </w:pPr>
      <w:r>
        <w:rPr>
          <w:rFonts w:ascii="Barlow Semi Condensed" w:cs="Barlow Semi Condensed" w:eastAsia="Barlow Semi Condensed" w:hAnsi="Barlow Semi Condensed"/>
          <w:sz w:val="24"/>
          <w:szCs w:val="24"/>
        </w:rPr>
        <w:t xml:space="preserve">da una pubblicazione di orientamento apertamente cospirazionista, che è dato di</w:t>
      </w:r>
    </w:p>
    <w:p>
      <w:pPr>
        <w:spacing w:after="120" w:line="276"/>
        <w:jc w:val="both"/>
      </w:pPr>
      <w:r>
        <w:rPr>
          <w:rFonts w:ascii="Barlow Semi Condensed" w:cs="Barlow Semi Condensed" w:eastAsia="Barlow Semi Condensed" w:hAnsi="Barlow Semi Condensed"/>
          <w:sz w:val="24"/>
          <w:szCs w:val="24"/>
        </w:rPr>
        <w:t xml:space="preserve">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w:t>
      </w:r>
    </w:p>
    <w:p>
      <w:pPr>
        <w:spacing w:after="120" w:line="276"/>
        <w:jc w:val="both"/>
      </w:pPr>
      <w:r>
        <w:rPr>
          <w:rFonts w:ascii="Barlow Semi Condensed" w:cs="Barlow Semi Condensed" w:eastAsia="Barlow Semi Condensed" w:hAnsi="Barlow Semi Condensed"/>
          <w:sz w:val="24"/>
          <w:szCs w:val="24"/>
        </w:rPr>
        <w:t xml:space="preserve">ripetizioni non aggiunge un grammo di valore probatorio: è replicazione senza</w:t>
      </w:r>
    </w:p>
    <w:p>
      <w:pPr>
        <w:spacing w:after="120" w:line="276"/>
        <w:jc w:val="both"/>
      </w:pPr>
      <w:r>
        <w:rPr>
          <w:rFonts w:ascii="Barlow Semi Condensed" w:cs="Barlow Semi Condensed" w:eastAsia="Barlow Semi Condensed" w:hAnsi="Barlow Semi Condensed"/>
          <w:sz w:val="24"/>
          <w:szCs w:val="24"/>
        </w:rPr>
        <w:t xml:space="preserve">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w:t>
      </w:r>
    </w:p>
    <w:p>
      <w:pPr>
        <w:spacing w:after="120" w:line="276"/>
        <w:jc w:val="both"/>
      </w:pPr>
      <w:r>
        <w:rPr>
          <w:rFonts w:ascii="Barlow Semi Condensed" w:cs="Barlow Semi Condensed" w:eastAsia="Barlow Semi Condensed" w:hAnsi="Barlow Semi Condensed"/>
          <w:sz w:val="24"/>
          <w:szCs w:val="24"/>
        </w:rPr>
        <w:t xml:space="preserve">peggiore, e per una ragione strutturale, non per un difetto correggibile. Un</w:t>
      </w:r>
    </w:p>
    <w:p>
      <w:pPr>
        <w:spacing w:after="120" w:line="276"/>
        <w:jc w:val="both"/>
      </w:pPr>
      <w:r>
        <w:rPr>
          <w:rFonts w:ascii="Barlow Semi Condensed" w:cs="Barlow Semi Condensed" w:eastAsia="Barlow Semi Condensed" w:hAnsi="Barlow Semi Condensed"/>
          <w:sz w:val="24"/>
          <w:szCs w:val="24"/>
        </w:rPr>
        <w:t xml:space="preserve">sistema addestrato su testi ha visto quella frase cento volte. Cento occorrenze,</w:t>
      </w:r>
    </w:p>
    <w:p>
      <w:pPr>
        <w:spacing w:after="120" w:line="276"/>
        <w:jc w:val="both"/>
      </w:pPr>
      <w:r>
        <w:rPr>
          <w:rFonts w:ascii="Barlow Semi Condensed" w:cs="Barlow Semi Condensed" w:eastAsia="Barlow Semi Condensed" w:hAnsi="Barlow Semi Condensed"/>
          <w:sz w:val="24"/>
          <w:szCs w:val="24"/>
        </w:rPr>
        <w:t xml:space="preserve">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w:t>
      </w:r>
    </w:p>
    <w:p>
      <w:pPr>
        <w:spacing w:after="120" w:line="276"/>
        <w:jc w:val="both"/>
      </w:pPr>
      <w:r>
        <w:rPr>
          <w:rFonts w:ascii="Barlow Semi Condensed" w:cs="Barlow Semi Condensed" w:eastAsia="Barlow Semi Condensed" w:hAnsi="Barlow Semi Condensed"/>
          <w:sz w:val="24"/>
          <w:szCs w:val="24"/>
        </w:rPr>
        <w:t xml:space="preserve">si presenta in contesti coerenti. Che le cento occorrenze abbiano un solo</w:t>
      </w:r>
    </w:p>
    <w:p>
      <w:pPr>
        <w:spacing w:after="120" w:line="276"/>
        <w:jc w:val="both"/>
      </w:pPr>
      <w:r>
        <w:rPr>
          <w:rFonts w:ascii="Barlow Semi Condensed" w:cs="Barlow Semi Condensed" w:eastAsia="Barlow Semi Condensed" w:hAnsi="Barlow Semi Condensed"/>
          <w:sz w:val="24"/>
          <w:szCs w:val="24"/>
        </w:rPr>
        <w:t xml:space="preserve">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w:t>
      </w:r>
    </w:p>
    <w:p>
      <w:pPr>
        <w:spacing w:after="120" w:line="276"/>
        <w:jc w:val="both"/>
      </w:pPr>
      <w:r>
        <w:rPr>
          <w:rFonts w:ascii="Barlow Semi Condensed" w:cs="Barlow Semi Condensed" w:eastAsia="Barlow Semi Condensed" w:hAnsi="Barlow Semi Condensed"/>
          <w:sz w:val="24"/>
          <w:szCs w:val="24"/>
        </w:rPr>
        <w:t xml:space="preserve">copie porta scritto da dove viene. Bisogna andarla a cercare, con lo spoglio, a</w:t>
      </w:r>
    </w:p>
    <w:p>
      <w:pPr>
        <w:spacing w:after="120" w:line="276"/>
        <w:jc w:val="both"/>
      </w:pPr>
      <w:r>
        <w:rPr>
          <w:rFonts w:ascii="Barlow Semi Condensed" w:cs="Barlow Semi Condensed" w:eastAsia="Barlow Semi Condensed" w:hAnsi="Barlow Semi Condensed"/>
          <w:sz w:val="24"/>
          <w:szCs w:val="24"/>
        </w:rPr>
        <w:t xml:space="preserve">mano, guardando le date.</w:t>
      </w:r>
    </w:p>
    <w:p>
      <w:pPr>
        <w:spacing w:after="120" w:line="276"/>
        <w:jc w:val="both"/>
      </w:pPr>
      <w:r>
        <w:rPr>
          <w:rFonts w:ascii="Barlow Semi Condensed" w:cs="Barlow Semi Condensed" w:eastAsia="Barlow Semi Condensed" w:hAnsi="Barlow Semi Condensed"/>
          <w:sz w:val="24"/>
          <w:szCs w:val="24"/>
        </w:rPr>
        <w:t xml:space="preserve">Ho chiesto a sistemi di intelligenza artificiale, in modi diversi e in momenti</w:t>
      </w:r>
    </w:p>
    <w:p>
      <w:pPr>
        <w:spacing w:after="120" w:line="276"/>
        <w:jc w:val="both"/>
      </w:pPr>
      <w:r>
        <w:rPr>
          <w:rFonts w:ascii="Barlow Semi Condensed" w:cs="Barlow Semi Condensed" w:eastAsia="Barlow Semi Condensed" w:hAnsi="Barlow Semi Condensed"/>
          <w:sz w:val="24"/>
          <w:szCs w:val="24"/>
        </w:rPr>
        <w:t xml:space="preserve">diversi, che cosa fosse successo il 25 settembre 1974. Ho ricevuto</w:t>
      </w:r>
    </w:p>
    <w:p>
      <w:pPr>
        <w:spacing w:after="120" w:line="276"/>
        <w:jc w:val="both"/>
      </w:pPr>
      <w:r>
        <w:rPr>
          <w:rFonts w:ascii="Barlow Semi Condensed" w:cs="Barlow Semi Condensed" w:eastAsia="Barlow Semi Condensed" w:hAnsi="Barlow Semi Condensed"/>
          <w:sz w:val="24"/>
          <w:szCs w:val="24"/>
        </w:rPr>
        <w:t xml:space="preserve">risposte fluenti, corrette nella forma, prudenti nel tono, e concordi</w:t>
      </w:r>
    </w:p>
    <w:p>
      <w:pPr>
        <w:spacing w:after="120" w:line="276"/>
        <w:jc w:val="both"/>
      </w:pPr>
      <w:r>
        <w:rPr>
          <w:rFonts w:ascii="Barlow Semi Condensed" w:cs="Barlow Semi Condensed" w:eastAsia="Barlow Semi Condensed" w:hAnsi="Barlow Semi Condensed"/>
          <w:sz w:val="24"/>
          <w:szCs w:val="24"/>
        </w:rPr>
        <w:t xml:space="preserve">nell'attribuire la frase a quel giorno e a quella stanza. Non è una loro</w:t>
      </w:r>
    </w:p>
    <w:p>
      <w:pPr>
        <w:spacing w:after="120" w:line="276"/>
        <w:jc w:val="both"/>
      </w:pPr>
      <w:r>
        <w:rPr>
          <w:rFonts w:ascii="Barlow Semi Condensed" w:cs="Barlow Semi Condensed" w:eastAsia="Barlow Semi Condensed" w:hAnsi="Barlow Semi Condensed"/>
          <w:sz w:val="24"/>
          <w:szCs w:val="24"/>
        </w:rPr>
        <w:t xml:space="preserve">patologia. È il comportamento previsto di uno strumento che misura la frequenza e</w:t>
      </w:r>
    </w:p>
    <w:p>
      <w:pPr>
        <w:spacing w:after="120" w:line="276"/>
        <w:jc w:val="both"/>
      </w:pPr>
      <w:r>
        <w:rPr>
          <w:rFonts w:ascii="Barlow Semi Condensed" w:cs="Barlow Semi Condensed" w:eastAsia="Barlow Semi Condensed" w:hAnsi="Barlow Semi Condensed"/>
          <w:sz w:val="24"/>
          <w:szCs w:val="24"/>
        </w:rPr>
        <w:t xml:space="preserve">non la discendenza — e la stessa cosa che fa un lettore umano quando apre cinque</w:t>
      </w:r>
    </w:p>
    <w:p>
      <w:pPr>
        <w:spacing w:after="120" w:line="276"/>
        <w:jc w:val="both"/>
      </w:pPr>
      <w:r>
        <w:rPr>
          <w:rFonts w:ascii="Barlow Semi Condensed" w:cs="Barlow Semi Condensed" w:eastAsia="Barlow Semi Condensed" w:hAnsi="Barlow Semi Condensed"/>
          <w:sz w:val="24"/>
          <w:szCs w:val="24"/>
        </w:rPr>
        <w:t xml:space="preserve">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**Ha eseguito il nostro, più in</w:t>
      </w:r>
    </w:p>
    <w:p>
      <w:pPr>
        <w:spacing w:after="120" w:line="276"/>
        <w:jc w:val="both"/>
      </w:pPr>
      <w:r>
        <w:rPr>
          <w:rFonts w:ascii="Barlow Semi Condensed" w:cs="Barlow Semi Condensed" w:eastAsia="Barlow Semi Condensed" w:hAnsi="Barlow Semi Condensed"/>
          <w:sz w:val="24"/>
          <w:szCs w:val="24"/>
        </w:rPr>
        <w:t xml:space="preserve">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w:t>
      </w:r>
    </w:p>
    <w:p>
      <w:pPr>
        <w:spacing w:after="120" w:line="276"/>
        <w:jc w:val="both"/>
      </w:pPr>
      <w:r>
        <w:rPr>
          <w:rFonts w:ascii="Barlow Semi Condensed" w:cs="Barlow Semi Condensed" w:eastAsia="Barlow Semi Condensed" w:hAnsi="Barlow Semi Condensed"/>
          <w:sz w:val="24"/>
          <w:szCs w:val="24"/>
        </w:rPr>
        <w:t xml:space="preserve">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w:t>
      </w:r>
    </w:p>
    <w:p>
      <w:pPr>
        <w:spacing w:after="120" w:line="276"/>
        <w:jc w:val="both"/>
      </w:pPr>
      <w:r>
        <w:rPr>
          <w:rFonts w:ascii="Barlow Semi Condensed" w:cs="Barlow Semi Condensed" w:eastAsia="Barlow Semi Condensed" w:hAnsi="Barlow Semi Condensed"/>
          <w:sz w:val="24"/>
          <w:szCs w:val="24"/>
        </w:rPr>
        <w:t xml:space="preserve">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w:t>
      </w:r>
    </w:p>
    <w:p>
      <w:pPr>
        <w:spacing w:after="120" w:line="276"/>
        <w:jc w:val="both"/>
      </w:pPr>
      <w:r>
        <w:rPr>
          <w:rFonts w:ascii="Barlow Semi Condensed" w:cs="Barlow Semi Condensed" w:eastAsia="Barlow Semi Condensed" w:hAnsi="Barlow Semi Condensed"/>
          <w:sz w:val="24"/>
          <w:szCs w:val="24"/>
        </w:rPr>
        <w:t xml:space="preserve">ministro degli Esteri italiano. Un ministro degli Esteri che esce da un</w:t>
      </w:r>
    </w:p>
    <w:p>
      <w:pPr>
        <w:spacing w:after="120" w:line="276"/>
        <w:jc w:val="both"/>
      </w:pPr>
      <w:r>
        <w:rPr>
          <w:rFonts w:ascii="Barlow Semi Condensed" w:cs="Barlow Semi Condensed" w:eastAsia="Barlow Semi Condensed" w:hAnsi="Barlow Semi Condensed"/>
          <w:sz w:val="24"/>
          <w:szCs w:val="24"/>
        </w:rPr>
        <w:t xml:space="preserve">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w:t>
      </w:r>
    </w:p>
    <w:p>
      <w:pPr>
        <w:spacing w:after="120" w:line="276"/>
        <w:jc w:val="both"/>
      </w:pPr>
      <w:r>
        <w:rPr>
          <w:rFonts w:ascii="Barlow Semi Condensed" w:cs="Barlow Semi Condensed" w:eastAsia="Barlow Semi Condensed" w:hAnsi="Barlow Semi Condensed"/>
          <w:sz w:val="24"/>
          <w:szCs w:val="24"/>
        </w:rPr>
        <w:t xml:space="preserve">telespresso, una nota di gabinetto, un promemoria per il Presidente del</w:t>
      </w:r>
    </w:p>
    <w:p>
      <w:pPr>
        <w:spacing w:after="120" w:line="276"/>
        <w:jc w:val="both"/>
      </w:pPr>
      <w:r>
        <w:rPr>
          <w:rFonts w:ascii="Barlow Semi Condensed" w:cs="Barlow Semi Condensed" w:eastAsia="Barlow Semi Condensed" w:hAnsi="Barlow Semi Condensed"/>
          <w:sz w:val="24"/>
          <w:szCs w:val="24"/>
        </w:rPr>
        <w:t xml:space="preserve">Consiglio. È prassi ordinaria, quotidiana, noiosa. Non è un'eccezione: è il</w:t>
      </w:r>
    </w:p>
    <w:p>
      <w:pPr>
        <w:spacing w:after="120" w:line="276"/>
        <w:jc w:val="both"/>
      </w:pPr>
      <w:r>
        <w:rPr>
          <w:rFonts w:ascii="Barlow Semi Condensed" w:cs="Barlow Semi Condensed" w:eastAsia="Barlow Semi Condensed" w:hAnsi="Barlow Semi Condensed"/>
          <w:sz w:val="24"/>
          <w:szCs w:val="24"/>
        </w:rPr>
        <w:t xml:space="preserve">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w:t>
      </w:r>
    </w:p>
    <w:p>
      <w:pPr>
        <w:spacing w:after="120" w:line="276"/>
        <w:jc w:val="both"/>
      </w:pPr>
      <w:r>
        <w:rPr>
          <w:rFonts w:ascii="Barlow Semi Condensed" w:cs="Barlow Semi Condensed" w:eastAsia="Barlow Semi Condensed" w:hAnsi="Barlow Semi Condensed"/>
          <w:sz w:val="24"/>
          <w:szCs w:val="24"/>
        </w:rPr>
        <w:t xml:space="preserve">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w:t>
      </w:r>
    </w:p>
    <w:p>
      <w:pPr>
        <w:spacing w:after="120" w:line="276"/>
        <w:jc w:val="both"/>
      </w:pPr>
      <w:r>
        <w:rPr>
          <w:rFonts w:ascii="Barlow Semi Condensed" w:cs="Barlow Semi Condensed" w:eastAsia="Barlow Semi Condensed" w:hAnsi="Barlow Semi Condensed"/>
          <w:sz w:val="24"/>
          <w:szCs w:val="24"/>
        </w:rPr>
        <w:t xml:space="preserve">qualcosa. Da cinquant'anni si discute di che cosa fu detto in quella stanza. La</w:t>
      </w:r>
    </w:p>
    <w:p>
      <w:pPr>
        <w:spacing w:after="120" w:line="276"/>
        <w:jc w:val="both"/>
      </w:pPr>
      <w:r>
        <w:rPr>
          <w:rFonts w:ascii="Barlow Semi Condensed" w:cs="Barlow Semi Condensed" w:eastAsia="Barlow Semi Condensed" w:hAnsi="Barlow Semi Condensed"/>
          <w:sz w:val="24"/>
          <w:szCs w:val="24"/>
        </w:rPr>
        <w:t xml:space="preserve">discussione si svolge, su un fronte, con una fonte sola e straniera, e sull'altro</w:t>
      </w:r>
    </w:p>
    <w:p>
      <w:pPr>
        <w:spacing w:after="120" w:line="276"/>
        <w:jc w:val="both"/>
      </w:pPr>
      <w:r>
        <w:rPr>
          <w:rFonts w:ascii="Barlow Semi Condensed" w:cs="Barlow Semi Condensed" w:eastAsia="Barlow Semi Condensed" w:hAnsi="Barlow Semi Condensed"/>
          <w:sz w:val="24"/>
          <w:szCs w:val="24"/>
        </w:rPr>
        <w:t xml:space="preserve">con una testimonianza orale resa otto anni dopo. E nessuno, in mezzo secolo, ha</w:t>
      </w:r>
    </w:p>
    <w:p>
      <w:pPr>
        <w:spacing w:after="120" w:line="276"/>
        <w:jc w:val="both"/>
      </w:pPr>
      <w:r>
        <w:rPr>
          <w:rFonts w:ascii="Barlow Semi Condensed" w:cs="Barlow Semi Condensed" w:eastAsia="Barlow Semi Condensed" w:hAnsi="Barlow Semi Condensed"/>
          <w:sz w:val="24"/>
          <w:szCs w:val="24"/>
        </w:rPr>
        <w:t xml:space="preserve">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w:t>
      </w:r>
    </w:p>
    <w:p>
      <w:pPr>
        <w:spacing w:after="120" w:line="276"/>
        <w:jc w:val="both"/>
      </w:pPr>
      <w:r>
        <w:rPr>
          <w:rFonts w:ascii="Barlow Semi Condensed" w:cs="Barlow Semi Condensed" w:eastAsia="Barlow Semi Condensed" w:hAnsi="Barlow Semi Condensed"/>
          <w:sz w:val="24"/>
          <w:szCs w:val="24"/>
        </w:rPr>
        <w:t xml:space="preserve">che in quella stanza fu detto. E l'esito conta in tutte e tre le direzioni,</w:t>
      </w:r>
    </w:p>
    <w:p>
      <w:pPr>
        <w:spacing w:after="120" w:line="276"/>
        <w:jc w:val="both"/>
      </w:pPr>
      <w:r>
        <w:rPr>
          <w:rFonts w:ascii="Barlow Semi Condensed" w:cs="Barlow Semi Condensed" w:eastAsia="Barlow Semi Condensed" w:hAnsi="Barlow Semi Condensed"/>
          <w:sz w:val="24"/>
          <w:szCs w:val="24"/>
        </w:rPr>
        <w:t xml:space="preserve">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w:t>
      </w:r>
    </w:p>
    <w:p>
      <w:pPr>
        <w:spacing w:after="120" w:line="276"/>
        <w:jc w:val="both"/>
      </w:pPr>
      <w:r>
        <w:rPr>
          <w:rFonts w:ascii="Barlow Semi Condensed" w:cs="Barlow Semi Condensed" w:eastAsia="Barlow Semi Condensed" w:hAnsi="Barlow Semi Condensed"/>
          <w:sz w:val="24"/>
          <w:szCs w:val="24"/>
        </w:rPr>
        <w:t xml:space="preserv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w:t>
      </w:r>
    </w:p>
    <w:p>
      <w:pPr>
        <w:spacing w:after="120" w:line="276"/>
        <w:jc w:val="both"/>
      </w:pPr>
      <w:r>
        <w:rPr>
          <w:rFonts w:ascii="Barlow Semi Condensed" w:cs="Barlow Semi Condensed" w:eastAsia="Barlow Semi Condensed" w:hAnsi="Barlow Semi Condensed"/>
          <w:sz w:val="24"/>
          <w:szCs w:val="24"/>
        </w:rPr>
        <w:t xml:space="preserve">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w:t>
      </w:r>
    </w:p>
    <w:p>
      <w:pPr>
        <w:spacing w:after="120" w:line="276"/>
        <w:jc w:val="both"/>
      </w:pPr>
      <w:r>
        <w:rPr>
          <w:rFonts w:ascii="Barlow Semi Condensed" w:cs="Barlow Semi Condensed" w:eastAsia="Barlow Semi Condensed" w:hAnsi="Barlow Semi Condensed"/>
          <w:sz w:val="24"/>
          <w:szCs w:val="24"/>
        </w:rPr>
        <w:t xml:space="preserve">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carteggi del gabinetto del ministro, annata 1974, con verifica preliminare dei</w:t>
      </w:r>
    </w:p>
    <w:p>
      <w:pPr>
        <w:spacing w:after="120" w:line="276"/>
        <w:jc w:val="both"/>
      </w:pPr>
      <w:r>
        <w:rPr>
          <w:rFonts w:ascii="Barlow Semi Condensed" w:cs="Barlow Semi Condensed" w:eastAsia="Barlow Semi Condensed" w:hAnsi="Barlow Semi Condensed"/>
          <w:sz w:val="24"/>
          <w:szCs w:val="24"/>
        </w:rPr>
        <w:t xml:space="preserve">faldoni sul portale dell'archivio. In subordine: **Archivio centrale dello</w:t>
      </w:r>
    </w:p>
    <w:p>
      <w:pPr>
        <w:spacing w:after="120" w:line="276"/>
        <w:jc w:val="both"/>
      </w:pPr>
      <w:r>
        <w:rPr>
          <w:rFonts w:ascii="Barlow Semi Condensed" w:cs="Barlow Semi Condensed" w:eastAsia="Barlow Semi Condensed" w:hAnsi="Barlow Semi Condensed"/>
          <w:sz w:val="24"/>
          <w:szCs w:val="24"/>
        </w:rPr>
        <w:t xml:space="preserve">Stato</w:t>
      </w:r>
      <w:r>
        <w:rPr>
          <w:rFonts w:ascii="Barlow Semi Condensed" w:cs="Barlow Semi Condensed" w:eastAsia="Barlow Semi Condensed" w:hAnsi="Barlow Semi Condensed"/>
          <w:b/>
          <w:bCs/>
          <w:sz w:val="24"/>
          <w:szCs w:val="24"/>
        </w:rPr>
        <w:t xml:space="preserve">, carte della Presidenza del Consiglio dello stesso periodo; e </w:t>
      </w:r>
      <w:r>
        <w:rPr>
          <w:rFonts w:ascii="Barlow Semi Condensed" w:cs="Barlow Semi Condensed" w:eastAsia="Barlow Semi Condensed" w:hAnsi="Barlow Semi Condensed"/>
          <w:sz w:val="24"/>
          <w:szCs w:val="24"/>
        </w:rPr>
        <w:t xml:space="preserve">Fondo</w:t>
      </w:r>
    </w:p>
    <w:p>
      <w:pPr>
        <w:spacing w:after="120" w:line="276"/>
        <w:jc w:val="both"/>
      </w:pPr>
      <w:r>
        <w:rPr>
          <w:rFonts w:ascii="Barlow Semi Condensed" w:cs="Barlow Semi Condensed" w:eastAsia="Barlow Semi Condensed" w:hAnsi="Barlow Semi Condensed"/>
          <w:sz w:val="24"/>
          <w:szCs w:val="24"/>
        </w:rPr>
        <w:t xml:space="preserve">Moro** presso l'Archivio storico del Senato. Se le carte di gabinetto non</w:t>
      </w:r>
    </w:p>
    <w:p>
      <w:pPr>
        <w:spacing w:after="120" w:line="276"/>
        <w:jc w:val="both"/>
      </w:pPr>
      <w:r>
        <w:rPr>
          <w:rFonts w:ascii="Barlow Semi Condensed" w:cs="Barlow Semi Condensed" w:eastAsia="Barlow Semi Condensed" w:hAnsi="Barlow Semi Condensed"/>
          <w:sz w:val="24"/>
          <w:szCs w:val="24"/>
        </w:rPr>
        <w:t xml:space="preserve">conservano l'appunto, resta la memorialistica politica, dove i colloqui con</w:t>
      </w:r>
    </w:p>
    <w:p>
      <w:pPr>
        <w:spacing w:after="120" w:line="276"/>
        <w:jc w:val="both"/>
      </w:pPr>
      <w:r>
        <w:rPr>
          <w:rFonts w:ascii="Barlow Semi Condensed" w:cs="Barlow Semi Condensed" w:eastAsia="Barlow Semi Condensed" w:hAnsi="Barlow Semi Condensed"/>
          <w:sz w:val="24"/>
          <w:szCs w:val="24"/>
        </w:rPr>
        <w:t xml:space="preserve">Washington sono spesso registrati in forma privata e datata: il </w:t>
      </w:r>
      <w:r>
        <w:rPr>
          <w:rFonts w:ascii="Barlow Semi Condensed" w:cs="Barlow Semi Condensed" w:eastAsia="Barlow Semi Condensed" w:hAnsi="Barlow Semi Condensed"/>
          <w:b/>
          <w:bCs/>
          <w:sz w:val="24"/>
          <w:szCs w:val="24"/>
        </w:rPr>
        <w:t xml:space="preserve">fondo Fanfani</w:t>
      </w:r>
    </w:p>
    <w:p>
      <w:pPr>
        <w:spacing w:after="120" w:line="276"/>
        <w:jc w:val="both"/>
      </w:pPr>
      <w:r>
        <w:rPr>
          <w:rFonts w:ascii="Barlow Semi Condensed" w:cs="Barlow Semi Condensed" w:eastAsia="Barlow Semi Condensed" w:hAnsi="Barlow Semi Condensed"/>
          <w:sz w:val="24"/>
          <w:szCs w:val="24"/>
        </w:rPr>
        <w:t xml:space="preserve">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**fondo</w:t>
      </w:r>
    </w:p>
    <w:p>
      <w:pPr>
        <w:spacing w:after="120" w:line="276"/>
        <w:jc w:val="both"/>
      </w:pPr>
      <w:r>
        <w:rPr>
          <w:rFonts w:ascii="Barlow Semi Condensed" w:cs="Barlow Semi Condensed" w:eastAsia="Barlow Semi Condensed" w:hAnsi="Barlow Semi Condensed"/>
          <w:sz w:val="24"/>
          <w:szCs w:val="24"/>
        </w:rPr>
        <w:t xml:space="preserve">Craxi** presso la Fondazione che ne porta il nome, in gran parte digitalizzato.</w:t>
      </w:r>
    </w:p>
    <w:p>
      <w:pPr>
        <w:spacing w:after="120" w:line="276"/>
        <w:jc w:val="both"/>
      </w:pPr>
      <w:r>
        <w:rPr>
          <w:rFonts w:ascii="Barlow Semi Condensed" w:cs="Barlow Semi Condensed" w:eastAsia="Barlow Semi Condensed" w:hAnsi="Barlow Semi Condensed"/>
          <w:sz w:val="24"/>
          <w:szCs w:val="24"/>
        </w:rPr>
        <w:t xml:space="preserve">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w:t>
      </w:r>
    </w:p>
    <w:p>
      <w:pPr>
        <w:spacing w:after="120" w:line="276"/>
        <w:jc w:val="both"/>
      </w:pPr>
      <w:r>
        <w:rPr>
          <w:rFonts w:ascii="Barlow Semi Condensed" w:cs="Barlow Semi Condensed" w:eastAsia="Barlow Semi Condensed" w:hAnsi="Barlow Semi Condensed"/>
          <w:sz w:val="24"/>
          <w:szCs w:val="24"/>
        </w:rPr>
        <w:t xml:space="preserve">tacesse sull'episodio, tenuto da chi ne fu contemporaneo e informato, sarebbe</w:t>
      </w:r>
    </w:p>
    <w:p>
      <w:pPr>
        <w:spacing w:after="120" w:line="276"/>
        <w:jc w:val="both"/>
      </w:pPr>
      <w:r>
        <w:rPr>
          <w:rFonts w:ascii="Barlow Semi Condensed" w:cs="Barlow Semi Condensed" w:eastAsia="Barlow Semi Condensed" w:hAnsi="Barlow Semi Condensed"/>
          <w:sz w:val="24"/>
          <w:szCs w:val="24"/>
        </w:rPr>
        <w:t xml:space="preserve">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w:t>
      </w:r>
    </w:p>
    <w:p>
      <w:pPr>
        <w:spacing w:after="120" w:line="276"/>
        <w:jc w:val="both"/>
      </w:pPr>
      <w:r>
        <w:rPr>
          <w:rFonts w:ascii="Barlow Semi Condensed" w:cs="Barlow Semi Condensed" w:eastAsia="Barlow Semi Condensed" w:hAnsi="Barlow Semi Condensed"/>
          <w:sz w:val="24"/>
          <w:szCs w:val="24"/>
        </w:rPr>
        <w:t xml:space="preserve">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w:t>
      </w:r>
    </w:p>
    <w:p>
      <w:pPr>
        <w:spacing w:after="120" w:line="276"/>
        <w:jc w:val="both"/>
      </w:pPr>
      <w:r>
        <w:rPr>
          <w:rFonts w:ascii="Barlow Semi Condensed" w:cs="Barlow Semi Condensed" w:eastAsia="Barlow Semi Condensed" w:hAnsi="Barlow Semi Condensed"/>
          <w:sz w:val="24"/>
          <w:szCs w:val="24"/>
        </w:rPr>
        <w:t xml:space="preserve">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w:t>
      </w:r>
    </w:p>
    <w:p>
      <w:pPr>
        <w:spacing w:after="120" w:line="276"/>
        <w:jc w:val="both"/>
      </w:pPr>
      <w:r>
        <w:rPr>
          <w:rFonts w:ascii="Barlow Semi Condensed" w:cs="Barlow Semi Condensed" w:eastAsia="Barlow Semi Condensed" w:hAnsi="Barlow Semi Condensed"/>
          <w:sz w:val="24"/>
          <w:szCs w:val="24"/>
        </w:rPr>
        <w:t xml:space="preserve">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w:t>
      </w:r>
    </w:p>
    <w:p>
      <w:pPr>
        <w:spacing w:after="120" w:line="276"/>
        <w:jc w:val="both"/>
      </w:pPr>
      <w:r>
        <w:rPr>
          <w:rFonts w:ascii="Barlow Semi Condensed" w:cs="Barlow Semi Condensed" w:eastAsia="Barlow Semi Condensed" w:hAnsi="Barlow Semi Condensed"/>
          <w:sz w:val="24"/>
          <w:szCs w:val="24"/>
        </w:rPr>
        <w:t xml:space="preserve">documento comunemente esibito come sua prova non la contiene, e che la frase, se</w:t>
      </w:r>
    </w:p>
    <w:p>
      <w:pPr>
        <w:spacing w:after="120" w:line="276"/>
        <w:jc w:val="both"/>
      </w:pPr>
      <w:r>
        <w:rPr>
          <w:rFonts w:ascii="Barlow Semi Condensed" w:cs="Barlow Semi Condensed" w:eastAsia="Barlow Semi Condensed" w:hAnsi="Barlow Semi Condensed"/>
          <w:sz w:val="24"/>
          <w:szCs w:val="24"/>
        </w:rPr>
        <w:t xml:space="preserve">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w:t>
      </w:r>
    </w:p>
    <w:p>
      <w:pPr>
        <w:spacing w:after="120" w:line="276"/>
        <w:jc w:val="both"/>
      </w:pPr>
      <w:r>
        <w:rPr>
          <w:rFonts w:ascii="Barlow Semi Condensed" w:cs="Barlow Semi Condensed" w:eastAsia="Barlow Semi Condensed" w:hAnsi="Barlow Semi Condensed"/>
          <w:sz w:val="24"/>
          <w:szCs w:val="24"/>
        </w:rPr>
        <w:t xml:space="preserve">testimoniale è colto in contraddizione con sé stesso. Una testimonianza indiretta</w:t>
      </w:r>
    </w:p>
    <w:p>
      <w:pPr>
        <w:spacing w:after="120" w:line="276"/>
        <w:jc w:val="both"/>
      </w:pPr>
      <w:r>
        <w:rPr>
          <w:rFonts w:ascii="Barlow Semi Condensed" w:cs="Barlow Semi Condensed" w:eastAsia="Barlow Semi Condensed" w:hAnsi="Barlow Semi Condensed"/>
          <w:sz w:val="24"/>
          <w:szCs w:val="24"/>
        </w:rPr>
        <w:t xml:space="preserve">resa in buona fede a otto anni di distanza è esattamente ciò che ci si aspetta di</w:t>
      </w:r>
    </w:p>
    <w:p>
      <w:pPr>
        <w:spacing w:after="120" w:line="276"/>
        <w:jc w:val="both"/>
      </w:pPr>
      <w:r>
        <w:rPr>
          <w:rFonts w:ascii="Barlow Semi Condensed" w:cs="Barlow Semi Condensed" w:eastAsia="Barlow Semi Condensed" w:hAnsi="Barlow Semi Condensed"/>
          <w:sz w:val="24"/>
          <w:szCs w:val="24"/>
        </w:rPr>
        <w:t xml:space="preserve">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w:t>
      </w:r>
    </w:p>
    <w:p>
      <w:pPr>
        <w:spacing w:after="120" w:line="276"/>
        <w:jc w:val="both"/>
      </w:pPr>
      <w:r>
        <w:rPr>
          <w:rFonts w:ascii="Barlow Semi Condensed" w:cs="Barlow Semi Condensed" w:eastAsia="Barlow Semi Condensed" w:hAnsi="Barlow Semi Condensed"/>
          <w:sz w:val="24"/>
          <w:szCs w:val="24"/>
        </w:rPr>
        <w:t xml:space="preserve">sul sequestro, sulla prigionia, sulla morte di Aldo Moro. Non indica</w:t>
      </w:r>
    </w:p>
    <w:p>
      <w:pPr>
        <w:spacing w:after="120" w:line="276"/>
        <w:jc w:val="both"/>
      </w:pPr>
      <w:r>
        <w:rPr>
          <w:rFonts w:ascii="Barlow Semi Condensed" w:cs="Barlow Semi Condensed" w:eastAsia="Barlow Semi Condensed" w:hAnsi="Barlow Semi Condensed"/>
          <w:sz w:val="24"/>
          <w:szCs w:val="24"/>
        </w:rPr>
        <w:t xml:space="preserve">responsabili, non propone piste, non chiude né apre alcuna delle questioni del</w:t>
      </w:r>
    </w:p>
    <w:p>
      <w:pPr>
        <w:spacing w:after="120" w:line="276"/>
        <w:jc w:val="both"/>
      </w:pPr>
      <w:r>
        <w:rPr>
          <w:rFonts w:ascii="Barlow Semi Condensed" w:cs="Barlow Semi Condensed" w:eastAsia="Barlow Semi Condensed" w:hAnsi="Barlow Semi Condensed"/>
          <w:sz w:val="24"/>
          <w:szCs w:val="24"/>
        </w:rPr>
        <w:t xml:space="preserve">caso. Henry Kissinger non fu condannato in alcun processo, non fu mai imputato né</w:t>
      </w:r>
    </w:p>
    <w:p>
      <w:pPr>
        <w:spacing w:after="120" w:line="276"/>
        <w:jc w:val="both"/>
      </w:pPr>
      <w:r>
        <w:rPr>
          <w:rFonts w:ascii="Barlow Semi Condensed" w:cs="Barlow Semi Condensed" w:eastAsia="Barlow Semi Condensed" w:hAnsi="Barlow Semi Condensed"/>
          <w:sz w:val="24"/>
          <w:szCs w:val="24"/>
        </w:rPr>
        <w:t xml:space="preserve">processato in alcun Paese, e nessuna sentenza definitiva ha attribuito ad alcuna</w:t>
      </w:r>
    </w:p>
    <w:p>
      <w:pPr>
        <w:spacing w:after="120" w:line="276"/>
        <w:jc w:val="both"/>
      </w:pPr>
      <w:r>
        <w:rPr>
          <w:rFonts w:ascii="Barlow Semi Condensed" w:cs="Barlow Semi Condensed" w:eastAsia="Barlow Semi Condensed" w:hAnsi="Barlow Semi Condensed"/>
          <w:sz w:val="24"/>
          <w:szCs w:val="24"/>
        </w:rPr>
        <w:t xml:space="preserve">autorità statunitense responsabilità penali nel sequestro e nell'omicidio: le</w:t>
      </w:r>
    </w:p>
    <w:p>
      <w:pPr>
        <w:spacing w:after="120" w:line="276"/>
        <w:jc w:val="both"/>
      </w:pPr>
      <w:r>
        <w:rPr>
          <w:rFonts w:ascii="Barlow Semi Condensed" w:cs="Barlow Semi Condensed" w:eastAsia="Barlow Semi Condensed" w:hAnsi="Barlow Semi Condensed"/>
          <w:sz w:val="24"/>
          <w:szCs w:val="24"/>
        </w:rPr>
        <w:t xml:space="preserve">condanne definitive riguardano esponenti delle Brigate Rosse. L'episodio non ha</w:t>
      </w:r>
    </w:p>
    <w:p>
      <w:pPr>
        <w:spacing w:after="120" w:line="276"/>
        <w:jc w:val="both"/>
      </w:pPr>
      <w:r>
        <w:rPr>
          <w:rFonts w:ascii="Barlow Semi Condensed" w:cs="Barlow Semi Condensed" w:eastAsia="Barlow Semi Condensed" w:hAnsi="Barlow Semi Condensed"/>
          <w:sz w:val="24"/>
          <w:szCs w:val="24"/>
        </w:rPr>
        <w:t xml:space="preserve">mai formato oggetto d'imputazione. Questo va scritto ogni volta, e non per</w:t>
      </w:r>
    </w:p>
    <w:p>
      <w:pPr>
        <w:spacing w:after="120" w:line="276"/>
        <w:jc w:val="both"/>
      </w:pPr>
      <w:r>
        <w:rPr>
          <w:rFonts w:ascii="Barlow Semi Condensed" w:cs="Barlow Semi Condensed" w:eastAsia="Barlow Semi Condensed" w:hAnsi="Barlow Semi Condensed"/>
          <w:sz w:val="24"/>
          <w:szCs w:val="24"/>
        </w:rPr>
        <w:t xml:space="preserve">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w:t>
      </w:r>
    </w:p>
    <w:p>
      <w:pPr>
        <w:spacing w:after="120" w:line="276"/>
        <w:jc w:val="both"/>
      </w:pPr>
      <w:r>
        <w:rPr>
          <w:rFonts w:ascii="Barlow Semi Condensed" w:cs="Barlow Semi Condensed" w:eastAsia="Barlow Semi Condensed" w:hAnsi="Barlow Semi Condensed"/>
          <w:sz w:val="24"/>
          <w:szCs w:val="24"/>
        </w:rPr>
        <w:t xml:space="preserve">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w:t>
      </w:r>
    </w:p>
    <w:p>
      <w:pPr>
        <w:spacing w:after="120" w:line="276"/>
        <w:jc w:val="both"/>
      </w:pPr>
      <w:r>
        <w:rPr>
          <w:rFonts w:ascii="Barlow Semi Condensed" w:cs="Barlow Semi Condensed" w:eastAsia="Barlow Semi Condensed" w:hAnsi="Barlow Semi Condensed"/>
          <w:sz w:val="24"/>
          <w:szCs w:val="24"/>
        </w:rPr>
        <w:t xml:space="preserve">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w:t>
      </w:r>
    </w:p>
    <w:p>
      <w:pPr>
        <w:spacing w:after="120" w:line="276"/>
        <w:jc w:val="both"/>
      </w:pPr>
      <w:r>
        <w:rPr>
          <w:rFonts w:ascii="Barlow Semi Condensed" w:cs="Barlow Semi Condensed" w:eastAsia="Barlow Semi Condensed" w:hAnsi="Barlow Semi Condensed"/>
          <w:sz w:val="24"/>
          <w:szCs w:val="24"/>
        </w:rPr>
        <w:t xml:space="preserve">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sz w:val="24"/>
          <w:szCs w:val="24"/>
        </w:rPr>
        <w:t xml:space="preserve">*Ogni capitolo si chiude con un esercizio eseguibile. Questo richiede circa due</w:t>
      </w:r>
    </w:p>
    <w:p>
      <w:pPr>
        <w:spacing w:after="120" w:line="276"/>
        <w:jc w:val="both"/>
      </w:pPr>
      <w:r>
        <w:rPr>
          <w:rFonts w:ascii="Barlow Semi Condensed" w:cs="Barlow Semi Condensed" w:eastAsia="Barlow Semi Condensed" w:hAnsi="Barlow Semi Condensed"/>
          <w:sz w:val="24"/>
          <w:szCs w:val="24"/>
        </w:rPr>
        <w:t xml:space="preserve">ore, una connessione, nessun accesso a pagamento e nessuna competenza tecnica.</w:t>
      </w:r>
    </w:p>
    <w:p>
      <w:pPr>
        <w:spacing w:after="120" w:line="276"/>
        <w:jc w:val="both"/>
      </w:pPr>
      <w:r>
        <w:rPr>
          <w:rFonts w:ascii="Barlow Semi Condensed" w:cs="Barlow Semi Condensed" w:eastAsia="Barlow Semi Condensed" w:hAnsi="Barlow Semi Condensed"/>
          <w:sz w:val="24"/>
          <w:szCs w:val="24"/>
        </w:rPr>
        <w:t xml:space="preserve">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p>
    <w:p>
      <w:pPr>
        <w:spacing w:after="120" w:line="276"/>
        <w:jc w:val="both"/>
      </w:pPr>
      <w:r>
        <w:rPr>
          <w:rFonts w:ascii="Barlow Semi Condensed" w:cs="Barlow Semi Condensed" w:eastAsia="Barlow Semi Condensed" w:hAnsi="Barlow Semi Condensed"/>
          <w:sz w:val="24"/>
          <w:szCs w:val="24"/>
        </w:rPr>
        <w:t xml:space="preserve">Si scelga una qualunque affermazione circolante che riguardi un fatto storico</w:t>
      </w:r>
    </w:p>
    <w:p>
      <w:pPr>
        <w:spacing w:after="120" w:line="276"/>
        <w:jc w:val="both"/>
      </w:pPr>
      <w:r>
        <w:rPr>
          <w:rFonts w:ascii="Barlow Semi Condensed" w:cs="Barlow Semi Condensed" w:eastAsia="Barlow Semi Condensed" w:hAnsi="Barlow Semi Condensed"/>
          <w:sz w:val="24"/>
          <w:szCs w:val="24"/>
        </w:rPr>
        <w:t xml:space="preserve">recente e che appaia sostenuta da molte fonti concordi. Si raccolgano **almeno</w:t>
      </w:r>
    </w:p>
    <w:p>
      <w:pPr>
        <w:spacing w:after="120" w:line="276"/>
        <w:jc w:val="both"/>
      </w:pPr>
      <w:r>
        <w:rPr>
          <w:rFonts w:ascii="Barlow Semi Condensed" w:cs="Barlow Semi Condensed" w:eastAsia="Barlow Semi Condensed" w:hAnsi="Barlow Semi Condensed"/>
          <w:sz w:val="24"/>
          <w:szCs w:val="24"/>
        </w:rPr>
        <w:t xml:space="preserve">dodici** pagine che la riportano. Per ciascuna si registri in tabella: indirizzo,</w:t>
      </w:r>
    </w:p>
    <w:p>
      <w:pPr>
        <w:spacing w:after="120" w:line="276"/>
        <w:jc w:val="both"/>
      </w:pP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w:t>
      </w:r>
    </w:p>
    <w:p>
      <w:pPr>
        <w:spacing w:after="120" w:line="276"/>
        <w:jc w:val="both"/>
      </w:pPr>
      <w:r>
        <w:rPr>
          <w:rFonts w:ascii="Barlow Semi Condensed" w:cs="Barlow Semi Condensed" w:eastAsia="Barlow Semi Condensed" w:hAnsi="Barlow Semi Condensed"/>
          <w:sz w:val="24"/>
          <w:szCs w:val="24"/>
        </w:rPr>
        <w:t xml:space="preserve">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**realmente</w:t>
      </w:r>
    </w:p>
    <w:p>
      <w:pPr>
        <w:spacing w:after="120" w:line="276"/>
        <w:jc w:val="both"/>
      </w:pPr>
      <w:r>
        <w:rPr>
          <w:rFonts w:ascii="Barlow Semi Condensed" w:cs="Barlow Semi Condensed" w:eastAsia="Barlow Semi Condensed" w:hAnsi="Barlow Semi Condensed"/>
          <w:sz w:val="24"/>
          <w:szCs w:val="24"/>
        </w:rPr>
        <w:t xml:space="preserve">diverse** ci sono, e non semplicemente riscritte? Qual è la data più antica?</w:t>
      </w:r>
    </w:p>
    <w:p>
      <w:pPr>
        <w:spacing w:after="120" w:line="276"/>
        <w:jc w:val="both"/>
      </w:pPr>
      <w:r>
        <w:rPr>
          <w:rFonts w:ascii="Barlow Semi Condensed" w:cs="Barlow Semi Condensed" w:eastAsia="Barlow Semi Condensed" w:hAnsi="Barlow Semi Condensed"/>
          <w:sz w:val="24"/>
          <w:szCs w:val="24"/>
        </w:rPr>
        <w:t xml:space="preserve">Quella pagina cita a sua volta qualcuno? Quante delle dodici sono, alla fine,</w:t>
      </w:r>
    </w:p>
    <w:p>
      <w:pPr>
        <w:spacing w:after="120" w:line="276"/>
        <w:jc w:val="both"/>
      </w:pPr>
      <w:r>
        <w:rPr>
          <w:rFonts w:ascii="Barlow Semi Condensed" w:cs="Barlow Semi Condensed" w:eastAsia="Barlow Semi Condensed" w:hAnsi="Barlow Semi Condensed"/>
          <w:sz w:val="24"/>
          <w:szCs w:val="24"/>
        </w:rPr>
        <w:t xml:space="preserve">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p>
    <w:p>
      <w:pPr>
        <w:spacing w:after="120" w:line="276"/>
        <w:jc w:val="both"/>
      </w:pPr>
      <w:r>
        <w:rPr>
          <w:rFonts w:ascii="Barlow Semi Condensed" w:cs="Barlow Semi Condensed" w:eastAsia="Barlow Semi Condensed" w:hAnsi="Barlow Semi Condensed"/>
          <w:sz w:val="24"/>
          <w:szCs w:val="24"/>
        </w:rPr>
        <w:t xml:space="preserve">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w:t>
      </w:r>
    </w:p>
    <w:p>
      <w:pPr>
        <w:spacing w:after="120" w:line="276"/>
        <w:jc w:val="both"/>
      </w:pPr>
      <w:r>
        <w:rPr>
          <w:rFonts w:ascii="Barlow Semi Condensed" w:cs="Barlow Semi Condensed" w:eastAsia="Barlow Semi Condensed" w:hAnsi="Barlow Semi Condensed"/>
          <w:sz w:val="24"/>
          <w:szCs w:val="24"/>
        </w:rPr>
        <w:t xml:space="preserve">(edizione riveduta), oppure il file 1552802 della Gerald R. Ford Presidential</w:t>
      </w:r>
    </w:p>
    <w:p>
      <w:pPr>
        <w:spacing w:after="120" w:line="276"/>
        <w:jc w:val="both"/>
      </w:pPr>
      <w:r>
        <w:rPr>
          <w:rFonts w:ascii="Barlow Semi Condensed" w:cs="Barlow Semi Condensed" w:eastAsia="Barlow Semi Condensed" w:hAnsi="Barlow Semi Condensed"/>
          <w:sz w:val="24"/>
          <w:szCs w:val="24"/>
        </w:rPr>
        <w:t xml:space="preserve">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w:t>
      </w:r>
    </w:p>
    <w:p>
      <w:pPr>
        <w:spacing w:after="40"/>
        <w:ind w:left="360"/>
        <w:jc w:val="both"/>
      </w:pPr>
      <w:r>
        <w:rPr>
          <w:rFonts w:ascii="Barlow Semi Condensed" w:cs="Barlow Semi Condensed" w:eastAsia="Barlow Semi Condensed" w:hAnsi="Barlow Semi Condensed"/>
          <w:sz w:val="24"/>
          <w:szCs w:val="24"/>
        </w:rPr>
        <w:t xml:space="preserve">1974. Si trascrivano i passaggi che riguardano la posizione americana sul PCI.</w:t>
      </w:r>
    </w:p>
    <w:p>
      <w:pPr>
        <w:spacing w:after="120" w:line="276"/>
        <w:jc w:val="both"/>
      </w:pPr>
      <w:r>
        <w:rPr>
          <w:rFonts w:ascii="Barlow Semi Condensed" w:cs="Barlow Semi Condensed" w:eastAsia="Barlow Semi Condensed" w:hAnsi="Barlow Semi Condensed"/>
          <w:sz w:val="24"/>
          <w:szCs w:val="24"/>
        </w:rPr>
        <w:t xml:space="preserve">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w:t>
      </w:r>
    </w:p>
    <w:p>
      <w:pPr>
        <w:spacing w:after="120" w:line="276"/>
        <w:jc w:val="both"/>
      </w:pPr>
      <w:r>
        <w:rPr>
          <w:rFonts w:ascii="Barlow Semi Condensed" w:cs="Barlow Semi Condensed" w:eastAsia="Barlow Semi Condensed" w:hAnsi="Barlow Semi Condensed"/>
          <w:sz w:val="24"/>
          <w:szCs w:val="24"/>
        </w:rPr>
        <w:t xml:space="preserve">più alto che si sarebbe tentati di usare, una seconda al grado che le prove</w:t>
      </w:r>
    </w:p>
    <w:p>
      <w:pPr>
        <w:spacing w:after="120" w:line="276"/>
        <w:jc w:val="both"/>
      </w:pPr>
      <w:r>
        <w:rPr>
          <w:rFonts w:ascii="Barlow Semi Condensed" w:cs="Barlow Semi Condensed" w:eastAsia="Barlow Semi Condensed" w:hAnsi="Barlow Semi Condensed"/>
          <w:sz w:val="24"/>
          <w:szCs w:val="24"/>
        </w:rPr>
        <w:t xml:space="preserve">effettivamente reggono. Si confrontino. La distanza fra le due è la misura di</w:t>
      </w:r>
    </w:p>
    <w:p>
      <w:pPr>
        <w:spacing w:after="120" w:line="276"/>
        <w:jc w:val="both"/>
      </w:pPr>
      <w:r>
        <w:rPr>
          <w:rFonts w:ascii="Barlow Semi Condensed" w:cs="Barlow Semi Condensed" w:eastAsia="Barlow Semi Condensed" w:hAnsi="Barlow Semi Condensed"/>
          <w:sz w:val="24"/>
          <w:szCs w:val="24"/>
        </w:rPr>
        <w:t xml:space="preserve">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p>
    <w:p>
      <w:pPr>
        <w:spacing w:after="120" w:line="276"/>
        <w:jc w:val="both"/>
      </w:pP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w:t>
      </w:r>
    </w:p>
    <w:p>
      <w:pPr>
        <w:spacing w:after="120" w:line="276"/>
        <w:jc w:val="both"/>
      </w:pPr>
      <w:r>
        <w:rPr>
          <w:rFonts w:ascii="Barlow Semi Condensed" w:cs="Barlow Semi Condensed" w:eastAsia="Barlow Semi Condensed" w:hAnsi="Barlow Semi Condensed"/>
          <w:sz w:val="24"/>
          <w:szCs w:val="24"/>
        </w:rPr>
        <w:t xml:space="preserve">aspetta di trovare cercando «Stati Uniti 1974» nel portale dell'Archivio storico</w:t>
      </w:r>
    </w:p>
    <w:p>
      <w:pPr>
        <w:spacing w:after="120" w:line="276"/>
        <w:jc w:val="both"/>
      </w:pPr>
      <w:r>
        <w:rPr>
          <w:rFonts w:ascii="Barlow Semi Condensed" w:cs="Barlow Semi Condensed" w:eastAsia="Barlow Semi Condensed" w:hAnsi="Barlow Semi Condensed"/>
          <w:sz w:val="24"/>
          <w:szCs w:val="24"/>
        </w:rPr>
        <w:t xml:space="preserve">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w:t>
      </w:r>
    </w:p>
    <w:p>
      <w:pPr>
        <w:spacing w:after="120" w:line="276"/>
        <w:jc w:val="both"/>
      </w:pPr>
      <w:r>
        <w:rPr>
          <w:rFonts w:ascii="Barlow Semi Condensed" w:cs="Barlow Semi Condensed" w:eastAsia="Barlow Semi Condensed" w:hAnsi="Barlow Semi Condensed"/>
          <w:sz w:val="24"/>
          <w:szCs w:val="24"/>
        </w:rPr>
        <w:t xml:space="preserve">sullo schermo e un valore completamente diverso. L'unico modo per distinguerli è</w:t>
      </w:r>
    </w:p>
    <w:p>
      <w:pPr>
        <w:spacing w:after="120" w:line="276"/>
        <w:jc w:val="both"/>
      </w:pPr>
      <w:r>
        <w:rPr>
          <w:rFonts w:ascii="Barlow Semi Condensed" w:cs="Barlow Semi Condensed" w:eastAsia="Barlow Semi Condensed" w:hAnsi="Barlow Semi Condensed"/>
          <w:sz w:val="24"/>
          <w:szCs w:val="24"/>
        </w:rPr>
        <w:t xml:space="preserve">aver scritto l'attesa prima. È il contenuto del capitolo sesto, e questo è il</w:t>
      </w:r>
    </w:p>
    <w:p>
      <w:pPr>
        <w:spacing w:after="120" w:line="276"/>
        <w:jc w:val="both"/>
      </w:pPr>
      <w:r>
        <w:rPr>
          <w:rFonts w:ascii="Barlow Semi Condensed" w:cs="Barlow Semi Condensed" w:eastAsia="Barlow Semi Condensed" w:hAnsi="Barlow Semi Condensed"/>
          <w:sz w:val="24"/>
          <w:szCs w:val="24"/>
        </w:rPr>
        <w:t xml:space="preserve">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v. Il capitolo campione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 3.385 parole in 9 sezioni; la più ampia è §9 9. Che cosa questo capitolo non ha stabilito, con 638.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 83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 La mappa dei destinatari</w:t>
      </w:r>
    </w:p>
    <w:p>
      <w:pPr>
        <w:pStyle w:val="Heading1"/>
        <w:spacing w:after="120" w:before="240"/>
      </w:pPr>
      <w:r>
        <w:rPr>
          <w:rFonts w:ascii="Barlow Semi Condensed" w:cs="Barlow Semi Condensed" w:eastAsia="Barlow Semi Condensed" w:hAnsi="Barlow Semi Condensed"/>
          <w:sz w:val="24"/>
          <w:szCs w:val="24"/>
        </w:rPr>
        <w:t xml:space="preserve">Dove può andare quest'opera — mappa ragionata dei destinatari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26 agosto 2026.</w:t>
      </w:r>
      <w:r>
        <w:rPr>
          <w:rFonts w:ascii="Barlow Semi Condensed" w:cs="Barlow Semi Condensed" w:eastAsia="Barlow Semi Condensed" w:hAnsi="Barlow Semi Condensed"/>
          <w:i w:val="false"/>
          <w:iCs w:val="false"/>
          <w:sz w:val="24"/>
          <w:szCs w:val="24"/>
        </w:rPr>
        <w:t xml:space="preserve"> Questa mappa ragiona sul </w:t>
      </w:r>
      <w:r>
        <w:rPr>
          <w:rFonts w:ascii="Barlow Semi Condensed" w:cs="Barlow Semi Condensed" w:eastAsia="Barlow Semi Condensed" w:hAnsi="Barlow Semi Condensed"/>
          <w:i w:val="false"/>
          <w:iCs w:val="false"/>
          <w:sz w:val="24"/>
          <w:szCs w:val="24"/>
        </w:rPr>
        <w:t xml:space="preserve">chi</w:t>
      </w:r>
      <w:r>
        <w:rPr>
          <w:rFonts w:ascii="Barlow Semi Condensed" w:cs="Barlow Semi Condensed" w:eastAsia="Barlow Semi Condensed" w:hAnsi="Barlow Semi Condensed"/>
          <w:i w:val="false"/>
          <w:iCs w:val="false"/>
          <w:sz w:val="24"/>
          <w:szCs w:val="24"/>
        </w:rPr>
        <w:t xml:space="preserve">: quale editore per quale dei tre oggetti. Sui </w:t>
      </w:r>
      <w:r>
        <w:rPr>
          <w:rFonts w:ascii="Barlow Semi Condensed" w:cs="Barlow Semi Condensed" w:eastAsia="Barlow Semi Condensed" w:hAnsi="Barlow Semi Condensed"/>
          <w:i w:val="false"/>
          <w:iCs w:val="false"/>
          <w:sz w:val="24"/>
          <w:szCs w:val="24"/>
        </w:rPr>
        <w:t xml:space="preserve">canali</w:t>
      </w:r>
      <w:r>
        <w:rPr>
          <w:rFonts w:ascii="Barlow Semi Condensed" w:cs="Barlow Semi Condensed" w:eastAsia="Barlow Semi Condensed" w:hAnsi="Barlow Semi Condensed"/>
          <w:i w:val="false"/>
          <w:iCs w:val="false"/>
          <w:sz w:val="24"/>
          <w:szCs w:val="24"/>
        </w:rPr>
        <w:t xml:space="preserve"> — indirizzi, moduli, tempi, porte chiuse — fa fede la </w:t>
      </w:r>
      <w:r>
        <w:rPr>
          <w:rFonts w:ascii="Barlow Semi Condensed" w:cs="Barlow Semi Condensed" w:eastAsia="Barlow Semi Condensed" w:hAnsi="Barlow Semi Condensed"/>
          <w:i w:val="false"/>
          <w:iCs w:val="false"/>
          <w:sz w:val="24"/>
          <w:szCs w:val="24"/>
        </w:rPr>
        <w:t xml:space="preserve">checklist di invio</w:t>
      </w:r>
      <w:r>
        <w:rPr>
          <w:rFonts w:ascii="Barlow Semi Condensed" w:cs="Barlow Semi Condensed" w:eastAsia="Barlow Semi Condensed" w:hAnsi="Barlow Semi Condensed"/>
          <w:i w:val="false"/>
          <w:iCs w:val="false"/>
          <w:sz w:val="24"/>
          <w:szCs w:val="24"/>
        </w:rPr>
        <w:t xml:space="preserve">, seconda edizione, che copre nove editori con il grado di verifica di ciascuno e dove i due documenti divergessero prevale la checklist, che è più recente.</w:t>
      </w:r>
    </w:p>
    <w:p>
      <w:pPr>
        <w:spacing w:after="120" w:line="276"/>
        <w:jc w:val="both"/>
      </w:pPr>
      <w:r>
        <w:rPr>
          <w:rFonts w:ascii="Barlow Semi Condensed" w:cs="Barlow Semi Condensed" w:eastAsia="Barlow Semi Condensed" w:hAnsi="Barlow Semi Condensed"/>
          <w:i/>
          <w:iCs/>
          <w:sz w:val="24"/>
          <w:szCs w:val="24"/>
        </w:rPr>
        <w:t xml:space="preserve">Preparata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punto di partenza: non è un oggetto solo, sono tre</w:t>
      </w:r>
    </w:p>
    <w:p>
      <w:pPr>
        <w:spacing w:after="120" w:line="276"/>
        <w:jc w:val="both"/>
      </w:pPr>
      <w:r>
        <w:rPr>
          <w:rFonts w:ascii="Barlow Semi Condensed" w:cs="Barlow Semi Condensed" w:eastAsia="Barlow Semi Condensed" w:hAnsi="Barlow Semi Condensed"/>
          <w:sz w:val="24"/>
          <w:szCs w:val="24"/>
        </w:rPr>
        <w:t xml:space="preserve">Trattarli come una cosa sola è la ragione per cui una proposta del genere di</w:t>
      </w:r>
    </w:p>
    <w:p>
      <w:pPr>
        <w:spacing w:after="120" w:line="276"/>
        <w:jc w:val="both"/>
      </w:pPr>
      <w:r>
        <w:rPr>
          <w:rFonts w:ascii="Barlow Semi Condensed" w:cs="Barlow Semi Condensed" w:eastAsia="Barlow Semi Condensed" w:hAnsi="Barlow Semi Condensed"/>
          <w:sz w:val="24"/>
          <w:szCs w:val="24"/>
        </w:rPr>
        <w:t xml:space="preserve">solito non riceve risposta. Sono tre prodotti diversi, con tre mercati diversi</w:t>
      </w:r>
    </w:p>
    <w:p>
      <w:pPr>
        <w:spacing w:after="120" w:line="276"/>
        <w:jc w:val="both"/>
      </w:pPr>
      <w:r>
        <w:rPr>
          <w:rFonts w:ascii="Barlow Semi Condensed" w:cs="Barlow Semi Condensed" w:eastAsia="Barlow Semi Condensed" w:hAnsi="Barlow Semi Condensed"/>
          <w:sz w:val="24"/>
          <w:szCs w:val="24"/>
        </w:rPr>
        <w:t xml:space="preserve">e tre gradi di maturità diversi.</w:t>
      </w:r>
    </w:p>
    <w:p>
      <w:pPr>
        <w:spacing w:after="120" w:line="276"/>
        <w:jc w:val="both"/>
      </w:pPr>
      <w:r>
        <w:rPr>
          <w:rFonts w:ascii="Barlow Semi Condensed" w:cs="Barlow Semi Condensed" w:eastAsia="Barlow Semi Condensed" w:hAnsi="Barlow Semi Condensed"/>
          <w:b/>
          <w:bCs/>
          <w:sz w:val="24"/>
          <w:szCs w:val="24"/>
        </w:rPr>
        <w:t xml:space="preserve">Primo — l'apparato.</w:t>
      </w:r>
      <w:r>
        <w:rPr>
          <w:rFonts w:ascii="Barlow Semi Condensed" w:cs="Barlow Semi Condensed" w:eastAsia="Barlow Semi Condensed" w:hAnsi="Barlow Semi Condensed"/>
          <w:sz w:val="24"/>
          <w:szCs w:val="24"/>
        </w:rPr>
        <w:t xml:space="preserve"> Millesettecentocinquantacinque pagine, 7.699 blocchi</w:t>
      </w:r>
    </w:p>
    <w:p>
      <w:pPr>
        <w:spacing w:after="120" w:line="276"/>
        <w:jc w:val="both"/>
      </w:pPr>
      <w:r>
        <w:rPr>
          <w:rFonts w:ascii="Barlow Semi Condensed" w:cs="Barlow Semi Condensed" w:eastAsia="Barlow Semi Condensed" w:hAnsi="Barlow Semi Condensed"/>
          <w:sz w:val="24"/>
          <w:szCs w:val="24"/>
        </w:rPr>
        <w:t xml:space="preserve">mirati di ricerca — e, a parte e non in somma, 538 blocchi certificati di</w:t>
      </w:r>
    </w:p>
    <w:p>
      <w:pPr>
        <w:spacing w:after="120" w:line="276"/>
        <w:jc w:val="both"/>
      </w:pPr>
      <w:r>
        <w:rPr>
          <w:rFonts w:ascii="Barlow Semi Condensed" w:cs="Barlow Semi Condensed" w:eastAsia="Barlow Semi Condensed" w:hAnsi="Barlow Semi Condensed"/>
          <w:sz w:val="24"/>
          <w:szCs w:val="24"/>
        </w:rPr>
        <w:t xml:space="preserve">verifica nel solo Libro quarto —,</w:t>
      </w:r>
    </w:p>
    <w:p>
      <w:pPr>
        <w:spacing w:after="120" w:line="276"/>
        <w:jc w:val="both"/>
      </w:pPr>
      <w:r>
        <w:rPr>
          <w:rFonts w:ascii="Barlow Semi Condensed" w:cs="Barlow Semi Condensed" w:eastAsia="Barlow Semi Condensed" w:hAnsi="Barlow Semi Condensed"/>
          <w:sz w:val="24"/>
          <w:szCs w:val="24"/>
        </w:rPr>
        <w:t xml:space="preserve">l'indice, la guida. Non è un libro e non lo diventerà: è materiale di</w:t>
      </w:r>
    </w:p>
    <w:p>
      <w:pPr>
        <w:spacing w:after="120" w:line="276"/>
        <w:jc w:val="both"/>
      </w:pPr>
      <w:r>
        <w:rPr>
          <w:rFonts w:ascii="Barlow Semi Condensed" w:cs="Barlow Semi Condensed" w:eastAsia="Barlow Semi Condensed" w:hAnsi="Barlow Semi Condensed"/>
          <w:sz w:val="24"/>
          <w:szCs w:val="24"/>
        </w:rPr>
        <w:t xml:space="preserve">consultazione. Il suo posto è un archivio o un deposito digitale permanente.</w:t>
      </w:r>
    </w:p>
    <w:p>
      <w:pPr>
        <w:spacing w:after="120" w:line="276"/>
        <w:jc w:val="both"/>
      </w:pPr>
      <w:r>
        <w:rPr>
          <w:rFonts w:ascii="Barlow Semi Condensed" w:cs="Barlow Semi Condensed" w:eastAsia="Barlow Semi Condensed" w:hAnsi="Barlow Semi Condensed"/>
          <w:b/>
          <w:bCs/>
          <w:sz w:val="24"/>
          <w:szCs w:val="24"/>
        </w:rPr>
        <w:t xml:space="preserve">Secondo — il saggio.</w:t>
      </w:r>
      <w:r>
        <w:rPr>
          <w:rFonts w:ascii="Barlow Semi Condensed" w:cs="Barlow Semi Condensed" w:eastAsia="Barlow Semi Condensed" w:hAnsi="Barlow Semi Condensed"/>
          <w:sz w:val="24"/>
          <w:szCs w:val="24"/>
        </w:rPr>
        <w:t xml:space="preserve"> Il resoconto dell'esperimento e dei suoi fallimenti</w:t>
      </w:r>
    </w:p>
    <w:p>
      <w:pPr>
        <w:spacing w:after="120" w:line="276"/>
        <w:jc w:val="both"/>
      </w:pPr>
      <w:r>
        <w:rPr>
          <w:rFonts w:ascii="Barlow Semi Condensed" w:cs="Barlow Semi Condensed" w:eastAsia="Barlow Semi Condensed" w:hAnsi="Barlow Semi Condensed"/>
          <w:sz w:val="24"/>
          <w:szCs w:val="24"/>
        </w:rPr>
        <w:t xml:space="preserve">metodologici, 140-180 pagine. È il solo dei tre che possa essere un libro</w:t>
      </w:r>
    </w:p>
    <w:p>
      <w:pPr>
        <w:spacing w:after="120" w:line="276"/>
        <w:jc w:val="both"/>
      </w:pPr>
      <w:r>
        <w:rPr>
          <w:rFonts w:ascii="Barlow Semi Condensed" w:cs="Barlow Semi Condensed" w:eastAsia="Barlow Semi Condensed" w:hAnsi="Barlow Semi Condensed"/>
          <w:sz w:val="24"/>
          <w:szCs w:val="24"/>
        </w:rPr>
        <w:t xml:space="preserve">commerciale, ed è </w:t>
      </w:r>
      <w:r>
        <w:rPr>
          <w:rFonts w:ascii="Barlow Semi Condensed" w:cs="Barlow Semi Condensed" w:eastAsia="Barlow Semi Condensed" w:hAnsi="Barlow Semi Condensed"/>
          <w:b/>
          <w:bCs/>
          <w:sz w:val="24"/>
          <w:szCs w:val="24"/>
        </w:rPr>
        <w:t xml:space="preserve">da scrivere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Terzo — i due accertamenti.</w:t>
      </w:r>
      <w:r>
        <w:rPr>
          <w:rFonts w:ascii="Barlow Semi Condensed" w:cs="Barlow Semi Condensed" w:eastAsia="Barlow Semi Condensed" w:hAnsi="Barlow Semi Condensed"/>
          <w:sz w:val="24"/>
          <w:szCs w:val="24"/>
        </w:rPr>
        <w:t xml:space="preserve"> Che il verbale dello Studio Ovale del 25</w:t>
      </w:r>
    </w:p>
    <w:p>
      <w:pPr>
        <w:spacing w:after="120" w:line="276"/>
        <w:jc w:val="both"/>
      </w:pPr>
      <w:r>
        <w:rPr>
          <w:rFonts w:ascii="Barlow Semi Condensed" w:cs="Barlow Semi Condensed" w:eastAsia="Barlow Semi Condensed" w:hAnsi="Barlow Semi Condensed"/>
          <w:sz w:val="24"/>
          <w:szCs w:val="24"/>
        </w:rPr>
        <w:t xml:space="preserve">settembre 1974 non contiene la frase che gli si attribuisce; e che di quel</w:t>
      </w:r>
    </w:p>
    <w:p>
      <w:pPr>
        <w:spacing w:after="120" w:line="276"/>
        <w:jc w:val="both"/>
      </w:pPr>
      <w:r>
        <w:rPr>
          <w:rFonts w:ascii="Barlow Semi Condensed" w:cs="Barlow Semi Condensed" w:eastAsia="Barlow Semi Condensed" w:hAnsi="Barlow Semi Condensed"/>
          <w:sz w:val="24"/>
          <w:szCs w:val="24"/>
        </w:rPr>
        <w:t xml:space="preserve">colloquio non risulta mai cercato il versante italiano. Questi non sono un</w:t>
      </w:r>
    </w:p>
    <w:p>
      <w:pPr>
        <w:spacing w:after="120" w:line="276"/>
        <w:jc w:val="both"/>
      </w:pPr>
      <w:r>
        <w:rPr>
          <w:rFonts w:ascii="Barlow Semi Condensed" w:cs="Barlow Semi Condensed" w:eastAsia="Barlow Semi Condensed" w:hAnsi="Barlow Semi Condensed"/>
          <w:sz w:val="24"/>
          <w:szCs w:val="24"/>
        </w:rPr>
        <w:t xml:space="preserve">libro: sono </w:t>
      </w:r>
      <w:r>
        <w:rPr>
          <w:rFonts w:ascii="Barlow Semi Condensed" w:cs="Barlow Semi Condensed" w:eastAsia="Barlow Semi Condensed" w:hAnsi="Barlow Semi Condensed"/>
          <w:b/>
          <w:bCs/>
          <w:sz w:val="24"/>
          <w:szCs w:val="24"/>
        </w:rPr>
        <w:t xml:space="preserve">una nota di quattro pagine per una rivista scientifica</w:t>
      </w:r>
      <w:r>
        <w:rPr>
          <w:rFonts w:ascii="Barlow Semi Condensed" w:cs="Barlow Semi Condensed" w:eastAsia="Barlow Semi Condensed" w:hAnsi="Barlow Semi Condensed"/>
          <w:sz w:val="24"/>
          <w:szCs w:val="24"/>
        </w:rPr>
        <w:t xml:space="preserve">, ed è</w:t>
      </w:r>
    </w:p>
    <w:p>
      <w:pPr>
        <w:spacing w:after="120" w:line="276"/>
        <w:jc w:val="both"/>
      </w:pPr>
      <w:r>
        <w:rPr>
          <w:rFonts w:ascii="Barlow Semi Condensed" w:cs="Barlow Semi Condensed" w:eastAsia="Barlow Semi Condensed" w:hAnsi="Barlow Semi Condensed"/>
          <w:sz w:val="24"/>
          <w:szCs w:val="24"/>
        </w:rPr>
        <w:t xml:space="preserve">la cosa con la maggiore probabilità di essere accettata e la maggiore utilità</w:t>
      </w:r>
    </w:p>
    <w:p>
      <w:pPr>
        <w:spacing w:after="120" w:line="276"/>
        <w:jc w:val="both"/>
      </w:pPr>
      <w:r>
        <w:rPr>
          <w:rFonts w:ascii="Barlow Semi Condensed" w:cs="Barlow Semi Condensed" w:eastAsia="Barlow Semi Condensed" w:hAnsi="Barlow Semi Condensed"/>
          <w:sz w:val="24"/>
          <w:szCs w:val="24"/>
        </w:rPr>
        <w:t xml:space="preserve">per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terzo oggetto — la nota scientifica</w:t>
      </w:r>
    </w:p>
    <w:p>
      <w:pPr>
        <w:spacing w:after="120" w:line="276"/>
        <w:jc w:val="both"/>
      </w:pPr>
      <w:r>
        <w:rPr>
          <w:rFonts w:ascii="Barlow Semi Condensed" w:cs="Barlow Semi Condensed" w:eastAsia="Barlow Semi Condensed" w:hAnsi="Barlow Semi Condensed"/>
          <w:b/>
          <w:bCs/>
          <w:sz w:val="24"/>
          <w:szCs w:val="24"/>
        </w:rPr>
        <w:t xml:space="preserve">È la porta da bussare per prima.</w:t>
      </w:r>
      <w:r>
        <w:rPr>
          <w:rFonts w:ascii="Barlow Semi Condensed" w:cs="Barlow Semi Condensed" w:eastAsia="Barlow Semi Condensed" w:hAnsi="Barlow Semi Condensed"/>
          <w:sz w:val="24"/>
          <w:szCs w:val="24"/>
        </w:rPr>
        <w:t xml:space="preserve"> Costa meno di tutte, ha la soglia</w:t>
      </w:r>
    </w:p>
    <w:p>
      <w:pPr>
        <w:spacing w:after="120" w:line="276"/>
        <w:jc w:val="both"/>
      </w:pPr>
      <w:r>
        <w:rPr>
          <w:rFonts w:ascii="Barlow Semi Condensed" w:cs="Barlow Semi Condensed" w:eastAsia="Barlow Semi Condensed" w:hAnsi="Barlow Semi Condensed"/>
          <w:sz w:val="24"/>
          <w:szCs w:val="24"/>
        </w:rPr>
        <w:t xml:space="preserve">d'ingresso più bassa e produce l'unica cosa che dia autorevolezza al resto: una</w:t>
      </w:r>
    </w:p>
    <w:p>
      <w:pPr>
        <w:spacing w:after="120" w:line="276"/>
        <w:jc w:val="both"/>
      </w:pPr>
      <w:r>
        <w:rPr>
          <w:rFonts w:ascii="Barlow Semi Condensed" w:cs="Barlow Semi Condensed" w:eastAsia="Barlow Semi Condensed" w:hAnsi="Barlow Semi Condensed"/>
          <w:sz w:val="24"/>
          <w:szCs w:val="24"/>
        </w:rPr>
        <w:t xml:space="preserve">pubblicazione con revisione, citabile.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«Italia contemporanea»</w:t>
      </w:r>
      <w:r>
        <w:rPr>
          <w:rFonts w:ascii="Barlow Semi Condensed" w:cs="Barlow Semi Condensed" w:eastAsia="Barlow Semi Condensed" w:hAnsi="Barlow Semi Condensed"/>
          <w:sz w:val="24"/>
          <w:szCs w:val="24"/>
        </w:rPr>
        <w:t xml:space="preserve">, rivista dell'Istituto nazionale Ferruccio Parri.</w:t>
      </w:r>
    </w:p>
    <w:p>
      <w:pPr>
        <w:spacing w:after="120" w:line="276"/>
        <w:jc w:val="both"/>
      </w:pPr>
      <w:r>
        <w:rPr>
          <w:rFonts w:ascii="Barlow Semi Condensed" w:cs="Barlow Semi Condensed" w:eastAsia="Barlow Semi Condensed" w:hAnsi="Barlow Semi Condensed"/>
          <w:sz w:val="24"/>
          <w:szCs w:val="24"/>
        </w:rPr>
        <w:t xml:space="preserve">  Ha una sezione </w:t>
      </w:r>
      <w:r>
        <w:rPr>
          <w:rFonts w:ascii="Barlow Semi Condensed" w:cs="Barlow Semi Condensed" w:eastAsia="Barlow Semi Condensed" w:hAnsi="Barlow Semi Condensed"/>
          <w:b/>
          <w:bCs/>
          <w:sz w:val="24"/>
          <w:szCs w:val="24"/>
        </w:rPr>
        <w:t xml:space="preserve">«Note e discussioni»</w:t>
      </w:r>
      <w:r>
        <w:rPr>
          <w:rFonts w:ascii="Barlow Semi Condensed" w:cs="Barlow Semi Condensed" w:eastAsia="Barlow Semi Condensed" w:hAnsi="Barlow Semi Condensed"/>
          <w:sz w:val="24"/>
          <w:szCs w:val="24"/>
        </w:rPr>
        <w:t xml:space="preserve"> espressamente dedicata a note critiche</w:t>
      </w:r>
    </w:p>
    <w:p>
      <w:pPr>
        <w:spacing w:after="120" w:line="276"/>
        <w:jc w:val="both"/>
      </w:pPr>
      <w:r>
        <w:rPr>
          <w:rFonts w:ascii="Barlow Semi Condensed" w:cs="Barlow Semi Condensed" w:eastAsia="Barlow Semi Condensed" w:hAnsi="Barlow Semi Condensed"/>
          <w:sz w:val="24"/>
          <w:szCs w:val="24"/>
        </w:rPr>
        <w:t xml:space="preserve">  e alla pubblicazione di fonti e materiali d'archivio significativi: è</w:t>
      </w:r>
    </w:p>
    <w:p>
      <w:pPr>
        <w:spacing w:after="120" w:line="276"/>
        <w:jc w:val="both"/>
      </w:pPr>
      <w:r>
        <w:rPr>
          <w:rFonts w:ascii="Barlow Semi Condensed" w:cs="Barlow Semi Condensed" w:eastAsia="Barlow Semi Condensed" w:hAnsi="Barlow Semi Condensed"/>
          <w:sz w:val="24"/>
          <w:szCs w:val="24"/>
        </w:rPr>
        <w:t xml:space="preserve">  precisamente la sede di una nota che rettifica un documento mal citato e ne</w:t>
      </w:r>
    </w:p>
    <w:p>
      <w:pPr>
        <w:spacing w:after="120" w:line="276"/>
        <w:jc w:val="both"/>
      </w:pPr>
      <w:r>
        <w:rPr>
          <w:rFonts w:ascii="Barlow Semi Condensed" w:cs="Barlow Semi Condensed" w:eastAsia="Barlow Semi Condensed" w:hAnsi="Barlow Semi Condensed"/>
          <w:sz w:val="24"/>
          <w:szCs w:val="24"/>
        </w:rPr>
        <w:t xml:space="preserve">  segnala uno mai cercato. Prima scelta.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«Mondo contemporaneo»</w:t>
      </w:r>
      <w:r>
        <w:rPr>
          <w:rFonts w:ascii="Barlow Semi Condensed" w:cs="Barlow Semi Condensed" w:eastAsia="Barlow Semi Condensed" w:hAnsi="Barlow Semi Condensed"/>
          <w:sz w:val="24"/>
          <w:szCs w:val="24"/>
        </w:rPr>
        <w:t xml:space="preserve"> (FrancoAngeli) e </w:t>
      </w:r>
      <w:r>
        <w:rPr>
          <w:rFonts w:ascii="Barlow Semi Condensed" w:cs="Barlow Semi Condensed" w:eastAsia="Barlow Semi Condensed" w:hAnsi="Barlow Semi Condensed"/>
          <w:b/>
          <w:bCs/>
          <w:sz w:val="24"/>
          <w:szCs w:val="24"/>
        </w:rPr>
        <w:t xml:space="preserve">«Ricerche di storia politica»</w:t>
      </w:r>
    </w:p>
    <w:p>
      <w:pPr>
        <w:spacing w:after="120" w:line="276"/>
        <w:jc w:val="both"/>
      </w:pPr>
      <w:r>
        <w:rPr>
          <w:rFonts w:ascii="Barlow Semi Condensed" w:cs="Barlow Semi Condensed" w:eastAsia="Barlow Semi Condensed" w:hAnsi="Barlow Semi Condensed"/>
          <w:sz w:val="24"/>
          <w:szCs w:val="24"/>
        </w:rPr>
        <w:t xml:space="preserve">  (il Mulino), entrambe aperte a note brevi su 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«Studi Storici»</w:t>
      </w:r>
      <w:r>
        <w:rPr>
          <w:rFonts w:ascii="Barlow Semi Condensed" w:cs="Barlow Semi Condensed" w:eastAsia="Barlow Semi Condensed" w:hAnsi="Barlow Semi Condensed"/>
          <w:sz w:val="24"/>
          <w:szCs w:val="24"/>
        </w:rPr>
        <w:t xml:space="preserve">, Fondazione Gramsci — più selettiva, taglio più ampio.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Per il versante diplomatico, le riviste di storia delle relazioni</w:t>
      </w:r>
    </w:p>
    <w:p>
      <w:pPr>
        <w:spacing w:after="120" w:line="276"/>
        <w:jc w:val="both"/>
      </w:pPr>
      <w:r>
        <w:rPr>
          <w:rFonts w:ascii="Barlow Semi Condensed" w:cs="Barlow Semi Condensed" w:eastAsia="Barlow Semi Condensed" w:hAnsi="Barlow Semi Condensed"/>
          <w:sz w:val="24"/>
          <w:szCs w:val="24"/>
        </w:rPr>
        <w:t xml:space="preserve">  internazionali sono un'alternativa naturale, dato che il documento centrale è</w:t>
      </w:r>
    </w:p>
    <w:p>
      <w:pPr>
        <w:spacing w:after="120" w:line="276"/>
        <w:jc w:val="both"/>
      </w:pPr>
      <w:r>
        <w:rPr>
          <w:rFonts w:ascii="Barlow Semi Condensed" w:cs="Barlow Semi Condensed" w:eastAsia="Barlow Semi Condensed" w:hAnsi="Barlow Semi Condensed"/>
          <w:sz w:val="24"/>
          <w:szCs w:val="24"/>
        </w:rPr>
        <w:t xml:space="preserv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dei FRUS.</w:t>
      </w:r>
    </w:p>
    <w:p>
      <w:pPr>
        <w:spacing w:after="120" w:line="276"/>
        <w:jc w:val="both"/>
      </w:pPr>
      <w:r>
        <w:rPr>
          <w:rFonts w:ascii="Barlow Semi Condensed" w:cs="Barlow Semi Condensed" w:eastAsia="Barlow Semi Condensed" w:hAnsi="Barlow Semi Condensed"/>
          <w:b/>
          <w:bCs/>
          <w:sz w:val="24"/>
          <w:szCs w:val="24"/>
        </w:rPr>
        <w:t xml:space="preserve">Avvertenza che conta.</w:t>
      </w:r>
      <w:r>
        <w:rPr>
          <w:rFonts w:ascii="Barlow Semi Condensed" w:cs="Barlow Semi Condensed" w:eastAsia="Barlow Semi Condensed" w:hAnsi="Barlow Semi Condensed"/>
          <w:sz w:val="24"/>
          <w:szCs w:val="24"/>
        </w:rPr>
        <w:t xml:space="preserve"> Quasi tutte le riviste hanno oggi una politica sull'uso</w:t>
      </w:r>
    </w:p>
    <w:p>
      <w:pPr>
        <w:spacing w:after="120" w:line="276"/>
        <w:jc w:val="both"/>
      </w:pPr>
      <w:r>
        <w:rPr>
          <w:rFonts w:ascii="Barlow Semi Condensed" w:cs="Barlow Semi Condensed" w:eastAsia="Barlow Semi Condensed" w:hAnsi="Barlow Semi Condensed"/>
          <w:sz w:val="24"/>
          <w:szCs w:val="24"/>
        </w:rPr>
        <w:t xml:space="preserve">dell'intelligenza artificiale. Va letta prima e rispettata alla lettera: in</w:t>
      </w:r>
    </w:p>
    <w:p>
      <w:pPr>
        <w:spacing w:after="120" w:line="276"/>
        <w:jc w:val="both"/>
      </w:pPr>
      <w:r>
        <w:rPr>
          <w:rFonts w:ascii="Barlow Semi Condensed" w:cs="Barlow Semi Condensed" w:eastAsia="Barlow Semi Condensed" w:hAnsi="Barlow Semi Condensed"/>
          <w:sz w:val="24"/>
          <w:szCs w:val="24"/>
        </w:rPr>
        <w:t xml:space="preserve">genere l'uso è ammesso se dichiarato, mentre l'omissione è motivo di ritiro.</w:t>
      </w:r>
    </w:p>
    <w:p>
      <w:pPr>
        <w:spacing w:after="120" w:line="276"/>
        <w:jc w:val="both"/>
      </w:pPr>
      <w:r>
        <w:rPr>
          <w:rFonts w:ascii="Barlow Semi Condensed" w:cs="Barlow Semi Condensed" w:eastAsia="Barlow Semi Condensed" w:hAnsi="Barlow Semi Condensed"/>
          <w:sz w:val="24"/>
          <w:szCs w:val="24"/>
        </w:rPr>
        <w:t xml:space="preserve">Nel caso specifico la dichiarazione non indebolisce la nota, perché</w:t>
      </w:r>
    </w:p>
    <w:p>
      <w:pPr>
        <w:spacing w:after="120" w:line="276"/>
        <w:jc w:val="both"/>
      </w:pPr>
      <w:r>
        <w:rPr>
          <w:rFonts w:ascii="Barlow Semi Condensed" w:cs="Barlow Semi Condensed" w:eastAsia="Barlow Semi Condensed" w:hAnsi="Barlow Semi Condensed"/>
          <w:b/>
          <w:bCs/>
          <w:sz w:val="24"/>
          <w:szCs w:val="24"/>
        </w:rPr>
        <w:t xml:space="preserve">l'accertamento è verificabile da chiunque in mezz'ora</w:t>
      </w:r>
      <w:r>
        <w:rPr>
          <w:rFonts w:ascii="Barlow Semi Condensed" w:cs="Barlow Semi Condensed" w:eastAsia="Barlow Semi Condensed" w:hAnsi="Barlow Semi Condensed"/>
          <w:sz w:val="24"/>
          <w:szCs w:val="24"/>
        </w:rPr>
        <w:t xml:space="preserve">: si apre il documento</w:t>
      </w:r>
    </w:p>
    <w:p>
      <w:pPr>
        <w:spacing w:after="120" w:line="276"/>
        <w:jc w:val="both"/>
      </w:pPr>
      <w:r>
        <w:rPr>
          <w:rFonts w:ascii="Barlow Semi Condensed" w:cs="Barlow Semi Condensed" w:eastAsia="Barlow Semi Condensed" w:hAnsi="Barlow Semi Condensed"/>
          <w:sz w:val="24"/>
          <w:szCs w:val="24"/>
        </w:rPr>
        <w:t xml:space="preserve">350 e si legge se la frase c'è.</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secondo oggetto — il saggio</w:t>
      </w:r>
    </w:p>
    <w:p>
      <w:pPr>
        <w:spacing w:after="120" w:line="276"/>
        <w:jc w:val="both"/>
      </w:pPr>
      <w:r>
        <w:rPr>
          <w:rFonts w:ascii="Barlow Semi Condensed" w:cs="Barlow Semi Condensed" w:eastAsia="Barlow Semi Condensed" w:hAnsi="Barlow Semi Condensed"/>
          <w:sz w:val="24"/>
          <w:szCs w:val="24"/>
        </w:rPr>
        <w:t xml:space="preserve">In ordine di affinità reale, non di prestigio.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Codice Edizioni</w:t>
      </w:r>
      <w:r>
        <w:rPr>
          <w:rFonts w:ascii="Barlow Semi Condensed" w:cs="Barlow Semi Condensed" w:eastAsia="Barlow Semi Condensed" w:hAnsi="Barlow Semi Condensed"/>
          <w:sz w:val="24"/>
          <w:szCs w:val="24"/>
        </w:rPr>
        <w:t xml:space="preserve"> (Torino). Catalogo costruito su scienza, tecnologia e</w:t>
      </w:r>
    </w:p>
    <w:p>
      <w:pPr>
        <w:spacing w:after="120" w:line="276"/>
        <w:jc w:val="both"/>
      </w:pPr>
      <w:r>
        <w:rPr>
          <w:rFonts w:ascii="Barlow Semi Condensed" w:cs="Barlow Semi Condensed" w:eastAsia="Barlow Semi Condensed" w:hAnsi="Barlow Semi Condensed"/>
          <w:sz w:val="24"/>
          <w:szCs w:val="24"/>
        </w:rPr>
        <w:t xml:space="preserve">  cultura digitale. È l'editore il cui lettore tipo compra esattamente questo</w:t>
      </w:r>
    </w:p>
    <w:p>
      <w:pPr>
        <w:spacing w:after="120" w:line="276"/>
        <w:jc w:val="both"/>
      </w:pPr>
      <w:r>
        <w:rPr>
          <w:rFonts w:ascii="Barlow Semi Condensed" w:cs="Barlow Semi Condensed" w:eastAsia="Barlow Semi Condensed" w:hAnsi="Barlow Semi Condensed"/>
          <w:sz w:val="24"/>
          <w:szCs w:val="24"/>
        </w:rPr>
        <w:t xml:space="preserve">  libro: che cosa fa una macchina quando la si mette al lavoro su qualcosa di</w:t>
      </w:r>
    </w:p>
    <w:p>
      <w:pPr>
        <w:spacing w:after="120" w:line="276"/>
        <w:jc w:val="both"/>
      </w:pPr>
      <w:r>
        <w:rPr>
          <w:rFonts w:ascii="Barlow Semi Condensed" w:cs="Barlow Semi Condensed" w:eastAsia="Barlow Semi Condensed" w:hAnsi="Barlow Semi Condensed"/>
          <w:sz w:val="24"/>
          <w:szCs w:val="24"/>
        </w:rPr>
        <w:t xml:space="preserve">  verificabile. Affinità più alta di Laterza.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Mulino</w:t>
      </w:r>
      <w:r>
        <w:rPr>
          <w:rFonts w:ascii="Barlow Semi Condensed" w:cs="Barlow Semi Condensed" w:eastAsia="Barlow Semi Condensed" w:hAnsi="Barlow Semi Condensed"/>
          <w:sz w:val="24"/>
          <w:szCs w:val="24"/>
        </w:rPr>
        <w:t xml:space="preserve">. Saggistica storica e civile, e una lunga tradizione sulla</w:t>
      </w:r>
    </w:p>
    <w:p>
      <w:pPr>
        <w:spacing w:after="120" w:line="276"/>
        <w:jc w:val="both"/>
      </w:pPr>
      <w:r>
        <w:rPr>
          <w:rFonts w:ascii="Barlow Semi Condensed" w:cs="Barlow Semi Condensed" w:eastAsia="Barlow Semi Condensed" w:hAnsi="Barlow Semi Condensed"/>
          <w:sz w:val="24"/>
          <w:szCs w:val="24"/>
        </w:rPr>
        <w:t xml:space="preserve">  storia repubblicana. Il taglio metodologico gli è congeniale.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Donzelli</w:t>
      </w:r>
      <w:r>
        <w:rPr>
          <w:rFonts w:ascii="Barlow Semi Condensed" w:cs="Barlow Semi Condensed" w:eastAsia="Barlow Semi Condensed" w:hAnsi="Barlow Semi Condensed"/>
          <w:sz w:val="24"/>
          <w:szCs w:val="24"/>
        </w:rPr>
        <w:t xml:space="preserve">. Storia contemporanea e questioni civili, collane brevi. Ha</w:t>
      </w:r>
    </w:p>
    <w:p>
      <w:pPr>
        <w:spacing w:after="120" w:line="276"/>
        <w:jc w:val="both"/>
      </w:pPr>
      <w:r>
        <w:rPr>
          <w:rFonts w:ascii="Barlow Semi Condensed" w:cs="Barlow Semi Condensed" w:eastAsia="Barlow Semi Condensed" w:hAnsi="Barlow Semi Condensed"/>
          <w:sz w:val="24"/>
          <w:szCs w:val="24"/>
        </w:rPr>
        <w:t xml:space="preserve">  pubblicato su terrorismo e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Carocci</w:t>
      </w:r>
      <w:r>
        <w:rPr>
          <w:rFonts w:ascii="Barlow Semi Condensed" w:cs="Barlow Semi Condensed" w:eastAsia="Barlow Semi Condensed" w:hAnsi="Barlow Semi Condensed"/>
          <w:sz w:val="24"/>
          <w:szCs w:val="24"/>
        </w:rPr>
        <w:t xml:space="preserve">. Più vicino al manuale e al metodo che al saggio narrativo: buona</w:t>
      </w:r>
    </w:p>
    <w:p>
      <w:pPr>
        <w:spacing w:after="120" w:line="276"/>
        <w:jc w:val="both"/>
      </w:pPr>
      <w:r>
        <w:rPr>
          <w:rFonts w:ascii="Barlow Semi Condensed" w:cs="Barlow Semi Condensed" w:eastAsia="Barlow Semi Condensed" w:hAnsi="Barlow Semi Condensed"/>
          <w:sz w:val="24"/>
          <w:szCs w:val="24"/>
        </w:rPr>
        <w:t xml:space="preserve">  sede se il libro pende verso la metodologia.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Luiss University Press</w:t>
      </w:r>
      <w:r>
        <w:rPr>
          <w:rFonts w:ascii="Barlow Semi Condensed" w:cs="Barlow Semi Condensed" w:eastAsia="Barlow Semi Condensed" w:hAnsi="Barlow Semi Condensed"/>
          <w:sz w:val="24"/>
          <w:szCs w:val="24"/>
        </w:rPr>
        <w:t xml:space="preserve">. Sempre più attivo su istituzioni, tecnologia e</w:t>
      </w:r>
    </w:p>
    <w:p>
      <w:pPr>
        <w:spacing w:after="120" w:line="276"/>
        <w:jc w:val="both"/>
      </w:pPr>
      <w:r>
        <w:rPr>
          <w:rFonts w:ascii="Barlow Semi Condensed" w:cs="Barlow Semi Condensed" w:eastAsia="Barlow Semi Condensed" w:hAnsi="Barlow Semi Condensed"/>
          <w:sz w:val="24"/>
          <w:szCs w:val="24"/>
        </w:rPr>
        <w:t xml:space="preserve">  politiche pubbliche; formato breve.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Saggiatore</w:t>
      </w:r>
      <w:r>
        <w:rPr>
          <w:rFonts w:ascii="Barlow Semi Condensed" w:cs="Barlow Semi Condensed" w:eastAsia="Barlow Semi Condensed" w:hAnsi="Barlow Semi Condensed"/>
          <w:sz w:val="24"/>
          <w:szCs w:val="24"/>
        </w:rPr>
        <w:t xml:space="preserve">. Se il libro prende una piega più speculativa.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Einaudi</w:t>
      </w:r>
      <w:r>
        <w:rPr>
          <w:rFonts w:ascii="Barlow Semi Condensed" w:cs="Barlow Semi Condensed" w:eastAsia="Barlow Semi Condensed" w:hAnsi="Barlow Semi Condensed"/>
          <w:sz w:val="24"/>
          <w:szCs w:val="24"/>
        </w:rPr>
        <w:t xml:space="preserve">, «Stile libero Extra». Ha pubblicato inchieste sul caso Moro, ma</w:t>
      </w:r>
    </w:p>
    <w:p>
      <w:pPr>
        <w:spacing w:after="120" w:line="276"/>
        <w:jc w:val="both"/>
      </w:pPr>
      <w:r>
        <w:rPr>
          <w:rFonts w:ascii="Barlow Semi Condensed" w:cs="Barlow Semi Condensed" w:eastAsia="Barlow Semi Condensed" w:hAnsi="Barlow Semi Condensed"/>
          <w:sz w:val="24"/>
          <w:szCs w:val="24"/>
        </w:rPr>
        <w:t xml:space="preserve">  vorrebbe una narrazione: significherebbe riscrivere il libro in altra forma.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primo oggetto — l'apparato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Zenodo</w:t>
      </w:r>
      <w:r>
        <w:rPr>
          <w:rFonts w:ascii="Barlow Semi Condensed" w:cs="Barlow Semi Condensed" w:eastAsia="Barlow Semi Condensed" w:hAnsi="Barlow Semi Condensed"/>
          <w:sz w:val="24"/>
          <w:szCs w:val="24"/>
        </w:rPr>
        <w:t xml:space="preserve"> (gestito dal CERN). Deposito aperto, gratuito, permanente, con</w:t>
      </w:r>
    </w:p>
    <w:p>
      <w:pPr>
        <w:spacing w:after="120" w:line="276"/>
        <w:jc w:val="both"/>
      </w:pPr>
      <w:r>
        <w:rPr>
          <w:rFonts w:ascii="Barlow Semi Condensed" w:cs="Barlow Semi Condensed" w:eastAsia="Barlow Semi Condensed" w:hAnsi="Barlow Semi Condensed"/>
          <w:sz w:val="24"/>
          <w:szCs w:val="24"/>
        </w:rPr>
        <w:t xml:space="preserve">  assegnazione di </w:t>
      </w:r>
      <w:r>
        <w:rPr>
          <w:rFonts w:ascii="Barlow Semi Condensed" w:cs="Barlow Semi Condensed" w:eastAsia="Barlow Semi Condensed" w:hAnsi="Barlow Semi Condensed"/>
          <w:b/>
          <w:bCs/>
          <w:sz w:val="24"/>
          <w:szCs w:val="24"/>
        </w:rPr>
        <w:t xml:space="preserve">DOI</w:t>
      </w:r>
      <w:r>
        <w:rPr>
          <w:rFonts w:ascii="Barlow Semi Condensed" w:cs="Barlow Semi Condensed" w:eastAsia="Barlow Semi Condensed" w:hAnsi="Barlow Semi Condensed"/>
          <w:sz w:val="24"/>
          <w:szCs w:val="24"/>
        </w:rPr>
        <w:t xml:space="preserve">. È la soluzione tecnicamente corretta: rende l'opera</w:t>
      </w:r>
    </w:p>
    <w:p>
      <w:pPr>
        <w:spacing w:after="120" w:line="276"/>
        <w:jc w:val="both"/>
      </w:pPr>
      <w:r>
        <w:rPr>
          <w:rFonts w:ascii="Barlow Semi Condensed" w:cs="Barlow Semi Condensed" w:eastAsia="Barlow Semi Condensed" w:hAnsi="Barlow Semi Condensed"/>
          <w:sz w:val="24"/>
          <w:szCs w:val="24"/>
        </w:rPr>
        <w:t xml:space="preserve">  citabile, datata e immutabile, e risolve da sola il problema della</w:t>
      </w:r>
    </w:p>
    <w:p>
      <w:pPr>
        <w:spacing w:after="120" w:line="276"/>
        <w:jc w:val="both"/>
      </w:pPr>
      <w:r>
        <w:rPr>
          <w:rFonts w:ascii="Barlow Semi Condensed" w:cs="Barlow Semi Condensed" w:eastAsia="Barlow Semi Condensed" w:hAnsi="Barlow Semi Condensed"/>
          <w:sz w:val="24"/>
          <w:szCs w:val="24"/>
        </w:rPr>
        <w:t xml:space="preserve">  reperibilità. </w:t>
      </w:r>
      <w:r>
        <w:rPr>
          <w:rFonts w:ascii="Barlow Semi Condensed" w:cs="Barlow Semi Condensed" w:eastAsia="Barlow Semi Condensed" w:hAnsi="Barlow Semi Condensed"/>
          <w:b/>
          <w:bCs/>
          <w:sz w:val="24"/>
          <w:szCs w:val="24"/>
        </w:rPr>
        <w:t xml:space="preserve">Da fare comunque, e prima di ogni invio</w:t>
      </w:r>
      <w:r>
        <w:rPr>
          <w:rFonts w:ascii="Barlow Semi Condensed" w:cs="Barlow Semi Condensed" w:eastAsia="Barlow Semi Condensed" w:hAnsi="Barlow Semi Condensed"/>
          <w:sz w:val="24"/>
          <w:szCs w:val="24"/>
        </w:rPr>
        <w:t xml:space="preserve">: avere un DOI</w:t>
      </w:r>
    </w:p>
    <w:p>
      <w:pPr>
        <w:spacing w:after="120" w:line="276"/>
        <w:jc w:val="both"/>
      </w:pPr>
      <w:r>
        <w:rPr>
          <w:rFonts w:ascii="Barlow Semi Condensed" w:cs="Barlow Semi Condensed" w:eastAsia="Barlow Semi Condensed" w:hAnsi="Barlow Semi Condensed"/>
          <w:sz w:val="24"/>
          <w:szCs w:val="24"/>
        </w:rPr>
        <w:t xml:space="preserve">  cambia il modo in cui ogni altro destinatario legge la proposta.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Centro documentazione Archivio «Flamigni»</w:t>
      </w:r>
      <w:r>
        <w:rPr>
          <w:rFonts w:ascii="Barlow Semi Condensed" w:cs="Barlow Semi Condensed" w:eastAsia="Barlow Semi Condensed" w:hAnsi="Barlow Semi Condensed"/>
          <w:sz w:val="24"/>
          <w:szCs w:val="24"/>
        </w:rPr>
        <w:t xml:space="preserve"> — già preparata la bozza.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Istituto nazionale Ferruccio Parri</w:t>
      </w:r>
      <w:r>
        <w:rPr>
          <w:rFonts w:ascii="Barlow Semi Condensed" w:cs="Barlow Semi Condensed" w:eastAsia="Barlow Semi Condensed" w:hAnsi="Barlow Semi Condensed"/>
          <w:sz w:val="24"/>
          <w:szCs w:val="24"/>
        </w:rPr>
        <w:t xml:space="preserve"> e la rete degli istituti storici della</w:t>
      </w:r>
    </w:p>
    <w:p>
      <w:pPr>
        <w:spacing w:after="120" w:line="276"/>
        <w:jc w:val="both"/>
      </w:pPr>
      <w:r>
        <w:rPr>
          <w:rFonts w:ascii="Barlow Semi Condensed" w:cs="Barlow Semi Condensed" w:eastAsia="Barlow Semi Condensed" w:hAnsi="Barlow Semi Condensed"/>
          <w:sz w:val="24"/>
          <w:szCs w:val="24"/>
        </w:rPr>
        <w:t xml:space="preserve">  Resistenza. Nell'aprile 2026 hanno messo in linea </w:t>
      </w:r>
      <w:r>
        <w:rPr>
          <w:rFonts w:ascii="Barlow Semi Condensed" w:cs="Barlow Semi Condensed" w:eastAsia="Barlow Semi Condensed" w:hAnsi="Barlow Semi Condensed"/>
          <w:b/>
          <w:bCs/>
          <w:sz w:val="24"/>
          <w:szCs w:val="24"/>
        </w:rPr>
        <w:t xml:space="preserve">OpenParri</w:t>
      </w:r>
      <w:r>
        <w:rPr>
          <w:rFonts w:ascii="Barlow Semi Condensed" w:cs="Barlow Semi Condensed" w:eastAsia="Barlow Semi Condensed" w:hAnsi="Barlow Semi Condensed"/>
          <w:sz w:val="24"/>
          <w:szCs w:val="24"/>
        </w:rPr>
        <w:t xml:space="preserve">, archivio</w:t>
      </w:r>
    </w:p>
    <w:p>
      <w:pPr>
        <w:spacing w:after="120" w:line="276"/>
        <w:jc w:val="both"/>
      </w:pPr>
      <w:r>
        <w:rPr>
          <w:rFonts w:ascii="Barlow Semi Condensed" w:cs="Barlow Semi Condensed" w:eastAsia="Barlow Semi Condensed" w:hAnsi="Barlow Semi Condensed"/>
          <w:sz w:val="24"/>
          <w:szCs w:val="24"/>
        </w:rPr>
        <w:t xml:space="preserve">  digitale con oltre 130 fondi: un'infrastruttura che sa che cosa farsene di</w:t>
      </w:r>
    </w:p>
    <w:p>
      <w:pPr>
        <w:spacing w:after="120" w:line="276"/>
        <w:jc w:val="both"/>
      </w:pPr>
      <w:r>
        <w:rPr>
          <w:rFonts w:ascii="Barlow Semi Condensed" w:cs="Barlow Semi Condensed" w:eastAsia="Barlow Semi Condensed" w:hAnsi="Barlow Semi Condensed"/>
          <w:sz w:val="24"/>
          <w:szCs w:val="24"/>
        </w:rPr>
        <w:t xml:space="preserve">  materiale di consultazione.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Fondazione Gramsci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Fondazione Lelio e Lisli Basso</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storico del Senato</w:t>
      </w:r>
      <w:r>
        <w:rPr>
          <w:rFonts w:ascii="Barlow Semi Condensed" w:cs="Barlow Semi Condensed" w:eastAsia="Barlow Semi Condensed" w:hAnsi="Barlow Semi Condensed"/>
          <w:sz w:val="24"/>
          <w:szCs w:val="24"/>
        </w:rPr>
        <w:t xml:space="preserve">, che conserva il Fondo Moro (IT-AFS-048) — il</w:t>
      </w:r>
    </w:p>
    <w:p>
      <w:pPr>
        <w:spacing w:after="120" w:line="276"/>
        <w:jc w:val="both"/>
      </w:pPr>
      <w:r>
        <w:rPr>
          <w:rFonts w:ascii="Barlow Semi Condensed" w:cs="Barlow Semi Condensed" w:eastAsia="Barlow Semi Condensed" w:hAnsi="Barlow Semi Condensed"/>
          <w:sz w:val="24"/>
          <w:szCs w:val="24"/>
        </w:rPr>
        <w:t xml:space="preserve">  quarto deposito che l'opera stessa segnala come ignorato dai programmi di</w:t>
      </w:r>
    </w:p>
    <w:p>
      <w:pPr>
        <w:spacing w:after="120" w:line="276"/>
        <w:jc w:val="both"/>
      </w:pPr>
      <w:r>
        <w:rPr>
          <w:rFonts w:ascii="Barlow Semi Condensed" w:cs="Barlow Semi Condensed" w:eastAsia="Barlow Semi Condensed" w:hAnsi="Barlow Semi Condensed"/>
          <w:sz w:val="24"/>
          <w:szCs w:val="24"/>
        </w:rPr>
        <w:t xml:space="preserve">  ricerca correnti.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Edizione nazionale digitale delle opere di Aldo Moro</w:t>
      </w:r>
      <w:r>
        <w:rPr>
          <w:rFonts w:ascii="Barlow Semi Condensed" w:cs="Barlow Semi Condensed" w:eastAsia="Barlow Semi Condensed" w:hAnsi="Barlow Semi Condensed"/>
          <w:sz w:val="24"/>
          <w:szCs w:val="24"/>
        </w:rPr>
        <w:t xml:space="preserve">, Università di</w:t>
      </w:r>
    </w:p>
    <w:p>
      <w:pPr>
        <w:spacing w:after="120" w:line="276"/>
        <w:jc w:val="both"/>
      </w:pPr>
      <w:r>
        <w:rPr>
          <w:rFonts w:ascii="Barlow Semi Condensed" w:cs="Barlow Semi Condensed" w:eastAsia="Barlow Semi Condensed" w:hAnsi="Barlow Semi Condensed"/>
          <w:sz w:val="24"/>
          <w:szCs w:val="24"/>
        </w:rPr>
        <w:t xml:space="preserve">  Bologna (aldomorodigitale.unibo.it). L'opera la cita: è un interlocutore</w:t>
      </w:r>
    </w:p>
    <w:p>
      <w:pPr>
        <w:spacing w:after="120" w:line="276"/>
        <w:jc w:val="both"/>
      </w:pPr>
      <w:r>
        <w:rPr>
          <w:rFonts w:ascii="Barlow Semi Condensed" w:cs="Barlow Semi Condensed" w:eastAsia="Barlow Semi Condensed" w:hAnsi="Barlow Semi Condensed"/>
          <w:sz w:val="24"/>
          <w:szCs w:val="24"/>
        </w:rPr>
        <w:t xml:space="preserve">  naturale per un apparato di quesiti.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memoria.cultura.gov.it</w:t>
      </w:r>
      <w:r>
        <w:rPr>
          <w:rFonts w:ascii="Barlow Semi Condensed" w:cs="Barlow Semi Condensed" w:eastAsia="Barlow Semi Condensed" w:hAnsi="Barlow Semi Condensed"/>
          <w:sz w:val="24"/>
          <w:szCs w:val="24"/>
        </w:rPr>
        <w:t xml:space="preserve">, il portale statale sui documenti del periodo.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porte da non bussare</w:t>
      </w:r>
    </w:p>
    <w:p>
      <w:pPr>
        <w:spacing w:after="120" w:line="276"/>
        <w:jc w:val="both"/>
      </w:pPr>
      <w:r>
        <w:rPr>
          <w:rFonts w:ascii="Barlow Semi Condensed" w:cs="Barlow Semi Condensed" w:eastAsia="Barlow Semi Condensed" w:hAnsi="Barlow Semi Condensed"/>
          <w:b/>
          <w:bCs/>
          <w:sz w:val="24"/>
          <w:szCs w:val="24"/>
        </w:rPr>
        <w:t xml:space="preserve">Gli editori di denuncia.</w:t>
      </w:r>
      <w:r>
        <w:rPr>
          <w:rFonts w:ascii="Barlow Semi Condensed" w:cs="Barlow Semi Condensed" w:eastAsia="Barlow Semi Condensed" w:hAnsi="Barlow Semi Condensed"/>
          <w:sz w:val="24"/>
          <w:szCs w:val="24"/>
        </w:rPr>
        <w:t xml:space="preserve"> Il taglio investigativo-militante è l'opposto</w:t>
      </w:r>
    </w:p>
    <w:p>
      <w:pPr>
        <w:spacing w:after="120" w:line="276"/>
        <w:jc w:val="both"/>
      </w:pPr>
      <w:r>
        <w:rPr>
          <w:rFonts w:ascii="Barlow Semi Condensed" w:cs="Barlow Semi Condensed" w:eastAsia="Barlow Semi Condensed" w:hAnsi="Barlow Semi Condensed"/>
          <w:sz w:val="24"/>
          <w:szCs w:val="24"/>
        </w:rPr>
        <w:t xml:space="preserve">esatto di quest'opera: quelle case cercano una tesi e un colpevole, e il lavoro</w:t>
      </w:r>
    </w:p>
    <w:p>
      <w:pPr>
        <w:spacing w:after="120" w:line="276"/>
        <w:jc w:val="both"/>
      </w:pPr>
      <w:r>
        <w:rPr>
          <w:rFonts w:ascii="Barlow Semi Condensed" w:cs="Barlow Semi Condensed" w:eastAsia="Barlow Semi Condensed" w:hAnsi="Barlow Semi Condensed"/>
          <w:sz w:val="24"/>
          <w:szCs w:val="24"/>
        </w:rPr>
        <w:t xml:space="preserve">non ne offre nessuno dei due nella forma che cercano. Va detto per esteso,</w:t>
      </w:r>
    </w:p>
    <w:p>
      <w:pPr>
        <w:spacing w:after="120" w:line="276"/>
        <w:jc w:val="both"/>
      </w:pPr>
      <w:r>
        <w:rPr>
          <w:rFonts w:ascii="Barlow Semi Condensed" w:cs="Barlow Semi Condensed" w:eastAsia="Barlow Semi Condensed" w:hAnsi="Barlow Semi Condensed"/>
          <w:sz w:val="24"/>
          <w:szCs w:val="24"/>
        </w:rPr>
        <w:t xml:space="preserve">perché la formula secca direbbe oggi meno del vero: un Libro dei quattordici</w:t>
      </w:r>
    </w:p>
    <w:p>
      <w:pPr>
        <w:spacing w:after="120" w:line="276"/>
        <w:jc w:val="both"/>
      </w:pPr>
      <w:r>
        <w:rPr>
          <w:rFonts w:ascii="Barlow Semi Condensed" w:cs="Barlow Semi Condensed" w:eastAsia="Barlow Semi Condensed" w:hAnsi="Barlow Semi Condensed"/>
          <w:sz w:val="24"/>
          <w:szCs w:val="24"/>
        </w:rPr>
        <w:t xml:space="preserve">ordina per plausibilità del coinvolgimento, ma per categorie di soggetti e non</w:t>
      </w:r>
    </w:p>
    <w:p>
      <w:pPr>
        <w:spacing w:after="120" w:line="276"/>
        <w:jc w:val="both"/>
      </w:pPr>
      <w:r>
        <w:rPr>
          <w:rFonts w:ascii="Barlow Semi Condensed" w:cs="Barlow Semi Condensed" w:eastAsia="Barlow Semi Condensed" w:hAnsi="Barlow Semi Condensed"/>
          <w:sz w:val="24"/>
          <w:szCs w:val="24"/>
        </w:rPr>
        <w:t xml:space="preserve">per nomi, muovendo dai condannati in via definitiva e rifiutando di nominare un</w:t>
      </w:r>
    </w:p>
    <w:p>
      <w:pPr>
        <w:spacing w:after="120" w:line="276"/>
        <w:jc w:val="both"/>
      </w:pPr>
      <w:r>
        <w:rPr>
          <w:rFonts w:ascii="Barlow Semi Condensed" w:cs="Barlow Semi Condensed" w:eastAsia="Barlow Semi Condensed" w:hAnsi="Barlow Semi Condensed"/>
          <w:sz w:val="24"/>
          <w:szCs w:val="24"/>
        </w:rPr>
        <w:t xml:space="preserve">mandante esterno — cioè fa l'esatto contrario di quel che una casa di denuncia</w:t>
      </w:r>
    </w:p>
    <w:p>
      <w:pPr>
        <w:spacing w:after="120" w:line="276"/>
        <w:jc w:val="both"/>
      </w:pPr>
      <w:r>
        <w:rPr>
          <w:rFonts w:ascii="Barlow Semi Condensed" w:cs="Barlow Semi Condensed" w:eastAsia="Barlow Semi Condensed" w:hAnsi="Barlow Semi Condensed"/>
          <w:sz w:val="24"/>
          <w:szCs w:val="24"/>
        </w:rPr>
        <w:t xml:space="preserve">vorrebbe titolare. Una pubblicazione lì trasformerebbe un apparato di cautele</w:t>
      </w:r>
    </w:p>
    <w:p>
      <w:pPr>
        <w:spacing w:after="120" w:line="276"/>
        <w:jc w:val="both"/>
      </w:pPr>
      <w:r>
        <w:rPr>
          <w:rFonts w:ascii="Barlow Semi Condensed" w:cs="Barlow Semi Condensed" w:eastAsia="Barlow Semi Condensed" w:hAnsi="Barlow Semi Condensed"/>
          <w:sz w:val="24"/>
          <w:szCs w:val="24"/>
        </w:rPr>
        <w:t xml:space="preserve">nel suo contrario, e la prima recensione lo direbbe.</w:t>
      </w:r>
    </w:p>
    <w:p>
      <w:pPr>
        <w:spacing w:after="120" w:line="276"/>
        <w:jc w:val="both"/>
      </w:pPr>
      <w:r>
        <w:rPr>
          <w:rFonts w:ascii="Barlow Semi Condensed" w:cs="Barlow Semi Condensed" w:eastAsia="Barlow Semi Condensed" w:hAnsi="Barlow Semi Condensed"/>
          <w:b/>
          <w:bCs/>
          <w:sz w:val="24"/>
          <w:szCs w:val="24"/>
        </w:rPr>
        <w:t xml:space="preserve">Chiunque chieda un contributo economico.</w:t>
      </w:r>
      <w:r>
        <w:rPr>
          <w:rFonts w:ascii="Barlow Semi Condensed" w:cs="Barlow Semi Condensed" w:eastAsia="Barlow Semi Condensed" w:hAnsi="Barlow Semi Condensed"/>
          <w:sz w:val="24"/>
          <w:szCs w:val="24"/>
        </w:rPr>
        <w:t xml:space="preserve"> L'editoria a pagamento non pubblica:</w:t>
      </w:r>
    </w:p>
    <w:p>
      <w:pPr>
        <w:spacing w:after="120" w:line="276"/>
        <w:jc w:val="both"/>
      </w:pPr>
      <w:r>
        <w:rPr>
          <w:rFonts w:ascii="Barlow Semi Condensed" w:cs="Barlow Semi Condensed" w:eastAsia="Barlow Semi Condensed" w:hAnsi="Barlow Semi Condensed"/>
          <w:sz w:val="24"/>
          <w:szCs w:val="24"/>
        </w:rPr>
        <w:t xml:space="preserve">stampa. Per un'opera che deve essere citabile e credibile è peggio di non</w:t>
      </w:r>
    </w:p>
    <w:p>
      <w:pPr>
        <w:spacing w:after="120" w:line="276"/>
        <w:jc w:val="both"/>
      </w:pPr>
      <w:r>
        <w:rPr>
          <w:rFonts w:ascii="Barlow Semi Condensed" w:cs="Barlow Semi Condensed" w:eastAsia="Barlow Semi Condensed" w:hAnsi="Barlow Semi Condensed"/>
          <w:sz w:val="24"/>
          <w:szCs w:val="24"/>
        </w:rPr>
        <w:t xml:space="preserve">pubblicare affatto.</w:t>
      </w:r>
    </w:p>
    <w:p>
      <w:pPr>
        <w:spacing w:after="120" w:line="276"/>
        <w:jc w:val="both"/>
      </w:pPr>
      <w:r>
        <w:rPr>
          <w:rFonts w:ascii="Barlow Semi Condensed" w:cs="Barlow Semi Condensed" w:eastAsia="Barlow Semi Condensed" w:hAnsi="Barlow Semi Condensed"/>
          <w:b/>
          <w:bCs/>
          <w:sz w:val="24"/>
          <w:szCs w:val="24"/>
        </w:rPr>
        <w:t xml:space="preserve">I canali che chiedono di non dichiarare l'uso dell'intelligenza artificiale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o che suggeriscono di attenuarlo. La dichiarazione è la condizione di serietà</w:t>
      </w:r>
    </w:p>
    <w:p>
      <w:pPr>
        <w:spacing w:after="120" w:line="276"/>
        <w:jc w:val="both"/>
      </w:pPr>
      <w:r>
        <w:rPr>
          <w:rFonts w:ascii="Barlow Semi Condensed" w:cs="Barlow Semi Condensed" w:eastAsia="Barlow Semi Condensed" w:hAnsi="Barlow Semi Condensed"/>
          <w:sz w:val="24"/>
          <w:szCs w:val="24"/>
        </w:rPr>
        <w:t xml:space="preserve">dell'intero lavoro; toglierla lo rende un altro oggetto, e un oggetto peggiore.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L'ordine consigliato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Zenodo</w:t>
      </w:r>
      <w:r>
        <w:rPr>
          <w:rFonts w:ascii="Barlow Semi Condensed" w:cs="Barlow Semi Condensed" w:eastAsia="Barlow Semi Condensed" w:hAnsi="Barlow Semi Condensed"/>
          <w:sz w:val="24"/>
          <w:szCs w:val="24"/>
        </w:rPr>
        <w:t xml:space="preserve">, subito: deposito e DOI. Costa un pomeriggio e cambia tutto il resto.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nota a «Italia contemporanea»</w:t>
      </w:r>
      <w:r>
        <w:rPr>
          <w:rFonts w:ascii="Barlow Semi Condensed" w:cs="Barlow Semi Condensed" w:eastAsia="Barlow Semi Condensed" w:hAnsi="Barlow Semi Condensed"/>
          <w:sz w:val="24"/>
          <w:szCs w:val="24"/>
        </w:rPr>
        <w:t xml:space="preserve">, quattro pagine sui due accertamenti.</w:t>
      </w:r>
    </w:p>
    <w:p>
      <w:pPr>
        <w:spacing w:after="120" w:line="276"/>
        <w:jc w:val="both"/>
      </w:pPr>
      <w:r>
        <w:rPr>
          <w:rFonts w:ascii="Barlow Semi Condensed" w:cs="Barlow Semi Condensed" w:eastAsia="Barlow Semi Condensed" w:hAnsi="Barlow Semi Condensed"/>
          <w:sz w:val="24"/>
          <w:szCs w:val="24"/>
        </w:rPr>
        <w:t xml:space="preserve">   È il passo con la probabilità più alta e il costo più basso.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Archivio Flamigni</w:t>
      </w:r>
      <w:r>
        <w:rPr>
          <w:rFonts w:ascii="Barlow Semi Condensed" w:cs="Barlow Semi Condensed" w:eastAsia="Barlow Semi Condensed" w:hAnsi="Barlow Semi Condensed"/>
          <w:sz w:val="24"/>
          <w:szCs w:val="24"/>
        </w:rPr>
        <w:t xml:space="preserve">, con la bozza già pronta.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capitolo campione del saggio</w:t>
      </w:r>
      <w:r>
        <w:rPr>
          <w:rFonts w:ascii="Barlow Semi Condensed" w:cs="Barlow Semi Condensed" w:eastAsia="Barlow Semi Condensed" w:hAnsi="Barlow Semi Condensed"/>
          <w:sz w:val="24"/>
          <w:szCs w:val="24"/>
        </w:rPr>
        <w:t xml:space="preserve">, e solo dopo le proposte agli editori —</w:t>
      </w:r>
    </w:p>
    <w:p>
      <w:pPr>
        <w:spacing w:after="120" w:line="276"/>
        <w:jc w:val="both"/>
      </w:pPr>
      <w:r>
        <w:rPr>
          <w:rFonts w:ascii="Barlow Semi Condensed" w:cs="Barlow Semi Condensed" w:eastAsia="Barlow Semi Condensed" w:hAnsi="Barlow Semi Condensed"/>
          <w:sz w:val="24"/>
          <w:szCs w:val="24"/>
        </w:rPr>
        <w:t xml:space="preserve">   a Codice e al Mulino prima che a Laterza, per affinità di catalogo.</w:t>
      </w:r>
    </w:p>
    <w:p>
      <w:pPr>
        <w:spacing w:after="120" w:line="276"/>
        <w:jc w:val="both"/>
      </w:pPr>
      <w:r>
        <w:rPr>
          <w:rFonts w:ascii="Barlow Semi Condensed" w:cs="Barlow Semi Condensed" w:eastAsia="Barlow Semi Condensed" w:hAnsi="Barlow Semi Condensed"/>
          <w:sz w:val="24"/>
          <w:szCs w:val="24"/>
        </w:rPr>
        <w:t xml:space="preserve">Il motivo dell'ordine è uno solo: </w:t>
      </w:r>
      <w:r>
        <w:rPr>
          <w:rFonts w:ascii="Barlow Semi Condensed" w:cs="Barlow Semi Condensed" w:eastAsia="Barlow Semi Condensed" w:hAnsi="Barlow Semi Condensed"/>
          <w:b/>
          <w:bCs/>
          <w:sz w:val="24"/>
          <w:szCs w:val="24"/>
        </w:rPr>
        <w:t xml:space="preserve">ogni passo rende più facile il successivo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DOI rende la nota citabile; una nota pubblicata rende la proposta editoriale</w:t>
      </w:r>
    </w:p>
    <w:p>
      <w:pPr>
        <w:spacing w:after="120" w:line="276"/>
        <w:jc w:val="both"/>
      </w:pPr>
      <w:r>
        <w:rPr>
          <w:rFonts w:ascii="Barlow Semi Condensed" w:cs="Barlow Semi Condensed" w:eastAsia="Barlow Semi Condensed" w:hAnsi="Barlow Semi Condensed"/>
          <w:sz w:val="24"/>
          <w:szCs w:val="24"/>
        </w:rPr>
        <w:t xml:space="preserve">qualcosa di più di un'idea; un editore interessato rende l'apparato un</w:t>
      </w:r>
    </w:p>
    <w:p>
      <w:pPr>
        <w:spacing w:after="120" w:line="276"/>
        <w:jc w:val="both"/>
      </w:pPr>
      <w:r>
        <w:rPr>
          <w:rFonts w:ascii="Barlow Semi Condensed" w:cs="Barlow Semi Condensed" w:eastAsia="Barlow Semi Condensed" w:hAnsi="Barlow Semi Condensed"/>
          <w:sz w:val="24"/>
          <w:szCs w:val="24"/>
        </w:rPr>
        <w:t xml:space="preserve">patrimonio invece che un file.</w:t>
      </w:r>
    </w:p>
    <w:p>
      <w:pPr>
        <w:pStyle w:val="Heading3"/>
        <w:spacing w:after="80" w:before="240"/>
      </w:pPr>
      <w:r>
        <w:rPr>
          <w:rFonts w:ascii="Barlow Semi Condensed" w:cs="Barlow Semi Condensed" w:eastAsia="Barlow Semi Condensed" w:hAnsi="Barlow Semi Condensed"/>
          <w:sz w:val="24"/>
          <w:szCs w:val="24"/>
        </w:rPr>
        <w:t xml:space="preserve">Apparato grafico — Appendici · vi. La mappa dei destinatari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 994 parole in 6 sezioni; la più ampia è §2 Per il terzo oggetto — la nota scientifica, con 200.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 20 paragrafi in 6 sezioni, 3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vii. Il registro dei canali PEC</w:t>
      </w:r>
    </w:p>
    <w:p>
      <w:pPr>
        <w:pStyle w:val="Heading1"/>
        <w:spacing w:after="120" w:before="240"/>
      </w:pPr>
      <w:r>
        <w:rPr>
          <w:rFonts w:ascii="Barlow Semi Condensed" w:cs="Barlow Semi Condensed" w:eastAsia="Barlow Semi Condensed" w:hAnsi="Barlow Semi Condensed"/>
          <w:sz w:val="24"/>
          <w:szCs w:val="24"/>
        </w:rPr>
        <w:t xml:space="preserve">Registro PEC e canali di contatto — agosto 2026</w:t>
      </w:r>
    </w:p>
    <w:p>
      <w:pPr>
        <w:spacing w:after="120" w:line="276"/>
        <w:jc w:val="both"/>
      </w:pPr>
      <w:r>
        <w:rPr>
          <w:rFonts w:ascii="Barlow Semi Condensed" w:cs="Barlow Semi Condensed" w:eastAsia="Barlow Semi Condensed" w:hAnsi="Barlow Semi Condensed"/>
          <w:sz w:val="24"/>
          <w:szCs w:val="24"/>
        </w:rPr>
        <w:t xml:space="preserve">**Tutti i destinatari del dossier di diffusione, con tipo di canale, recapito</w:t>
      </w:r>
    </w:p>
    <w:p>
      <w:pPr>
        <w:spacing w:after="120" w:line="276"/>
        <w:jc w:val="both"/>
      </w:pPr>
      <w:r>
        <w:rPr>
          <w:rFonts w:ascii="Barlow Semi Condensed" w:cs="Barlow Semi Condensed" w:eastAsia="Barlow Semi Condensed" w:hAnsi="Barlow Semi Condensed"/>
          <w:sz w:val="24"/>
          <w:szCs w:val="24"/>
        </w:rPr>
        <w:t xml:space="preserve">verificato, e grado della verifica dichiarato.**</w:t>
      </w:r>
    </w:p>
    <w:p>
      <w:pPr>
        <w:spacing w:after="120" w:line="276"/>
        <w:jc w:val="both"/>
      </w:pPr>
      <w:r>
        <w:rPr>
          <w:rFonts w:ascii="Barlow Semi Condensed" w:cs="Barlow Semi Condensed" w:eastAsia="Barlow Semi Condensed" w:hAnsi="Barlow Semi Condensed"/>
          <w:sz w:val="24"/>
          <w:szCs w:val="24"/>
        </w:rPr>
        <w:t xml:space="preserve">Compilato il 26 agosto 2026 alle 12:45 CET. Base informativa: checklist di</w:t>
      </w:r>
    </w:p>
    <w:p>
      <w:pPr>
        <w:spacing w:after="120" w:line="276"/>
        <w:jc w:val="both"/>
      </w:pPr>
      <w:r>
        <w:rPr>
          <w:rFonts w:ascii="Barlow Semi Condensed" w:cs="Barlow Semi Condensed" w:eastAsia="Barlow Semi Condensed" w:hAnsi="Barlow Semi Condensed"/>
          <w:sz w:val="24"/>
          <w:szCs w:val="24"/>
        </w:rPr>
        <w:t xml:space="preserve">invio, file delle proposte, ricerca web su siti ufficiali degli editori.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0 — invii immediati (non in concorrenza)</w:t>
      </w:r>
    </w:p>
    <w:p>
      <w:pPr>
        <w:pStyle w:val="Heading3"/>
        <w:spacing w:after="80" w:before="160"/>
      </w:pPr>
      <w:r>
        <w:rPr>
          <w:rFonts w:ascii="Barlow Semi Condensed" w:cs="Barlow Semi Condensed" w:eastAsia="Barlow Semi Condensed" w:hAnsi="Barlow Semi Condensed"/>
          <w:sz w:val="24"/>
          <w:szCs w:val="24"/>
        </w:rPr>
        <w:t xml:space="preserve">0 · Centro documentazione Archivio «Flamigni» 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elettronica certificata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PEC</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ricercare</w:t>
            </w:r>
            <w:r>
              <w:rPr>
                <w:rFonts w:ascii="Barlow Semi Condensed" w:cs="Barlow Semi Condensed" w:eastAsia="Barlow Semi Condensed" w:hAnsi="Barlow Semi Condensed"/>
                <w:sz w:val="20"/>
                <w:szCs w:val="20"/>
              </w:rPr>
              <w:t xml:space="preserve"> — non ancora accertato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Metodi di ricerca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RUNTS (Registro Unico Nazionale del Terzo Settore); INI-PEC; sito archivioflamigni.org</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cartaceo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Piazza Bartolomeo Romano 6, 00154 Roma (Garbatella)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Accertato che non è stato accertato.</w:t>
            </w:r>
            <w:r>
              <w:rPr>
                <w:rFonts w:ascii="Barlow Semi Condensed" w:cs="Barlow Semi Condensed" w:eastAsia="Barlow Semi Condensed" w:hAnsi="Barlow Semi Condensed"/>
                <w:sz w:val="20"/>
                <w:szCs w:val="20"/>
              </w:rPr>
              <w:t xml:space="preserve"> La bozza della comunicazione contiene esplicitamente l'istruzione di ricercare il PEC prima dell'invio. Canale e sua apertura verificati; indirizzo specifico non ancora reperibile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a contatti generici della fondazione fino a reperimento del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PEC non essenziale per efficacia comunicativa, ma certificato data/ora dell'invio secondo DPR 68/2005</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0-ter · Archivio storico della Camera dei deputati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Richiesta di riproduzione — PEC o modulo istituzionale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Piazza San Macuto 57, 00186 Roma — Palazzo del Seminario, primo piano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Segreteria</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ars_segreteria@camera.it</w:t>
            </w:r>
            <w:r>
              <w:rPr>
                <w:rFonts w:ascii="Barlow Semi Condensed" w:cs="Barlow Semi Condensed" w:eastAsia="Barlow Semi Condensed" w:hAnsi="Barlow Semi Condensed"/>
                <w:sz w:val="20"/>
                <w:szCs w:val="20"/>
              </w:rPr>
              <w:t xml:space="preserve"> · tel. 06 6760 3880 · lun-ven 9.30-16.30</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alla segreteria indicando l'argomento della ricerca e i documenti da consultare; l'accesso alla sala studio si concorda di lì</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B — reperito, non letto.</w:t>
            </w:r>
            <w:r>
              <w:rPr>
                <w:rFonts w:ascii="Barlow Semi Condensed" w:cs="Barlow Semi Condensed" w:eastAsia="Barlow Semi Condensed" w:hAnsi="Barlow Semi Condensed"/>
                <w:sz w:val="20"/>
                <w:szCs w:val="20"/>
              </w:rPr>
              <w:t xml:space="preserve"> Due ricerche indipendenti convergono riferendo le pagine istituzionali della Camera; le pagine non sono state aperte, perché il proxy di questa sessione blocca l'uscita verso </w:t>
            </w:r>
            <w:r>
              <w:rPr>
                <w:rFonts w:ascii="Barlow Semi Condensed" w:cs="Barlow Semi Condensed" w:eastAsia="Barlow Semi Condensed" w:hAnsi="Barlow Semi Condensed"/>
                <w:i/>
                <w:iCs/>
                <w:sz w:val="20"/>
                <w:szCs w:val="20"/>
              </w:rPr>
              <w:t xml:space="preserve">camera.it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Da confermare sul sito prima di spedire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Prima di spedire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 volumi della Commissione P2 risultano </w:t>
            </w:r>
            <w:r>
              <w:rPr>
                <w:rFonts w:ascii="Barlow Semi Condensed" w:cs="Barlow Semi Condensed" w:eastAsia="Barlow Semi Condensed" w:hAnsi="Barlow Semi Condensed"/>
                <w:b/>
                <w:bCs/>
                <w:sz w:val="20"/>
                <w:szCs w:val="20"/>
              </w:rPr>
              <w:t xml:space="preserve">digitalizzati</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inchieste.camera.it/p2/documenti.html?leg=09</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archivioantimafia.org/p2/commissione_parlamentare/</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memoria.san.beniculturali.it</w:t>
            </w:r>
            <w:r>
              <w:rPr>
                <w:rFonts w:ascii="Barlow Semi Condensed" w:cs="Barlow Semi Condensed" w:eastAsia="Barlow Semi Condensed" w:hAnsi="Barlow Semi Condensed"/>
                <w:sz w:val="20"/>
                <w:szCs w:val="20"/>
              </w:rPr>
              <w:t xml:space="preserve">. Ciò che si apre da un browser non si chiede per posta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Che cosa si chiede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Doc. XXIII n. 2-quater/2/I, IX legislatura, Roma 1984 — riproduzione integrale degli </w:t>
            </w:r>
            <w:r>
              <w:rPr>
                <w:rFonts w:ascii="Barlow Semi Condensed" w:cs="Barlow Semi Condensed" w:eastAsia="Barlow Semi Condensed" w:hAnsi="Barlow Semi Condensed"/>
                <w:b/>
                <w:bCs/>
                <w:sz w:val="20"/>
                <w:szCs w:val="20"/>
              </w:rPr>
              <w:t xml:space="preserve">allegati 13</w:t>
            </w:r>
            <w:r>
              <w:rPr>
                <w:rFonts w:ascii="Barlow Semi Condensed" w:cs="Barlow Semi Condensed" w:eastAsia="Barlow Semi Condensed" w:hAnsi="Barlow Semi Condensed"/>
                <w:sz w:val="20"/>
                <w:szCs w:val="20"/>
              </w:rPr>
              <w:t xml:space="preserve"> (pp. I, 258-280) e </w:t>
            </w:r>
            <w:r>
              <w:rPr>
                <w:rFonts w:ascii="Barlow Semi Condensed" w:cs="Barlow Semi Condensed" w:eastAsia="Barlow Semi Condensed" w:hAnsi="Barlow Semi Condensed"/>
                <w:b/>
                <w:bCs/>
                <w:sz w:val="20"/>
                <w:szCs w:val="20"/>
              </w:rPr>
              <w:t xml:space="preserve">21</w:t>
            </w:r>
            <w:r>
              <w:rPr>
                <w:rFonts w:ascii="Barlow Semi Condensed" w:cs="Barlow Semi Condensed" w:eastAsia="Barlow Semi Condensed" w:hAnsi="Barlow Semi Condensed"/>
                <w:sz w:val="20"/>
                <w:szCs w:val="20"/>
              </w:rPr>
              <w:t xml:space="preserve"> (pp. I, 474-507), 52 pagine, con intestazioni di colonna visibili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Biblioteca della Camera; Archivio storico del Senato (che conserva il Fondo Moro, IT-AFS-048); Biblioteca del Senato «Giovanni Spadolini»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l'unica richiesta del dossier che possa spostare un grado probatorio anziché diffondere l'opera. Testo pronto in `</w:t>
            </w:r>
            <w:r>
              <w:rPr>
                <w:rFonts w:ascii="Barlow Semi Condensed" w:cs="Barlow Semi Condensed" w:eastAsia="Barlow Semi Condensed" w:hAnsi="Barlow Semi Condensed"/>
                <w:i/>
                <w:iCs/>
                <w:sz w:val="20"/>
                <w:szCs w:val="20"/>
              </w:rPr>
              <w:t xml:space="preserve">richiesta-archivio-storico-camera.md</w:t>
            </w:r>
            <w:r>
              <w:rPr>
                <w:rFonts w:ascii="Barlow Semi Condensed" w:cs="Barlow Semi Condensed" w:eastAsia="Barlow Semi Condensed" w:hAnsi="Barlow Semi Condensed"/>
                <w:sz w:val="20"/>
                <w:szCs w:val="20"/>
              </w:rPr>
              <w:t xml:space="preserve">`. Non dipende dal DOI e può partire per prima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0-bis · Fondazione Aldo Moro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elettronica ordinaria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Sede legale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dei Gracchi 29/B, 00192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Presidente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prof. Renato Moro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Segretario-tesoriere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dott. Luigi Mandolesi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email</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ricercare prima dell'invio.</w:t>
            </w:r>
            <w:r>
              <w:rPr>
                <w:rFonts w:ascii="Barlow Semi Condensed" w:cs="Barlow Semi Condensed" w:eastAsia="Barlow Semi Condensed" w:hAnsi="Barlow Semi Condensed"/>
                <w:sz w:val="20"/>
                <w:szCs w:val="20"/>
              </w:rPr>
              <w:t xml:space="preserve"> Preferibilmente contatto istituzionale della Fondazione. Fallback: indirizzo del presidente in quanto presidente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Nazionale Opere Aldo Moro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 tecnico distinto presso Università di Bologna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sede legale e nomi verificati.</w:t>
            </w:r>
            <w:r>
              <w:rPr>
                <w:rFonts w:ascii="Barlow Semi Condensed" w:cs="Barlow Semi Condensed" w:eastAsia="Barlow Semi Condensed" w:hAnsi="Barlow Semi Condensed"/>
                <w:sz w:val="20"/>
                <w:szCs w:val="20"/>
              </w:rPr>
              <w:t xml:space="preserve"> Indirizzi email specifici non accertati. Sito istituzionale della Fondazione è fonte primaria per localizzare il recapito appropriato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Ricerca del recapito via Edizione Nazionale; in ultima istanza, lettera al presidente come persona istituzionale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richiede PEC. La lettera tocca memoria di persona deceduta e famiglia vivente: occorre leggibilità e rispetto istituzionale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10 · Zenodo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Deposito digitale con HTTPS (non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https://zenodo.org</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Account personale; caricamento file PDF; scelta licenza; generazione DOI automatica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procedura conforme a documentazione ufficiale Zenodo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 minuti per caricamento + 1 ora per processamento e generazione DOI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DOI generato a deposito completato è citato in tutte le proposte editoriali successive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1 — editori generici (modulo online o email)</w:t>
      </w:r>
    </w:p>
    <w:p>
      <w:pPr>
        <w:pStyle w:val="Heading3"/>
        <w:spacing w:after="80" w:before="160"/>
      </w:pPr>
      <w:r>
        <w:rPr>
          <w:rFonts w:ascii="Barlow Semi Condensed" w:cs="Barlow Semi Condensed" w:eastAsia="Barlow Semi Condensed" w:hAnsi="Barlow Semi Condensed"/>
          <w:sz w:val="24"/>
          <w:szCs w:val="24"/>
        </w:rPr>
        <w:t xml:space="preserve">1 · Società editrice il Mulino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(registrazione richiesta)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sito editore il Mulino, sezione proposte editoriali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Registrazione account; compilazione modulo con campi predefiniti; upload PDF del capitolo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modulo presente e funzionante al 26 agosto 2026</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 email diretto. Non copiare-incollare da documento di word: compilare i campi del modulo</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 Chiarelettere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w:t>
            </w:r>
            <w:r>
              <w:rPr>
                <w:rFonts w:ascii="Barlow Semi Condensed" w:cs="Barlow Semi Condensed" w:eastAsia="Barlow Semi Condensed" w:hAnsi="Barlow Semi Condensed"/>
                <w:b/>
                <w:bCs/>
                <w:sz w:val="20"/>
                <w:szCs w:val="20"/>
              </w:rPr>
              <w:t xml:space="preserve">oppure</w:t>
            </w:r>
            <w:r>
              <w:rPr>
                <w:rFonts w:ascii="Barlow Semi Condensed" w:cs="Barlow Semi Condensed" w:eastAsia="Barlow Semi Condensed" w:hAnsi="Barlow Semi Condensed"/>
                <w:sz w:val="20"/>
                <w:szCs w:val="20"/>
              </w:rPr>
              <w:t xml:space="preserve"> modulo web</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principale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proposte.editoriali@chiarelettere.it</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Sede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corso Sempione 2, 20154 Milano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 alternativa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online sul sito editore (verificare quale sia il canale preferito al momento dell'invio)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editore e pagina contatti raggiunti il 26 agosto 2026. Indirizzo coerente con tono della casa editrice (indirizzo dedicato, non generico)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il catalogo più affine ai nove editori per questa materia. Merita cura particolare nella redazione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 Carocci editore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(nessun email diretto)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sito Carocci editore, sezione «Proposte editoriali»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Compilazione modulo online con allegati (scheda dell'opera; capitolo campione completo di esercizio)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pagina proposte editoriali presente al 26 agosto 2026</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Diverso dal modulo del Mulino: qui si carica capitolo completo, non estratto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2 — editori con tempi lunghi</w:t>
      </w:r>
    </w:p>
    <w:p>
      <w:pPr>
        <w:pStyle w:val="Heading3"/>
        <w:spacing w:after="80" w:before="160"/>
      </w:pPr>
      <w:r>
        <w:rPr>
          <w:rFonts w:ascii="Barlow Semi Condensed" w:cs="Barlow Semi Condensed" w:eastAsia="Barlow Semi Condensed" w:hAnsi="Barlow Semi Condensed"/>
          <w:sz w:val="24"/>
          <w:szCs w:val="24"/>
        </w:rPr>
        <w:t xml:space="preserve">4 · Editori Laterza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cartacea (carta stampata; nessun email diretto)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Roma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Editori Laterza, Redazione, via di Villa Sacchetti 17, 00197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Bari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Editori Laterza, Direzione editoriale, piazza Umberto I 54, 70121 Bari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Stampa proposta + indice + bio-bibliografia; fascicolazione; invio cartaceo (raccomandata consigliata)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Indirizzi ricavati dal sito ufficiale Laterza (sezione contatti / redazione). Entrambi gli indirizzi sono attuali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Nessuna risposta entro 12 mesi = rifiuto implicito. Non sollecitare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Unico invio cartaceo fra i nove editori. Va preventivato tempo per stampa e spedizione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3 — editori che valutano l'opera, non l'idea</w:t>
      </w:r>
    </w:p>
    <w:p>
      <w:pPr>
        <w:pStyle w:val="Heading3"/>
        <w:spacing w:after="80" w:before="160"/>
      </w:pPr>
      <w:r>
        <w:rPr>
          <w:rFonts w:ascii="Barlow Semi Condensed" w:cs="Barlow Semi Condensed" w:eastAsia="Barlow Semi Condensed" w:hAnsi="Barlow Semi Condensed"/>
          <w:sz w:val="24"/>
          <w:szCs w:val="24"/>
        </w:rPr>
        <w:t xml:space="preserve">5 · Bompiani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(online form)</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manoscritti.bompiani.it (gruppo Giunti)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Caricamento PDF (max 5 MB); nessun link esterno, nessun cloud; nessun accesso a testo non ancora scritto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URL raggiungibile al 26 agosto 2026. Istruzioni coerenti con informazioni ufficiali editore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 di risposta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Solo in caso di interesse. Segreteria non riceve telefonate. Testi non si restituiscono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Regola critica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Una proposta ogni dodici mesi massimo.</w:t>
            </w:r>
            <w:r>
              <w:rPr>
                <w:rFonts w:ascii="Barlow Semi Condensed" w:cs="Barlow Semi Condensed" w:eastAsia="Barlow Semi Condensed" w:hAnsi="Barlow Semi Condensed"/>
                <w:sz w:val="20"/>
                <w:szCs w:val="20"/>
              </w:rPr>
              <w:t xml:space="preserve"> Non può essere riproposta la stessa idea entro 12 mesi dallo scarto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un colpo solo per anno. Non spenderlo su testo non ancora scritto</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 Giulio Einaudi editore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(per saggistica)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einaudi@einaudi.it</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Invio email con allegati: curriculum vitae completo; testo integrale dell'opera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Requisito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Nome, indirizzo, email, telefono ripetuti </w:t>
            </w:r>
            <w:r>
              <w:rPr>
                <w:rFonts w:ascii="Barlow Semi Condensed" w:cs="Barlow Semi Condensed" w:eastAsia="Barlow Semi Condensed" w:hAnsi="Barlow Semi Condensed"/>
                <w:b/>
                <w:bCs/>
                <w:sz w:val="20"/>
                <w:szCs w:val="20"/>
              </w:rPr>
              <w:t xml:space="preserve">anche in testa al documento allegato</w:t>
            </w:r>
            <w:r>
              <w:rPr>
                <w:rFonts w:ascii="Barlow Semi Condensed" w:cs="Barlow Semi Condensed" w:eastAsia="Barlow Semi Condensed" w:hAnsi="Barlow Semi Condensed"/>
                <w:sz w:val="20"/>
                <w:szCs w:val="20"/>
              </w:rPr>
              <w:t xml:space="preserve"> (non solo in email)</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Einaudi consultato; email coerente con procedura di submission ufficiale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 di risposta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Solo in caso di interesse. Stimabile intorno a 6 mesi. Non sollecitare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Nota critica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Valuta l'opera, non l'idea. Una proposta su testo non scritto non è funzionale. </w:t>
            </w:r>
            <w:r>
              <w:rPr>
                <w:rFonts w:ascii="Barlow Semi Condensed" w:cs="Barlow Semi Condensed" w:eastAsia="Barlow Semi Condensed" w:hAnsi="Barlow Semi Condensed"/>
                <w:b/>
                <w:bCs/>
                <w:sz w:val="20"/>
                <w:szCs w:val="20"/>
              </w:rPr>
              <w:t xml:space="preserve">Inviare solo a saggio scritto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Porte non immediatamente praticabili</w:t>
      </w:r>
    </w:p>
    <w:p>
      <w:pPr>
        <w:pStyle w:val="Heading3"/>
        <w:spacing w:after="80" w:before="160"/>
      </w:pPr>
      <w:r>
        <w:rPr>
          <w:rFonts w:ascii="Barlow Semi Condensed" w:cs="Barlow Semi Condensed" w:eastAsia="Barlow Semi Condensed" w:hAnsi="Barlow Semi Condensed"/>
          <w:sz w:val="24"/>
          <w:szCs w:val="24"/>
        </w:rPr>
        <w:t xml:space="preserve">7 · Feltrinelli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Sospeso (in accertamento)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Stato attuale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Ricezione di manoscritti risulta sospesa per volume di proposte pervenute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Incerto.</w:t>
            </w:r>
            <w:r>
              <w:rPr>
                <w:rFonts w:ascii="Barlow Semi Condensed" w:cs="Barlow Semi Condensed" w:eastAsia="Barlow Semi Condensed" w:hAnsi="Barlow Semi Condensed"/>
                <w:sz w:val="20"/>
                <w:szCs w:val="20"/>
              </w:rPr>
              <w:t xml:space="preserve"> Sito editore non raggiungibile dall'ambiente di ricerca (26 agosto 2026). Informazione da sintesi web. </w:t>
            </w:r>
            <w:r>
              <w:rPr>
                <w:rFonts w:ascii="Barlow Semi Condensed" w:cs="Barlow Semi Condensed" w:eastAsia="Barlow Semi Condensed" w:hAnsi="Barlow Semi Condensed"/>
                <w:b/>
                <w:bCs/>
                <w:sz w:val="20"/>
                <w:szCs w:val="20"/>
              </w:rPr>
              <w:t xml:space="preserve">Va riverificato prima di qualunque azione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 canale riaprisse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deve dichiarare in apertura la presenza nello stesso corpus di uno studio monografico su Giangiacomo Feltrinelli e della trattazione della sua morte. Dichiarare esplicitamente che nessuna attribuzione di reato oltre il giudicato è contenuta nel corpus, e che un Libro dei quattordici ordina per plausibilità del coinvolgimento — per categorie di soggetti e non per nomi — senza mai nominarvi Feltrinelli. Ometterlo produce effetti gravi: sembrare di non aver letto il proprio corpus, oppure sembrare provocatore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Verificare periodicamente se canale riapre; oppure proporre via agente letterario se affinità di catalogo la giustifica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 Bollati Boringhieri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Nessuno diretto (closed door)</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 ufficiale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valuta manoscritti spontanei; non ha indirizzo dedicato agli inediti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Incerto.</w:t>
            </w:r>
            <w:r>
              <w:rPr>
                <w:rFonts w:ascii="Barlow Semi Condensed" w:cs="Barlow Semi Condensed" w:eastAsia="Barlow Semi Condensed" w:hAnsi="Barlow Semi Condensed"/>
                <w:sz w:val="20"/>
                <w:szCs w:val="20"/>
              </w:rPr>
              <w:t xml:space="preserve"> Sito editore non raggiungibile dall'ambiente di ricerca (26 agosto 2026). Informazione da sintesi web. </w:t>
            </w:r>
            <w:r>
              <w:rPr>
                <w:rFonts w:ascii="Barlow Semi Condensed" w:cs="Barlow Semi Condensed" w:eastAsia="Barlow Semi Condensed" w:hAnsi="Barlow Semi Condensed"/>
                <w:b/>
                <w:bCs/>
                <w:sz w:val="20"/>
                <w:szCs w:val="20"/>
              </w:rPr>
              <w:t xml:space="preserve">Va riverificato prima di qualunque azione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Vie praticabili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Agente letterario; oppure torneo letterario digitale gratuito promosso dal gruppo editoriale di appartenenza (Bollati e Chiarelettere sono dello stesso gruppo)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catalogo — storiografia, scienze umane, filosofia, metodologia — è fra i più adatti dei nove. È la porta giusta senza maniglia. Un agente si procura </w:t>
            </w:r>
            <w:r>
              <w:rPr>
                <w:rFonts w:ascii="Barlow Semi Condensed" w:cs="Barlow Semi Condensed" w:eastAsia="Barlow Semi Condensed" w:hAnsi="Barlow Semi Condensed"/>
                <w:b/>
                <w:bCs/>
                <w:sz w:val="20"/>
                <w:szCs w:val="20"/>
              </w:rPr>
              <w:t xml:space="preserve">dopo</w:t>
            </w:r>
            <w:r>
              <w:rPr>
                <w:rFonts w:ascii="Barlow Semi Condensed" w:cs="Barlow Semi Condensed" w:eastAsia="Barlow Semi Condensed" w:hAnsi="Barlow Semi Condensed"/>
                <w:sz w:val="20"/>
                <w:szCs w:val="20"/>
              </w:rPr>
              <w:t xml:space="preserve"> che il saggio è scritto, non prima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 Astrolabio-Ubaldini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personale </w:t>
            </w:r>
            <w:r>
              <w:rPr>
                <w:rFonts w:ascii="Barlow Semi Condensed" w:cs="Barlow Semi Condensed" w:eastAsia="Barlow Semi Condensed" w:hAnsi="Barlow Semi Condensed"/>
                <w:b/>
                <w:bCs/>
                <w:sz w:val="20"/>
                <w:szCs w:val="20"/>
              </w:rPr>
              <w:t xml:space="preserve">oppure</w:t>
            </w:r>
            <w:r>
              <w:rPr>
                <w:rFonts w:ascii="Barlow Semi Condensed" w:cs="Barlow Semi Condensed" w:eastAsia="Barlow Semi Condensed" w:hAnsi="Barlow Semi Condensed"/>
                <w:sz w:val="20"/>
                <w:szCs w:val="20"/>
              </w:rPr>
              <w:t xml:space="preserve"> posta cartacea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b.ciampichetti@astrolabio-ubaldini.com</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cartaceo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Guido d'Arezzo 16, 00198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Catalogo dichiarato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Psicologia del profondo; filosofie e religioni orientali (fondazione 1944, specifica continuità)</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Questo corpus</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rientra nel perimetro dichiarato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editore raggiungibile; informazioni catalogo coerenti con sito ufficiale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Raccomandazione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 inviare</w:t>
            </w:r>
            <w:r>
              <w:rPr>
                <w:rFonts w:ascii="Barlow Semi Condensed" w:cs="Barlow Semi Condensed" w:eastAsia="Barlow Semi Condensed" w:hAnsi="Barlow Semi Condensed"/>
                <w:sz w:val="20"/>
                <w:szCs w:val="20"/>
              </w:rPr>
              <w:t xml:space="preserve"> non per scarsa qualità dell'editore, ma perché il corpus non appartiene agli argomenti che l'editore stesso dichiara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Omonimia da sciogliere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Esiste «L'Astrolabio», il periodico politico fondato da Ferruccio Parri. Se fosse il destinatario, il canale appropriato è l'Istituto Ferruccio Parri (INFRP), già nella mappa di diffusione come ente d'archivio (ondata 0)</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Destinatari di natura diversa</w:t>
      </w:r>
    </w:p>
    <w:p>
      <w:pPr>
        <w:pStyle w:val="Heading3"/>
        <w:spacing w:after="80" w:before="160"/>
      </w:pPr>
      <w:r>
        <w:rPr>
          <w:rFonts w:ascii="Barlow Semi Condensed" w:cs="Barlow Semi Condensed" w:eastAsia="Barlow Semi Condensed" w:hAnsi="Barlow Semi Condensed"/>
          <w:sz w:val="24"/>
          <w:szCs w:val="24"/>
        </w:rPr>
        <w:t xml:space="preserve">Archivi e istituti storici (ondata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Istituto nazionale Ferruccio Parri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l'intenzione fosse «L'Astrolabio» (periodico), il destinatario è qui, non da Astrolabio editore. Vale per aparato su figure storiche e pubblicazioni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Istituto per la storia della Resistenza di Bologna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Membro della rete INFRP</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Riviste di storia contemporanea (ondata parallela)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Rivista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Italia contemporanea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Pubblicazione breve (4 pagine) su accertamenti documentali. Una pubblicazione anche breve cambia il curriculum di presentazione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Edizioni critiche e nazionali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Edizione Nazionale delle Opere di Aldo Moro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Email universitario (Università di Bologna)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È interlocutore per </w:t>
            </w:r>
            <w:r>
              <w:rPr>
                <w:rFonts w:ascii="Barlow Semi Condensed" w:cs="Barlow Semi Condensed" w:eastAsia="Barlow Semi Condensed" w:hAnsi="Barlow Semi Condensed"/>
                <w:b/>
                <w:bCs/>
                <w:sz w:val="20"/>
                <w:szCs w:val="20"/>
              </w:rPr>
              <w:t xml:space="preserve">apparato delle citazioni</w:t>
            </w:r>
            <w:r>
              <w:rPr>
                <w:rFonts w:ascii="Barlow Semi Condensed" w:cs="Barlow Semi Condensed" w:eastAsia="Barlow Semi Condensed" w:hAnsi="Barlow Semi Condensed"/>
                <w:sz w:val="20"/>
                <w:szCs w:val="20"/>
              </w:rPr>
              <w:t xml:space="preserve">, non per quesito d'archivio. Va proposta separatamente, in altra forma, non lo stesso giorno della Fondazione Aldo Moro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Tabella sinottica: tipo di canale per ogni destinatario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Tipo canale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Indirizzo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PEC + cartaceo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Piazza Bartolomeo Romano 6,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accertato che non accertato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0-bis</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dei Gracchi 29/B,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indirizzo verificato; email da cercare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0-ter</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Archivio storico della Camera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alla segreteria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ars_segreteria@camera.it · p.za San Macuto 57,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 — reperito, non letto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1</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il Mulino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sito editore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2</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 modulo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proposte.editoriali@chiarelettere.it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verificata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3</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Carocci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sito editore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Posta cartacea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Roma e Bari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Bompiani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manoscritti.bompiani.it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6</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einaudi@einaudi.it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verificata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7</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(sospeso)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incerto, da riverificare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8</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Bollati Boringhieri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Agente/torneo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incerto, da riverificare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Astrolabio-Ubaldini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 cartaceo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Guido d'Arezzo 16,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 non consigliato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10</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HTTPS</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https://zenodo.org</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Regole di invio che riguardano PEC e email</w:t>
      </w:r>
    </w:p>
    <w:p>
      <w:pPr>
        <w:pStyle w:val="Heading3"/>
        <w:spacing w:after="80" w:before="160"/>
      </w:pPr>
      <w:r>
        <w:rPr>
          <w:rFonts w:ascii="Barlow Semi Condensed" w:cs="Barlow Semi Condensed" w:eastAsia="Barlow Semi Condensed" w:hAnsi="Barlow Semi Condensed"/>
          <w:sz w:val="24"/>
          <w:szCs w:val="24"/>
        </w:rPr>
        <w:t xml:space="preserve">Quando usare PEC</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Posta Elettronica Certificata</w:t>
      </w:r>
      <w:r>
        <w:rPr>
          <w:rFonts w:ascii="Barlow Semi Condensed" w:cs="Barlow Semi Condensed" w:eastAsia="Barlow Semi Condensed" w:hAnsi="Barlow Semi Condensed"/>
          <w:sz w:val="24"/>
          <w:szCs w:val="24"/>
        </w:rPr>
        <w:t xml:space="preserve"> (PEC) secondo il D.P.R. 68/2005 certifica</w:t>
      </w:r>
    </w:p>
    <w:p>
      <w:pPr>
        <w:spacing w:after="120" w:line="276"/>
        <w:jc w:val="both"/>
      </w:pPr>
      <w:r>
        <w:rPr>
          <w:rFonts w:ascii="Barlow Semi Condensed" w:cs="Barlow Semi Condensed" w:eastAsia="Barlow Semi Condensed" w:hAnsi="Barlow Semi Condensed"/>
          <w:sz w:val="24"/>
          <w:szCs w:val="24"/>
        </w:rPr>
        <w:t xml:space="preserve">data, ora e contenuto della trasmissione. Obbligatoria quando: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l'ente è obbligato per legge a ricevere PEC (amministrazioni pubbliche)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 desira certificato della ricezione ai fini legali</w:t>
      </w:r>
    </w:p>
    <w:p>
      <w:pPr>
        <w:spacing w:after="120" w:line="276"/>
        <w:jc w:val="both"/>
      </w:pPr>
      <w:r>
        <w:rPr>
          <w:rFonts w:ascii="Barlow Semi Condensed" w:cs="Barlow Semi Condensed" w:eastAsia="Barlow Semi Condensed" w:hAnsi="Barlow Semi Condensed"/>
          <w:sz w:val="24"/>
          <w:szCs w:val="24"/>
        </w:rPr>
        <w:t xml:space="preserve">In questo dossier: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Flamigni</w:t>
      </w:r>
      <w:r>
        <w:rPr>
          <w:rFonts w:ascii="Barlow Semi Condensed" w:cs="Barlow Semi Condensed" w:eastAsia="Barlow Semi Condensed" w:hAnsi="Barlow Semi Condensed"/>
          <w:sz w:val="24"/>
          <w:szCs w:val="24"/>
        </w:rPr>
        <w:t xml:space="preserve"> (ETS): ha l'obbligo di avere PEC, ma per uno studio</w:t>
      </w:r>
    </w:p>
    <w:p>
      <w:pPr>
        <w:spacing w:after="120" w:line="276"/>
        <w:jc w:val="both"/>
      </w:pPr>
      <w:r>
        <w:rPr>
          <w:rFonts w:ascii="Barlow Semi Condensed" w:cs="Barlow Semi Condensed" w:eastAsia="Barlow Semi Condensed" w:hAnsi="Barlow Semi Condensed"/>
          <w:sz w:val="24"/>
          <w:szCs w:val="24"/>
        </w:rPr>
        <w:t xml:space="preserve">  documentale non è essenziale legalmente — utile per certificare data dell'invio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Fondazioni private</w:t>
      </w:r>
      <w:r>
        <w:rPr>
          <w:rFonts w:ascii="Barlow Semi Condensed" w:cs="Barlow Semi Condensed" w:eastAsia="Barlow Semi Condensed" w:hAnsi="Barlow Semi Condensed"/>
          <w:sz w:val="24"/>
          <w:szCs w:val="24"/>
        </w:rPr>
        <w:t xml:space="preserve"> (Aldo Moro): non obbligatorie ricevere PEC; email</w:t>
      </w:r>
    </w:p>
    <w:p>
      <w:pPr>
        <w:spacing w:after="120" w:line="276"/>
        <w:jc w:val="both"/>
      </w:pPr>
      <w:r>
        <w:rPr>
          <w:rFonts w:ascii="Barlow Semi Condensed" w:cs="Barlow Semi Condensed" w:eastAsia="Barlow Semi Condensed" w:hAnsi="Barlow Semi Condensed"/>
          <w:sz w:val="24"/>
          <w:szCs w:val="24"/>
        </w:rPr>
        <w:t xml:space="preserve">  ordinaria è sufficiente</w:t>
      </w:r>
    </w:p>
    <w:p>
      <w:pPr>
        <w:pStyle w:val="Heading3"/>
        <w:spacing w:after="80" w:before="160"/>
      </w:pPr>
      <w:r>
        <w:rPr>
          <w:rFonts w:ascii="Barlow Semi Condensed" w:cs="Barlow Semi Condensed" w:eastAsia="Barlow Semi Condensed" w:hAnsi="Barlow Semi Condensed"/>
          <w:sz w:val="24"/>
          <w:szCs w:val="24"/>
        </w:rPr>
        <w:t xml:space="preserve">Quando usare email ordinaria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Fondazioni private</w:t>
      </w:r>
      <w:r>
        <w:rPr>
          <w:rFonts w:ascii="Barlow Semi Condensed" w:cs="Barlow Semi Condensed" w:eastAsia="Barlow Semi Condensed" w:hAnsi="Barlow Semi Condensed"/>
          <w:sz w:val="24"/>
          <w:szCs w:val="24"/>
        </w:rPr>
        <w:t xml:space="preserve">: Aldo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Editori</w:t>
      </w:r>
      <w:r>
        <w:rPr>
          <w:rFonts w:ascii="Barlow Semi Condensed" w:cs="Barlow Semi Condensed" w:eastAsia="Barlow Semi Condensed" w:hAnsi="Barlow Semi Condensed"/>
          <w:sz w:val="24"/>
          <w:szCs w:val="24"/>
        </w:rPr>
        <w:t xml:space="preserve"> (salvo diversa comunicazione)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Riviste accademiche</w:t>
      </w:r>
    </w:p>
    <w:p>
      <w:pPr>
        <w:pStyle w:val="Heading3"/>
        <w:spacing w:after="80" w:before="160"/>
      </w:pPr>
      <w:r>
        <w:rPr>
          <w:rFonts w:ascii="Barlow Semi Condensed" w:cs="Barlow Semi Condensed" w:eastAsia="Barlow Semi Condensed" w:hAnsi="Barlow Semi Condensed"/>
          <w:sz w:val="24"/>
          <w:szCs w:val="24"/>
        </w:rPr>
        <w:t xml:space="preserve">Quando usare moduli web</w:t>
      </w:r>
    </w:p>
    <w:p>
      <w:pPr>
        <w:spacing w:after="120" w:line="276"/>
        <w:jc w:val="both"/>
      </w:pPr>
      <w:r>
        <w:rPr>
          <w:rFonts w:ascii="Barlow Semi Condensed" w:cs="Barlow Semi Condensed" w:eastAsia="Barlow Semi Condensed" w:hAnsi="Barlow Semi Condensed"/>
          <w:sz w:val="24"/>
          <w:szCs w:val="24"/>
        </w:rPr>
        <w:t xml:space="preserve">Non c'è alternative: i siti li richiedono per gestione centralizzata delle</w:t>
      </w:r>
    </w:p>
    <w:p>
      <w:pPr>
        <w:spacing w:after="120" w:line="276"/>
        <w:jc w:val="both"/>
      </w:pPr>
      <w:r>
        <w:rPr>
          <w:rFonts w:ascii="Barlow Semi Condensed" w:cs="Barlow Semi Condensed" w:eastAsia="Barlow Semi Condensed" w:hAnsi="Barlow Semi Condensed"/>
          <w:sz w:val="24"/>
          <w:szCs w:val="24"/>
        </w:rPr>
        <w:t xml:space="preserve">proposte.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Mulino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Carocci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Bompiani</w:t>
      </w:r>
      <w:r>
        <w:rPr>
          <w:rFonts w:ascii="Barlow Semi Condensed" w:cs="Barlow Semi Condensed" w:eastAsia="Barlow Semi Condensed" w:hAnsi="Barlow Semi Condensed"/>
          <w:sz w:val="24"/>
          <w:szCs w:val="24"/>
        </w:rPr>
        <w:t xml:space="preserve">: modulo obbligatorio</w:t>
      </w:r>
    </w:p>
    <w:p>
      <w:pPr>
        <w:pStyle w:val="Heading3"/>
        <w:spacing w:after="80" w:before="160"/>
      </w:pPr>
      <w:r>
        <w:rPr>
          <w:rFonts w:ascii="Barlow Semi Condensed" w:cs="Barlow Semi Condensed" w:eastAsia="Barlow Semi Condensed" w:hAnsi="Barlow Semi Condensed"/>
          <w:sz w:val="24"/>
          <w:szCs w:val="24"/>
        </w:rPr>
        <w:t xml:space="preserve">Quando usare posta cartacea</w:t>
      </w:r>
    </w:p>
    <w:p>
      <w:pPr>
        <w:spacing w:after="120" w:line="276"/>
        <w:jc w:val="both"/>
      </w:pPr>
      <w:r>
        <w:rPr>
          <w:rFonts w:ascii="Barlow Semi Condensed" w:cs="Barlow Semi Condensed" w:eastAsia="Barlow Semi Condensed" w:hAnsi="Barlow Semi Condensed"/>
          <w:sz w:val="24"/>
          <w:szCs w:val="24"/>
        </w:rPr>
        <w:t xml:space="preserve">Una sola: </w:t>
      </w:r>
      <w:r>
        <w:rPr>
          <w:rFonts w:ascii="Barlow Semi Condensed" w:cs="Barlow Semi Condensed" w:eastAsia="Barlow Semi Condensed" w:hAnsi="Barlow Semi Condensed"/>
          <w:b/>
          <w:bCs/>
          <w:sz w:val="24"/>
          <w:szCs w:val="24"/>
        </w:rPr>
        <w:t xml:space="preserve">Laterza</w:t>
      </w:r>
      <w:r>
        <w:rPr>
          <w:rFonts w:ascii="Barlow Semi Condensed" w:cs="Barlow Semi Condensed" w:eastAsia="Barlow Semi Condensed" w:hAnsi="Barlow Semi Condensed"/>
          <w:sz w:val="24"/>
          <w:szCs w:val="24"/>
        </w:rPr>
        <w:t xml:space="preserve">. Indirizzi verificati, non c'è email dedicata.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Verifiche ancora da completare — prima dell'invio effettivo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Archivio Flamigni: ricerca PEC su RUNTS, INI-PEC, sito archivioflamigni.org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Fondazione Aldo Moro: ricerca email istituzionale (sito Fondazione o</w:t>
      </w:r>
    </w:p>
    <w:p>
      <w:pPr>
        <w:spacing w:after="120" w:line="276"/>
        <w:jc w:val="both"/>
      </w:pPr>
      <w:r>
        <w:rPr>
          <w:rFonts w:ascii="Barlow Semi Condensed" w:cs="Barlow Semi Condensed" w:eastAsia="Barlow Semi Condensed" w:hAnsi="Barlow Semi Condensed"/>
          <w:sz w:val="24"/>
          <w:szCs w:val="24"/>
        </w:rPr>
        <w:t xml:space="preserve">      Edizione Nazionale); fallback numero telefonico se email non disponibile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Feltrinelli: verifica dello stato attuale — ricezione riaperta o ancora</w:t>
      </w:r>
    </w:p>
    <w:p>
      <w:pPr>
        <w:spacing w:after="120" w:line="276"/>
        <w:jc w:val="both"/>
      </w:pPr>
      <w:r>
        <w:rPr>
          <w:rFonts w:ascii="Barlow Semi Condensed" w:cs="Barlow Semi Condensed" w:eastAsia="Barlow Semi Condensed" w:hAnsi="Barlow Semi Condensed"/>
          <w:sz w:val="24"/>
          <w:szCs w:val="24"/>
        </w:rPr>
        <w:t xml:space="preserve">      sospesa?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Bollati Boringhieri: conferma che non c'è indirizzo email diretto; ricerca</w:t>
      </w:r>
    </w:p>
    <w:p>
      <w:pPr>
        <w:spacing w:after="120" w:line="276"/>
        <w:jc w:val="both"/>
      </w:pPr>
      <w:r>
        <w:rPr>
          <w:rFonts w:ascii="Barlow Semi Condensed" w:cs="Barlow Semi Condensed" w:eastAsia="Barlow Semi Condensed" w:hAnsi="Barlow Semi Condensed"/>
          <w:sz w:val="24"/>
          <w:szCs w:val="24"/>
        </w:rPr>
        <w:t xml:space="preserve">      agenti letterari se si decide di procedere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Italia contemporanea: identificazione redazione; indirizzo per inviare</w:t>
      </w:r>
    </w:p>
    <w:p>
      <w:pPr>
        <w:spacing w:after="120" w:line="276"/>
        <w:jc w:val="both"/>
      </w:pPr>
      <w:r>
        <w:rPr>
          <w:rFonts w:ascii="Barlow Semi Condensed" w:cs="Barlow Semi Condensed" w:eastAsia="Barlow Semi Condensed" w:hAnsi="Barlow Semi Condensed"/>
          <w:sz w:val="24"/>
          <w:szCs w:val="24"/>
        </w:rPr>
        <w:t xml:space="preserve">      nota scientifica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Edizione Nazionale Moro: ricerca indirizzo email presso Università Bologna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Istituto Ferruccio Parri: ricerca PEC e email per apparato su periodico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Grado della verifica complessiva</w:t>
      </w:r>
    </w:p>
    <w:p>
      <w:pPr>
        <w:spacing w:after="120" w:line="276"/>
        <w:jc w:val="both"/>
      </w:pPr>
      <w:r>
        <w:rPr>
          <w:rFonts w:ascii="Barlow Semi Condensed" w:cs="Barlow Semi Condensed" w:eastAsia="Barlow Semi Condensed" w:hAnsi="Barlow Semi Condensed"/>
          <w:b/>
          <w:bCs/>
          <w:sz w:val="24"/>
          <w:szCs w:val="24"/>
        </w:rPr>
        <w:t xml:space="preserve">26 agosto 2026, 12:45 CET</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Verificati (accesso al sito o comunicazione ufficiale)</w:t>
      </w:r>
      <w:r>
        <w:rPr>
          <w:rFonts w:ascii="Barlow Semi Condensed" w:cs="Barlow Semi Condensed" w:eastAsia="Barlow Semi Condensed" w:hAnsi="Barlow Semi Condensed"/>
          <w:sz w:val="24"/>
          <w:szCs w:val="24"/>
        </w:rPr>
        <w:t xml:space="preserve">: il Mulino, Carocci,</w:t>
      </w:r>
    </w:p>
    <w:p>
      <w:pPr>
        <w:spacing w:after="120" w:line="276"/>
        <w:jc w:val="both"/>
      </w:pPr>
      <w:r>
        <w:rPr>
          <w:rFonts w:ascii="Barlow Semi Condensed" w:cs="Barlow Semi Condensed" w:eastAsia="Barlow Semi Condensed" w:hAnsi="Barlow Semi Condensed"/>
          <w:sz w:val="24"/>
          <w:szCs w:val="24"/>
        </w:rPr>
        <w:t xml:space="preserve">  Bompiani (moduli web); Chiarelettere (email), Laterza (indirizzi cartacei);</w:t>
      </w:r>
    </w:p>
    <w:p>
      <w:pPr>
        <w:spacing w:after="120" w:line="276"/>
        <w:jc w:val="both"/>
      </w:pPr>
      <w:r>
        <w:rPr>
          <w:rFonts w:ascii="Barlow Semi Condensed" w:cs="Barlow Semi Condensed" w:eastAsia="Barlow Semi Condensed" w:hAnsi="Barlow Semi Condensed"/>
          <w:sz w:val="24"/>
          <w:szCs w:val="24"/>
        </w:rPr>
        <w:t xml:space="preserve">  Einaudi (email); Astrolabio-Ubaldini (email e indirizzo); Zenodo (HTTPS)</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Parzialmente verificati</w:t>
      </w:r>
      <w:r>
        <w:rPr>
          <w:rFonts w:ascii="Barlow Semi Condensed" w:cs="Barlow Semi Condensed" w:eastAsia="Barlow Semi Condensed" w:hAnsi="Barlow Semi Condensed"/>
          <w:sz w:val="24"/>
          <w:szCs w:val="24"/>
        </w:rPr>
        <w:t xml:space="preserve">: Archivio Flamigni (esiste, PEC non accertato);</w:t>
      </w:r>
    </w:p>
    <w:p>
      <w:pPr>
        <w:spacing w:after="120" w:line="276"/>
        <w:jc w:val="both"/>
      </w:pPr>
      <w:r>
        <w:rPr>
          <w:rFonts w:ascii="Barlow Semi Condensed" w:cs="Barlow Semi Condensed" w:eastAsia="Barlow Semi Condensed" w:hAnsi="Barlow Semi Condensed"/>
          <w:sz w:val="24"/>
          <w:szCs w:val="24"/>
        </w:rPr>
        <w:t xml:space="preserve">  Fondazione Aldo Moro (indirizzo sede legale noto, email istituzionale da</w:t>
      </w:r>
    </w:p>
    <w:p>
      <w:pPr>
        <w:spacing w:after="120" w:line="276"/>
        <w:jc w:val="both"/>
      </w:pPr>
      <w:r>
        <w:rPr>
          <w:rFonts w:ascii="Barlow Semi Condensed" w:cs="Barlow Semi Condensed" w:eastAsia="Barlow Semi Condensed" w:hAnsi="Barlow Semi Condensed"/>
          <w:sz w:val="24"/>
          <w:szCs w:val="24"/>
        </w:rPr>
        <w:t xml:space="preserve">  ricercare)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Incerti e da riverificare</w:t>
      </w:r>
      <w:r>
        <w:rPr>
          <w:rFonts w:ascii="Barlow Semi Condensed" w:cs="Barlow Semi Condensed" w:eastAsia="Barlow Semi Condensed" w:hAnsi="Barlow Semi Condensed"/>
          <w:sz w:val="24"/>
          <w:szCs w:val="24"/>
        </w:rPr>
        <w:t xml:space="preserve">: Feltrinelli (sito non raggiungibile);</w:t>
      </w:r>
    </w:p>
    <w:p>
      <w:pPr>
        <w:spacing w:after="120" w:line="276"/>
        <w:jc w:val="both"/>
      </w:pPr>
      <w:r>
        <w:rPr>
          <w:rFonts w:ascii="Barlow Semi Condensed" w:cs="Barlow Semi Condensed" w:eastAsia="Barlow Semi Condensed" w:hAnsi="Barlow Semi Condensed"/>
          <w:sz w:val="24"/>
          <w:szCs w:val="24"/>
        </w:rPr>
        <w:t xml:space="preserve">  Bollati Boringhieri (sito non raggiungibile)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Non ancora accertati</w:t>
      </w:r>
      <w:r>
        <w:rPr>
          <w:rFonts w:ascii="Barlow Semi Condensed" w:cs="Barlow Semi Condensed" w:eastAsia="Barlow Semi Condensed" w:hAnsi="Barlow Semi Condensed"/>
          <w:sz w:val="24"/>
          <w:szCs w:val="24"/>
        </w:rPr>
        <w:t xml:space="preserve">: riviste accademiche; istituti storici; Edizione</w:t>
      </w:r>
    </w:p>
    <w:p>
      <w:pPr>
        <w:spacing w:after="120" w:line="276"/>
        <w:jc w:val="both"/>
      </w:pPr>
      <w:r>
        <w:rPr>
          <w:rFonts w:ascii="Barlow Semi Condensed" w:cs="Barlow Semi Condensed" w:eastAsia="Barlow Semi Condensed" w:hAnsi="Barlow Semi Condensed"/>
          <w:sz w:val="24"/>
          <w:szCs w:val="24"/>
        </w:rPr>
        <w:t xml:space="preserve">  Nazionale</w:t>
      </w:r>
    </w:p>
    <w:p>
      <w:pPr>
        <w:spacing w:after="120" w:line="276"/>
        <w:jc w:val="both"/>
      </w:pPr>
      <w:r>
        <w:rPr>
          <w:rFonts w:ascii="Barlow Semi Condensed" w:cs="Barlow Semi Condensed" w:eastAsia="Barlow Semi Condensed" w:hAnsi="Barlow Semi Condensed"/>
          <w:sz w:val="24"/>
          <w:szCs w:val="24"/>
        </w:rPr>
        <w:t xml:space="preserve">Nessuna informazione in questa lista è "silenziosamente" scaduta o assunta.</w:t>
      </w:r>
    </w:p>
    <w:p>
      <w:pPr>
        <w:spacing w:after="120" w:line="276"/>
        <w:jc w:val="both"/>
      </w:pPr>
      <w:r>
        <w:rPr>
          <w:rFonts w:ascii="Barlow Semi Condensed" w:cs="Barlow Semi Condensed" w:eastAsia="Barlow Semi Condensed" w:hAnsi="Barlow Semi Condensed"/>
          <w:sz w:val="24"/>
          <w:szCs w:val="24"/>
        </w:rPr>
        <w:t xml:space="preserve">Verifiasi il giorno dell'invio.</w:t>
      </w:r>
    </w:p>
    <w:p>
      <w:pPr>
        <w:pStyle w:val="Heading3"/>
        <w:spacing w:after="80" w:before="240"/>
      </w:pPr>
      <w:r>
        <w:rPr>
          <w:rFonts w:ascii="Barlow Semi Condensed" w:cs="Barlow Semi Condensed" w:eastAsia="Barlow Semi Condensed" w:hAnsi="Barlow Semi Condensed"/>
          <w:sz w:val="24"/>
          <w:szCs w:val="24"/>
        </w:rPr>
        <w:t xml:space="preserve">Apparato grafico — Appendici · vii. Il registro dei canali PEC</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 2.432 parole in 9 sezioni; la più ampia è §1 Ondata 0, con 619.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 68 paragrafi in 9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viii. La checklist di invio</w:t>
      </w:r>
    </w:p>
    <w:p>
      <w:pPr>
        <w:pStyle w:val="Heading1"/>
        <w:spacing w:after="120" w:before="240"/>
      </w:pPr>
      <w:r>
        <w:rPr>
          <w:rFonts w:ascii="Barlow Semi Condensed" w:cs="Barlow Semi Condensed" w:eastAsia="Barlow Semi Condensed" w:hAnsi="Barlow Semi Condensed"/>
          <w:sz w:val="24"/>
          <w:szCs w:val="24"/>
        </w:rPr>
        <w:t xml:space="preserve">Checklist di invio</w:t>
      </w:r>
    </w:p>
    <w:p>
      <w:pPr>
        <w:spacing w:after="120" w:line="276"/>
        <w:jc w:val="both"/>
      </w:pPr>
      <w:r>
        <w:rPr>
          <w:rFonts w:ascii="Barlow Semi Condensed" w:cs="Barlow Semi Condensed" w:eastAsia="Barlow Semi Condensed" w:hAnsi="Barlow Semi Condensed"/>
          <w:i/>
          <w:iCs/>
          <w:sz w:val="24"/>
          <w:szCs w:val="24"/>
        </w:rPr>
        <w:t xml:space="preserve">Da tenere in mano mentre si spedisce. </w:t>
      </w:r>
      <w:r>
        <w:rPr>
          <w:rFonts w:ascii="Barlow Semi Condensed" w:cs="Barlow Semi Condensed" w:eastAsia="Barlow Semi Condensed" w:hAnsi="Barlow Semi Condensed"/>
          <w:i/>
          <w:iCs/>
          <w:sz w:val="24"/>
          <w:szCs w:val="24"/>
        </w:rPr>
        <w:t xml:space="preserve">Terza edizione, 26 agosto 2026</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forma operativa: le ragioni delle scelte stanno nella</w:t>
      </w:r>
    </w:p>
    <w:p>
      <w:pPr>
        <w:spacing w:after="120" w:line="276"/>
        <w:jc w:val="both"/>
      </w:pPr>
      <w:r>
        <w:rPr>
          <w:rFonts w:ascii="Barlow Semi Condensed" w:cs="Barlow Semi Condensed" w:eastAsia="Barlow Semi Condensed" w:hAnsi="Barlow Semi Condensed"/>
          <w:i/>
          <w:iCs/>
          <w:sz w:val="24"/>
          <w:szCs w:val="24"/>
        </w:rPr>
        <w:t xml:space="preserve">mappa dei destinatari</w:t>
      </w:r>
      <w:r>
        <w:rPr>
          <w:rFonts w:ascii="Barlow Semi Condensed" w:cs="Barlow Semi Condensed" w:eastAsia="Barlow Semi Condensed" w:hAnsi="Barlow Semi Condensed"/>
          <w:sz w:val="24"/>
          <w:szCs w:val="24"/>
        </w:rPr>
        <w:t xml:space="preserve">, qui stanno solo le cose da</w:t>
      </w:r>
    </w:p>
    <w:p>
      <w:pPr>
        <w:spacing w:after="120" w:line="276"/>
        <w:jc w:val="both"/>
      </w:pPr>
      <w:r>
        <w:rPr>
          <w:rFonts w:ascii="Barlow Semi Condensed" w:cs="Barlow Semi Condensed" w:eastAsia="Barlow Semi Condensed" w:hAnsi="Barlow Semi Condensed"/>
          <w:sz w:val="24"/>
          <w:szCs w:val="24"/>
        </w:rPr>
        <w:t xml:space="preserve">fare. Canali accertati il 26 agosto 2026, col grado di ciascuno.*</w:t>
      </w:r>
    </w:p>
    <w:p>
      <w:pPr>
        <w:spacing w:after="120" w:line="276"/>
        <w:jc w:val="both"/>
      </w:pPr>
      <w:r>
        <w:rPr>
          <w:rFonts w:ascii="Barlow Semi Condensed" w:cs="Barlow Semi Condensed" w:eastAsia="Barlow Semi Condensed" w:hAnsi="Barlow Semi Condensed"/>
          <w:b/>
          <w:bCs/>
          <w:sz w:val="24"/>
          <w:szCs w:val="24"/>
        </w:rPr>
        <w:t xml:space="preserve">Una copia sola, quella con le date scritte a mano.</w:t>
      </w:r>
      <w:r>
        <w:rPr>
          <w:rFonts w:ascii="Barlow Semi Condensed" w:cs="Barlow Semi Condensed" w:eastAsia="Barlow Semi Condensed" w:hAnsi="Barlow Semi Condensed"/>
          <w:sz w:val="24"/>
          <w:szCs w:val="24"/>
        </w:rPr>
        <w:t xml:space="preserve"> Due copie parzialmente</w:t>
      </w:r>
    </w:p>
    <w:p>
      <w:pPr>
        <w:spacing w:after="120" w:line="276"/>
        <w:jc w:val="both"/>
      </w:pPr>
      <w:r>
        <w:rPr>
          <w:rFonts w:ascii="Barlow Semi Condensed" w:cs="Barlow Semi Condensed" w:eastAsia="Barlow Semi Condensed" w:hAnsi="Barlow Semi Condensed"/>
          <w:sz w:val="24"/>
          <w:szCs w:val="24"/>
        </w:rPr>
        <w:t xml:space="preserve">compilate sono peggio di nessuna.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tre regole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Una porta per volta.</w:t>
      </w:r>
      <w:r>
        <w:rPr>
          <w:rFonts w:ascii="Barlow Semi Condensed" w:cs="Barlow Semi Condensed" w:eastAsia="Barlow Semi Condensed" w:hAnsi="Barlow Semi Condensed"/>
          <w:sz w:val="24"/>
          <w:szCs w:val="24"/>
        </w:rPr>
        <w:t xml:space="preserve"> Mai lo stesso testo a due editori lo stesso giorno.</w:t>
      </w:r>
    </w:p>
    <w:p>
      <w:pPr>
        <w:spacing w:after="120" w:line="276"/>
        <w:jc w:val="both"/>
      </w:pPr>
      <w:r>
        <w:rPr>
          <w:rFonts w:ascii="Barlow Semi Condensed" w:cs="Barlow Semi Condensed" w:eastAsia="Barlow Semi Condensed" w:hAnsi="Barlow Semi Condensed"/>
          <w:sz w:val="24"/>
          <w:szCs w:val="24"/>
        </w:rPr>
        <w:t xml:space="preserve">   Archivi ed editori non sono in concorrenza e possono partire insieme.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libro giusto alla porta giusta.</w:t>
      </w:r>
      <w:r>
        <w:rPr>
          <w:rFonts w:ascii="Barlow Semi Condensed" w:cs="Barlow Semi Condensed" w:eastAsia="Barlow Semi Condensed" w:hAnsi="Barlow Semi Condensed"/>
          <w:sz w:val="24"/>
          <w:szCs w:val="24"/>
        </w:rPr>
        <w:t xml:space="preserve"> Le proposte descrivono **libri</w:t>
      </w:r>
    </w:p>
    <w:p>
      <w:pPr>
        <w:spacing w:after="120" w:line="276"/>
        <w:jc w:val="both"/>
      </w:pPr>
      <w:r>
        <w:rPr>
          <w:rFonts w:ascii="Barlow Semi Condensed" w:cs="Barlow Semi Condensed" w:eastAsia="Barlow Semi Condensed" w:hAnsi="Barlow Semi Condensed"/>
          <w:sz w:val="24"/>
          <w:szCs w:val="24"/>
        </w:rPr>
        <w:t xml:space="preserve">   diversi**: saggio civile · testo adottabile · racconto. Scambiarli è l'errore</w:t>
      </w:r>
    </w:p>
    <w:p>
      <w:pPr>
        <w:spacing w:after="120" w:line="276"/>
        <w:jc w:val="both"/>
      </w:pPr>
      <w:r>
        <w:rPr>
          <w:rFonts w:ascii="Barlow Semi Condensed" w:cs="Barlow Semi Condensed" w:eastAsia="Barlow Semi Condensed" w:hAnsi="Barlow Semi Condensed"/>
          <w:sz w:val="24"/>
          <w:szCs w:val="24"/>
        </w:rPr>
        <w:t xml:space="preserve">   più facile e il più costoso.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dichiarazione sull'intelligenza artificiale sta in apertura</w:t>
      </w:r>
      <w:r>
        <w:rPr>
          <w:rFonts w:ascii="Barlow Semi Condensed" w:cs="Barlow Semi Condensed" w:eastAsia="Barlow Semi Condensed" w:hAnsi="Barlow Semi Condensed"/>
          <w:sz w:val="24"/>
          <w:szCs w:val="24"/>
        </w:rPr>
        <w:t xml:space="preserve">, sempre.</w:t>
      </w:r>
    </w:p>
    <w:p>
      <w:pPr>
        <w:spacing w:after="120" w:line="276"/>
        <w:jc w:val="both"/>
      </w:pPr>
      <w:r>
        <w:rPr>
          <w:rFonts w:ascii="Barlow Semi Condensed" w:cs="Barlow Semi Condensed" w:eastAsia="Barlow Semi Condensed" w:hAnsi="Barlow Semi Condensed"/>
          <w:sz w:val="24"/>
          <w:szCs w:val="24"/>
        </w:rPr>
        <w:t xml:space="preserve">   Non è cautela: è l'oggetto del libro.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fare una volta sola, prima di tutto</w:t>
      </w:r>
    </w:p>
    <w:p>
      <w:pPr>
        <w:spacing w:after="120" w:line="276"/>
        <w:jc w:val="both"/>
      </w:pPr>
      <w:r>
        <w:rPr>
          <w:rFonts w:ascii="Barlow Semi Condensed" w:cs="Barlow Semi Condensed" w:eastAsia="Barlow Semi Condensed" w:hAnsi="Barlow Semi Condensed"/>
          <w:b/>
          <w:bCs/>
          <w:sz w:val="24"/>
          <w:szCs w:val="24"/>
        </w:rPr>
        <w:t xml:space="preserve">Nell'ordine.</w:t>
      </w:r>
      <w:r>
        <w:rPr>
          <w:rFonts w:ascii="Barlow Semi Condensed" w:cs="Barlow Semi Condensed" w:eastAsia="Barlow Semi Condensed" w:hAnsi="Barlow Semi Condensed"/>
          <w:sz w:val="24"/>
          <w:szCs w:val="24"/>
        </w:rPr>
        <w:t xml:space="preserve"> Le prime due voci non dipendono l'una dall'altra e possono</w:t>
      </w:r>
    </w:p>
    <w:p>
      <w:pPr>
        <w:spacing w:after="120" w:line="276"/>
        <w:jc w:val="both"/>
      </w:pPr>
      <w:r>
        <w:rPr>
          <w:rFonts w:ascii="Barlow Semi Condensed" w:cs="Barlow Semi Condensed" w:eastAsia="Barlow Semi Condensed" w:hAnsi="Barlow Semi Condensed"/>
          <w:sz w:val="24"/>
          <w:szCs w:val="24"/>
        </w:rPr>
        <w:t xml:space="preserve">partire lo stesso giorno; tutto il resto dipende dalla prima.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1. Deposito Zenodo</w:t>
      </w:r>
      <w:r>
        <w:rPr>
          <w:rFonts w:ascii="Barlow Semi Condensed" w:cs="Barlow Semi Condensed" w:eastAsia="Barlow Semi Condensed" w:hAnsi="Barlow Semi Condensed"/>
          <w:sz w:val="24"/>
          <w:szCs w:val="24"/>
        </w:rPr>
        <w:t xml:space="preserve"> e DOI ottenuto — foglio operativo pronto in</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deposito-zenodo.md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Blocca undici lettere</w:t>
      </w:r>
      <w:r>
        <w:rPr>
          <w:rFonts w:ascii="Barlow Semi Condensed" w:cs="Barlow Semi Condensed" w:eastAsia="Barlow Semi Condensed" w:hAnsi="Barlow Semi Condensed"/>
          <w:sz w:val="24"/>
          <w:szCs w:val="24"/>
        </w:rPr>
        <w:t xml:space="preserve">: il</w:t>
      </w:r>
    </w:p>
    <w:p>
      <w:pPr>
        <w:spacing w:after="120" w:line="276"/>
        <w:jc w:val="both"/>
      </w:pPr>
      <w:r>
        <w:rPr>
          <w:rFonts w:ascii="Barlow Semi Condensed" w:cs="Barlow Semi Condensed" w:eastAsia="Barlow Semi Condensed" w:hAnsi="Barlow Semi Condensed"/>
          <w:sz w:val="24"/>
          <w:szCs w:val="24"/>
        </w:rPr>
        <w:t xml:space="preserve">      DOI entra nel corpo di ciascuna, e farlo dopo significa riscriverle tutte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2. Il tomo P2, che forse non va chiesto affatto.</w:t>
      </w:r>
      <w:r>
        <w:rPr>
          <w:rFonts w:ascii="Barlow Semi Condensed" w:cs="Barlow Semi Condensed" w:eastAsia="Barlow Semi Condensed" w:hAnsi="Barlow Semi Condensed"/>
          <w:sz w:val="24"/>
          <w:szCs w:val="24"/>
        </w:rPr>
        <w:t xml:space="preserve"> Prima di spedire</w:t>
      </w:r>
    </w:p>
    <w:p>
      <w:pPr>
        <w:spacing w:after="120" w:line="276"/>
        <w:jc w:val="both"/>
      </w:pPr>
      <w:r>
        <w:rPr>
          <w:rFonts w:ascii="Barlow Semi Condensed" w:cs="Barlow Semi Condensed" w:eastAsia="Barlow Semi Condensed" w:hAnsi="Barlow Semi Condensed"/>
          <w:sz w:val="24"/>
          <w:szCs w:val="24"/>
        </w:rPr>
        <w:t xml:space="preserve">      qualsiasi cosa, aprire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      cercare </w:t>
      </w: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i volumi della Commissione</w:t>
      </w:r>
    </w:p>
    <w:p>
      <w:pPr>
        <w:spacing w:after="120" w:line="276"/>
        <w:jc w:val="both"/>
      </w:pPr>
      <w:r>
        <w:rPr>
          <w:rFonts w:ascii="Barlow Semi Condensed" w:cs="Barlow Semi Condensed" w:eastAsia="Barlow Semi Condensed" w:hAnsi="Barlow Semi Condensed"/>
          <w:sz w:val="24"/>
          <w:szCs w:val="24"/>
        </w:rPr>
        <w:t xml:space="preserve">      risultano digitalizzati, e gli allegati </w:t>
      </w: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 quelli coi numeri</w:t>
      </w:r>
    </w:p>
    <w:p>
      <w:pPr>
        <w:spacing w:after="120" w:line="276"/>
        <w:jc w:val="both"/>
      </w:pPr>
      <w:r>
        <w:rPr>
          <w:rFonts w:ascii="Barlow Semi Condensed" w:cs="Barlow Semi Condensed" w:eastAsia="Barlow Semi Condensed" w:hAnsi="Barlow Semi Condensed"/>
          <w:sz w:val="24"/>
          <w:szCs w:val="24"/>
        </w:rPr>
        <w:t xml:space="preserve">      di tessera — si leggerebbero oggi, gratis e senza chiedere niente. Se non</w:t>
      </w:r>
    </w:p>
    <w:p>
      <w:pPr>
        <w:spacing w:after="120" w:line="276"/>
        <w:jc w:val="both"/>
      </w:pPr>
      <w:r>
        <w:rPr>
          <w:rFonts w:ascii="Barlow Semi Condensed" w:cs="Barlow Semi Condensed" w:eastAsia="Barlow Semi Condensed" w:hAnsi="Barlow Semi Condensed"/>
          <w:sz w:val="24"/>
          <w:szCs w:val="24"/>
        </w:rPr>
        <w:t xml:space="preserve">      si trovano, la richiesta all'Archivio storico è pronta in</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richiesta-archivio-storico-camera.md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con recapito reperito al grado B e da confermare. È l'unica mossa del</w:t>
      </w:r>
    </w:p>
    <w:p>
      <w:pPr>
        <w:spacing w:after="120" w:line="276"/>
        <w:jc w:val="both"/>
      </w:pPr>
      <w:r>
        <w:rPr>
          <w:rFonts w:ascii="Barlow Semi Condensed" w:cs="Barlow Semi Condensed" w:eastAsia="Barlow Semi Condensed" w:hAnsi="Barlow Semi Condensed"/>
          <w:sz w:val="24"/>
          <w:szCs w:val="24"/>
        </w:rPr>
        <w:t xml:space="preserve">      dossier che possa </w:t>
      </w:r>
      <w:r>
        <w:rPr>
          <w:rFonts w:ascii="Barlow Semi Condensed" w:cs="Barlow Semi Condensed" w:eastAsia="Barlow Semi Condensed" w:hAnsi="Barlow Semi Condensed"/>
          <w:b/>
          <w:bCs/>
          <w:sz w:val="24"/>
          <w:szCs w:val="24"/>
        </w:rPr>
        <w:t xml:space="preserve">spostare un grado probatorio</w:t>
      </w:r>
      <w:r>
        <w:rPr>
          <w:rFonts w:ascii="Barlow Semi Condensed" w:cs="Barlow Semi Condensed" w:eastAsia="Barlow Semi Condensed" w:hAnsi="Barlow Semi Condensed"/>
          <w:sz w:val="24"/>
          <w:szCs w:val="24"/>
        </w:rPr>
        <w:t xml:space="preserve">, e non dipende dal DOI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Curriculum</w:t>
      </w:r>
      <w:r>
        <w:rPr>
          <w:rFonts w:ascii="Barlow Semi Condensed" w:cs="Barlow Semi Condensed" w:eastAsia="Barlow Semi Condensed" w:hAnsi="Barlow Semi Condensed"/>
          <w:sz w:val="24"/>
          <w:szCs w:val="24"/>
        </w:rPr>
        <w:t xml:space="preserve"> compilato (</w:t>
      </w:r>
      <w:r>
        <w:rPr>
          <w:rFonts w:ascii="Barlow Semi Condensed" w:cs="Barlow Semi Condensed" w:eastAsia="Barlow Semi Condensed" w:hAnsi="Barlow Semi Condensed"/>
          <w:i/>
          <w:iCs/>
          <w:sz w:val="24"/>
          <w:szCs w:val="24"/>
        </w:rPr>
        <w:t xml:space="preserve">curriculum-modello.md</w:t>
      </w:r>
      <w:r>
        <w:rPr>
          <w:rFonts w:ascii="Barlow Semi Condensed" w:cs="Barlow Semi Condensed" w:eastAsia="Barlow Semi Condensed" w:hAnsi="Barlow Semi Condensed"/>
          <w:sz w:val="24"/>
          <w:szCs w:val="24"/>
        </w:rPr>
        <w:t xml:space="preserve">) — intero per Einaudi,</w:t>
      </w:r>
    </w:p>
    <w:p>
      <w:pPr>
        <w:spacing w:after="120" w:line="276"/>
        <w:jc w:val="both"/>
      </w:pPr>
      <w:r>
        <w:rPr>
          <w:rFonts w:ascii="Barlow Semi Condensed" w:cs="Barlow Semi Condensed" w:eastAsia="Barlow Semi Condensed" w:hAnsi="Barlow Semi Condensed"/>
          <w:sz w:val="24"/>
          <w:szCs w:val="24"/>
        </w:rPr>
        <w:t xml:space="preserve">      dieci righe per gli altri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Formula sullo stato del lavoro</w:t>
      </w:r>
      <w:r>
        <w:rPr>
          <w:rFonts w:ascii="Barlow Semi Condensed" w:cs="Barlow Semi Condensed" w:eastAsia="Barlow Semi Condensed" w:hAnsi="Barlow Semi Condensed"/>
          <w:sz w:val="24"/>
          <w:szCs w:val="24"/>
        </w:rPr>
        <w:t xml:space="preserve"> fissata e usata identica ovunque:</w:t>
      </w:r>
    </w:p>
    <w:p>
      <w:pPr>
        <w:spacing w:after="120" w:line="276"/>
        <w:jc w:val="both"/>
      </w:pPr>
      <w:r>
        <w:rPr>
          <w:rFonts w:ascii="Barlow Semi Condensed" w:cs="Barlow Semi Condensed" w:eastAsia="Barlow Semi Condensed" w:hAnsi="Barlow Semi Condensed"/>
          <w:sz w:val="24"/>
          <w:szCs w:val="24"/>
        </w:rPr>
        <w:t xml:space="preserve">      *corpus completo e verificato, quindici Libri e quattro Appendici;</w:t>
      </w:r>
    </w:p>
    <w:p>
      <w:pPr>
        <w:spacing w:after="120" w:line="276"/>
        <w:jc w:val="both"/>
      </w:pPr>
      <w:r>
        <w:rPr>
          <w:rFonts w:ascii="Barlow Semi Condensed" w:cs="Barlow Semi Condensed" w:eastAsia="Barlow Semi Condensed" w:hAnsi="Barlow Semi Condensed"/>
          <w:sz w:val="24"/>
          <w:szCs w:val="24"/>
        </w:rPr>
        <w:t xml:space="preserve">      struttura del saggio definita, capitolo campione scritto, resto da</w:t>
      </w:r>
    </w:p>
    <w:p>
      <w:pPr>
        <w:spacing w:after="120" w:line="276"/>
        <w:jc w:val="both"/>
      </w:pPr>
      <w:r>
        <w:rPr>
          <w:rFonts w:ascii="Barlow Semi Condensed" w:cs="Barlow Semi Condensed" w:eastAsia="Barlow Semi Condensed" w:hAnsi="Barlow Semi Condensed"/>
          <w:sz w:val="24"/>
          <w:szCs w:val="24"/>
        </w:rPr>
        <w:t xml:space="preserve">      scrivere*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Capitolo campione riletto</w:t>
      </w:r>
      <w:r>
        <w:rPr>
          <w:rFonts w:ascii="Barlow Semi Condensed" w:cs="Barlow Semi Condensed" w:eastAsia="Barlow Semi Condensed" w:hAnsi="Barlow Semi Condensed"/>
          <w:sz w:val="24"/>
          <w:szCs w:val="24"/>
        </w:rPr>
        <w:t xml:space="preserve"> — è il pezzo su cui si viene giudicati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PEC Archivio Flamigni</w:t>
      </w:r>
      <w:r>
        <w:rPr>
          <w:rFonts w:ascii="Barlow Semi Condensed" w:cs="Barlow Semi Condensed" w:eastAsia="Barlow Semi Condensed" w:hAnsi="Barlow Semi Condensed"/>
          <w:sz w:val="24"/>
          <w:szCs w:val="24"/>
        </w:rPr>
        <w:t xml:space="preserve"> reperita (RUNTS · INI-PEC · archivioflamigni.org)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Email Fondazione Aldo Moro</w:t>
      </w:r>
      <w:r>
        <w:rPr>
          <w:rFonts w:ascii="Barlow Semi Condensed" w:cs="Barlow Semi Condensed" w:eastAsia="Barlow Semi Condensed" w:hAnsi="Barlow Semi Condensed"/>
          <w:sz w:val="24"/>
          <w:szCs w:val="24"/>
        </w:rPr>
        <w:t xml:space="preserve"> reperita (sito · Edizione Nazionale, Bologna)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L'avvertenza che riguarda ogni invio</w:t>
      </w:r>
    </w:p>
    <w:p>
      <w:pPr>
        <w:spacing w:after="120" w:line="276"/>
        <w:jc w:val="both"/>
      </w:pPr>
      <w:r>
        <w:rPr>
          <w:rFonts w:ascii="Barlow Semi Condensed" w:cs="Barlow Semi Condensed" w:eastAsia="Barlow Semi Condensed" w:hAnsi="Barlow Semi Condensed"/>
          <w:sz w:val="24"/>
          <w:szCs w:val="24"/>
        </w:rPr>
        <w:t xml:space="preserve">L'opera ha </w:t>
      </w:r>
      <w:r>
        <w:rPr>
          <w:rFonts w:ascii="Barlow Semi Condensed" w:cs="Barlow Semi Condensed" w:eastAsia="Barlow Semi Condensed" w:hAnsi="Barlow Semi Condensed"/>
          <w:b/>
          <w:bCs/>
          <w:sz w:val="24"/>
          <w:szCs w:val="24"/>
        </w:rPr>
        <w:t xml:space="preserve">quindici Libri</w:t>
      </w:r>
      <w:r>
        <w:rPr>
          <w:rFonts w:ascii="Barlow Semi Condensed" w:cs="Barlow Semi Condensed" w:eastAsia="Barlow Semi Condensed" w:hAnsi="Barlow Semi Condensed"/>
          <w:sz w:val="24"/>
          <w:szCs w:val="24"/>
        </w:rPr>
        <w:t xml:space="preserve">. Quattordici si fermano al giudicato. **Il Libro</w:t>
      </w:r>
    </w:p>
    <w:p>
      <w:pPr>
        <w:spacing w:after="120" w:line="276"/>
        <w:jc w:val="both"/>
      </w:pPr>
      <w:r>
        <w:rPr>
          <w:rFonts w:ascii="Barlow Semi Condensed" w:cs="Barlow Semi Condensed" w:eastAsia="Barlow Semi Condensed" w:hAnsi="Barlow Semi Condensed"/>
          <w:sz w:val="24"/>
          <w:szCs w:val="24"/>
        </w:rPr>
        <w:t xml:space="preserve">quarto no**: nella seconda metà ordina per plausibilità del coinvolgimento — per</w:t>
      </w:r>
    </w:p>
    <w:p>
      <w:pPr>
        <w:spacing w:after="120" w:line="276"/>
        <w:jc w:val="both"/>
      </w:pPr>
      <w:r>
        <w:rPr>
          <w:rFonts w:ascii="Barlow Semi Condensed" w:cs="Barlow Semi Condensed" w:eastAsia="Barlow Semi Condensed" w:hAnsi="Barlow Semi Condensed"/>
          <w:b/>
          <w:bCs/>
          <w:sz w:val="24"/>
          <w:szCs w:val="24"/>
        </w:rPr>
        <w:t xml:space="preserve">categorie di soggetti, non per nomi individuali</w:t>
      </w:r>
      <w:r>
        <w:rPr>
          <w:rFonts w:ascii="Barlow Semi Condensed" w:cs="Barlow Semi Condensed" w:eastAsia="Barlow Semi Condensed" w:hAnsi="Barlow Semi Condensed"/>
          <w:sz w:val="24"/>
          <w:szCs w:val="24"/>
        </w:rPr>
        <w:t xml:space="preserve">, muovendo dai condannati in</w:t>
      </w:r>
    </w:p>
    <w:p>
      <w:pPr>
        <w:spacing w:after="120" w:line="276"/>
        <w:jc w:val="both"/>
      </w:pPr>
      <w:r>
        <w:rPr>
          <w:rFonts w:ascii="Barlow Semi Condensed" w:cs="Barlow Semi Condensed" w:eastAsia="Barlow Semi Condensed" w:hAnsi="Barlow Semi Condensed"/>
          <w:sz w:val="24"/>
          <w:szCs w:val="24"/>
        </w:rPr>
        <w:t xml:space="preserve">via definitiva e rifiutando di nominare un mandante esterno.</w:t>
      </w:r>
    </w:p>
    <w:p>
      <w:pPr>
        <w:spacing w:after="120" w:line="276"/>
        <w:jc w:val="both"/>
      </w:pPr>
      <w:r>
        <w:rPr>
          <w:rFonts w:ascii="Barlow Semi Condensed" w:cs="Barlow Semi Condensed" w:eastAsia="Barlow Semi Condensed" w:hAnsi="Barlow Semi Condensed"/>
          <w:b/>
          <w:bCs/>
          <w:sz w:val="24"/>
          <w:szCs w:val="24"/>
        </w:rPr>
        <w:t xml:space="preserve">Ovunque si offra il corpus, questo si dichiara.</w:t>
      </w:r>
      <w:r>
        <w:rPr>
          <w:rFonts w:ascii="Barlow Semi Condensed" w:cs="Barlow Semi Condensed" w:eastAsia="Barlow Semi Condensed" w:hAnsi="Barlow Semi Condensed"/>
          <w:sz w:val="24"/>
          <w:szCs w:val="24"/>
        </w:rPr>
        <w:t xml:space="preserve"> È già scritto nei documenti;</w:t>
      </w:r>
    </w:p>
    <w:p>
      <w:pPr>
        <w:spacing w:after="120" w:line="276"/>
        <w:jc w:val="both"/>
      </w:pPr>
      <w:r>
        <w:rPr>
          <w:rFonts w:ascii="Barlow Semi Condensed" w:cs="Barlow Semi Condensed" w:eastAsia="Barlow Semi Condensed" w:hAnsi="Barlow Semi Condensed"/>
          <w:sz w:val="24"/>
          <w:szCs w:val="24"/>
        </w:rPr>
        <w:t xml:space="preserve">va solo non tolto.</w:t>
      </w:r>
    </w:p>
    <w:p>
      <w:pPr>
        <w:spacing w:after="120" w:line="276"/>
        <w:jc w:val="both"/>
      </w:pPr>
      <w:r>
        <w:rPr>
          <w:rFonts w:ascii="Barlow Semi Condensed" w:cs="Barlow Semi Condensed" w:eastAsia="Barlow Semi Condensed" w:hAnsi="Barlow Semi Condensed"/>
          <w:sz w:val="24"/>
          <w:szCs w:val="24"/>
        </w:rPr>
        <w:t xml:space="preserve">*Annotazione del 27 agosto 2026 — fin qui questa pagina diceva «quattordici</w:t>
      </w:r>
    </w:p>
    <w:p>
      <w:pPr>
        <w:spacing w:after="120" w:line="276"/>
        <w:jc w:val="both"/>
      </w:pPr>
      <w:r>
        <w:rPr>
          <w:rFonts w:ascii="Barlow Semi Condensed" w:cs="Barlow Semi Condensed" w:eastAsia="Barlow Semi Condensed" w:hAnsi="Barlow Semi Condensed"/>
          <w:sz w:val="24"/>
          <w:szCs w:val="24"/>
        </w:rPr>
        <w:t xml:space="preserve">Libri, tredici si fermano al giudicato». Era esatto alla sua data e ha smesso di</w:t>
      </w:r>
    </w:p>
    <w:p>
      <w:pPr>
        <w:spacing w:after="120" w:line="276"/>
        <w:jc w:val="both"/>
      </w:pPr>
      <w:r>
        <w:rPr>
          <w:rFonts w:ascii="Barlow Semi Condensed" w:cs="Barlow Semi Condensed" w:eastAsia="Barlow Semi Condensed" w:hAnsi="Barlow Semi Condensed"/>
          <w:sz w:val="24"/>
          <w:szCs w:val="24"/>
        </w:rPr>
        <w:t xml:space="preserve">esserlo con l'ingresso del Libro quindicesimo. La cifra è aggiornata, la vecchia</w:t>
      </w:r>
    </w:p>
    <w:p>
      <w:pPr>
        <w:spacing w:after="120" w:line="276"/>
        <w:jc w:val="both"/>
      </w:pPr>
      <w:r>
        <w:rPr>
          <w:rFonts w:ascii="Barlow Semi Condensed" w:cs="Barlow Semi Condensed" w:eastAsia="Barlow Semi Condensed" w:hAnsi="Barlow Semi Condensed"/>
          <w:sz w:val="24"/>
          <w:szCs w:val="24"/>
        </w:rPr>
        <w:t xml:space="preserve">è lasciata qui: chi ha spedito una lettera con la formula anteriore non ha</w:t>
      </w:r>
    </w:p>
    <w:p>
      <w:pPr>
        <w:spacing w:after="120" w:line="276"/>
        <w:jc w:val="both"/>
      </w:pPr>
      <w:r>
        <w:rPr>
          <w:rFonts w:ascii="Barlow Semi Condensed" w:cs="Barlow Semi Condensed" w:eastAsia="Barlow Semi Condensed" w:hAnsi="Barlow Semi Condensed"/>
          <w:sz w:val="24"/>
          <w:szCs w:val="24"/>
        </w:rPr>
        <w:t xml:space="preserve">scritto il falso, ha scritto una cosa vera al momento in cui l'ha scritta.*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non si manda, e perché</w:t>
      </w:r>
    </w:p>
    <w:p>
      <w:pPr>
        <w:spacing w:after="120" w:line="276"/>
        <w:jc w:val="both"/>
      </w:pPr>
      <w:r>
        <w:rPr>
          <w:rFonts w:ascii="Barlow Semi Condensed" w:cs="Barlow Semi Condensed" w:eastAsia="Barlow Semi Condensed" w:hAnsi="Barlow Semi Condensed"/>
          <w:sz w:val="24"/>
          <w:szCs w:val="24"/>
        </w:rPr>
        <w:t xml:space="preserve">Il repository ospita </w:t>
      </w:r>
      <w:r>
        <w:rPr>
          <w:rFonts w:ascii="Barlow Semi Condensed" w:cs="Barlow Semi Condensed" w:eastAsia="Barlow Semi Condensed" w:hAnsi="Barlow Semi Condensed"/>
          <w:b/>
          <w:bCs/>
          <w:sz w:val="24"/>
          <w:szCs w:val="24"/>
        </w:rPr>
        <w:t xml:space="preserve">tre opere distinte</w:t>
      </w:r>
      <w:r>
        <w:rPr>
          <w:rFonts w:ascii="Barlow Semi Condensed" w:cs="Barlow Semi Condensed" w:eastAsia="Barlow Semi Condensed" w:hAnsi="Barlow Semi Condensed"/>
          <w:sz w:val="24"/>
          <w:szCs w:val="24"/>
        </w:rPr>
        <w:t xml:space="preserve">, e ne parte </w:t>
      </w:r>
      <w:r>
        <w:rPr>
          <w:rFonts w:ascii="Barlow Semi Condensed" w:cs="Barlow Semi Condensed" w:eastAsia="Barlow Semi Condensed" w:hAnsi="Barlow Semi Condensed"/>
          <w:b/>
          <w:bCs/>
          <w:sz w:val="24"/>
          <w:szCs w:val="24"/>
        </w:rPr>
        <w:t xml:space="preserve">una sola</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 manda?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L'opera sul caso Moro — quindici Libri, quattro Appendici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sì</w:t>
            </w:r>
            <w:r>
              <w:rPr>
                <w:rFonts w:ascii="Barlow Semi Condensed" w:cs="Barlow Semi Condensed" w:eastAsia="Barlow Semi Condensed" w:hAnsi="Barlow Semi Condensed"/>
                <w:sz w:val="20"/>
                <w:szCs w:val="20"/>
              </w:rPr>
              <w:t xml:space="preserve">, è l'oggetto di tutto il dossier</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Italia Nera</w:t>
            </w:r>
            <w:r>
              <w:rPr>
                <w:rFonts w:ascii="Barlow Semi Condensed" w:cs="Barlow Semi Condensed" w:eastAsia="Barlow Semi Condensed" w:hAnsi="Barlow Semi Condensed"/>
                <w:sz w:val="20"/>
                <w:szCs w:val="20"/>
              </w:rPr>
              <w:t xml:space="preserve"> — il Registro V77 e i suoi quarantatré compagni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Lo Studio Integrale Puglia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w:t>
            </w:r>
            <w:r>
              <w:rPr>
                <w:rFonts w:ascii="Barlow Semi Condensed" w:cs="Barlow Semi Condensed" w:eastAsia="Barlow Semi Condensed" w:hAnsi="Barlow Semi Condensed"/>
                <w:sz w:val="20"/>
                <w:szCs w:val="20"/>
              </w:rPr>
              <w:t xml:space="preserve">, è un altro lavoro con altri destinatari</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 Italia Nera la ragione va scritta per intero, perché la tentazione di</w:t>
      </w:r>
    </w:p>
    <w:p>
      <w:pPr>
        <w:spacing w:after="120" w:line="276"/>
        <w:jc w:val="both"/>
      </w:pPr>
      <w:r>
        <w:rPr>
          <w:rFonts w:ascii="Barlow Semi Condensed" w:cs="Barlow Semi Condensed" w:eastAsia="Barlow Semi Condensed" w:hAnsi="Barlow Semi Condensed"/>
          <w:sz w:val="24"/>
          <w:szCs w:val="24"/>
        </w:rPr>
        <w:t xml:space="preserve">allegarla è reale e sbagliata. Non è una parte di quest'opera: il legame è</w:t>
      </w:r>
    </w:p>
    <w:p>
      <w:pPr>
        <w:spacing w:after="120" w:line="276"/>
        <w:jc w:val="both"/>
      </w:pPr>
      <w:r>
        <w:rPr>
          <w:rFonts w:ascii="Barlow Semi Condensed" w:cs="Barlow Semi Condensed" w:eastAsia="Barlow Semi Condensed" w:hAnsi="Barlow Semi Condensed"/>
          <w:sz w:val="24"/>
          <w:szCs w:val="24"/>
        </w:rPr>
        <w:t xml:space="preserve">genealogico e non testuale — misurato agli 8-grammi, il corpus moroteano tocca il</w:t>
      </w:r>
    </w:p>
    <w:p>
      <w:pPr>
        <w:spacing w:after="120" w:line="276"/>
        <w:jc w:val="both"/>
      </w:pPr>
      <w:r>
        <w:rPr>
          <w:rFonts w:ascii="Barlow Semi Condensed" w:cs="Barlow Semi Condensed" w:eastAsia="Barlow Semi Condensed" w:hAnsi="Barlow Semi Condensed"/>
          <w:sz w:val="24"/>
          <w:szCs w:val="24"/>
        </w:rPr>
        <w:t xml:space="preserve">Registro V77 per lo </w:t>
      </w:r>
      <w:r>
        <w:rPr>
          <w:rFonts w:ascii="Barlow Semi Condensed" w:cs="Barlow Semi Condensed" w:eastAsia="Barlow Semi Condensed" w:hAnsi="Barlow Semi Condensed"/>
          <w:b/>
          <w:bCs/>
          <w:sz w:val="24"/>
          <w:szCs w:val="24"/>
        </w:rPr>
        <w:t xml:space="preserve">0,77 per cento</w:t>
      </w:r>
      <w:r>
        <w:rPr>
          <w:rFonts w:ascii="Barlow Semi Condensed" w:cs="Barlow Semi Condensed" w:eastAsia="Barlow Semi Condensed" w:hAnsi="Barlow Semi Condensed"/>
          <w:sz w:val="24"/>
          <w:szCs w:val="24"/>
        </w:rPr>
        <w:t xml:space="preserve">. Contiene inoltre **censimenti di persone</w:t>
      </w:r>
    </w:p>
    <w:p>
      <w:pPr>
        <w:spacing w:after="120" w:line="276"/>
        <w:jc w:val="both"/>
      </w:pPr>
      <w:r>
        <w:rPr>
          <w:rFonts w:ascii="Barlow Semi Condensed" w:cs="Barlow Semi Condensed" w:eastAsia="Barlow Semi Condensed" w:hAnsi="Barlow Semi Condensed"/>
          <w:sz w:val="24"/>
          <w:szCs w:val="24"/>
        </w:rPr>
        <w:t xml:space="preserve">viventi con procedimenti penali in corso**: la disciplina c'è, l'articolo 27</w:t>
      </w:r>
    </w:p>
    <w:p>
      <w:pPr>
        <w:spacing w:after="120" w:line="276"/>
        <w:jc w:val="both"/>
      </w:pPr>
      <w:r>
        <w:rPr>
          <w:rFonts w:ascii="Barlow Semi Condensed" w:cs="Barlow Semi Condensed" w:eastAsia="Barlow Semi Condensed" w:hAnsi="Barlow Semi Condensed"/>
          <w:sz w:val="24"/>
          <w:szCs w:val="24"/>
        </w:rPr>
        <w:t xml:space="preserve">della Costituzione è dichiarato in apertura di ogni scheda e nessuno vi è</w:t>
      </w:r>
    </w:p>
    <w:p>
      <w:pPr>
        <w:spacing w:after="120" w:line="276"/>
        <w:jc w:val="both"/>
      </w:pPr>
      <w:r>
        <w:rPr>
          <w:rFonts w:ascii="Barlow Semi Condensed" w:cs="Barlow Semi Condensed" w:eastAsia="Barlow Semi Condensed" w:hAnsi="Barlow Semi Condensed"/>
          <w:sz w:val="24"/>
          <w:szCs w:val="24"/>
        </w:rPr>
        <w:t xml:space="preserve">indicato come responsabile fuori dal giudicato — ma il rischio di quella</w:t>
      </w:r>
    </w:p>
    <w:p>
      <w:pPr>
        <w:spacing w:after="120" w:line="276"/>
        <w:jc w:val="both"/>
      </w:pPr>
      <w:r>
        <w:rPr>
          <w:rFonts w:ascii="Barlow Semi Condensed" w:cs="Barlow Semi Condensed" w:eastAsia="Barlow Semi Condensed" w:hAnsi="Barlow Semi Condensed"/>
          <w:sz w:val="24"/>
          <w:szCs w:val="24"/>
        </w:rPr>
        <w:t xml:space="preserve">pubblicazione è interamente in capo all'autore, e il guadagno per il caso Moro è</w:t>
      </w:r>
    </w:p>
    <w:p>
      <w:pPr>
        <w:spacing w:after="120" w:line="276"/>
        <w:jc w:val="both"/>
      </w:pPr>
      <w:r>
        <w:rPr>
          <w:rFonts w:ascii="Barlow Semi Condensed" w:cs="Barlow Semi Condensed" w:eastAsia="Barlow Semi Condensed" w:hAnsi="Barlow Semi Condensed"/>
          <w:b/>
          <w:bCs/>
          <w:sz w:val="24"/>
          <w:szCs w:val="24"/>
        </w:rPr>
        <w:t xml:space="preserve">zero</w:t>
      </w:r>
      <w:r>
        <w:rPr>
          <w:rFonts w:ascii="Barlow Semi Condensed" w:cs="Barlow Semi Condensed" w:eastAsia="Barlow Semi Condensed" w:hAnsi="Barlow Semi Condensed"/>
          <w:sz w:val="24"/>
          <w:szCs w:val="24"/>
        </w:rPr>
        <w:t xml:space="preserve">. Un editore che riceva le due cose insieme giudicherà l'una con gli</w:t>
      </w:r>
    </w:p>
    <w:p>
      <w:pPr>
        <w:spacing w:after="120" w:line="276"/>
        <w:jc w:val="both"/>
      </w:pPr>
      <w:r>
        <w:rPr>
          <w:rFonts w:ascii="Barlow Semi Condensed" w:cs="Barlow Semi Condensed" w:eastAsia="Barlow Semi Condensed" w:hAnsi="Barlow Semi Condensed"/>
          <w:sz w:val="24"/>
          <w:szCs w:val="24"/>
        </w:rPr>
        <w:t xml:space="preserve">occhi dell'altra.</w:t>
      </w:r>
    </w:p>
    <w:p>
      <w:pPr>
        <w:spacing w:after="120" w:line="276"/>
        <w:jc w:val="both"/>
      </w:pPr>
      <w:r>
        <w:rPr>
          <w:rFonts w:ascii="Barlow Semi Condensed" w:cs="Barlow Semi Condensed" w:eastAsia="Barlow Semi Condensed" w:hAnsi="Barlow Semi Condensed"/>
          <w:sz w:val="24"/>
          <w:szCs w:val="24"/>
        </w:rPr>
        <w:t xml:space="preserve">Se un giorno Italia Nera va depositata, avrà un DOI proprio, destinatari propri e</w:t>
      </w:r>
    </w:p>
    <w:p>
      <w:pPr>
        <w:spacing w:after="120" w:line="276"/>
        <w:jc w:val="both"/>
      </w:pPr>
      <w:r>
        <w:rPr>
          <w:rFonts w:ascii="Barlow Semi Condensed" w:cs="Barlow Semi Condensed" w:eastAsia="Barlow Semi Condensed" w:hAnsi="Barlow Semi Condensed"/>
          <w:sz w:val="24"/>
          <w:szCs w:val="24"/>
        </w:rPr>
        <w:t xml:space="preserve">una valutazione propria. Non viaggia in allegato.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quattro ondate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Quando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subito, non è in concorrenza con nulla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Flamigni · Fondazione Aldo Moro · Zenodo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qualche giorno l'uno dall'altro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Mulino · Chiarelettere · Carocci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dopo le prime risposte, o 60 giorni di silenzio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Laterza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solo a saggio scritto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Bompiani · Einaudi</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Ondata 0, due cautele.</w:t>
      </w:r>
      <w:r>
        <w:rPr>
          <w:rFonts w:ascii="Barlow Semi Condensed" w:cs="Barlow Semi Condensed" w:eastAsia="Barlow Semi Condensed" w:hAnsi="Barlow Semi Condensed"/>
          <w:sz w:val="24"/>
          <w:szCs w:val="24"/>
        </w:rPr>
        <w:t xml:space="preserve"> Flamigni e la Fondazione **non lo stesso giorno e non</w:t>
      </w:r>
    </w:p>
    <w:p>
      <w:pPr>
        <w:spacing w:after="120" w:line="276"/>
        <w:jc w:val="both"/>
      </w:pPr>
      <w:r>
        <w:rPr>
          <w:rFonts w:ascii="Barlow Semi Condensed" w:cs="Barlow Semi Condensed" w:eastAsia="Barlow Semi Condensed" w:hAnsi="Barlow Semi Condensed"/>
          <w:sz w:val="24"/>
          <w:szCs w:val="24"/>
        </w:rPr>
        <w:t xml:space="preserve">allo stesso modo**: al primo si propone un apparato da valutare, alla seconda si</w:t>
      </w:r>
    </w:p>
    <w:p>
      <w:pPr>
        <w:spacing w:after="120" w:line="276"/>
        <w:jc w:val="both"/>
      </w:pPr>
      <w:r>
        <w:rPr>
          <w:rFonts w:ascii="Barlow Semi Condensed" w:cs="Barlow Semi Condensed" w:eastAsia="Barlow Semi Condensed" w:hAnsi="Barlow Semi Condensed"/>
          <w:sz w:val="24"/>
          <w:szCs w:val="24"/>
        </w:rPr>
        <w:t xml:space="preserve">porta </w:t>
      </w:r>
      <w:r>
        <w:rPr>
          <w:rFonts w:ascii="Barlow Semi Condensed" w:cs="Barlow Semi Condensed" w:eastAsia="Barlow Semi Condensed" w:hAnsi="Barlow Semi Condensed"/>
          <w:i/>
          <w:iCs/>
          <w:sz w:val="24"/>
          <w:szCs w:val="24"/>
        </w:rPr>
        <w:t xml:space="preserve">una domanda sola</w:t>
      </w:r>
      <w:r>
        <w:rPr>
          <w:rFonts w:ascii="Barlow Semi Condensed" w:cs="Barlow Semi Condensed" w:eastAsia="Barlow Semi Condensed" w:hAnsi="Barlow Semi Condensed"/>
          <w:sz w:val="24"/>
          <w:szCs w:val="24"/>
        </w:rPr>
        <w:t xml:space="preserve">. In parallelo, quando si vuole: la **nota di quattro</w:t>
      </w:r>
    </w:p>
    <w:p>
      <w:pPr>
        <w:spacing w:after="120" w:line="276"/>
        <w:jc w:val="both"/>
      </w:pPr>
      <w:r>
        <w:rPr>
          <w:rFonts w:ascii="Barlow Semi Condensed" w:cs="Barlow Semi Condensed" w:eastAsia="Barlow Semi Condensed" w:hAnsi="Barlow Semi Condensed"/>
          <w:sz w:val="24"/>
          <w:szCs w:val="24"/>
        </w:rPr>
        <w:t xml:space="preserve">pagine** per una rivista di storia contemporanea — l'oggetto più piccolo e il più</w:t>
      </w:r>
    </w:p>
    <w:p>
      <w:pPr>
        <w:spacing w:after="120" w:line="276"/>
        <w:jc w:val="both"/>
      </w:pPr>
      <w:r>
        <w:rPr>
          <w:rFonts w:ascii="Barlow Semi Condensed" w:cs="Barlow Semi Condensed" w:eastAsia="Barlow Semi Condensed" w:hAnsi="Barlow Semi Condensed"/>
          <w:sz w:val="24"/>
          <w:szCs w:val="24"/>
        </w:rPr>
        <w:t xml:space="preserve">facile da collocare.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schede</w:t>
      </w:r>
    </w:p>
    <w:p>
      <w:pPr>
        <w:spacing w:after="120" w:line="276"/>
        <w:jc w:val="both"/>
      </w:pPr>
      <w:r>
        <w:rPr>
          <w:rFonts w:ascii="Barlow Semi Condensed" w:cs="Barlow Semi Condensed" w:eastAsia="Barlow Semi Condensed" w:hAnsi="Barlow Semi Condensed"/>
          <w:i/>
          <w:iCs/>
          <w:sz w:val="24"/>
          <w:szCs w:val="24"/>
        </w:rPr>
        <w:t xml:space="preserve">Grado del canale: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accertato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da riverificare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chiuso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 · Archivio «Flamigni» ETS — ✓</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PEC (indirizzo da reperire) · Piazza B. Romano 6, 00154 Roma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pec-archivio-flamigni.md</w:t>
      </w:r>
      <w:r>
        <w:rPr>
          <w:rFonts w:ascii="Barlow Semi Condensed" w:cs="Barlow Semi Condensed" w:eastAsia="Barlow Semi Condensed" w:hAnsi="Barlow Semi Condensed"/>
          <w:sz w:val="24"/>
          <w:szCs w:val="24"/>
        </w:rPr>
        <w:t xml:space="preserve"> nel corpo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RELAZIONE_SUL_PROGETTO.pdf</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indice del ramo · </w:t>
      </w:r>
      <w:r>
        <w:rPr>
          <w:rFonts w:ascii="Barlow Semi Condensed" w:cs="Barlow Semi Condensed" w:eastAsia="Barlow Semi Condensed" w:hAnsi="Barlow Semi Condensed"/>
          <w:b/>
          <w:bCs/>
          <w:sz w:val="24"/>
          <w:szCs w:val="24"/>
        </w:rPr>
        <w:t xml:space="preserve">collegamento</w:t>
      </w:r>
      <w:r>
        <w:rPr>
          <w:rFonts w:ascii="Barlow Semi Condensed" w:cs="Barlow Semi Condensed" w:eastAsia="Barlow Semi Condensed" w:hAnsi="Barlow Semi Condensed"/>
          <w:sz w:val="24"/>
          <w:szCs w:val="24"/>
        </w:rPr>
        <w:t xml:space="preserve"> al deposito (l'opera supera i 24 MB: molti</w:t>
      </w:r>
    </w:p>
    <w:p>
      <w:pPr>
        <w:spacing w:after="120" w:line="276"/>
        <w:jc w:val="both"/>
      </w:pPr>
      <w:r>
        <w:rPr>
          <w:rFonts w:ascii="Barlow Semi Condensed" w:cs="Barlow Semi Condensed" w:eastAsia="Barlow Semi Condensed" w:hAnsi="Barlow Semi Condensed"/>
          <w:sz w:val="24"/>
          <w:szCs w:val="24"/>
        </w:rPr>
        <w:t xml:space="preserve">  gestori PEC la rifiutano)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chiede</w:t>
      </w:r>
      <w:r>
        <w:rPr>
          <w:rFonts w:ascii="Barlow Semi Condensed" w:cs="Barlow Semi Condensed" w:eastAsia="Barlow Semi Condensed" w:hAnsi="Barlow Semi Condensed"/>
          <w:sz w:val="24"/>
          <w:szCs w:val="24"/>
        </w:rPr>
        <w:t xml:space="preserve"> · valutazione dell'apparato, segnalazione degli atti d'archivio,</w:t>
      </w:r>
    </w:p>
    <w:p>
      <w:pPr>
        <w:spacing w:after="120" w:line="276"/>
        <w:jc w:val="both"/>
      </w:pPr>
      <w:r>
        <w:rPr>
          <w:rFonts w:ascii="Barlow Semi Condensed" w:cs="Barlow Semi Condensed" w:eastAsia="Barlow Semi Condensed" w:hAnsi="Barlow Semi Condensed"/>
          <w:sz w:val="24"/>
          <w:szCs w:val="24"/>
        </w:rPr>
        <w:t xml:space="preserve">  eventuale deposito.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la pubblicazione di un libro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0-bis · Fondazione Aldo Moro — ✓</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email ordinaria · via dei Gracchi 29/B, 00192 Roma. Cercare</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un recapito dell'ente; solo in mancanza al presidente, *in quanto</w:t>
      </w:r>
    </w:p>
    <w:p>
      <w:pPr>
        <w:spacing w:after="120" w:line="276"/>
        <w:jc w:val="both"/>
      </w:pPr>
      <w:r>
        <w:rPr>
          <w:rFonts w:ascii="Barlow Semi Condensed" w:cs="Barlow Semi Condensed" w:eastAsia="Barlow Semi Condensed" w:hAnsi="Barlow Semi Condensed"/>
          <w:sz w:val="24"/>
          <w:szCs w:val="24"/>
        </w:rPr>
        <w:t xml:space="preserve">  presidente*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lettera-fondazione-aldo-moro.md</w:t>
      </w:r>
      <w:r>
        <w:rPr>
          <w:rFonts w:ascii="Barlow Semi Condensed" w:cs="Barlow Semi Condensed" w:eastAsia="Barlow Semi Condensed" w:hAnsi="Barlow Semi Condensed"/>
          <w:sz w:val="24"/>
          <w:szCs w:val="24"/>
        </w:rPr>
        <w:t xml:space="preserve"> nel corpo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Qui il corpus</w:t>
      </w:r>
    </w:p>
    <w:p>
      <w:pPr>
        <w:spacing w:after="120" w:line="276"/>
        <w:jc w:val="both"/>
      </w:pPr>
      <w:r>
        <w:rPr>
          <w:rFonts w:ascii="Barlow Semi Condensed" w:cs="Barlow Semi Condensed" w:eastAsia="Barlow Semi Condensed" w:hAnsi="Barlow Semi Condensed"/>
          <w:sz w:val="24"/>
          <w:szCs w:val="24"/>
        </w:rPr>
        <w:t xml:space="preserve">  non si allega: si offre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chiede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una domanda sola</w:t>
      </w:r>
      <w:r>
        <w:rPr>
          <w:rFonts w:ascii="Barlow Semi Condensed" w:cs="Barlow Semi Condensed" w:eastAsia="Barlow Semi Condensed" w:hAnsi="Barlow Semi Condensed"/>
          <w:sz w:val="24"/>
          <w:szCs w:val="24"/>
        </w:rPr>
        <w:t xml:space="preserve">: se esista, per la visita di Stato del</w:t>
      </w:r>
    </w:p>
    <w:p>
      <w:pPr>
        <w:spacing w:after="120" w:line="276"/>
        <w:jc w:val="both"/>
      </w:pPr>
      <w:r>
        <w:rPr>
          <w:rFonts w:ascii="Barlow Semi Condensed" w:cs="Barlow Semi Condensed" w:eastAsia="Barlow Semi Condensed" w:hAnsi="Barlow Semi Condensed"/>
          <w:sz w:val="24"/>
          <w:szCs w:val="24"/>
        </w:rPr>
        <w:t xml:space="preserve">  25-29 settembre 1974, un appunto italiano del colloquio dello Studio Ovale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comunica</w:t>
      </w:r>
      <w:r>
        <w:rPr>
          <w:rFonts w:ascii="Barlow Semi Condensed" w:cs="Barlow Semi Condensed" w:eastAsia="Barlow Semi Condensed" w:hAnsi="Barlow Semi Condensed"/>
          <w:sz w:val="24"/>
          <w:szCs w:val="24"/>
        </w:rPr>
        <w:t xml:space="preserve"> · l'accertamento sul verbale americano, **prima che lo leggano</w:t>
      </w:r>
    </w:p>
    <w:p>
      <w:pPr>
        <w:spacing w:after="120" w:line="276"/>
        <w:jc w:val="both"/>
      </w:pPr>
      <w:r>
        <w:rPr>
          <w:rFonts w:ascii="Barlow Semi Condensed" w:cs="Barlow Semi Condensed" w:eastAsia="Barlow Semi Condensed" w:hAnsi="Barlow Semi Condensed"/>
          <w:sz w:val="24"/>
          <w:szCs w:val="24"/>
        </w:rPr>
        <w:t xml:space="preserve">  altrove**, col grado e con l'obiezione che lo rende non risolutivo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è l'unica lettera che tocca la memoria di una persona</w:t>
      </w:r>
    </w:p>
    <w:p>
      <w:pPr>
        <w:spacing w:after="120" w:line="276"/>
        <w:jc w:val="both"/>
      </w:pPr>
      <w:r>
        <w:rPr>
          <w:rFonts w:ascii="Barlow Semi Condensed" w:cs="Barlow Semi Condensed" w:eastAsia="Barlow Semi Condensed" w:hAnsi="Barlow Semi Condensed"/>
          <w:sz w:val="24"/>
          <w:szCs w:val="24"/>
        </w:rPr>
        <w:t xml:space="preserve">  determinata e una famiglia che esiste. Nessuna rivendicazione di scoperta.</w:t>
      </w:r>
    </w:p>
    <w:p>
      <w:pPr>
        <w:spacing w:after="120" w:line="276"/>
        <w:jc w:val="both"/>
      </w:pPr>
      <w:r>
        <w:rPr>
          <w:rFonts w:ascii="Barlow Semi Condensed" w:cs="Barlow Semi Condensed" w:eastAsia="Barlow Semi Condensed" w:hAnsi="Barlow Semi Condensed"/>
          <w:sz w:val="24"/>
          <w:szCs w:val="24"/>
        </w:rPr>
        <w:t xml:space="preserve">  **Se alla rilettura sembrasse chiedere qualcosa in cambio, tagliare finché non</w:t>
      </w:r>
    </w:p>
    <w:p>
      <w:pPr>
        <w:spacing w:after="120" w:line="276"/>
        <w:jc w:val="both"/>
      </w:pPr>
      <w:r>
        <w:rPr>
          <w:rFonts w:ascii="Barlow Semi Condensed" w:cs="Barlow Semi Condensed" w:eastAsia="Barlow Semi Condensed" w:hAnsi="Barlow Semi Condensed"/>
          <w:sz w:val="24"/>
          <w:szCs w:val="24"/>
        </w:rPr>
        <w:t xml:space="preserve">  chiede più nulla**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recapito cercato il ……… · esito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Porta vicina, oggetto diverso.</w:t>
      </w:r>
      <w:r>
        <w:rPr>
          <w:rFonts w:ascii="Barlow Semi Condensed" w:cs="Barlow Semi Condensed" w:eastAsia="Barlow Semi Condensed" w:hAnsi="Barlow Semi Condensed"/>
          <w:i w:val="false"/>
          <w:iCs w:val="false"/>
          <w:sz w:val="24"/>
          <w:szCs w:val="24"/>
        </w:rPr>
        <w:t xml:space="preserve"> L'</w:t>
      </w:r>
      <w:r>
        <w:rPr>
          <w:rFonts w:ascii="Barlow Semi Condensed" w:cs="Barlow Semi Condensed" w:eastAsia="Barlow Semi Condensed" w:hAnsi="Barlow Semi Condensed"/>
          <w:i w:val="false"/>
          <w:iCs w:val="false"/>
          <w:sz w:val="24"/>
          <w:szCs w:val="24"/>
        </w:rPr>
        <w:t xml:space="preserve">Edizione Nazionale delle Opere di Aldo Moro</w:t>
      </w:r>
      <w:r>
        <w:rPr>
          <w:rFonts w:ascii="Barlow Semi Condensed" w:cs="Barlow Semi Condensed" w:eastAsia="Barlow Semi Condensed" w:hAnsi="Barlow Semi Condensed"/>
          <w:i w:val="false"/>
          <w:iCs w:val="false"/>
          <w:sz w:val="24"/>
          <w:szCs w:val="24"/>
        </w:rPr>
        <w:t xml:space="preserve"> è interlocutore per l'</w:t>
      </w:r>
      <w:r>
        <w:rPr>
          <w:rFonts w:ascii="Barlow Semi Condensed" w:cs="Barlow Semi Condensed" w:eastAsia="Barlow Semi Condensed" w:hAnsi="Barlow Semi Condensed"/>
          <w:b/>
          <w:bCs/>
          <w:i w:val="false"/>
          <w:iCs w:val="false"/>
          <w:sz w:val="24"/>
          <w:szCs w:val="24"/>
        </w:rPr>
        <w:t xml:space="preserve">apparato delle citazioni</w:t>
      </w:r>
      <w:r>
        <w:rPr>
          <w:rFonts w:ascii="Barlow Semi Condensed" w:cs="Barlow Semi Condensed" w:eastAsia="Barlow Semi Condensed" w:hAnsi="Barlow Semi Condensed"/>
          <w:i w:val="false"/>
          <w:iCs w:val="false"/>
          <w:sz w:val="24"/>
          <w:szCs w:val="24"/>
        </w:rPr>
        <w:t xml:space="preserve">, non per il quesito d'archivio. Separata, in altra forma, </w:t>
      </w:r>
      <w:r>
        <w:rPr>
          <w:rFonts w:ascii="Barlow Semi Condensed" w:cs="Barlow Semi Condensed" w:eastAsia="Barlow Semi Condensed" w:hAnsi="Barlow Semi Condensed"/>
          <w:b/>
          <w:bCs/>
          <w:i w:val="false"/>
          <w:iCs w:val="false"/>
          <w:sz w:val="24"/>
          <w:szCs w:val="24"/>
        </w:rPr>
        <w:t xml:space="preserve">non lo stesso giorno</w:t>
      </w:r>
      <w:r>
        <w:rPr>
          <w:rFonts w:ascii="Barlow Semi Condensed" w:cs="Barlow Semi Condensed" w:eastAsia="Barlow Semi Condensed" w:hAnsi="Barlow Semi Condensed"/>
          <w:i w:val="false"/>
          <w:iCs w:val="false"/>
          <w:sz w:val="24"/>
          <w:szCs w:val="24"/>
        </w:rPr>
        <w:t xml:space="preserve">. - [ ] valutata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 il Mulino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modulo online, previa registrazione.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email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1 — già nei campi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Campi</w:t>
      </w:r>
      <w:r>
        <w:rPr>
          <w:rFonts w:ascii="Barlow Semi Condensed" w:cs="Barlow Semi Condensed" w:eastAsia="Barlow Semi Condensed" w:hAnsi="Barlow Semi Condensed"/>
          <w:sz w:val="24"/>
          <w:szCs w:val="24"/>
        </w:rPr>
        <w:t xml:space="preserve"> · argomento · estratto · indice · descrizione estesa · pubblico · bio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Estratto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ALLEGATO_CAPITOLO_CAMPIONE.pdf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non frammenti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 Chiarelettere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proposte.editoriali@chiarelettere.it</w:t>
      </w:r>
      <w:r>
        <w:rPr>
          <w:rFonts w:ascii="Barlow Semi Condensed" w:cs="Barlow Semi Condensed" w:eastAsia="Barlow Semi Condensed" w:hAnsi="Barlow Semi Condensed"/>
          <w:sz w:val="24"/>
          <w:szCs w:val="24"/>
        </w:rPr>
        <w:t xml:space="preserve"> o modulo · corso Sempione</w:t>
      </w:r>
    </w:p>
    <w:p>
      <w:pPr>
        <w:spacing w:after="120" w:line="276"/>
        <w:jc w:val="both"/>
      </w:pPr>
      <w:r>
        <w:rPr>
          <w:rFonts w:ascii="Barlow Semi Condensed" w:cs="Barlow Semi Condensed" w:eastAsia="Barlow Semi Condensed" w:hAnsi="Barlow Semi Condensed"/>
          <w:sz w:val="24"/>
          <w:szCs w:val="24"/>
        </w:rPr>
        <w:t xml:space="preserve">  2, 20154 Milano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proposte-chiarelettere-bompiani.md</w:t>
      </w:r>
      <w:r>
        <w:rPr>
          <w:rFonts w:ascii="Barlow Semi Condensed" w:cs="Barlow Semi Condensed" w:eastAsia="Barlow Semi Condensed" w:hAnsi="Barlow Semi Condensed"/>
          <w:sz w:val="24"/>
          <w:szCs w:val="24"/>
        </w:rPr>
        <w:t xml:space="preserve">, sezione 1</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scheda · capitolo campione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è il catalogo più affine dei nove: proprio per questo</w:t>
      </w:r>
    </w:p>
    <w:p>
      <w:pPr>
        <w:spacing w:after="120" w:line="276"/>
        <w:jc w:val="both"/>
      </w:pPr>
      <w:r>
        <w:rPr>
          <w:rFonts w:ascii="Barlow Semi Condensed" w:cs="Barlow Semi Condensed" w:eastAsia="Barlow Semi Condensed" w:hAnsi="Barlow Semi Condensed"/>
          <w:sz w:val="24"/>
          <w:szCs w:val="24"/>
        </w:rPr>
        <w:t xml:space="preserve">  un'imprecisione qui si nota. </w:t>
      </w:r>
      <w:r>
        <w:rPr>
          <w:rFonts w:ascii="Barlow Semi Condensed" w:cs="Barlow Semi Condensed" w:eastAsia="Barlow Semi Condensed" w:hAnsi="Barlow Semi Condensed"/>
          <w:b/>
          <w:bCs/>
          <w:sz w:val="24"/>
          <w:szCs w:val="24"/>
        </w:rPr>
        <w:t xml:space="preserve">Più cura, non meno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 Carocci — ✓ · testo adottabile in aula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pagina «Proposte editoriali» del sito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2</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scheda · capitolo campione </w:t>
      </w:r>
      <w:r>
        <w:rPr>
          <w:rFonts w:ascii="Barlow Semi Condensed" w:cs="Barlow Semi Condensed" w:eastAsia="Barlow Semi Condensed" w:hAnsi="Barlow Semi Condensed"/>
          <w:b/>
          <w:bCs/>
          <w:sz w:val="24"/>
          <w:szCs w:val="24"/>
        </w:rPr>
        <w:t xml:space="preserve">completo del suo esercizio finale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senza l'esercizio in coda la proposta perde il suo argomento</w:t>
      </w:r>
    </w:p>
    <w:p>
      <w:pPr>
        <w:spacing w:after="120" w:line="276"/>
        <w:jc w:val="both"/>
      </w:pPr>
      <w:r>
        <w:rPr>
          <w:rFonts w:ascii="Barlow Semi Condensed" w:cs="Barlow Semi Condensed" w:eastAsia="Barlow Semi Condensed" w:hAnsi="Barlow Semi Condensed"/>
          <w:sz w:val="24"/>
          <w:szCs w:val="24"/>
        </w:rPr>
        <w:t xml:space="preserve">  principale. </w:t>
      </w:r>
      <w:r>
        <w:rPr>
          <w:rFonts w:ascii="Barlow Semi Condensed" w:cs="Barlow Semi Condensed" w:eastAsia="Barlow Semi Condensed" w:hAnsi="Barlow Semi Condensed"/>
          <w:b/>
          <w:bCs/>
          <w:sz w:val="24"/>
          <w:szCs w:val="24"/>
        </w:rPr>
        <w:t xml:space="preserve">Non invertire i due testi con quello del Mulino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 Laterza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info@laterza.it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Non accetta manoscritti a stampa</w:t>
      </w:r>
      <w:r>
        <w:rPr>
          <w:rFonts w:ascii="Barlow Semi Condensed" w:cs="Barlow Semi Condensed" w:eastAsia="Barlow Semi Condensed" w:hAnsi="Barlow Semi Condensed"/>
          <w:sz w:val="24"/>
          <w:szCs w:val="24"/>
        </w:rPr>
        <w:t xml:space="preserve">: i plichi</w:t>
      </w:r>
    </w:p>
    <w:p>
      <w:pPr>
        <w:spacing w:after="120" w:line="276"/>
        <w:jc w:val="both"/>
      </w:pPr>
      <w:r>
        <w:rPr>
          <w:rFonts w:ascii="Barlow Semi Condensed" w:cs="Barlow Semi Condensed" w:eastAsia="Barlow Semi Condensed" w:hAnsi="Barlow Semi Condensed"/>
          <w:sz w:val="24"/>
          <w:szCs w:val="24"/>
        </w:rPr>
        <w:t xml:space="preserve">  non vengono letti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proposta-editrice-laterza.md</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Da inviare</w:t>
      </w:r>
      <w:r>
        <w:rPr>
          <w:rFonts w:ascii="Barlow Semi Condensed" w:cs="Barlow Semi Condensed" w:eastAsia="Barlow Semi Condensed" w:hAnsi="Barlow Semi Condensed"/>
          <w:sz w:val="24"/>
          <w:szCs w:val="24"/>
        </w:rPr>
        <w:t xml:space="preserve"> · scheda del volume · indice · bio-bibliografia · il capitolo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nessuna notizia entro un anno = rifiuto.</w:t>
      </w:r>
      <w:r>
        <w:rPr>
          <w:rFonts w:ascii="Barlow Semi Condensed" w:cs="Barlow Semi Condensed" w:eastAsia="Barlow Semi Condensed" w:hAnsi="Barlow Semi Condensed"/>
          <w:sz w:val="24"/>
          <w:szCs w:val="24"/>
        </w:rPr>
        <w:t xml:space="preserve"> Non si sollecita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 Bompiani — ✓ · saggio civile · un colpo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manoscritti.bompiani.it</w:t>
      </w:r>
      <w:r>
        <w:rPr>
          <w:rFonts w:ascii="Barlow Semi Condensed" w:cs="Barlow Semi Condensed" w:eastAsia="Barlow Semi Condensed" w:hAnsi="Barlow Semi Condensed"/>
          <w:sz w:val="24"/>
          <w:szCs w:val="24"/>
        </w:rPr>
        <w:t xml:space="preserve"> (gruppo Giunti)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proposte-chiarelettere-bompiani.md</w:t>
      </w:r>
      <w:r>
        <w:rPr>
          <w:rFonts w:ascii="Barlow Semi Condensed" w:cs="Barlow Semi Condensed" w:eastAsia="Barlow Semi Condensed" w:hAnsi="Barlow Semi Condensed"/>
          <w:sz w:val="24"/>
          <w:szCs w:val="24"/>
        </w:rPr>
        <w:t xml:space="preserve">, sezione 2</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Formato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PDF sotto i 5 MB.</w:t>
      </w:r>
      <w:r>
        <w:rPr>
          <w:rFonts w:ascii="Barlow Semi Condensed" w:cs="Barlow Semi Condensed" w:eastAsia="Barlow Semi Condensed" w:hAnsi="Barlow Semi Condensed"/>
          <w:sz w:val="24"/>
          <w:szCs w:val="24"/>
        </w:rPr>
        <w:t xml:space="preserve"> Niente bozze, testi incompleti,</w:t>
      </w:r>
    </w:p>
    <w:p>
      <w:pPr>
        <w:spacing w:after="120" w:line="276"/>
        <w:jc w:val="both"/>
      </w:pPr>
      <w:r>
        <w:rPr>
          <w:rFonts w:ascii="Barlow Semi Condensed" w:cs="Barlow Semi Condensed" w:eastAsia="Barlow Semi Condensed" w:hAnsi="Barlow Semi Condensed"/>
          <w:sz w:val="24"/>
          <w:szCs w:val="24"/>
        </w:rPr>
        <w:t xml:space="preserve">  collegamenti o file su cloud</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risposta solo in caso d'interesse. Niente telefonate, testi non</w:t>
      </w:r>
    </w:p>
    <w:p>
      <w:pPr>
        <w:spacing w:after="120" w:line="276"/>
        <w:jc w:val="both"/>
      </w:pPr>
      <w:r>
        <w:rPr>
          <w:rFonts w:ascii="Barlow Semi Condensed" w:cs="Barlow Semi Condensed" w:eastAsia="Barlow Semi Condensed" w:hAnsi="Barlow Semi Condensed"/>
          <w:sz w:val="24"/>
          <w:szCs w:val="24"/>
        </w:rPr>
        <w:t xml:space="preserve">  restituiti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Regola che decide tutto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una sola proposta ogni dodici mesi.</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  spenderla su un libro non ancora scritto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 Einaudi — ✓ · racconto · a opera scritta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einaudi@einaudi.it</w:t>
      </w:r>
      <w:r>
        <w:rPr>
          <w:rFonts w:ascii="Barlow Semi Condensed" w:cs="Barlow Semi Condensed" w:eastAsia="Barlow Semi Condensed" w:hAnsi="Barlow Semi Condensed"/>
          <w:sz w:val="24"/>
          <w:szCs w:val="24"/>
        </w:rPr>
        <w:t xml:space="preserve"> (saggistica)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3</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 obbligatori</w:t>
      </w:r>
      <w:r>
        <w:rPr>
          <w:rFonts w:ascii="Barlow Semi Condensed" w:cs="Barlow Semi Condensed" w:eastAsia="Barlow Semi Condensed" w:hAnsi="Barlow Semi Condensed"/>
          <w:sz w:val="24"/>
          <w:szCs w:val="24"/>
        </w:rPr>
        <w:t xml:space="preserve"> · curriculum · il testo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Requisito che si dimentica</w:t>
      </w:r>
      <w:r>
        <w:rPr>
          <w:rFonts w:ascii="Barlow Semi Condensed" w:cs="Barlow Semi Condensed" w:eastAsia="Barlow Semi Condensed" w:hAnsi="Barlow Semi Condensed"/>
          <w:sz w:val="24"/>
          <w:szCs w:val="24"/>
        </w:rPr>
        <w:t xml:space="preserve"> · nome, indirizzo, email e telefono **anche in</w:t>
      </w:r>
    </w:p>
    <w:p>
      <w:pPr>
        <w:spacing w:after="120" w:line="276"/>
        <w:jc w:val="both"/>
      </w:pPr>
      <w:r>
        <w:rPr>
          <w:rFonts w:ascii="Barlow Semi Condensed" w:cs="Barlow Semi Condensed" w:eastAsia="Barlow Semi Condensed" w:hAnsi="Barlow Semi Condensed"/>
          <w:sz w:val="24"/>
          <w:szCs w:val="24"/>
        </w:rPr>
        <w:t xml:space="preserve">  testa al documento allegato**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risposta solo in caso d'interesse, intorno ai </w:t>
      </w:r>
      <w:r>
        <w:rPr>
          <w:rFonts w:ascii="Barlow Semi Condensed" w:cs="Barlow Semi Condensed" w:eastAsia="Barlow Semi Condensed" w:hAnsi="Barlow Semi Condensed"/>
          <w:b/>
          <w:bCs/>
          <w:sz w:val="24"/>
          <w:szCs w:val="24"/>
        </w:rPr>
        <w:t xml:space="preserve">sei mesi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valuta </w:t>
      </w:r>
      <w:r>
        <w:rPr>
          <w:rFonts w:ascii="Barlow Semi Condensed" w:cs="Barlow Semi Condensed" w:eastAsia="Barlow Semi Condensed" w:hAnsi="Barlow Semi Condensed"/>
          <w:b/>
          <w:bCs/>
          <w:sz w:val="24"/>
          <w:szCs w:val="24"/>
        </w:rPr>
        <w:t xml:space="preserve">l'opera, non l'idea</w:t>
      </w:r>
      <w:r>
        <w:rPr>
          <w:rFonts w:ascii="Barlow Semi Condensed" w:cs="Barlow Semi Condensed" w:eastAsia="Barlow Semi Condensed" w:hAnsi="Barlow Semi Condensed"/>
          <w:sz w:val="24"/>
          <w:szCs w:val="24"/>
        </w:rPr>
        <w:t xml:space="preserve">. **Inviare solo a saggio</w:t>
      </w:r>
    </w:p>
    <w:p>
      <w:pPr>
        <w:spacing w:after="120" w:line="276"/>
        <w:jc w:val="both"/>
      </w:pPr>
      <w:r>
        <w:rPr>
          <w:rFonts w:ascii="Barlow Semi Condensed" w:cs="Barlow Semi Condensed" w:eastAsia="Barlow Semi Condensed" w:hAnsi="Barlow Semi Condensed"/>
          <w:sz w:val="24"/>
          <w:szCs w:val="24"/>
        </w:rPr>
        <w:t xml:space="preserve">  scritto**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 Feltrinelli — ? · ricezione sospesa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Grado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incerto</w:t>
      </w:r>
      <w:r>
        <w:rPr>
          <w:rFonts w:ascii="Barlow Semi Condensed" w:cs="Barlow Semi Condensed" w:eastAsia="Barlow Semi Condensed" w:hAnsi="Barlow Semi Condensed"/>
          <w:sz w:val="24"/>
          <w:szCs w:val="24"/>
        </w:rPr>
        <w:t xml:space="preserve">: il sito non si è aperto dall'ambiente di ricerca. Da</w:t>
      </w:r>
    </w:p>
    <w:p>
      <w:pPr>
        <w:spacing w:after="120" w:line="276"/>
        <w:jc w:val="both"/>
      </w:pPr>
      <w:r>
        <w:rPr>
          <w:rFonts w:ascii="Barlow Semi Condensed" w:cs="Barlow Semi Condensed" w:eastAsia="Barlow Semi Condensed" w:hAnsi="Barlow Semi Condensed"/>
          <w:sz w:val="24"/>
          <w:szCs w:val="24"/>
        </w:rPr>
        <w:t xml:space="preserve">  riverificare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conflitto d'oggetto, che va detto e non aggirato</w:t>
      </w:r>
      <w:r>
        <w:rPr>
          <w:rFonts w:ascii="Barlow Semi Condensed" w:cs="Barlow Semi Condensed" w:eastAsia="Barlow Semi Condensed" w:hAnsi="Barlow Semi Condensed"/>
          <w:sz w:val="24"/>
          <w:szCs w:val="24"/>
        </w:rPr>
        <w:t xml:space="preserve"> · il corpus contiene</w:t>
      </w:r>
    </w:p>
    <w:p>
      <w:pPr>
        <w:spacing w:after="120" w:line="276"/>
        <w:jc w:val="both"/>
      </w:pPr>
      <w:r>
        <w:rPr>
          <w:rFonts w:ascii="Barlow Semi Condensed" w:cs="Barlow Semi Condensed" w:eastAsia="Barlow Semi Condensed" w:hAnsi="Barlow Semi Condensed"/>
          <w:sz w:val="24"/>
          <w:szCs w:val="24"/>
        </w:rPr>
        <w:t xml:space="preserve">  uno studio monografico su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e la sua morte è uno dei</w:t>
      </w:r>
    </w:p>
    <w:p>
      <w:pPr>
        <w:spacing w:after="120" w:line="276"/>
        <w:jc w:val="both"/>
      </w:pPr>
      <w:r>
        <w:rPr>
          <w:rFonts w:ascii="Barlow Semi Condensed" w:cs="Barlow Semi Condensed" w:eastAsia="Barlow Semi Condensed" w:hAnsi="Barlow Semi Condensed"/>
          <w:sz w:val="24"/>
          <w:szCs w:val="24"/>
        </w:rPr>
        <w:t xml:space="preserve">  nodi registrati. Proporre l'opera alla casa che egli fondò non è scorretto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tacerlo sì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 il canale riaprisse</w:t>
      </w:r>
      <w:r>
        <w:rPr>
          <w:rFonts w:ascii="Barlow Semi Condensed" w:cs="Barlow Semi Condensed" w:eastAsia="Barlow Semi Condensed" w:hAnsi="Barlow Semi Condensed"/>
          <w:sz w:val="24"/>
          <w:szCs w:val="24"/>
        </w:rPr>
        <w:t xml:space="preserve"> · la circostanza va dichiarata **nelle prime tre</w:t>
      </w:r>
    </w:p>
    <w:p>
      <w:pPr>
        <w:spacing w:after="120" w:line="276"/>
        <w:jc w:val="both"/>
      </w:pPr>
      <w:r>
        <w:rPr>
          <w:rFonts w:ascii="Barlow Semi Condensed" w:cs="Barlow Semi Condensed" w:eastAsia="Barlow Semi Condensed" w:hAnsi="Barlow Semi Condensed"/>
          <w:sz w:val="24"/>
          <w:szCs w:val="24"/>
        </w:rPr>
        <w:t xml:space="preserve">  righe**, con: i fatti del 14 marzo 1972 trattati con gli stessi gradi di tutto</w:t>
      </w:r>
    </w:p>
    <w:p>
      <w:pPr>
        <w:spacing w:after="120" w:line="276"/>
        <w:jc w:val="both"/>
      </w:pPr>
      <w:r>
        <w:rPr>
          <w:rFonts w:ascii="Barlow Semi Condensed" w:cs="Barlow Semi Condensed" w:eastAsia="Barlow Semi Condensed" w:hAnsi="Barlow Semi Condensed"/>
          <w:sz w:val="24"/>
          <w:szCs w:val="24"/>
        </w:rPr>
        <w:t xml:space="preserve">  il resto; nessuna persona indicata come responsabile oltre il giudicato; e che</w:t>
      </w:r>
    </w:p>
    <w:p>
      <w:pPr>
        <w:spacing w:after="120" w:line="276"/>
        <w:jc w:val="both"/>
      </w:pPr>
      <w:r>
        <w:rPr>
          <w:rFonts w:ascii="Barlow Semi Condensed" w:cs="Barlow Semi Condensed" w:eastAsia="Barlow Semi Condensed" w:hAnsi="Barlow Semi Condensed"/>
          <w:sz w:val="24"/>
          <w:szCs w:val="24"/>
        </w:rPr>
        <w:t xml:space="preserve">  **nel Libro quarto il nome Feltrinelli compare una sola volta, in un passo</w:t>
      </w:r>
    </w:p>
    <w:p>
      <w:pPr>
        <w:spacing w:after="120" w:line="276"/>
        <w:jc w:val="both"/>
      </w:pPr>
      <w:r>
        <w:rPr>
          <w:rFonts w:ascii="Barlow Semi Condensed" w:cs="Barlow Semi Condensed" w:eastAsia="Barlow Semi Condensed" w:hAnsi="Barlow Semi Condensed"/>
          <w:sz w:val="24"/>
          <w:szCs w:val="24"/>
        </w:rPr>
        <w:t xml:space="preserve">  biografico, e mai nella graduatoria**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Ometterlo</w:t>
      </w:r>
      <w:r>
        <w:rPr>
          <w:rFonts w:ascii="Barlow Semi Condensed" w:cs="Barlow Semi Condensed" w:eastAsia="Barlow Semi Condensed" w:hAnsi="Barlow Semi Condensed"/>
          <w:sz w:val="24"/>
          <w:szCs w:val="24"/>
        </w:rPr>
        <w:t xml:space="preserve"> · sembrare di non aver letto il proprio corpus, oppure di aver</w:t>
      </w:r>
    </w:p>
    <w:p>
      <w:pPr>
        <w:spacing w:after="120" w:line="276"/>
        <w:jc w:val="both"/>
      </w:pPr>
      <w:r>
        <w:rPr>
          <w:rFonts w:ascii="Barlow Semi Condensed" w:cs="Barlow Semi Condensed" w:eastAsia="Barlow Semi Condensed" w:hAnsi="Barlow Semi Condensed"/>
          <w:sz w:val="24"/>
          <w:szCs w:val="24"/>
        </w:rPr>
        <w:t xml:space="preserve">  scelto quell'editore per provocazione. Entrambi rovinosi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canale riverificato il ……… · esito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 Bollati Boringhieri — ✗ · porta giusta senza maniglia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nessuno diretto</w:t>
      </w:r>
      <w:r>
        <w:rPr>
          <w:rFonts w:ascii="Barlow Semi Condensed" w:cs="Barlow Semi Condensed" w:eastAsia="Barlow Semi Condensed" w:hAnsi="Barlow Semi Condensed"/>
          <w:sz w:val="24"/>
          <w:szCs w:val="24"/>
        </w:rPr>
        <w:t xml:space="preserve">: non valuta manoscritti spontanei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Grado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incerto</w:t>
      </w:r>
      <w:r>
        <w:rPr>
          <w:rFonts w:ascii="Barlow Semi Condensed" w:cs="Barlow Semi Condensed" w:eastAsia="Barlow Semi Condensed" w:hAnsi="Barlow Semi Condensed"/>
          <w:sz w:val="24"/>
          <w:szCs w:val="24"/>
        </w:rPr>
        <w:t xml:space="preserve">, stessa ragione di Feltrinelli. Riverificare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praticabile</w:t>
      </w:r>
      <w:r>
        <w:rPr>
          <w:rFonts w:ascii="Barlow Semi Condensed" w:cs="Barlow Semi Condensed" w:eastAsia="Barlow Semi Condensed" w:hAnsi="Barlow Semi Condensed"/>
          <w:sz w:val="24"/>
          <w:szCs w:val="24"/>
        </w:rPr>
        <w:t xml:space="preserve"> · un </w:t>
      </w:r>
      <w:r>
        <w:rPr>
          <w:rFonts w:ascii="Barlow Semi Condensed" w:cs="Barlow Semi Condensed" w:eastAsia="Barlow Semi Condensed" w:hAnsi="Barlow Semi Condensed"/>
          <w:b/>
          <w:bCs/>
          <w:sz w:val="24"/>
          <w:szCs w:val="24"/>
        </w:rPr>
        <w:t xml:space="preserve">agente letterario</w:t>
      </w:r>
      <w:r>
        <w:rPr>
          <w:rFonts w:ascii="Barlow Semi Condensed" w:cs="Barlow Semi Condensed" w:eastAsia="Barlow Semi Condensed" w:hAnsi="Barlow Semi Condensed"/>
          <w:sz w:val="24"/>
          <w:szCs w:val="24"/>
        </w:rPr>
        <w:t xml:space="preserve"> — e un agente si cerca </w:t>
      </w:r>
      <w:r>
        <w:rPr>
          <w:rFonts w:ascii="Barlow Semi Condensed" w:cs="Barlow Semi Condensed" w:eastAsia="Barlow Semi Condensed" w:hAnsi="Barlow Semi Condensed"/>
          <w:b/>
          <w:bCs/>
          <w:sz w:val="24"/>
          <w:szCs w:val="24"/>
        </w:rPr>
        <w:t xml:space="preserve">dopo</w:t>
      </w:r>
    </w:p>
    <w:p>
      <w:pPr>
        <w:spacing w:after="120" w:line="276"/>
        <w:jc w:val="both"/>
      </w:pPr>
      <w:r>
        <w:rPr>
          <w:rFonts w:ascii="Barlow Semi Condensed" w:cs="Barlow Semi Condensed" w:eastAsia="Barlow Semi Condensed" w:hAnsi="Barlow Semi Condensed"/>
          <w:sz w:val="24"/>
          <w:szCs w:val="24"/>
        </w:rPr>
        <w:t xml:space="preserve">  che il saggio è scritto, perché è l'unica cosa da mostrargli. Nota:</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Bollati e Chiarelettere sono dello stesso gruppo</w:t>
      </w:r>
      <w:r>
        <w:rPr>
          <w:rFonts w:ascii="Barlow Semi Condensed" w:cs="Barlow Semi Condensed" w:eastAsia="Barlow Semi Condensed" w:hAnsi="Barlow Semi Condensed"/>
          <w:sz w:val="24"/>
          <w:szCs w:val="24"/>
        </w:rPr>
        <w:t xml:space="preserve">, e un agente che lo copra</w:t>
      </w:r>
    </w:p>
    <w:p>
      <w:pPr>
        <w:spacing w:after="120" w:line="276"/>
        <w:jc w:val="both"/>
      </w:pPr>
      <w:r>
        <w:rPr>
          <w:rFonts w:ascii="Barlow Semi Condensed" w:cs="Barlow Semi Condensed" w:eastAsia="Barlow Semi Condensed" w:hAnsi="Barlow Semi Condensed"/>
          <w:sz w:val="24"/>
          <w:szCs w:val="24"/>
        </w:rPr>
        <w:t xml:space="preserve">  raggiunge entrambi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canale riverificato il ……… · esito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 Astrolabio-Ubaldini — ✓ ma fuori catalogo · non inviare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b.ciampichetti@astrolabio-ubaldini.com</w:t>
      </w:r>
      <w:r>
        <w:rPr>
          <w:rFonts w:ascii="Barlow Semi Condensed" w:cs="Barlow Semi Condensed" w:eastAsia="Barlow Semi Condensed" w:hAnsi="Barlow Semi Condensed"/>
          <w:sz w:val="24"/>
          <w:szCs w:val="24"/>
        </w:rPr>
        <w:t xml:space="preserve"> · via Guido d'Arezzo 16,</w:t>
      </w:r>
    </w:p>
    <w:p>
      <w:pPr>
        <w:spacing w:after="120" w:line="276"/>
        <w:jc w:val="both"/>
      </w:pPr>
      <w:r>
        <w:rPr>
          <w:rFonts w:ascii="Barlow Semi Condensed" w:cs="Barlow Semi Condensed" w:eastAsia="Barlow Semi Condensed" w:hAnsi="Barlow Semi Condensed"/>
          <w:sz w:val="24"/>
          <w:szCs w:val="24"/>
        </w:rPr>
        <w:t xml:space="preserve">  00198 Roma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vincolo</w:t>
      </w:r>
      <w:r>
        <w:rPr>
          <w:rFonts w:ascii="Barlow Semi Condensed" w:cs="Barlow Semi Condensed" w:eastAsia="Barlow Semi Condensed" w:hAnsi="Barlow Semi Condensed"/>
          <w:sz w:val="24"/>
          <w:szCs w:val="24"/>
        </w:rPr>
        <w:t xml:space="preserve"> · valuta </w:t>
      </w:r>
      <w:r>
        <w:rPr>
          <w:rFonts w:ascii="Barlow Semi Condensed" w:cs="Barlow Semi Condensed" w:eastAsia="Barlow Semi Condensed" w:hAnsi="Barlow Semi Condensed"/>
          <w:b/>
          <w:bCs/>
          <w:sz w:val="24"/>
          <w:szCs w:val="24"/>
        </w:rPr>
        <w:t xml:space="preserve">soltanto</w:t>
      </w:r>
      <w:r>
        <w:rPr>
          <w:rFonts w:ascii="Barlow Semi Condensed" w:cs="Barlow Semi Condensed" w:eastAsia="Barlow Semi Condensed" w:hAnsi="Barlow Semi Condensed"/>
          <w:sz w:val="24"/>
          <w:szCs w:val="24"/>
        </w:rPr>
        <w:t xml:space="preserve"> psicologia del profondo e filosofie e</w:t>
      </w:r>
    </w:p>
    <w:p>
      <w:pPr>
        <w:spacing w:after="120" w:line="276"/>
        <w:jc w:val="both"/>
      </w:pPr>
      <w:r>
        <w:rPr>
          <w:rFonts w:ascii="Barlow Semi Condensed" w:cs="Barlow Semi Condensed" w:eastAsia="Barlow Semi Condensed" w:hAnsi="Barlow Semi Condensed"/>
          <w:sz w:val="24"/>
          <w:szCs w:val="24"/>
        </w:rPr>
        <w:t xml:space="preserve">  religioni orientali. Il libro non appartiene al perimetro che l'editore</w:t>
      </w:r>
    </w:p>
    <w:p>
      <w:pPr>
        <w:spacing w:after="120" w:line="276"/>
        <w:jc w:val="both"/>
      </w:pPr>
      <w:r>
        <w:rPr>
          <w:rFonts w:ascii="Barlow Semi Condensed" w:cs="Barlow Semi Condensed" w:eastAsia="Barlow Semi Condensed" w:hAnsi="Barlow Semi Condensed"/>
          <w:sz w:val="24"/>
          <w:szCs w:val="24"/>
        </w:rPr>
        <w:t xml:space="preserve">  dichiara. Non è un giudizio sull'editore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Omonimia da sciogliere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«L'Astrolabio»</w:t>
      </w:r>
      <w:r>
        <w:rPr>
          <w:rFonts w:ascii="Barlow Semi Condensed" w:cs="Barlow Semi Condensed" w:eastAsia="Barlow Semi Condensed" w:hAnsi="Barlow Semi Condensed"/>
          <w:sz w:val="24"/>
          <w:szCs w:val="24"/>
        </w:rPr>
        <w:t xml:space="preserve">, il periodico di Ferruccio</w:t>
      </w:r>
    </w:p>
    <w:p>
      <w:pPr>
        <w:spacing w:after="120" w:line="276"/>
        <w:jc w:val="both"/>
      </w:pPr>
      <w:r>
        <w:rPr>
          <w:rFonts w:ascii="Barlow Semi Condensed" w:cs="Barlow Semi Condensed" w:eastAsia="Barlow Semi Condensed" w:hAnsi="Barlow Semi Condensed"/>
          <w:sz w:val="24"/>
          <w:szCs w:val="24"/>
        </w:rPr>
        <w:t xml:space="preserve">  Parri, è tutt'altro: se l'intenzione era quella, il destinatario è</w:t>
      </w:r>
    </w:p>
    <w:p>
      <w:pPr>
        <w:spacing w:after="120" w:line="276"/>
        <w:jc w:val="both"/>
      </w:pP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Istituto nazionale Ferruccio Parri</w:t>
      </w:r>
      <w:r>
        <w:rPr>
          <w:rFonts w:ascii="Barlow Semi Condensed" w:cs="Barlow Semi Condensed" w:eastAsia="Barlow Semi Condensed" w:hAnsi="Barlow Semi Condensed"/>
          <w:sz w:val="24"/>
          <w:szCs w:val="24"/>
        </w:rPr>
        <w:t xml:space="preserve"> — che è già in ondata 0, alla voce</w:t>
      </w:r>
    </w:p>
    <w:p>
      <w:pPr>
        <w:spacing w:after="120" w:line="276"/>
        <w:jc w:val="both"/>
      </w:pPr>
      <w:r>
        <w:rPr>
          <w:rFonts w:ascii="Barlow Semi Condensed" w:cs="Barlow Semi Condensed" w:eastAsia="Barlow Semi Condensed" w:hAnsi="Barlow Semi Condensed"/>
          <w:sz w:val="24"/>
          <w:szCs w:val="24"/>
        </w:rPr>
        <w:t xml:space="preserve">  apparato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deciso di non inviare, il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oppure: ridiretto all'Istituto Parri,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10 · Zenodo — deposito, non proposta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 opera integrale · indice del ramo · note bibliografiche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Licenza</w:t>
      </w:r>
      <w:r>
        <w:rPr>
          <w:rFonts w:ascii="Barlow Semi Condensed" w:cs="Barlow Semi Condensed" w:eastAsia="Barlow Semi Condensed" w:hAnsi="Barlow Semi Condensed"/>
          <w:sz w:val="24"/>
          <w:szCs w:val="24"/>
        </w:rPr>
        <w:t xml:space="preserve"> · da scegliere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di caricare: cambiarla dopo è possibile ma</w:t>
      </w:r>
    </w:p>
    <w:p>
      <w:pPr>
        <w:spacing w:after="120" w:line="276"/>
        <w:jc w:val="both"/>
      </w:pPr>
      <w:r>
        <w:rPr>
          <w:rFonts w:ascii="Barlow Semi Condensed" w:cs="Barlow Semi Condensed" w:eastAsia="Barlow Semi Condensed" w:hAnsi="Barlow Semi Condensed"/>
          <w:sz w:val="24"/>
          <w:szCs w:val="24"/>
        </w:rPr>
        <w:t xml:space="preserve">  sgradevole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depositato il ……… · DOI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Tracciamento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Ondata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Inviato</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Risposta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0b</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il Mulino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Carocci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4</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5</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Bompiani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6</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7</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sospeso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8</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Bollati Boringhieri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via agente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9</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Astrolabio-Ubaldini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escluso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«Italia contemporanea»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parallelo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Edizione Nazionale Moro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da valutare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manca ancora</w:t>
      </w:r>
    </w:p>
    <w:p>
      <w:pPr>
        <w:spacing w:after="120" w:line="276"/>
        <w:jc w:val="both"/>
      </w:pPr>
      <w:r>
        <w:rPr>
          <w:rFonts w:ascii="Barlow Semi Condensed" w:cs="Barlow Semi Condensed" w:eastAsia="Barlow Semi Condensed" w:hAnsi="Barlow Semi Condensed"/>
          <w:b/>
          <w:bCs/>
          <w:sz w:val="24"/>
          <w:szCs w:val="24"/>
        </w:rPr>
        <w:t xml:space="preserve">Tutte e sei le porte praticabili hanno il loro testo.</w:t>
      </w:r>
      <w:r>
        <w:rPr>
          <w:rFonts w:ascii="Barlow Semi Condensed" w:cs="Barlow Semi Condensed" w:eastAsia="Barlow Semi Condensed" w:hAnsi="Barlow Semi Condensed"/>
          <w:sz w:val="24"/>
          <w:szCs w:val="24"/>
        </w:rPr>
        <w:t xml:space="preserve"> Restano due cose,</w:t>
      </w:r>
    </w:p>
    <w:p>
      <w:pPr>
        <w:spacing w:after="120" w:line="276"/>
        <w:jc w:val="both"/>
      </w:pPr>
      <w:r>
        <w:rPr>
          <w:rFonts w:ascii="Barlow Semi Condensed" w:cs="Barlow Semi Condensed" w:eastAsia="Barlow Semi Condensed" w:hAnsi="Barlow Semi Condensed"/>
          <w:sz w:val="24"/>
          <w:szCs w:val="24"/>
        </w:rPr>
        <w:t xml:space="preserve">e nessuna delle due è una proposta da scrivere.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saggio</w:t>
      </w:r>
      <w:r>
        <w:rPr>
          <w:rFonts w:ascii="Barlow Semi Condensed" w:cs="Barlow Semi Condensed" w:eastAsia="Barlow Semi Condensed" w:hAnsi="Barlow Semi Condensed"/>
          <w:sz w:val="24"/>
          <w:szCs w:val="24"/>
        </w:rPr>
        <w:t xml:space="preserve">, che è il testo vero: la proposta a Bompiani non parte finché</w:t>
      </w:r>
    </w:p>
    <w:p>
      <w:pPr>
        <w:spacing w:after="120" w:line="276"/>
        <w:jc w:val="both"/>
      </w:pPr>
      <w:r>
        <w:rPr>
          <w:rFonts w:ascii="Barlow Semi Condensed" w:cs="Barlow Semi Condensed" w:eastAsia="Barlow Semi Condensed" w:hAnsi="Barlow Semi Condensed"/>
          <w:sz w:val="24"/>
          <w:szCs w:val="24"/>
        </w:rPr>
        <w:t xml:space="preserve">      non è scritto, e quella a Einaudi nemmeno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(eventuale)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Feltrinelli</w:t>
      </w:r>
      <w:r>
        <w:rPr>
          <w:rFonts w:ascii="Barlow Semi Condensed" w:cs="Barlow Semi Condensed" w:eastAsia="Barlow Semi Condensed" w:hAnsi="Barlow Semi Condensed"/>
          <w:sz w:val="24"/>
          <w:szCs w:val="24"/>
        </w:rPr>
        <w:t xml:space="preserve">, solo a canale riaperto, col conflitto</w:t>
      </w:r>
    </w:p>
    <w:p>
      <w:pPr>
        <w:spacing w:after="120" w:line="276"/>
        <w:jc w:val="both"/>
      </w:pPr>
      <w:r>
        <w:rPr>
          <w:rFonts w:ascii="Barlow Semi Condensed" w:cs="Barlow Semi Condensed" w:eastAsia="Barlow Semi Condensed" w:hAnsi="Barlow Semi Condensed"/>
          <w:sz w:val="24"/>
          <w:szCs w:val="24"/>
        </w:rPr>
        <w:t xml:space="preserve">      d'oggetto in apertura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Nota di quattro pagine</w:t>
      </w:r>
      <w:r>
        <w:rPr>
          <w:rFonts w:ascii="Barlow Semi Condensed" w:cs="Barlow Semi Condensed" w:eastAsia="Barlow Semi Condensed" w:hAnsi="Barlow Semi Condensed"/>
          <w:sz w:val="24"/>
          <w:szCs w:val="24"/>
        </w:rPr>
        <w:t xml:space="preserve"> per una rivista di storia contemporanea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 arriva un rifiuto</w:t>
      </w:r>
    </w:p>
    <w:p>
      <w:pPr>
        <w:spacing w:after="120" w:line="276"/>
        <w:jc w:val="both"/>
      </w:pPr>
      <w:r>
        <w:rPr>
          <w:rFonts w:ascii="Barlow Semi Condensed" w:cs="Barlow Semi Condensed" w:eastAsia="Barlow Semi Condensed" w:hAnsi="Barlow Semi Condensed"/>
          <w:sz w:val="24"/>
          <w:szCs w:val="24"/>
        </w:rPr>
        <w:t xml:space="preserve">Non è un giudizio sul lavoro: quasi sempre è un giudizio sul catalogo di chi lo</w:t>
      </w:r>
    </w:p>
    <w:p>
      <w:pPr>
        <w:spacing w:after="120" w:line="276"/>
        <w:jc w:val="both"/>
      </w:pPr>
      <w:r>
        <w:rPr>
          <w:rFonts w:ascii="Barlow Semi Condensed" w:cs="Barlow Semi Condensed" w:eastAsia="Barlow Semi Condensed" w:hAnsi="Barlow Semi Condensed"/>
          <w:sz w:val="24"/>
          <w:szCs w:val="24"/>
        </w:rPr>
        <w:t xml:space="preserve">emette. Si registra nella tabella e basta.</w:t>
      </w:r>
    </w:p>
    <w:p>
      <w:pPr>
        <w:spacing w:after="120" w:line="276"/>
        <w:jc w:val="both"/>
      </w:pPr>
      <w:r>
        <w:rPr>
          <w:rFonts w:ascii="Barlow Semi Condensed" w:cs="Barlow Semi Condensed" w:eastAsia="Barlow Semi Condensed" w:hAnsi="Barlow Semi Condensed"/>
          <w:b/>
          <w:bCs/>
          <w:sz w:val="24"/>
          <w:szCs w:val="24"/>
        </w:rPr>
        <w:t xml:space="preserve">Non si chiede il motivo.</w:t>
      </w:r>
      <w:r>
        <w:rPr>
          <w:rFonts w:ascii="Barlow Semi Condensed" w:cs="Barlow Semi Condensed" w:eastAsia="Barlow Semi Condensed" w:hAnsi="Barlow Semi Condensed"/>
          <w:sz w:val="24"/>
          <w:szCs w:val="24"/>
        </w:rPr>
        <w:t xml:space="preserve"> Non si manda una versione rivista a chi non l'ha</w:t>
      </w:r>
    </w:p>
    <w:p>
      <w:pPr>
        <w:spacing w:after="120" w:line="276"/>
        <w:jc w:val="both"/>
      </w:pPr>
      <w:r>
        <w:rPr>
          <w:rFonts w:ascii="Barlow Semi Condensed" w:cs="Barlow Semi Condensed" w:eastAsia="Barlow Semi Condensed" w:hAnsi="Barlow Semi Condensed"/>
          <w:sz w:val="24"/>
          <w:szCs w:val="24"/>
        </w:rPr>
        <w:t xml:space="preserve">chiesta. Non si rispedisce la stessa proposta mesi dopo sperando in un lettore</w:t>
      </w:r>
    </w:p>
    <w:p>
      <w:pPr>
        <w:spacing w:after="120" w:line="276"/>
        <w:jc w:val="both"/>
      </w:pPr>
      <w:r>
        <w:rPr>
          <w:rFonts w:ascii="Barlow Semi Condensed" w:cs="Barlow Semi Condensed" w:eastAsia="Barlow Semi Condensed" w:hAnsi="Barlow Semi Condensed"/>
          <w:sz w:val="24"/>
          <w:szCs w:val="24"/>
        </w:rPr>
        <w:t xml:space="preserve">diverso: dove vige la regola dei dodici mesi, violarla chiude la porta anche per</w:t>
      </w:r>
    </w:p>
    <w:p>
      <w:pPr>
        <w:spacing w:after="120" w:line="276"/>
        <w:jc w:val="both"/>
      </w:pPr>
      <w:r>
        <w:rPr>
          <w:rFonts w:ascii="Barlow Semi Condensed" w:cs="Barlow Semi Condensed" w:eastAsia="Barlow Semi Condensed" w:hAnsi="Barlow Semi Condensed"/>
          <w:sz w:val="24"/>
          <w:szCs w:val="24"/>
        </w:rPr>
        <w:t xml:space="preserve">la volta buona.</w:t>
      </w:r>
    </w:p>
    <w:p>
      <w:pPr>
        <w:pStyle w:val="Heading2"/>
        <w:spacing w:after="100" w:before="200"/>
      </w:pPr>
      <w:r>
        <w:rPr>
          <w:rFonts w:ascii="Barlow Semi Condensed" w:cs="Barlow Semi Condensed" w:eastAsia="Barlow Semi Condensed" w:hAnsi="Barlow Semi Condensed"/>
          <w:sz w:val="24"/>
          <w:szCs w:val="24"/>
        </w:rPr>
        <w:t xml:space="preserve">Se arriva un interesse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Quale collana</w:t>
      </w:r>
      <w:r>
        <w:rPr>
          <w:rFonts w:ascii="Barlow Semi Condensed" w:cs="Barlow Semi Condensed" w:eastAsia="Barlow Semi Condensed" w:hAnsi="Barlow Semi Condensed"/>
          <w:sz w:val="24"/>
          <w:szCs w:val="24"/>
        </w:rPr>
        <w:t xml:space="preserve"> — determina lunghezza, tono e lettori.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Quali tempi</w:t>
      </w:r>
      <w:r>
        <w:rPr>
          <w:rFonts w:ascii="Barlow Semi Condensed" w:cs="Barlow Semi Condensed" w:eastAsia="Barlow Semi Condensed" w:hAnsi="Barlow Semi Condensed"/>
          <w:sz w:val="24"/>
          <w:szCs w:val="24"/>
        </w:rPr>
        <w:t xml:space="preserve"> — il testo è da scrivere, e una scadenza irreale è il modo più</w:t>
      </w:r>
    </w:p>
    <w:p>
      <w:pPr>
        <w:spacing w:after="120" w:line="276"/>
        <w:jc w:val="both"/>
      </w:pPr>
      <w:r>
        <w:rPr>
          <w:rFonts w:ascii="Barlow Semi Condensed" w:cs="Barlow Semi Condensed" w:eastAsia="Barlow Semi Condensed" w:hAnsi="Barlow Semi Condensed"/>
          <w:sz w:val="24"/>
          <w:szCs w:val="24"/>
        </w:rPr>
        <w:t xml:space="preserve">   comune di rovinare un buon progetto.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Avvertire gli altri in attesa</w:t>
      </w:r>
      <w:r>
        <w:rPr>
          <w:rFonts w:ascii="Barlow Semi Condensed" w:cs="Barlow Semi Condensed" w:eastAsia="Barlow Semi Condensed" w:hAnsi="Barlow Semi Condensed"/>
          <w:sz w:val="24"/>
          <w:szCs w:val="24"/>
        </w:rPr>
        <w:t xml:space="preserve"> — costa tre righe e vale una reputazione.</w:t>
      </w:r>
    </w:p>
    <w:p>
      <w:pPr>
        <w:spacing w:after="40"/>
        <w:ind w:left="360"/>
        <w:jc w:val="both"/>
      </w:pPr>
      <w:r>
        <w:rPr>
          <w:rFonts w:ascii="Barlow Semi Condensed" w:cs="Barlow Semi Condensed" w:eastAsia="Barlow Semi Condensed" w:hAnsi="Barlow Semi Condensed"/>
          <w:sz w:val="24"/>
          <w:szCs w:val="24"/>
        </w:rPr>
        <w:t xml:space="preserve">4. **Verificare che la dichiarazione sull'intelligenza artificiale resti in</w:t>
      </w:r>
    </w:p>
    <w:p>
      <w:pPr>
        <w:spacing w:after="120" w:line="276"/>
        <w:jc w:val="both"/>
      </w:pPr>
      <w:r>
        <w:rPr>
          <w:rFonts w:ascii="Barlow Semi Condensed" w:cs="Barlow Semi Condensed" w:eastAsia="Barlow Semi Condensed" w:hAnsi="Barlow Semi Condensed"/>
          <w:sz w:val="24"/>
          <w:szCs w:val="24"/>
        </w:rPr>
        <w:t xml:space="preserve">   apertura**, in qualunque forma il libro prenda. Se un editore chiedesse di</w:t>
      </w:r>
    </w:p>
    <w:p>
      <w:pPr>
        <w:spacing w:after="120" w:line="276"/>
        <w:jc w:val="both"/>
      </w:pPr>
      <w:r>
        <w:rPr>
          <w:rFonts w:ascii="Barlow Semi Condensed" w:cs="Barlow Semi Condensed" w:eastAsia="Barlow Semi Condensed" w:hAnsi="Barlow Semi Condensed"/>
          <w:sz w:val="24"/>
          <w:szCs w:val="24"/>
        </w:rPr>
        <w:t xml:space="preserve">   spostarla in fondo o di attenuarla, non è una richiesta redazionale: è la</w:t>
      </w:r>
    </w:p>
    <w:p>
      <w:pPr>
        <w:spacing w:after="120" w:line="276"/>
        <w:jc w:val="both"/>
      </w:pPr>
      <w:r>
        <w:rPr>
          <w:rFonts w:ascii="Barlow Semi Condensed" w:cs="Barlow Semi Condensed" w:eastAsia="Barlow Semi Condensed" w:hAnsi="Barlow Semi Condensed"/>
          <w:sz w:val="24"/>
          <w:szCs w:val="24"/>
        </w:rPr>
        <w:t xml:space="preserve">   richiesta di pubblicare un altro libro.</w:t>
      </w:r>
    </w:p>
    <w:p>
      <w:pPr>
        <w:pStyle w:val="Heading3"/>
        <w:spacing w:after="80" w:before="240"/>
      </w:pPr>
      <w:r>
        <w:rPr>
          <w:rFonts w:ascii="Barlow Semi Condensed" w:cs="Barlow Semi Condensed" w:eastAsia="Barlow Semi Condensed" w:hAnsi="Barlow Semi Condensed"/>
          <w:sz w:val="24"/>
          <w:szCs w:val="24"/>
        </w:rPr>
        <w:t xml:space="preserve">Apparato grafico — Appendici · viii. La checklist di invio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IV.viii: 2.249 parole in 9 sezioni; la più ampia è §5 Le quattro ondate, con 1.221.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IV.viii: 65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ix. Il curriculum, modello</w:t>
      </w:r>
    </w:p>
    <w:p>
      <w:pPr>
        <w:pStyle w:val="Heading1"/>
        <w:spacing w:after="120" w:before="240"/>
      </w:pPr>
      <w:r>
        <w:rPr>
          <w:rFonts w:ascii="Barlow Semi Condensed" w:cs="Barlow Semi Condensed" w:eastAsia="Barlow Semi Condensed" w:hAnsi="Barlow Semi Condensed"/>
          <w:sz w:val="24"/>
          <w:szCs w:val="24"/>
        </w:rPr>
        <w:t xml:space="preserve">Curriculum vitae — modello da compilare</w:t>
      </w:r>
    </w:p>
    <w:p>
      <w:pPr>
        <w:spacing w:after="120" w:line="276"/>
        <w:jc w:val="both"/>
      </w:pPr>
      <w:r>
        <w:rPr>
          <w:rFonts w:ascii="Barlow Semi Condensed" w:cs="Barlow Semi Condensed" w:eastAsia="Barlow Semi Condensed" w:hAnsi="Barlow Semi Condensed"/>
          <w:sz w:val="24"/>
          <w:szCs w:val="24"/>
        </w:rPr>
        <w:t xml:space="preserve">*Einaudi lo richiede esplicitamente in allegato, e chiede che i dati anagrafici,</w:t>
      </w:r>
    </w:p>
    <w:p>
      <w:pPr>
        <w:spacing w:after="120" w:line="276"/>
        <w:jc w:val="both"/>
      </w:pPr>
      <w:r>
        <w:rPr>
          <w:rFonts w:ascii="Barlow Semi Condensed" w:cs="Barlow Semi Condensed" w:eastAsia="Barlow Semi Condensed" w:hAnsi="Barlow Semi Condensed"/>
          <w:sz w:val="24"/>
          <w:szCs w:val="24"/>
        </w:rPr>
        <w:t xml:space="preserve">la posta elettronica e il telefono siano ripetuti </w:t>
      </w:r>
      <w:r>
        <w:rPr>
          <w:rFonts w:ascii="Barlow Semi Condensed" w:cs="Barlow Semi Condensed" w:eastAsia="Barlow Semi Condensed" w:hAnsi="Barlow Semi Condensed"/>
          <w:b/>
          <w:bCs/>
          <w:sz w:val="24"/>
          <w:szCs w:val="24"/>
        </w:rPr>
        <w:t xml:space="preserve">anche dentro il documento</w:t>
      </w:r>
    </w:p>
    <w:p>
      <w:pPr>
        <w:spacing w:after="120" w:line="276"/>
        <w:jc w:val="both"/>
      </w:pPr>
      <w:r>
        <w:rPr>
          <w:rFonts w:ascii="Barlow Semi Condensed" w:cs="Barlow Semi Condensed" w:eastAsia="Barlow Semi Condensed" w:hAnsi="Barlow Semi Condensed"/>
          <w:sz w:val="24"/>
          <w:szCs w:val="24"/>
        </w:rPr>
        <w:t xml:space="preserve">dell'opera. Laterza e il Mulino chiedono una biografia più breve, che si ricava</w:t>
      </w:r>
    </w:p>
    <w:p>
      <w:pPr>
        <w:spacing w:after="120" w:line="276"/>
        <w:jc w:val="both"/>
      </w:pPr>
      <w:r>
        <w:rPr>
          <w:rFonts w:ascii="Barlow Semi Condensed" w:cs="Barlow Semi Condensed" w:eastAsia="Barlow Semi Condensed" w:hAnsi="Barlow Semi Condensed"/>
          <w:sz w:val="24"/>
          <w:szCs w:val="24"/>
        </w:rPr>
        <w:t xml:space="preserve">tagliando questo. Le parentesi quadre sono i punti da compilare: vanno tolte.*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[Nome e cognome]</w:t>
      </w:r>
    </w:p>
    <w:p>
      <w:pPr>
        <w:spacing w:after="120" w:line="276"/>
        <w:jc w:val="both"/>
      </w:pPr>
      <w:r>
        <w:rPr>
          <w:rFonts w:ascii="Barlow Semi Condensed" w:cs="Barlow Semi Condensed" w:eastAsia="Barlow Semi Condensed" w:hAnsi="Barlow Semi Condensed"/>
          <w:sz w:val="24"/>
          <w:szCs w:val="24"/>
        </w:rPr>
        <w:t xml:space="preserve">[Indirizzo] · [Città, CAP] · [Telefono] · [Posta elettronica]</w:t>
      </w:r>
    </w:p>
    <w:p>
      <w:pPr>
        <w:spacing w:after="120" w:line="276"/>
        <w:jc w:val="both"/>
      </w:pPr>
      <w:r>
        <w:rPr>
          <w:rFonts w:ascii="Barlow Semi Condensed" w:cs="Barlow Semi Condensed" w:eastAsia="Barlow Semi Condensed" w:hAnsi="Barlow Semi Condensed"/>
          <w:sz w:val="24"/>
          <w:szCs w:val="24"/>
        </w:rPr>
        <w:t xml:space="preserve">[Data e luogo di nascita]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Profilo in cinque righe</w:t>
      </w:r>
    </w:p>
    <w:p>
      <w:pPr>
        <w:spacing w:after="120" w:line="276"/>
        <w:jc w:val="both"/>
      </w:pPr>
      <w:r>
        <w:rPr>
          <w:rFonts w:ascii="Barlow Semi Condensed" w:cs="Barlow Semi Condensed" w:eastAsia="Barlow Semi Condensed" w:hAnsi="Barlow Semi Condensed"/>
          <w:sz w:val="24"/>
          <w:szCs w:val="24"/>
        </w:rPr>
        <w:t xml:space="preserve">*(È la parte che viene letta davvero. Va scritta per ultima e va tenuta a cinque</w:t>
      </w:r>
    </w:p>
    <w:p>
      <w:pPr>
        <w:spacing w:after="120" w:line="276"/>
        <w:jc w:val="both"/>
      </w:pPr>
      <w:r>
        <w:rPr>
          <w:rFonts w:ascii="Barlow Semi Condensed" w:cs="Barlow Semi Condensed" w:eastAsia="Barlow Semi Condensed" w:hAnsi="Barlow Semi Condensed"/>
          <w:sz w:val="24"/>
          <w:szCs w:val="24"/>
        </w:rPr>
        <w:t xml:space="preserve">righe. Deve rispondere a una sola domanda: perché questa persona e non un'altra</w:t>
      </w:r>
    </w:p>
    <w:p>
      <w:pPr>
        <w:spacing w:after="120" w:line="276"/>
        <w:jc w:val="both"/>
      </w:pPr>
      <w:r>
        <w:rPr>
          <w:rFonts w:ascii="Barlow Semi Condensed" w:cs="Barlow Semi Condensed" w:eastAsia="Barlow Semi Condensed" w:hAnsi="Barlow Semi Condensed"/>
          <w:sz w:val="24"/>
          <w:szCs w:val="24"/>
        </w:rPr>
        <w:t xml:space="preserve">è quella che poteva fare questo libro.)*</w:t>
      </w:r>
    </w:p>
    <w:p>
      <w:pPr>
        <w:spacing w:after="120" w:line="276"/>
        <w:jc w:val="both"/>
      </w:pPr>
      <w:r>
        <w:rPr>
          <w:rFonts w:ascii="Barlow Semi Condensed" w:cs="Barlow Semi Condensed" w:eastAsia="Barlow Semi Condensed" w:hAnsi="Barlow Semi Condensed"/>
          <w:sz w:val="24"/>
          <w:szCs w:val="24"/>
        </w:rPr>
        <w:t xml:space="preserve">[Cinque righe.]</w:t>
      </w:r>
    </w:p>
    <w:p>
      <w:pPr>
        <w:pStyle w:val="Heading2"/>
        <w:spacing w:after="100" w:before="200"/>
      </w:pPr>
      <w:r>
        <w:rPr>
          <w:rFonts w:ascii="Barlow Semi Condensed" w:cs="Barlow Semi Condensed" w:eastAsia="Barlow Semi Condensed" w:hAnsi="Barlow Semi Condensed"/>
          <w:sz w:val="24"/>
          <w:szCs w:val="24"/>
        </w:rPr>
        <w:t xml:space="preserve">Formazione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[Titolo di studio] — [Istituzione], [anno]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[Eventuali altri titoli, corsi, specializzazioni]</w:t>
      </w:r>
    </w:p>
    <w:p>
      <w:pPr>
        <w:pStyle w:val="Heading2"/>
        <w:spacing w:after="100" w:before="200"/>
      </w:pPr>
      <w:r>
        <w:rPr>
          <w:rFonts w:ascii="Barlow Semi Condensed" w:cs="Barlow Semi Condensed" w:eastAsia="Barlow Semi Condensed" w:hAnsi="Barlow Semi Condensed"/>
          <w:sz w:val="24"/>
          <w:szCs w:val="24"/>
        </w:rPr>
        <w:t xml:space="preserve">Attività professionale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[Anno-anno] — [Ruolo], [Ente o azienda]. [Una riga su che cosa comportava.]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[Anno-anno] — [Ruolo], [Ente o azienda].</w:t>
      </w:r>
    </w:p>
    <w:p>
      <w:pPr>
        <w:spacing w:after="120" w:line="276"/>
        <w:jc w:val="both"/>
      </w:pPr>
      <w:r>
        <w:rPr>
          <w:rFonts w:ascii="Barlow Semi Condensed" w:cs="Barlow Semi Condensed" w:eastAsia="Barlow Semi Condensed" w:hAnsi="Barlow Semi Condensed"/>
          <w:sz w:val="24"/>
          <w:szCs w:val="24"/>
        </w:rPr>
        <w:t xml:space="preserve">*(Se l'attività professionale non ha nulla a che vedere con la storia</w:t>
      </w:r>
    </w:p>
    <w:p>
      <w:pPr>
        <w:spacing w:after="120" w:line="276"/>
        <w:jc w:val="both"/>
      </w:pPr>
      <w:r>
        <w:rPr>
          <w:rFonts w:ascii="Barlow Semi Condensed" w:cs="Barlow Semi Condensed" w:eastAsia="Barlow Semi Condensed" w:hAnsi="Barlow Semi Condensed"/>
          <w:sz w:val="24"/>
          <w:szCs w:val="24"/>
        </w:rPr>
        <w:t xml:space="preserve">contemporanea, non è un problema e non va nascosta. Va però detto in una riga che</w:t>
      </w:r>
    </w:p>
    <w:p>
      <w:pPr>
        <w:spacing w:after="120" w:line="276"/>
        <w:jc w:val="both"/>
      </w:pPr>
      <w:r>
        <w:rPr>
          <w:rFonts w:ascii="Barlow Semi Condensed" w:cs="Barlow Semi Condensed" w:eastAsia="Barlow Semi Condensed" w:hAnsi="Barlow Semi Condensed"/>
          <w:sz w:val="24"/>
          <w:szCs w:val="24"/>
        </w:rPr>
        <w:t xml:space="preserve">cosa ha portato a questo lavoro: la competenza tecnica, un interesse di lunga</w:t>
      </w:r>
    </w:p>
    <w:p>
      <w:pPr>
        <w:spacing w:after="120" w:line="276"/>
        <w:jc w:val="both"/>
      </w:pPr>
      <w:r>
        <w:rPr>
          <w:rFonts w:ascii="Barlow Semi Condensed" w:cs="Barlow Semi Condensed" w:eastAsia="Barlow Semi Condensed" w:hAnsi="Barlow Semi Condensed"/>
          <w:sz w:val="24"/>
          <w:szCs w:val="24"/>
        </w:rPr>
        <w:t xml:space="preserve">data, una ricerca cominciata per altre ragioni. Un editore preferisce un percorso</w:t>
      </w:r>
    </w:p>
    <w:p>
      <w:pPr>
        <w:spacing w:after="120" w:line="276"/>
        <w:jc w:val="both"/>
      </w:pPr>
      <w:r>
        <w:rPr>
          <w:rFonts w:ascii="Barlow Semi Condensed" w:cs="Barlow Semi Condensed" w:eastAsia="Barlow Semi Condensed" w:hAnsi="Barlow Semi Condensed"/>
          <w:sz w:val="24"/>
          <w:szCs w:val="24"/>
        </w:rPr>
        <w:t xml:space="preserve">dichiarato a un percorso taciuto.)*</w:t>
      </w:r>
    </w:p>
    <w:p>
      <w:pPr>
        <w:pStyle w:val="Heading2"/>
        <w:spacing w:after="100" w:before="200"/>
      </w:pPr>
      <w:r>
        <w:rPr>
          <w:rFonts w:ascii="Barlow Semi Condensed" w:cs="Barlow Semi Condensed" w:eastAsia="Barlow Semi Condensed" w:hAnsi="Barlow Semi Condensed"/>
          <w:sz w:val="24"/>
          <w:szCs w:val="24"/>
        </w:rPr>
        <w:t xml:space="preserve">Pubblicazioni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[Elenco, se ce ne sono, in ordine cronologico inverso.]</w:t>
      </w:r>
    </w:p>
    <w:p>
      <w:pPr>
        <w:spacing w:after="120" w:line="276"/>
        <w:jc w:val="both"/>
      </w:pPr>
      <w:r>
        <w:rPr>
          <w:rFonts w:ascii="Barlow Semi Condensed" w:cs="Barlow Semi Condensed" w:eastAsia="Barlow Semi Condensed" w:hAnsi="Barlow Semi Condensed"/>
          <w:sz w:val="24"/>
          <w:szCs w:val="24"/>
        </w:rPr>
        <w:t xml:space="preserve">*(Se non ce ne sono, si scriva questa riga e basta: «Questa è la mia prima</w:t>
      </w:r>
    </w:p>
    <w:p>
      <w:pPr>
        <w:spacing w:after="120" w:line="276"/>
        <w:jc w:val="both"/>
      </w:pPr>
      <w:r>
        <w:rPr>
          <w:rFonts w:ascii="Barlow Semi Condensed" w:cs="Barlow Semi Condensed" w:eastAsia="Barlow Semi Condensed" w:hAnsi="Barlow Semi Condensed"/>
          <w:sz w:val="24"/>
          <w:szCs w:val="24"/>
        </w:rPr>
        <w:t xml:space="preserve">proposta editoriale.» È preferibile all'omissione, e nessun editore serio la</w:t>
      </w:r>
    </w:p>
    <w:p>
      <w:pPr>
        <w:spacing w:after="120" w:line="276"/>
        <w:jc w:val="both"/>
      </w:pPr>
      <w:r>
        <w:rPr>
          <w:rFonts w:ascii="Barlow Semi Condensed" w:cs="Barlow Semi Condensed" w:eastAsia="Barlow Semi Condensed" w:hAnsi="Barlow Semi Condensed"/>
          <w:sz w:val="24"/>
          <w:szCs w:val="24"/>
        </w:rPr>
        <w:t xml:space="preserve">considera un difetto in sé.)*</w:t>
      </w:r>
    </w:p>
    <w:p>
      <w:pPr>
        <w:pStyle w:val="Heading2"/>
        <w:spacing w:after="100" w:before="200"/>
      </w:pPr>
      <w:r>
        <w:rPr>
          <w:rFonts w:ascii="Barlow Semi Condensed" w:cs="Barlow Semi Condensed" w:eastAsia="Barlow Semi Condensed" w:hAnsi="Barlow Semi Condensed"/>
          <w:sz w:val="24"/>
          <w:szCs w:val="24"/>
        </w:rPr>
        <w:t xml:space="preserve">Il lavoro da cui nasce la proposta</w:t>
      </w:r>
    </w:p>
    <w:p>
      <w:pPr>
        <w:spacing w:after="120" w:line="276"/>
        <w:jc w:val="both"/>
      </w:pPr>
      <w:r>
        <w:rPr>
          <w:rFonts w:ascii="Barlow Semi Condensed" w:cs="Barlow Semi Condensed" w:eastAsia="Barlow Semi Condensed" w:hAnsi="Barlow Semi Condensed"/>
          <w:sz w:val="24"/>
          <w:szCs w:val="24"/>
        </w:rPr>
        <w:t xml:space="preserve">Nel 2026 ho diretto la costruzione di un corpus di ricerca storica sul caso Moro</w:t>
      </w:r>
    </w:p>
    <w:p>
      <w:pPr>
        <w:spacing w:after="120" w:line="276"/>
        <w:jc w:val="both"/>
      </w:pPr>
      <w:r>
        <w:rPr>
          <w:rFonts w:ascii="Barlow Semi Condensed" w:cs="Barlow Semi Condensed" w:eastAsia="Barlow Semi Condensed" w:hAnsi="Barlow Semi Condensed"/>
          <w:sz w:val="24"/>
          <w:szCs w:val="24"/>
        </w:rPr>
        <w:t xml:space="preserve">e sul suo contesto internazionale, prodotto con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una disciplina metodologica scritta prima di ciascun lotto di</w:t>
      </w:r>
    </w:p>
    <w:p>
      <w:pPr>
        <w:spacing w:after="120" w:line="276"/>
        <w:jc w:val="both"/>
      </w:pPr>
      <w:r>
        <w:rPr>
          <w:rFonts w:ascii="Barlow Semi Condensed" w:cs="Barlow Semi Condensed" w:eastAsia="Barlow Semi Condensed" w:hAnsi="Barlow Semi Condensed"/>
          <w:sz w:val="24"/>
          <w:szCs w:val="24"/>
        </w:rPr>
        <w:t xml:space="preserve">lavoro e riscritta ogni volta che un lotto la incrinava. Il corpus consta di</w:t>
      </w:r>
    </w:p>
    <w:p>
      <w:pPr>
        <w:spacing w:after="120" w:line="276"/>
        <w:jc w:val="both"/>
      </w:pPr>
      <w:r>
        <w:rPr>
          <w:rFonts w:ascii="Barlow Semi Condensed" w:cs="Barlow Semi Condensed" w:eastAsia="Barlow Semi Condensed" w:hAnsi="Barlow Semi Condensed"/>
          <w:b/>
          <w:bCs/>
          <w:sz w:val="24"/>
          <w:szCs w:val="24"/>
        </w:rPr>
        <w:t xml:space="preserve">7.699 blocchi mirati di ricerca</w:t>
      </w:r>
      <w:r>
        <w:rPr>
          <w:rFonts w:ascii="Barlow Semi Condensed" w:cs="Barlow Semi Condensed" w:eastAsia="Barlow Semi Condensed" w:hAnsi="Barlow Semi Condensed"/>
          <w:sz w:val="24"/>
          <w:szCs w:val="24"/>
        </w:rPr>
        <w:t xml:space="preserve"> in cinque opere e, a parte e non in somma,</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538 blocchi certificati di verifica</w:t>
      </w:r>
      <w:r>
        <w:rPr>
          <w:rFonts w:ascii="Barlow Semi Condensed" w:cs="Barlow Semi Condensed" w:eastAsia="Barlow Semi Condensed" w:hAnsi="Barlow Semi Condensed"/>
          <w:sz w:val="24"/>
          <w:szCs w:val="24"/>
        </w:rPr>
        <w:t xml:space="preserve"> in otto tranche nel solo Libro</w:t>
      </w:r>
    </w:p>
    <w:p>
      <w:pPr>
        <w:spacing w:after="120" w:line="276"/>
        <w:jc w:val="both"/>
      </w:pPr>
      <w:r>
        <w:rPr>
          <w:rFonts w:ascii="Barlow Semi Condensed" w:cs="Barlow Semi Condensed" w:eastAsia="Barlow Semi Condensed" w:hAnsi="Barlow Semi Condensed"/>
          <w:sz w:val="24"/>
          <w:szCs w:val="24"/>
        </w:rPr>
        <w:t xml:space="preserve">quarto,</w:t>
      </w:r>
    </w:p>
    <w:p>
      <w:pPr>
        <w:spacing w:after="120" w:line="276"/>
        <w:jc w:val="both"/>
      </w:pPr>
      <w:r>
        <w:rPr>
          <w:rFonts w:ascii="Barlow Semi Condensed" w:cs="Barlow Semi Condensed" w:eastAsia="Barlow Semi Condensed" w:hAnsi="Barlow Semi Condensed"/>
          <w:sz w:val="24"/>
          <w:szCs w:val="24"/>
        </w:rPr>
        <w:t xml:space="preserve">rilegati in un volume integrale di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b/>
          <w:bCs/>
          <w:sz w:val="24"/>
          <w:szCs w:val="24"/>
        </w:rPr>
        <w:t xml:space="preserve">685</w:t>
      </w:r>
      <w:r>
        <w:rPr>
          <w:rFonts w:ascii="Barlow Semi Condensed" w:cs="Barlow Semi Condensed" w:eastAsia="Barlow Semi Condensed" w:hAnsi="Barlow Semi Condensed"/>
          <w:sz w:val="24"/>
          <w:szCs w:val="24"/>
        </w:rPr>
        <w:t xml:space="preserve"> riferimenti</w:t>
      </w:r>
    </w:p>
    <w:p>
      <w:pPr>
        <w:spacing w:after="120" w:line="276"/>
        <w:jc w:val="both"/>
      </w:pPr>
      <w:r>
        <w:rPr>
          <w:rFonts w:ascii="Barlow Semi Condensed" w:cs="Barlow Semi Condensed" w:eastAsia="Barlow Semi Condensed" w:hAnsi="Barlow Semi Condensed"/>
          <w:sz w:val="24"/>
          <w:szCs w:val="24"/>
        </w:rPr>
        <w:t xml:space="preserve">bibliografici distinti, ed è depositato in archivio pubblico ad accesso libero.</w:t>
      </w:r>
    </w:p>
    <w:p>
      <w:pPr>
        <w:spacing w:after="120" w:line="276"/>
        <w:jc w:val="both"/>
      </w:pPr>
      <w:r>
        <w:rPr>
          <w:rFonts w:ascii="Barlow Semi Condensed" w:cs="Barlow Semi Condensed" w:eastAsia="Barlow Semi Condensed" w:hAnsi="Barlow Semi Condensed"/>
          <w:sz w:val="24"/>
          <w:szCs w:val="24"/>
        </w:rPr>
        <w:t xml:space="preserve">Il corpus non propone una tesi sul 1978 e non indica responsabili: produce</w:t>
      </w:r>
    </w:p>
    <w:p>
      <w:pPr>
        <w:spacing w:after="120" w:line="276"/>
        <w:jc w:val="both"/>
      </w:pPr>
      <w:r>
        <w:rPr>
          <w:rFonts w:ascii="Barlow Semi Condensed" w:cs="Barlow Semi Condensed" w:eastAsia="Barlow Semi Condensed" w:hAnsi="Barlow Semi Condensed"/>
          <w:sz w:val="24"/>
          <w:szCs w:val="24"/>
        </w:rPr>
        <w:t xml:space="preserve">domande d'archivio con l'indicazione della sede in cui andrebbero poste. Fa</w:t>
      </w:r>
    </w:p>
    <w:p>
      <w:pPr>
        <w:spacing w:after="120" w:line="276"/>
        <w:jc w:val="both"/>
      </w:pPr>
      <w:r>
        <w:rPr>
          <w:rFonts w:ascii="Barlow Semi Condensed" w:cs="Barlow Semi Condensed" w:eastAsia="Barlow Semi Condensed" w:hAnsi="Barlow Semi Condensed"/>
          <w:sz w:val="24"/>
          <w:szCs w:val="24"/>
        </w:rPr>
        <w:t xml:space="preserve">eccezione, dichiarata in copertina e limitata a un solo Libro, il dossier di cui</w:t>
      </w:r>
    </w:p>
    <w:p>
      <w:pPr>
        <w:spacing w:after="120" w:line="276"/>
        <w:jc w:val="both"/>
      </w:pPr>
      <w:r>
        <w:rPr>
          <w:rFonts w:ascii="Barlow Semi Condensed" w:cs="Barlow Semi Condensed" w:eastAsia="Barlow Semi Condensed" w:hAnsi="Barlow Semi Condensed"/>
          <w:sz w:val="24"/>
          <w:szCs w:val="24"/>
        </w:rPr>
        <w:t xml:space="preserve">sono autore: nella seconda metà ordina secondo la plausibilità del</w:t>
      </w:r>
    </w:p>
    <w:p>
      <w:pPr>
        <w:spacing w:after="120" w:line="276"/>
        <w:jc w:val="both"/>
      </w:pPr>
      <w:r>
        <w:rPr>
          <w:rFonts w:ascii="Barlow Semi Condensed" w:cs="Barlow Semi Condensed" w:eastAsia="Barlow Semi Condensed" w:hAnsi="Barlow Semi Condensed"/>
          <w:sz w:val="24"/>
          <w:szCs w:val="24"/>
        </w:rPr>
        <w:t xml:space="preserve">coinvolgimento — per categorie di soggetti, non per nomi individuali — con la</w:t>
      </w:r>
    </w:p>
    <w:p>
      <w:pPr>
        <w:spacing w:after="120" w:line="276"/>
        <w:jc w:val="both"/>
      </w:pPr>
      <w:r>
        <w:rPr>
          <w:rFonts w:ascii="Barlow Semi Condensed" w:cs="Barlow Semi Condensed" w:eastAsia="Barlow Semi Condensed" w:hAnsi="Barlow Semi Condensed"/>
          <w:sz w:val="24"/>
          <w:szCs w:val="24"/>
        </w:rPr>
        <w:t xml:space="preserve">premessa garantista che distingue la plausibilità dalla colpevolezza. Ordinare</w:t>
      </w:r>
    </w:p>
    <w:p>
      <w:pPr>
        <w:spacing w:after="120" w:line="276"/>
        <w:jc w:val="both"/>
      </w:pPr>
      <w:r>
        <w:rPr>
          <w:rFonts w:ascii="Barlow Semi Condensed" w:cs="Barlow Semi Condensed" w:eastAsia="Barlow Semi Condensed" w:hAnsi="Barlow Semi Condensed"/>
          <w:sz w:val="24"/>
          <w:szCs w:val="24"/>
        </w:rPr>
        <w:t xml:space="preserve">per plausibilità non è condannare, e nessun altro Libro dell'opera contiene</w:t>
      </w:r>
    </w:p>
    <w:p>
      <w:pPr>
        <w:spacing w:after="120" w:line="276"/>
        <w:jc w:val="both"/>
      </w:pPr>
      <w:r>
        <w:rPr>
          <w:rFonts w:ascii="Barlow Semi Condensed" w:cs="Barlow Semi Condensed" w:eastAsia="Barlow Semi Condensed" w:hAnsi="Barlow Semi Condensed"/>
          <w:sz w:val="24"/>
          <w:szCs w:val="24"/>
        </w:rPr>
        <w:t xml:space="preserve">graduatorie.</w:t>
      </w:r>
    </w:p>
    <w:p>
      <w:pPr>
        <w:spacing w:after="120" w:line="276"/>
        <w:jc w:val="both"/>
      </w:pPr>
      <w:r>
        <w:rPr>
          <w:rFonts w:ascii="Barlow Semi Condensed" w:cs="Barlow Semi Condensed" w:eastAsia="Barlow Semi Condensed" w:hAnsi="Barlow Semi Condensed"/>
          <w:sz w:val="24"/>
          <w:szCs w:val="24"/>
        </w:rPr>
        <w:t xml:space="preserve">[Indirizzo del deposito pubblico — da inserire.]</w:t>
      </w:r>
    </w:p>
    <w:p>
      <w:pPr>
        <w:pStyle w:val="Heading2"/>
        <w:spacing w:after="100" w:before="200"/>
      </w:pPr>
      <w:r>
        <w:rPr>
          <w:rFonts w:ascii="Barlow Semi Condensed" w:cs="Barlow Semi Condensed" w:eastAsia="Barlow Semi Condensed" w:hAnsi="Barlow Semi Condensed"/>
          <w:sz w:val="24"/>
          <w:szCs w:val="24"/>
        </w:rPr>
        <w:t xml:space="preserve">Competenze rilevanti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[Lingue.]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[Strumenti, se pertinenti.]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[Eventuale esperienza di ricerca d'archivio.]</w:t>
      </w:r>
    </w:p>
    <w:p>
      <w:pPr>
        <w:pStyle w:val="Heading2"/>
        <w:spacing w:after="100" w:before="200"/>
      </w:pPr>
      <w:r>
        <w:rPr>
          <w:rFonts w:ascii="Barlow Semi Condensed" w:cs="Barlow Semi Condensed" w:eastAsia="Barlow Semi Condensed" w:hAnsi="Barlow Semi Condensed"/>
          <w:sz w:val="24"/>
          <w:szCs w:val="24"/>
        </w:rPr>
        <w:t xml:space="preserve">Dichiarazione</w:t>
      </w:r>
    </w:p>
    <w:p>
      <w:pPr>
        <w:spacing w:after="120" w:line="276"/>
        <w:jc w:val="both"/>
      </w:pPr>
      <w:r>
        <w:rPr>
          <w:rFonts w:ascii="Barlow Semi Condensed" w:cs="Barlow Semi Condensed" w:eastAsia="Barlow Semi Condensed" w:hAnsi="Barlow Semi Condensed"/>
          <w:sz w:val="24"/>
          <w:szCs w:val="24"/>
        </w:rPr>
        <w:t xml:space="preserve">Il lavoro presentato è stato prodotto con l'ausilio di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mia direzione e responsabilità. Lo dichiaro in apertura di</w:t>
      </w:r>
    </w:p>
    <w:p>
      <w:pPr>
        <w:spacing w:after="120" w:line="276"/>
        <w:jc w:val="both"/>
      </w:pPr>
      <w:r>
        <w:rPr>
          <w:rFonts w:ascii="Barlow Semi Condensed" w:cs="Barlow Semi Condensed" w:eastAsia="Barlow Semi Condensed" w:hAnsi="Barlow Semi Condensed"/>
          <w:sz w:val="24"/>
          <w:szCs w:val="24"/>
        </w:rPr>
        <w:t xml:space="preserve">ogni proposta perché è l'oggetto stesso del libro che propongo, e non una</w:t>
      </w:r>
    </w:p>
    <w:p>
      <w:pPr>
        <w:spacing w:after="120" w:line="276"/>
        <w:jc w:val="both"/>
      </w:pPr>
      <w:r>
        <w:rPr>
          <w:rFonts w:ascii="Barlow Semi Condensed" w:cs="Barlow Semi Condensed" w:eastAsia="Barlow Semi Condensed" w:hAnsi="Barlow Semi Condensed"/>
          <w:sz w:val="24"/>
          <w:szCs w:val="24"/>
        </w:rPr>
        <w:t xml:space="preserve">circostanza accessoria della sua produzione.</w:t>
      </w:r>
    </w:p>
    <w:p>
      <w:pPr>
        <w:spacing w:after="120" w:line="276"/>
        <w:jc w:val="both"/>
      </w:pPr>
      <w:r>
        <w:rPr>
          <w:rFonts w:ascii="Barlow Semi Condensed" w:cs="Barlow Semi Condensed" w:eastAsia="Barlow Semi Condensed" w:hAnsi="Barlow Semi Condensed"/>
          <w:sz w:val="24"/>
          <w:szCs w:val="24"/>
        </w:rPr>
        <w:t xml:space="preserve">[Luogo], [data]</w:t>
      </w:r>
    </w:p>
    <w:p>
      <w:pPr>
        <w:spacing w:after="120" w:line="276"/>
        <w:jc w:val="both"/>
      </w:pPr>
      <w:r>
        <w:rPr>
          <w:rFonts w:ascii="Barlow Semi Condensed" w:cs="Barlow Semi Condensed" w:eastAsia="Barlow Semi Condensed" w:hAnsi="Barlow Semi Condensed"/>
          <w:sz w:val="24"/>
          <w:szCs w:val="24"/>
        </w:rPr>
        <w:t xml:space="preserve">[Firma]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pratica sull'invio a Einaudi</w:t>
      </w:r>
    </w:p>
    <w:p>
      <w:pPr>
        <w:spacing w:after="120" w:line="276"/>
        <w:jc w:val="both"/>
      </w:pPr>
      <w:r>
        <w:rPr>
          <w:rFonts w:ascii="Barlow Semi Condensed" w:cs="Barlow Semi Condensed" w:eastAsia="Barlow Semi Condensed" w:hAnsi="Barlow Semi Condensed"/>
          <w:sz w:val="24"/>
          <w:szCs w:val="24"/>
        </w:rPr>
        <w:t xml:space="preserve">Tre cose vanno fatte, e sono tutte meccaniche:</w:t>
      </w:r>
    </w:p>
    <w:p>
      <w:pPr>
        <w:spacing w:after="40"/>
        <w:ind w:left="360"/>
        <w:jc w:val="both"/>
      </w:pPr>
      <w:r>
        <w:rPr>
          <w:rFonts w:ascii="Barlow Semi Condensed" w:cs="Barlow Semi Condensed" w:eastAsia="Barlow Semi Condensed" w:hAnsi="Barlow Semi Condensed"/>
          <w:sz w:val="24"/>
          <w:szCs w:val="24"/>
        </w:rPr>
        <w:t xml:space="preserve">1. Allegare </w:t>
      </w:r>
      <w:r>
        <w:rPr>
          <w:rFonts w:ascii="Barlow Semi Condensed" w:cs="Barlow Semi Condensed" w:eastAsia="Barlow Semi Condensed" w:hAnsi="Barlow Semi Condensed"/>
          <w:b/>
          <w:bCs/>
          <w:sz w:val="24"/>
          <w:szCs w:val="24"/>
        </w:rPr>
        <w:t xml:space="preserve">questo documento</w:t>
      </w:r>
      <w:r>
        <w:rPr>
          <w:rFonts w:ascii="Barlow Semi Condensed" w:cs="Barlow Semi Condensed" w:eastAsia="Barlow Semi Condensed" w:hAnsi="Barlow Semi Condensed"/>
          <w:sz w:val="24"/>
          <w:szCs w:val="24"/>
        </w:rPr>
        <w:t xml:space="preserve"> compilato.</w:t>
      </w:r>
    </w:p>
    <w:p>
      <w:pPr>
        <w:spacing w:after="40"/>
        <w:ind w:left="360"/>
        <w:jc w:val="both"/>
      </w:pPr>
      <w:r>
        <w:rPr>
          <w:rFonts w:ascii="Barlow Semi Condensed" w:cs="Barlow Semi Condensed" w:eastAsia="Barlow Semi Condensed" w:hAnsi="Barlow Semi Condensed"/>
          <w:sz w:val="24"/>
          <w:szCs w:val="24"/>
        </w:rPr>
        <w:t xml:space="preserve">2. Ripetere nome, indirizzo, posta elettronica e telefono **anche in testa al</w:t>
      </w:r>
    </w:p>
    <w:p>
      <w:pPr>
        <w:spacing w:after="120" w:line="276"/>
        <w:jc w:val="both"/>
      </w:pPr>
      <w:r>
        <w:rPr>
          <w:rFonts w:ascii="Barlow Semi Condensed" w:cs="Barlow Semi Condensed" w:eastAsia="Barlow Semi Condensed" w:hAnsi="Barlow Semi Condensed"/>
          <w:sz w:val="24"/>
          <w:szCs w:val="24"/>
        </w:rPr>
        <w:t xml:space="preserve">   documento dell'opera** — è una richiesta esplicita, e serve a loro perché i</w:t>
      </w:r>
    </w:p>
    <w:p>
      <w:pPr>
        <w:spacing w:after="120" w:line="276"/>
        <w:jc w:val="both"/>
      </w:pPr>
      <w:r>
        <w:rPr>
          <w:rFonts w:ascii="Barlow Semi Condensed" w:cs="Barlow Semi Condensed" w:eastAsia="Barlow Semi Condensed" w:hAnsi="Barlow Semi Condensed"/>
          <w:sz w:val="24"/>
          <w:szCs w:val="24"/>
        </w:rPr>
        <w:t xml:space="preserve">   due file si separano.</w:t>
      </w:r>
    </w:p>
    <w:p>
      <w:pPr>
        <w:spacing w:after="40"/>
        <w:ind w:left="360"/>
        <w:jc w:val="both"/>
      </w:pPr>
      <w:r>
        <w:rPr>
          <w:rFonts w:ascii="Barlow Semi Condensed" w:cs="Barlow Semi Condensed" w:eastAsia="Barlow Semi Condensed" w:hAnsi="Barlow Semi Condensed"/>
          <w:sz w:val="24"/>
          <w:szCs w:val="24"/>
        </w:rPr>
        <w:t xml:space="preserve">3. Non attendersi un cenno di ricevuta. La redazione contatta **soltanto in caso</w:t>
      </w:r>
    </w:p>
    <w:p>
      <w:pPr>
        <w:spacing w:after="120" w:line="276"/>
        <w:jc w:val="both"/>
      </w:pPr>
      <w:r>
        <w:rPr>
          <w:rFonts w:ascii="Barlow Semi Condensed" w:cs="Barlow Semi Condensed" w:eastAsia="Barlow Semi Condensed" w:hAnsi="Barlow Semi Condensed"/>
          <w:sz w:val="24"/>
          <w:szCs w:val="24"/>
        </w:rPr>
        <w:t xml:space="preserve">   di interesse**, in un tempo stimabile intorno ai sei mesi. Il silenzio non è</w:t>
      </w:r>
    </w:p>
    <w:p>
      <w:pPr>
        <w:spacing w:after="120" w:line="276"/>
        <w:jc w:val="both"/>
      </w:pPr>
      <w:r>
        <w:rPr>
          <w:rFonts w:ascii="Barlow Semi Condensed" w:cs="Barlow Semi Condensed" w:eastAsia="Barlow Semi Condensed" w:hAnsi="Barlow Semi Condensed"/>
          <w:sz w:val="24"/>
          <w:szCs w:val="24"/>
        </w:rPr>
        <w:t xml:space="preserve">   una risposta e non va sollecitato prima di quel termine.</w:t>
      </w:r>
    </w:p>
    <w:p>
      <w:pPr>
        <w:pStyle w:val="Heading3"/>
        <w:spacing w:after="80" w:before="240"/>
      </w:pPr>
      <w:r>
        <w:rPr>
          <w:rFonts w:ascii="Barlow Semi Condensed" w:cs="Barlow Semi Condensed" w:eastAsia="Barlow Semi Condensed" w:hAnsi="Barlow Semi Condensed"/>
          <w:sz w:val="24"/>
          <w:szCs w:val="24"/>
        </w:rPr>
        <w:t xml:space="preserve">Apparato grafico — Appendici · ix. Il curriculum, modello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IV.ix: 495 parole in 8 sezioni; la più ampia è §5 Il lavoro da cui nasce la proposta, con 189.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IV.ix: 17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 Alla Fondazione Aldo Moro</w:t>
      </w:r>
    </w:p>
    <w:p>
      <w:pPr>
        <w:pStyle w:val="Heading1"/>
        <w:spacing w:after="120" w:before="240"/>
      </w:pPr>
      <w:r>
        <w:rPr>
          <w:rFonts w:ascii="Barlow Semi Condensed" w:cs="Barlow Semi Condensed" w:eastAsia="Barlow Semi Condensed" w:hAnsi="Barlow Semi Condensed"/>
          <w:sz w:val="24"/>
          <w:szCs w:val="24"/>
        </w:rPr>
        <w:t xml:space="preserve">Lettera alla Fondazione Aldo Moro</w:t>
      </w:r>
    </w:p>
    <w:p>
      <w:pPr>
        <w:spacing w:after="120" w:line="276"/>
        <w:jc w:val="both"/>
      </w:pPr>
      <w:r>
        <w:rPr>
          <w:rFonts w:ascii="Barlow Semi Condensed" w:cs="Barlow Semi Condensed" w:eastAsia="Barlow Semi Condensed" w:hAnsi="Barlow Semi Condensed"/>
          <w:sz w:val="24"/>
          <w:szCs w:val="24"/>
        </w:rPr>
        <w:t xml:space="preserve">*Bozza preparata il 26 agosto 2026. Da rileggere e personalizzare prima</w:t>
      </w:r>
    </w:p>
    <w:p>
      <w:pPr>
        <w:spacing w:after="120" w:line="276"/>
        <w:jc w:val="both"/>
      </w:pPr>
      <w:r>
        <w:rPr>
          <w:rFonts w:ascii="Barlow Semi Condensed" w:cs="Barlow Semi Condensed" w:eastAsia="Barlow Semi Condensed" w:hAnsi="Barlow Semi Condensed"/>
          <w:sz w:val="24"/>
          <w:szCs w:val="24"/>
        </w:rPr>
        <w:t xml:space="preserve">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lettera non somiglia alle altre</w:t>
      </w:r>
    </w:p>
    <w:p>
      <w:pPr>
        <w:spacing w:after="120" w:line="276"/>
        <w:jc w:val="both"/>
      </w:pPr>
      <w:r>
        <w:rPr>
          <w:rFonts w:ascii="Barlow Semi Condensed" w:cs="Barlow Semi Condensed" w:eastAsia="Barlow Semi Condensed" w:hAnsi="Barlow Semi Condensed"/>
          <w:sz w:val="24"/>
          <w:szCs w:val="24"/>
        </w:rPr>
        <w:t xml:space="preserve">Alle case editrici si propone un libro. Al Centro Flamigni si propone un</w:t>
      </w:r>
    </w:p>
    <w:p>
      <w:pPr>
        <w:spacing w:after="120" w:line="276"/>
        <w:jc w:val="both"/>
      </w:pPr>
      <w:r>
        <w:rPr>
          <w:rFonts w:ascii="Barlow Semi Condensed" w:cs="Barlow Semi Condensed" w:eastAsia="Barlow Semi Condensed" w:hAnsi="Barlow Semi Condensed"/>
          <w:sz w:val="24"/>
          <w:szCs w:val="24"/>
        </w:rPr>
        <w:t xml:space="preserve">apparato da valutare e da correggere. **Alla Fondazione Aldo Moro non si propone</w:t>
      </w:r>
    </w:p>
    <w:p>
      <w:pPr>
        <w:spacing w:after="120" w:line="276"/>
        <w:jc w:val="both"/>
      </w:pPr>
      <w:r>
        <w:rPr>
          <w:rFonts w:ascii="Barlow Semi Condensed" w:cs="Barlow Semi Condensed" w:eastAsia="Barlow Semi Condensed" w:hAnsi="Barlow Semi Condensed"/>
          <w:sz w:val="24"/>
          <w:szCs w:val="24"/>
        </w:rPr>
        <w:t xml:space="preserve">nulla: si porta una domanda, e si dà una notizia.**</w:t>
      </w:r>
    </w:p>
    <w:p>
      <w:pPr>
        <w:spacing w:after="120" w:line="276"/>
        <w:jc w:val="both"/>
      </w:pPr>
      <w:r>
        <w:rPr>
          <w:rFonts w:ascii="Barlow Semi Condensed" w:cs="Barlow Semi Condensed" w:eastAsia="Barlow Semi Condensed" w:hAnsi="Barlow Semi Condensed"/>
          <w:sz w:val="24"/>
          <w:szCs w:val="24"/>
        </w:rPr>
        <w:t xml:space="preserve">La ragione è semplice e va tenuta presente in ogni riga che segue. La Fondazione</w:t>
      </w:r>
    </w:p>
    <w:p>
      <w:pPr>
        <w:spacing w:after="120" w:line="276"/>
        <w:jc w:val="both"/>
      </w:pPr>
      <w:r>
        <w:rPr>
          <w:rFonts w:ascii="Barlow Semi Condensed" w:cs="Barlow Semi Condensed" w:eastAsia="Barlow Semi Condensed" w:hAnsi="Barlow Semi Condensed"/>
          <w:sz w:val="24"/>
          <w:szCs w:val="24"/>
        </w:rPr>
        <w:t xml:space="preserve">esiste per la memoria e per le carte di una persona; non è un editore, non è un</w:t>
      </w:r>
    </w:p>
    <w:p>
      <w:pPr>
        <w:spacing w:after="120" w:line="276"/>
        <w:jc w:val="both"/>
      </w:pPr>
      <w:r>
        <w:rPr>
          <w:rFonts w:ascii="Barlow Semi Condensed" w:cs="Barlow Semi Condensed" w:eastAsia="Barlow Semi Condensed" w:hAnsi="Barlow Semi Condensed"/>
          <w:sz w:val="24"/>
          <w:szCs w:val="24"/>
        </w:rPr>
        <w:t xml:space="preserve">centro di documentazione sul terrorismo, e non ha alcun obbligo di occuparsi di</w:t>
      </w:r>
    </w:p>
    <w:p>
      <w:pPr>
        <w:spacing w:after="120" w:line="276"/>
        <w:jc w:val="both"/>
      </w:pPr>
      <w:r>
        <w:rPr>
          <w:rFonts w:ascii="Barlow Semi Condensed" w:cs="Barlow Semi Condensed" w:eastAsia="Barlow Semi Condensed" w:hAnsi="Barlow Semi Condensed"/>
          <w:sz w:val="24"/>
          <w:szCs w:val="24"/>
        </w:rPr>
        <w:t xml:space="preserve">un corpus generato con sistemi automatici. Arrivare da quella porta con</w:t>
      </w:r>
    </w:p>
    <w:p>
      <w:pPr>
        <w:spacing w:after="120" w:line="276"/>
        <w:jc w:val="both"/>
      </w:pPr>
      <w:r>
        <w:rPr>
          <w:rFonts w:ascii="Barlow Semi Condensed" w:cs="Barlow Semi Condensed" w:eastAsia="Barlow Semi Condensed" w:hAnsi="Barlow Semi Condensed"/>
          <w:sz w:val="24"/>
          <w:szCs w:val="24"/>
        </w:rPr>
        <w:t xml:space="preserve">milletrecento pagine da far leggere sarebbe insieme inutile e maleducato.</w:t>
      </w:r>
    </w:p>
    <w:p>
      <w:pPr>
        <w:spacing w:after="120" w:line="276"/>
        <w:jc w:val="both"/>
      </w:pPr>
      <w:r>
        <w:rPr>
          <w:rFonts w:ascii="Barlow Semi Condensed" w:cs="Barlow Semi Condensed" w:eastAsia="Barlow Semi Condensed" w:hAnsi="Barlow Semi Condensed"/>
          <w:b/>
          <w:bCs/>
          <w:sz w:val="24"/>
          <w:szCs w:val="24"/>
        </w:rPr>
        <w:t xml:space="preserve">Si arriva invece con due cose sole</w:t>
      </w:r>
      <w:r>
        <w:rPr>
          <w:rFonts w:ascii="Barlow Semi Condensed" w:cs="Barlow Semi Condensed" w:eastAsia="Barlow Semi Condensed" w:hAnsi="Barlow Semi Condensed"/>
          <w:sz w:val="24"/>
          <w:szCs w:val="24"/>
        </w:rPr>
        <w:t xml:space="preserve">: una domanda d'archivio che riguarda una</w:t>
      </w:r>
    </w:p>
    <w:p>
      <w:pPr>
        <w:spacing w:after="120" w:line="276"/>
        <w:jc w:val="both"/>
      </w:pPr>
      <w:r>
        <w:rPr>
          <w:rFonts w:ascii="Barlow Semi Condensed" w:cs="Barlow Semi Condensed" w:eastAsia="Barlow Semi Condensed" w:hAnsi="Barlow Semi Condensed"/>
          <w:sz w:val="24"/>
          <w:szCs w:val="24"/>
        </w:rPr>
        <w:t xml:space="preserve">carta di Aldo Moro, e un accertamento che tocca una vicenda che da quarant'anni</w:t>
      </w:r>
    </w:p>
    <w:p>
      <w:pPr>
        <w:spacing w:after="120" w:line="276"/>
        <w:jc w:val="both"/>
      </w:pPr>
      <w:r>
        <w:rPr>
          <w:rFonts w:ascii="Barlow Semi Condensed" w:cs="Barlow Semi Condensed" w:eastAsia="Barlow Semi Condensed" w:hAnsi="Barlow Semi Condensed"/>
          <w:sz w:val="24"/>
          <w:szCs w:val="24"/>
        </w:rPr>
        <w:t xml:space="preserve">si racconta sul suo conto. Il secondo va comunicato **prima che lo si legga</w:t>
      </w:r>
    </w:p>
    <w:p>
      <w:pPr>
        <w:spacing w:after="120" w:line="276"/>
        <w:jc w:val="both"/>
      </w:pPr>
      <w:r>
        <w:rPr>
          <w:rFonts w:ascii="Barlow Semi Condensed" w:cs="Barlow Semi Condensed" w:eastAsia="Barlow Semi Condensed" w:hAnsi="Barlow Semi Condensed"/>
          <w:sz w:val="24"/>
          <w:szCs w:val="24"/>
        </w:rPr>
        <w:t xml:space="preserve">altrove**, ed è questo, più della domanda, che rende la lettera dovuta.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 da verificare prima dell'invio</w:t>
      </w:r>
    </w:p>
    <w:p>
      <w:pPr>
        <w:spacing w:after="120" w:line="276"/>
        <w:jc w:val="both"/>
      </w:pPr>
      <w:r>
        <w:rPr>
          <w:rFonts w:ascii="Barlow Semi Condensed" w:cs="Barlow Semi Condensed" w:eastAsia="Barlow Semi Condensed" w:hAnsi="Barlow Semi Condensed"/>
          <w:b/>
          <w:bCs/>
          <w:sz w:val="24"/>
          <w:szCs w:val="24"/>
        </w:rPr>
        <w:t xml:space="preserve">Sede legale</w:t>
      </w:r>
      <w:r>
        <w:rPr>
          <w:rFonts w:ascii="Barlow Semi Condensed" w:cs="Barlow Semi Condensed" w:eastAsia="Barlow Semi Condensed" w:hAnsi="Barlow Semi Condensed"/>
          <w:sz w:val="24"/>
          <w:szCs w:val="24"/>
        </w:rPr>
        <w:t xml:space="preserve">: Fondazione Aldo Moro, via dei Gracchi 29/B, 00192 Roma.</w:t>
      </w:r>
    </w:p>
    <w:p>
      <w:pPr>
        <w:spacing w:after="120" w:line="276"/>
        <w:jc w:val="both"/>
      </w:pPr>
      <w:r>
        <w:rPr>
          <w:rFonts w:ascii="Barlow Semi Condensed" w:cs="Barlow Semi Condensed" w:eastAsia="Barlow Semi Condensed" w:hAnsi="Barlow Semi Condensed"/>
          <w:b/>
          <w:bCs/>
          <w:sz w:val="24"/>
          <w:szCs w:val="24"/>
        </w:rPr>
        <w:t xml:space="preserve">Presidente</w:t>
      </w:r>
      <w:r>
        <w:rPr>
          <w:rFonts w:ascii="Barlow Semi Condensed" w:cs="Barlow Semi Condensed" w:eastAsia="Barlow Semi Condensed" w:hAnsi="Barlow Semi Condensed"/>
          <w:sz w:val="24"/>
          <w:szCs w:val="24"/>
        </w:rPr>
        <w:t xml:space="preserve">: prof. Renato Moro. </w:t>
      </w:r>
      <w:r>
        <w:rPr>
          <w:rFonts w:ascii="Barlow Semi Condensed" w:cs="Barlow Semi Condensed" w:eastAsia="Barlow Semi Condensed" w:hAnsi="Barlow Semi Condensed"/>
          <w:b/>
          <w:bCs/>
          <w:sz w:val="24"/>
          <w:szCs w:val="24"/>
        </w:rPr>
        <w:t xml:space="preserve">Segretario-tesoriere</w:t>
      </w:r>
      <w:r>
        <w:rPr>
          <w:rFonts w:ascii="Barlow Semi Condensed" w:cs="Barlow Semi Condensed" w:eastAsia="Barlow Semi Condensed" w:hAnsi="Barlow Semi Condensed"/>
          <w:sz w:val="24"/>
          <w:szCs w:val="24"/>
        </w:rPr>
        <w:t xml:space="preserve">: dott. Luigi</w:t>
      </w:r>
    </w:p>
    <w:p>
      <w:pPr>
        <w:spacing w:after="120" w:line="276"/>
        <w:jc w:val="both"/>
      </w:pPr>
      <w:r>
        <w:rPr>
          <w:rFonts w:ascii="Barlow Semi Condensed" w:cs="Barlow Semi Condensed" w:eastAsia="Barlow Semi Condensed" w:hAnsi="Barlow Semi Condensed"/>
          <w:sz w:val="24"/>
          <w:szCs w:val="24"/>
        </w:rPr>
        <w:t xml:space="preserve">Mandolesi. Per l'</w:t>
      </w:r>
      <w:r>
        <w:rPr>
          <w:rFonts w:ascii="Barlow Semi Condensed" w:cs="Barlow Semi Condensed" w:eastAsia="Barlow Semi Condensed" w:hAnsi="Barlow Semi Condensed"/>
          <w:i/>
          <w:iCs/>
          <w:sz w:val="24"/>
          <w:szCs w:val="24"/>
        </w:rPr>
        <w:t xml:space="preserve">Edizione Nazionale delle Opere di Aldo Moro</w:t>
      </w:r>
      <w:r>
        <w:rPr>
          <w:rFonts w:ascii="Barlow Semi Condensed" w:cs="Barlow Semi Condensed" w:eastAsia="Barlow Semi Condensed" w:hAnsi="Barlow Semi Condensed"/>
          <w:sz w:val="24"/>
          <w:szCs w:val="24"/>
        </w:rPr>
        <w:t xml:space="preserve"> esiste un</w:t>
      </w:r>
    </w:p>
    <w:p>
      <w:pPr>
        <w:spacing w:after="120" w:line="276"/>
        <w:jc w:val="both"/>
      </w:pPr>
      <w:r>
        <w:rPr>
          <w:rFonts w:ascii="Barlow Semi Condensed" w:cs="Barlow Semi Condensed" w:eastAsia="Barlow Semi Condensed" w:hAnsi="Barlow Semi Condensed"/>
          <w:sz w:val="24"/>
          <w:szCs w:val="24"/>
        </w:rPr>
        <w:t xml:space="preserve">recapito tecnico distinto presso l'Università di Bologna.</w:t>
      </w:r>
    </w:p>
    <w:p>
      <w:pPr>
        <w:spacing w:after="120" w:line="276"/>
        <w:jc w:val="both"/>
      </w:pPr>
      <w:r>
        <w:rPr>
          <w:rFonts w:ascii="Barlow Semi Condensed" w:cs="Barlow Semi Condensed" w:eastAsia="Barlow Semi Condensed" w:hAnsi="Barlow Semi Condensed"/>
          <w:b/>
          <w:bCs/>
          <w:sz w:val="24"/>
          <w:szCs w:val="24"/>
        </w:rPr>
        <w:t xml:space="preserve">Nota sul recapito, che va rispettata.</w:t>
      </w:r>
      <w:r>
        <w:rPr>
          <w:rFonts w:ascii="Barlow Semi Condensed" w:cs="Barlow Semi Condensed" w:eastAsia="Barlow Semi Condensed" w:hAnsi="Barlow Semi Condensed"/>
          <w:sz w:val="24"/>
          <w:szCs w:val="24"/>
        </w:rPr>
        <w:t xml:space="preserve"> I recapiti reperibili sono in parte</w:t>
      </w:r>
    </w:p>
    <w:p>
      <w:pPr>
        <w:spacing w:after="120" w:line="276"/>
        <w:jc w:val="both"/>
      </w:pPr>
      <w:r>
        <w:rPr>
          <w:rFonts w:ascii="Barlow Semi Condensed" w:cs="Barlow Semi Condensed" w:eastAsia="Barlow Semi Condensed" w:hAnsi="Barlow Semi Condensed"/>
          <w:sz w:val="24"/>
          <w:szCs w:val="24"/>
        </w:rPr>
        <w:t xml:space="preserve">indirizzi istituzionali di persone, non della Fondazione come ente. Prima di</w:t>
      </w:r>
    </w:p>
    <w:p>
      <w:pPr>
        <w:spacing w:after="120" w:line="276"/>
        <w:jc w:val="both"/>
      </w:pPr>
      <w:r>
        <w:rPr>
          <w:rFonts w:ascii="Barlow Semi Condensed" w:cs="Barlow Semi Condensed" w:eastAsia="Barlow Semi Condensed" w:hAnsi="Barlow Semi Condensed"/>
          <w:sz w:val="24"/>
          <w:szCs w:val="24"/>
        </w:rPr>
        <w:t xml:space="preserve">scrivere a un indirizzo personale conviene cercare un recapito dell'ente — sul</w:t>
      </w:r>
    </w:p>
    <w:p>
      <w:pPr>
        <w:spacing w:after="120" w:line="276"/>
        <w:jc w:val="both"/>
      </w:pPr>
      <w:r>
        <w:rPr>
          <w:rFonts w:ascii="Barlow Semi Condensed" w:cs="Barlow Semi Condensed" w:eastAsia="Barlow Semi Condensed" w:hAnsi="Barlow Semi Condensed"/>
          <w:sz w:val="24"/>
          <w:szCs w:val="24"/>
        </w:rPr>
        <w:t xml:space="preserve">sito della Fondazione o attraverso l'Edizione Nazionale. Solo se non esiste si</w:t>
      </w:r>
    </w:p>
    <w:p>
      <w:pPr>
        <w:spacing w:after="120" w:line="276"/>
        <w:jc w:val="both"/>
      </w:pPr>
      <w:r>
        <w:rPr>
          <w:rFonts w:ascii="Barlow Semi Condensed" w:cs="Barlow Semi Condensed" w:eastAsia="Barlow Semi Condensed" w:hAnsi="Barlow Semi Condensed"/>
          <w:sz w:val="24"/>
          <w:szCs w:val="24"/>
        </w:rPr>
        <w:t xml:space="preserve">scrive al presidente, e in quel caso si scrive </w:t>
      </w:r>
      <w:r>
        <w:rPr>
          <w:rFonts w:ascii="Barlow Semi Condensed" w:cs="Barlow Semi Condensed" w:eastAsia="Barlow Semi Condensed" w:hAnsi="Barlow Semi Condensed"/>
          <w:b/>
          <w:bCs/>
          <w:sz w:val="24"/>
          <w:szCs w:val="24"/>
        </w:rPr>
        <w:t xml:space="preserve">a lui in quanto presidente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a lui come studioso.</w:t>
      </w:r>
    </w:p>
    <w:p>
      <w:pPr>
        <w:spacing w:after="120" w:line="276"/>
        <w:jc w:val="both"/>
      </w:pPr>
      <w:r>
        <w:rPr>
          <w:rFonts w:ascii="Barlow Semi Condensed" w:cs="Barlow Semi Condensed" w:eastAsia="Barlow Semi Condensed" w:hAnsi="Barlow Semi Condensed"/>
          <w:sz w:val="24"/>
          <w:szCs w:val="24"/>
        </w:rPr>
        <w:t xml:space="preserve">Non serve la posta elettronica certificata: qui non occorre certificare nulla,</w:t>
      </w:r>
    </w:p>
    <w:p>
      <w:pPr>
        <w:spacing w:after="120" w:line="276"/>
        <w:jc w:val="both"/>
      </w:pPr>
      <w:r>
        <w:rPr>
          <w:rFonts w:ascii="Barlow Semi Condensed" w:cs="Barlow Semi Condensed" w:eastAsia="Barlow Semi Condensed" w:hAnsi="Barlow Semi Condensed"/>
          <w:sz w:val="24"/>
          <w:szCs w:val="24"/>
        </w:rPr>
        <w:t xml:space="preserve">occorre essere letti.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Un quesito d'archivio sulla visita di Stato del 25-29 settembre 1974, e la</w:t>
      </w:r>
    </w:p>
    <w:p>
      <w:pPr>
        <w:spacing w:after="120" w:line="276"/>
        <w:jc w:val="both"/>
      </w:pPr>
      <w:r>
        <w:rPr>
          <w:rFonts w:ascii="Barlow Semi Condensed" w:cs="Barlow Semi Condensed" w:eastAsia="Barlow Semi Condensed" w:hAnsi="Barlow Semi Condensed"/>
          <w:sz w:val="24"/>
          <w:szCs w:val="24"/>
        </w:rPr>
        <w:t xml:space="preserve">comunicazione preventiva di un accertamento che riguarda il presunto colloquio</w:t>
      </w:r>
    </w:p>
    <w:p>
      <w:pPr>
        <w:spacing w:after="120" w:line="276"/>
        <w:jc w:val="both"/>
      </w:pPr>
      <w:r>
        <w:rPr>
          <w:rFonts w:ascii="Barlow Semi Condensed" w:cs="Barlow Semi Condensed" w:eastAsia="Barlow Semi Condensed" w:hAnsi="Barlow Semi Condensed"/>
          <w:sz w:val="24"/>
          <w:szCs w:val="24"/>
        </w:rPr>
        <w:t xml:space="preserve">di quei giorni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Testo della lettera</w:t>
      </w:r>
    </w:p>
    <w:p>
      <w:pPr>
        <w:spacing w:after="120" w:line="276"/>
        <w:jc w:val="both"/>
      </w:pPr>
      <w:r>
        <w:rPr>
          <w:rFonts w:ascii="Barlow Semi Condensed" w:cs="Barlow Semi Condensed" w:eastAsia="Barlow Semi Condensed" w:hAnsi="Barlow Semi Condensed"/>
          <w:sz w:val="24"/>
          <w:szCs w:val="24"/>
        </w:rPr>
        <w:t xml:space="preserve">Alla cortese attenzione della Fondazione Aldo Moro</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vi scrivo per due ragioni soltanto, e cerco di essere breve perché nessuna delle</w:t>
      </w:r>
    </w:p>
    <w:p>
      <w:pPr>
        <w:spacing w:after="120" w:line="276"/>
        <w:jc w:val="both"/>
      </w:pPr>
      <w:r>
        <w:rPr>
          <w:rFonts w:ascii="Barlow Semi Condensed" w:cs="Barlow Semi Condensed" w:eastAsia="Barlow Semi Condensed" w:hAnsi="Barlow Semi Condensed"/>
          <w:sz w:val="24"/>
          <w:szCs w:val="24"/>
        </w:rPr>
        <w:t xml:space="preserve">due richiede molte pagine.</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viene prima di tutto.</w:t>
      </w:r>
      <w:r>
        <w:rPr>
          <w:rFonts w:ascii="Barlow Semi Condensed" w:cs="Barlow Semi Condensed" w:eastAsia="Barlow Semi Condensed" w:hAnsi="Barlow Semi Condensed"/>
          <w:sz w:val="24"/>
          <w:szCs w:val="24"/>
        </w:rPr>
        <w:t xml:space="preserve"> Il lavoro da cui</w:t>
      </w:r>
    </w:p>
    <w:p>
      <w:pPr>
        <w:spacing w:after="120" w:line="276"/>
        <w:jc w:val="both"/>
      </w:pPr>
      <w:r>
        <w:rPr>
          <w:rFonts w:ascii="Barlow Semi Condensed" w:cs="Barlow Semi Condensed" w:eastAsia="Barlow Semi Condensed" w:hAnsi="Barlow Semi Condensed"/>
          <w:sz w:val="24"/>
          <w:szCs w:val="24"/>
        </w:rPr>
        <w:t xml:space="preserve">questa lettera nasce è stato prodotto con l'ausilio di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mia direzione e responsabilità. Non ho consultato fondi, non</w:t>
      </w:r>
    </w:p>
    <w:p>
      <w:pPr>
        <w:spacing w:after="120" w:line="276"/>
        <w:jc w:val="both"/>
      </w:pPr>
      <w:r>
        <w:rPr>
          <w:rFonts w:ascii="Barlow Semi Condensed" w:cs="Barlow Semi Condensed" w:eastAsia="Barlow Semi Condensed" w:hAnsi="Barlow Semi Condensed"/>
          <w:sz w:val="24"/>
          <w:szCs w:val="24"/>
        </w:rPr>
        <w:t xml:space="preserve">ho letto documenti originali in archivio, non ho compiuto alcun accertamento in</w:t>
      </w:r>
    </w:p>
    <w:p>
      <w:pPr>
        <w:spacing w:after="120" w:line="276"/>
        <w:jc w:val="both"/>
      </w:pPr>
      <w:r>
        <w:rPr>
          <w:rFonts w:ascii="Barlow Semi Condensed" w:cs="Barlow Semi Condensed" w:eastAsia="Barlow Semi Condensed" w:hAnsi="Barlow Semi Condensed"/>
          <w:sz w:val="24"/>
          <w:szCs w:val="24"/>
        </w:rPr>
        <w:t xml:space="preserve">prima persona. Lo dico in apertura perché è il primo elemento che vi serve per</w:t>
      </w:r>
    </w:p>
    <w:p>
      <w:pPr>
        <w:spacing w:after="120" w:line="276"/>
        <w:jc w:val="both"/>
      </w:pPr>
      <w:r>
        <w:rPr>
          <w:rFonts w:ascii="Barlow Semi Condensed" w:cs="Barlow Semi Condensed" w:eastAsia="Barlow Semi Condensed" w:hAnsi="Barlow Semi Condensed"/>
          <w:sz w:val="24"/>
          <w:szCs w:val="24"/>
        </w:rPr>
        <w:t xml:space="preserve">decidere se il resto meriti il vostro tempo.</w:t>
      </w:r>
    </w:p>
    <w:p>
      <w:pPr>
        <w:spacing w:after="120" w:line="276"/>
        <w:jc w:val="both"/>
      </w:pPr>
      <w:r>
        <w:rPr>
          <w:rFonts w:ascii="Barlow Semi Condensed" w:cs="Barlow Semi Condensed" w:eastAsia="Barlow Semi Condensed" w:hAnsi="Barlow Semi Condensed"/>
          <w:b/>
          <w:bCs/>
          <w:sz w:val="24"/>
          <w:szCs w:val="24"/>
        </w:rPr>
        <w:t xml:space="preserve">Che cosa non vi sto proponendo.</w:t>
      </w:r>
      <w:r>
        <w:rPr>
          <w:rFonts w:ascii="Barlow Semi Condensed" w:cs="Barlow Semi Condensed" w:eastAsia="Barlow Semi Condensed" w:hAnsi="Barlow Semi Condensed"/>
          <w:sz w:val="24"/>
          <w:szCs w:val="24"/>
        </w:rPr>
        <w:t xml:space="preserve"> Non vi chiedo di leggere, valutare,</w:t>
      </w:r>
    </w:p>
    <w:p>
      <w:pPr>
        <w:spacing w:after="120" w:line="276"/>
        <w:jc w:val="both"/>
      </w:pPr>
      <w:r>
        <w:rPr>
          <w:rFonts w:ascii="Barlow Semi Condensed" w:cs="Barlow Semi Condensed" w:eastAsia="Barlow Semi Condensed" w:hAnsi="Barlow Semi Condensed"/>
          <w:sz w:val="24"/>
          <w:szCs w:val="24"/>
        </w:rPr>
        <w:t xml:space="preserve">patrocinare o conservare alcunché. Il corpus da cui la lettera nasce non</w:t>
      </w:r>
    </w:p>
    <w:p>
      <w:pPr>
        <w:spacing w:after="120" w:line="276"/>
        <w:jc w:val="both"/>
      </w:pPr>
      <w:r>
        <w:rPr>
          <w:rFonts w:ascii="Barlow Semi Condensed" w:cs="Barlow Semi Condensed" w:eastAsia="Barlow Semi Condensed" w:hAnsi="Barlow Semi Condensed"/>
          <w:sz w:val="24"/>
          <w:szCs w:val="24"/>
        </w:rPr>
        <w:t xml:space="preserve">contiene rivelazioni e non aggiunge un fatto: è, per tredici dei suoi</w:t>
      </w:r>
    </w:p>
    <w:p>
      <w:pPr>
        <w:spacing w:after="120" w:line="276"/>
        <w:jc w:val="both"/>
      </w:pPr>
      <w:r>
        <w:rPr>
          <w:rFonts w:ascii="Barlow Semi Condensed" w:cs="Barlow Semi Condensed" w:eastAsia="Barlow Semi Condensed" w:hAnsi="Barlow Semi Condensed"/>
          <w:sz w:val="24"/>
          <w:szCs w:val="24"/>
        </w:rPr>
        <w:t xml:space="preserve">quattordici Libri, un elenco di domande d'archivio, ciascuna con la sede in cui</w:t>
      </w:r>
    </w:p>
    <w:p>
      <w:pPr>
        <w:spacing w:after="120" w:line="276"/>
        <w:jc w:val="both"/>
      </w:pPr>
      <w:r>
        <w:rPr>
          <w:rFonts w:ascii="Barlow Semi Condensed" w:cs="Barlow Semi Condensed" w:eastAsia="Barlow Semi Condensed" w:hAnsi="Barlow Semi Condensed"/>
          <w:sz w:val="24"/>
          <w:szCs w:val="24"/>
        </w:rPr>
        <w:t xml:space="preserve">andrebbe posta, e una di quelle domande riguarda una carta che potrebbe essere</w:t>
      </w:r>
    </w:p>
    <w:p>
      <w:pPr>
        <w:spacing w:after="120" w:line="276"/>
        <w:jc w:val="both"/>
      </w:pPr>
      <w:r>
        <w:rPr>
          <w:rFonts w:ascii="Barlow Semi Condensed" w:cs="Barlow Semi Condensed" w:eastAsia="Barlow Semi Condensed" w:hAnsi="Barlow Semi Condensed"/>
          <w:sz w:val="24"/>
          <w:szCs w:val="24"/>
        </w:rPr>
        <w:t xml:space="preserve">fra le vostre. Non è uno studio sul sequestro.</w:t>
      </w:r>
    </w:p>
    <w:p>
      <w:pPr>
        <w:spacing w:after="120" w:line="276"/>
        <w:jc w:val="both"/>
      </w:pPr>
      <w:r>
        <w:rPr>
          <w:rFonts w:ascii="Barlow Semi Condensed" w:cs="Barlow Semi Condensed" w:eastAsia="Barlow Semi Condensed" w:hAnsi="Barlow Semi Condensed"/>
          <w:sz w:val="24"/>
          <w:szCs w:val="24"/>
        </w:rPr>
        <w:t xml:space="preserve">**Devo però dirvi subito ciò che rende inesatta, oggi, la formula che avrei</w:t>
      </w:r>
    </w:p>
    <w:p>
      <w:pPr>
        <w:spacing w:after="120" w:line="276"/>
        <w:jc w:val="both"/>
      </w:pPr>
      <w:r>
        <w:rPr>
          <w:rFonts w:ascii="Barlow Semi Condensed" w:cs="Barlow Semi Condensed" w:eastAsia="Barlow Semi Condensed" w:hAnsi="Barlow Semi Condensed"/>
          <w:sz w:val="24"/>
          <w:szCs w:val="24"/>
        </w:rPr>
        <w:t xml:space="preserve">usato un mese fa.** Un solo Libro dei quattordici — un dossier d'autore</w:t>
      </w:r>
    </w:p>
    <w:p>
      <w:pPr>
        <w:spacing w:after="120" w:line="276"/>
        <w:jc w:val="both"/>
      </w:pPr>
      <w:r>
        <w:rPr>
          <w:rFonts w:ascii="Barlow Semi Condensed" w:cs="Barlow Semi Condensed" w:eastAsia="Barlow Semi Condensed" w:hAnsi="Barlow Semi Condensed"/>
          <w:sz w:val="24"/>
          <w:szCs w:val="24"/>
        </w:rPr>
        <w:t xml:space="preserve">anteriore al corpus, conservato per intero e non riscritto — nella seconda metà</w:t>
      </w:r>
    </w:p>
    <w:p>
      <w:pPr>
        <w:spacing w:after="120" w:line="276"/>
        <w:jc w:val="both"/>
      </w:pPr>
      <w:r>
        <w:rPr>
          <w:rFonts w:ascii="Barlow Semi Condensed" w:cs="Barlow Semi Condensed" w:eastAsia="Barlow Semi Condensed" w:hAnsi="Barlow Semi Condensed"/>
          <w:sz w:val="24"/>
          <w:szCs w:val="24"/>
        </w:rPr>
        <w:t xml:space="preserve">abbandona dichiaratamente la sospensione del giudizio e ordina secondo la</w:t>
      </w:r>
    </w:p>
    <w:p>
      <w:pPr>
        <w:spacing w:after="120" w:line="276"/>
        <w:jc w:val="both"/>
      </w:pPr>
      <w:r>
        <w:rPr>
          <w:rFonts w:ascii="Barlow Semi Condensed" w:cs="Barlow Semi Condensed" w:eastAsia="Barlow Semi Condensed" w:hAnsi="Barlow Semi Condensed"/>
          <w:sz w:val="24"/>
          <w:szCs w:val="24"/>
        </w:rPr>
        <w:t xml:space="preserve">plausibilità del coinvolgimento nel sequestro e nell'uccisione. Vi dico</w:t>
      </w:r>
    </w:p>
    <w:p>
      <w:pPr>
        <w:spacing w:after="120" w:line="276"/>
        <w:jc w:val="both"/>
      </w:pPr>
      <w:r>
        <w:rPr>
          <w:rFonts w:ascii="Barlow Semi Condensed" w:cs="Barlow Semi Condensed" w:eastAsia="Barlow Semi Condensed" w:hAnsi="Barlow Semi Condensed"/>
          <w:sz w:val="24"/>
          <w:szCs w:val="24"/>
        </w:rPr>
        <w:t xml:space="preserve">esattamente che cosa vi si trova, perché non lo scopriate da soli dopo aver</w:t>
      </w:r>
    </w:p>
    <w:p>
      <w:pPr>
        <w:spacing w:after="120" w:line="276"/>
        <w:jc w:val="both"/>
      </w:pPr>
      <w:r>
        <w:rPr>
          <w:rFonts w:ascii="Barlow Semi Condensed" w:cs="Barlow Semi Condensed" w:eastAsia="Barlow Semi Condensed" w:hAnsi="Barlow Semi Condensed"/>
          <w:sz w:val="24"/>
          <w:szCs w:val="24"/>
        </w:rPr>
        <w:t xml:space="preserve">letto da me che non c'era: è una graduatoria </w:t>
      </w:r>
      <w:r>
        <w:rPr>
          <w:rFonts w:ascii="Barlow Semi Condensed" w:cs="Barlow Semi Condensed" w:eastAsia="Barlow Semi Condensed" w:hAnsi="Barlow Semi Condensed"/>
          <w:b/>
          <w:bCs/>
          <w:sz w:val="24"/>
          <w:szCs w:val="24"/>
        </w:rPr>
        <w:t xml:space="preserve">di plausibilità e non di colpa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ordina categorie di soggetti e non nomi individuali</w:t>
      </w:r>
      <w:r>
        <w:rPr>
          <w:rFonts w:ascii="Barlow Semi Condensed" w:cs="Barlow Semi Condensed" w:eastAsia="Barlow Semi Condensed" w:hAnsi="Barlow Semi Condensed"/>
          <w:sz w:val="24"/>
          <w:szCs w:val="24"/>
        </w:rPr>
        <w:t xml:space="preserve"> — i condannati in via</w:t>
      </w:r>
    </w:p>
    <w:p>
      <w:pPr>
        <w:spacing w:after="120" w:line="276"/>
        <w:jc w:val="both"/>
      </w:pPr>
      <w:r>
        <w:rPr>
          <w:rFonts w:ascii="Barlow Semi Condensed" w:cs="Barlow Semi Condensed" w:eastAsia="Barlow Semi Condensed" w:hAnsi="Barlow Semi Condensed"/>
          <w:sz w:val="24"/>
          <w:szCs w:val="24"/>
        </w:rPr>
        <w:t xml:space="preserve">definitiva, gli apparati coinvolti nei depistaggi, i portatori d'interesse</w:t>
      </w:r>
    </w:p>
    <w:p>
      <w:pPr>
        <w:spacing w:after="120" w:line="276"/>
        <w:jc w:val="both"/>
      </w:pPr>
      <w:r>
        <w:rPr>
          <w:rFonts w:ascii="Barlow Semi Condensed" w:cs="Barlow Semi Condensed" w:eastAsia="Barlow Semi Condensed" w:hAnsi="Barlow Semi Condensed"/>
          <w:sz w:val="24"/>
          <w:szCs w:val="24"/>
        </w:rPr>
        <w:t xml:space="preserve">esterno tenuti al grado minimo; muove dal giudicato e **rifiuta di nominare un</w:t>
      </w:r>
    </w:p>
    <w:p>
      <w:pPr>
        <w:spacing w:after="120" w:line="276"/>
        <w:jc w:val="both"/>
      </w:pPr>
      <w:r>
        <w:rPr>
          <w:rFonts w:ascii="Barlow Semi Condensed" w:cs="Barlow Semi Condensed" w:eastAsia="Barlow Semi Condensed" w:hAnsi="Barlow Semi Condensed"/>
          <w:sz w:val="24"/>
          <w:szCs w:val="24"/>
        </w:rPr>
        <w:t xml:space="preserve">mandante esterno determinato**, perché la ricerca su quel punto ha dato per tre</w:t>
      </w:r>
    </w:p>
    <w:p>
      <w:pPr>
        <w:spacing w:after="120" w:line="276"/>
        <w:jc w:val="both"/>
      </w:pPr>
      <w:r>
        <w:rPr>
          <w:rFonts w:ascii="Barlow Semi Condensed" w:cs="Barlow Semi Condensed" w:eastAsia="Barlow Semi Condensed" w:hAnsi="Barlow Semi Condensed"/>
          <w:sz w:val="24"/>
          <w:szCs w:val="24"/>
        </w:rPr>
        <w:t xml:space="preserve">volte un esito negativo; ed è preceduta da una premessa che ribadisce, prima di</w:t>
      </w:r>
    </w:p>
    <w:p>
      <w:pPr>
        <w:spacing w:after="120" w:line="276"/>
        <w:jc w:val="both"/>
      </w:pPr>
      <w:r>
        <w:rPr>
          <w:rFonts w:ascii="Barlow Semi Condensed" w:cs="Barlow Semi Condensed" w:eastAsia="Barlow Semi Condensed" w:hAnsi="Barlow Semi Condensed"/>
          <w:sz w:val="24"/>
          <w:szCs w:val="24"/>
        </w:rPr>
        <w:t xml:space="preserve">ogni riga, la presunzione d'innocenza. Nelle quasi cinquemila parole di quelle</w:t>
      </w:r>
    </w:p>
    <w:p>
      <w:pPr>
        <w:spacing w:after="120" w:line="276"/>
        <w:jc w:val="both"/>
      </w:pPr>
      <w:r>
        <w:rPr>
          <w:rFonts w:ascii="Barlow Semi Condensed" w:cs="Barlow Semi Condensed" w:eastAsia="Barlow Semi Condensed" w:hAnsi="Barlow Semi Condensed"/>
          <w:sz w:val="24"/>
          <w:szCs w:val="24"/>
        </w:rPr>
        <w:t xml:space="preserve">pagine gli unici nomi propri di persona sono quello di Aldo Moro e quello dello</w:t>
      </w:r>
    </w:p>
    <w:p>
      <w:pPr>
        <w:spacing w:after="120" w:line="276"/>
        <w:jc w:val="both"/>
      </w:pPr>
      <w:r>
        <w:rPr>
          <w:rFonts w:ascii="Barlow Semi Condensed" w:cs="Barlow Semi Condensed" w:eastAsia="Barlow Semi Condensed" w:hAnsi="Barlow Semi Condensed"/>
          <w:sz w:val="24"/>
          <w:szCs w:val="24"/>
        </w:rPr>
        <w:t xml:space="preserve">studioso da cui un metodo prende nome. Gli altri tredici Libri si fermano</w:t>
      </w:r>
    </w:p>
    <w:p>
      <w:pPr>
        <w:spacing w:after="120" w:line="276"/>
        <w:jc w:val="both"/>
      </w:pPr>
      <w:r>
        <w:rPr>
          <w:rFonts w:ascii="Barlow Semi Condensed" w:cs="Barlow Semi Condensed" w:eastAsia="Barlow Semi Condensed" w:hAnsi="Barlow Semi Condensed"/>
          <w:sz w:val="24"/>
          <w:szCs w:val="24"/>
        </w:rPr>
        <w:t xml:space="preserve">al giudicato; la disciplina in copertina registra l'eccezione limitandola a</w:t>
      </w:r>
    </w:p>
    <w:p>
      <w:pPr>
        <w:spacing w:after="120" w:line="276"/>
        <w:jc w:val="both"/>
      </w:pPr>
      <w:r>
        <w:rPr>
          <w:rFonts w:ascii="Barlow Semi Condensed" w:cs="Barlow Semi Condensed" w:eastAsia="Barlow Semi Condensed" w:hAnsi="Barlow Semi Condensed"/>
          <w:sz w:val="24"/>
          <w:szCs w:val="24"/>
        </w:rPr>
        <w:t xml:space="preserve">quello solo; e quel Libro si apre con una nota che avverte chi legge.</w:t>
      </w:r>
    </w:p>
    <w:p>
      <w:pPr>
        <w:pStyle w:val="Heading3"/>
        <w:spacing w:after="80" w:before="160"/>
      </w:pPr>
      <w:r>
        <w:rPr>
          <w:rFonts w:ascii="Barlow Semi Condensed" w:cs="Barlow Semi Condensed" w:eastAsia="Barlow Semi Condensed" w:hAnsi="Barlow Semi Condensed"/>
          <w:sz w:val="24"/>
          <w:szCs w:val="24"/>
        </w:rPr>
        <w:t xml:space="preserve">La domanda</w:t>
      </w:r>
    </w:p>
    <w:p>
      <w:pPr>
        <w:spacing w:after="120" w:line="276"/>
        <w:jc w:val="both"/>
      </w:pPr>
      <w:r>
        <w:rPr>
          <w:rFonts w:ascii="Barlow Semi Condensed" w:cs="Barlow Semi Condensed" w:eastAsia="Barlow Semi Condensed" w:hAnsi="Barlow Semi Condensed"/>
          <w:sz w:val="24"/>
          <w:szCs w:val="24"/>
        </w:rPr>
        <w:t xml:space="preserve">Il 25 settembre 1974, alle 11.30, nello Studio Ovale della Casa Bianca, si tenne</w:t>
      </w:r>
    </w:p>
    <w:p>
      <w:pPr>
        <w:spacing w:after="120" w:line="276"/>
        <w:jc w:val="both"/>
      </w:pPr>
      <w:r>
        <w:rPr>
          <w:rFonts w:ascii="Barlow Semi Condensed" w:cs="Barlow Semi Condensed" w:eastAsia="Barlow Semi Condensed" w:hAnsi="Barlow Semi Condensed"/>
          <w:sz w:val="24"/>
          <w:szCs w:val="24"/>
        </w:rPr>
        <w:t xml:space="preserve">un colloquio fra il Presidente della Repubblica Giovanni Leone, il ministro</w:t>
      </w:r>
    </w:p>
    <w:p>
      <w:pPr>
        <w:spacing w:after="120" w:line="276"/>
        <w:jc w:val="both"/>
      </w:pPr>
      <w:r>
        <w:rPr>
          <w:rFonts w:ascii="Barlow Semi Condensed" w:cs="Barlow Semi Condensed" w:eastAsia="Barlow Semi Condensed" w:hAnsi="Barlow Semi Condensed"/>
          <w:sz w:val="24"/>
          <w:szCs w:val="24"/>
        </w:rPr>
        <w:t xml:space="preserve">degli Esteri Aldo Moro, il Presidente degli Stati Uniti Gerald Ford e il</w:t>
      </w:r>
    </w:p>
    <w:p>
      <w:pPr>
        <w:spacing w:after="120" w:line="276"/>
        <w:jc w:val="both"/>
      </w:pPr>
      <w:r>
        <w:rPr>
          <w:rFonts w:ascii="Barlow Semi Condensed" w:cs="Barlow Semi Condensed" w:eastAsia="Barlow Semi Condensed" w:hAnsi="Barlow Semi Condensed"/>
          <w:sz w:val="24"/>
          <w:szCs w:val="24"/>
        </w:rPr>
        <w:t xml:space="preserve">Segretario di Stato Henry Kissinger, con Brent Scowcroft verbalizzante.</w:t>
      </w:r>
    </w:p>
    <w:p>
      <w:pPr>
        <w:spacing w:after="120" w:line="276"/>
        <w:jc w:val="both"/>
      </w:pPr>
      <w:r>
        <w:rPr>
          <w:rFonts w:ascii="Barlow Semi Condensed" w:cs="Barlow Semi Condensed" w:eastAsia="Barlow Semi Condensed" w:hAnsi="Barlow Semi Condensed"/>
          <w:sz w:val="24"/>
          <w:szCs w:val="24"/>
        </w:rPr>
        <w:t xml:space="preserve">Di quel colloquio esiste, allo stato, **un solo verbale: quello redatto dallo</w:t>
      </w:r>
    </w:p>
    <w:p>
      <w:pPr>
        <w:spacing w:after="120" w:line="276"/>
        <w:jc w:val="both"/>
      </w:pPr>
      <w:r>
        <w:rPr>
          <w:rFonts w:ascii="Barlow Semi Condensed" w:cs="Barlow Semi Condensed" w:eastAsia="Barlow Semi Condensed" w:hAnsi="Barlow Semi Condensed"/>
          <w:sz w:val="24"/>
          <w:szCs w:val="24"/>
        </w:rPr>
        <w:t xml:space="preserve">staff americano**. È pubblicato, ha doppia segnatura d'archivio ed è</w:t>
      </w:r>
    </w:p>
    <w:p>
      <w:pPr>
        <w:spacing w:after="120" w:line="276"/>
        <w:jc w:val="both"/>
      </w:pPr>
      <w:r>
        <w:rPr>
          <w:rFonts w:ascii="Barlow Semi Condensed" w:cs="Barlow Semi Condensed" w:eastAsia="Barlow Semi Condensed" w:hAnsi="Barlow Semi Condensed"/>
          <w:sz w:val="24"/>
          <w:szCs w:val="24"/>
        </w:rPr>
        <w:t xml:space="preserve">consultabile da chiunque.</w:t>
      </w:r>
    </w:p>
    <w:p>
      <w:pPr>
        <w:spacing w:after="120" w:line="276"/>
        <w:jc w:val="both"/>
      </w:pPr>
      <w:r>
        <w:rPr>
          <w:rFonts w:ascii="Barlow Semi Condensed" w:cs="Barlow Semi Condensed" w:eastAsia="Barlow Semi Condensed" w:hAnsi="Barlow Semi Condensed"/>
          <w:sz w:val="24"/>
          <w:szCs w:val="24"/>
        </w:rPr>
        <w:t xml:space="preserve">Il verbale italiano dello stesso incontro </w:t>
      </w:r>
      <w:r>
        <w:rPr>
          <w:rFonts w:ascii="Barlow Semi Condensed" w:cs="Barlow Semi Condensed" w:eastAsia="Barlow Semi Condensed" w:hAnsi="Barlow Semi Condensed"/>
          <w:b/>
          <w:bCs/>
          <w:sz w:val="24"/>
          <w:szCs w:val="24"/>
        </w:rPr>
        <w:t xml:space="preserve">non risulta mai cercato</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risulta un ritrovamento, e non risulta neppure una ricerca. Eppure un ministro</w:t>
      </w:r>
    </w:p>
    <w:p>
      <w:pPr>
        <w:spacing w:after="120" w:line="276"/>
        <w:jc w:val="both"/>
      </w:pPr>
      <w:r>
        <w:rPr>
          <w:rFonts w:ascii="Barlow Semi Condensed" w:cs="Barlow Semi Condensed" w:eastAsia="Barlow Semi Condensed" w:hAnsi="Barlow Semi Condensed"/>
          <w:sz w:val="24"/>
          <w:szCs w:val="24"/>
        </w:rPr>
        <w:t xml:space="preserve">degli Esteri che esce da un bilaterale col Presidente degli Stati Uniti fa</w:t>
      </w:r>
    </w:p>
    <w:p>
      <w:pPr>
        <w:spacing w:after="120" w:line="276"/>
        <w:jc w:val="both"/>
      </w:pPr>
      <w:r>
        <w:rPr>
          <w:rFonts w:ascii="Barlow Semi Condensed" w:cs="Barlow Semi Condensed" w:eastAsia="Barlow Semi Condensed" w:hAnsi="Barlow Semi Condensed"/>
          <w:sz w:val="24"/>
          <w:szCs w:val="24"/>
        </w:rPr>
        <w:t xml:space="preserve">stendere un appunto — un telespresso, una nota di gabinetto, un promemoria per</w:t>
      </w:r>
    </w:p>
    <w:p>
      <w:pPr>
        <w:spacing w:after="120" w:line="276"/>
        <w:jc w:val="both"/>
      </w:pPr>
      <w:r>
        <w:rPr>
          <w:rFonts w:ascii="Barlow Semi Condensed" w:cs="Barlow Semi Condensed" w:eastAsia="Barlow Semi Condensed" w:hAnsi="Barlow Semi Condensed"/>
          <w:sz w:val="24"/>
          <w:szCs w:val="24"/>
        </w:rPr>
        <w:t xml:space="preserve">il Presidente del Consiglio: è prassi ordinaria, non eccezione.</w:t>
      </w:r>
    </w:p>
    <w:p>
      <w:pPr>
        <w:spacing w:after="120" w:line="276"/>
        <w:jc w:val="both"/>
      </w:pPr>
      <w:r>
        <w:rPr>
          <w:rFonts w:ascii="Barlow Semi Condensed" w:cs="Barlow Semi Condensed" w:eastAsia="Barlow Semi Condensed" w:hAnsi="Barlow Semi Condensed"/>
          <w:sz w:val="24"/>
          <w:szCs w:val="24"/>
        </w:rPr>
        <w:t xml:space="preserve">Il quesito sta in una riga: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Le sedi in cui andrebbe cercato sono l'Archivio storico diplomatico del</w:t>
      </w:r>
    </w:p>
    <w:p>
      <w:pPr>
        <w:spacing w:after="120" w:line="276"/>
        <w:jc w:val="both"/>
      </w:pPr>
      <w:r>
        <w:rPr>
          <w:rFonts w:ascii="Barlow Semi Condensed" w:cs="Barlow Semi Condensed" w:eastAsia="Barlow Semi Condensed" w:hAnsi="Barlow Semi Condensed"/>
          <w:sz w:val="24"/>
          <w:szCs w:val="24"/>
        </w:rPr>
        <w:t xml:space="preserve">Ministero degli Affari Esteri, carteggi del gabinetto del ministro, annata 1974;</w:t>
      </w:r>
    </w:p>
    <w:p>
      <w:pPr>
        <w:spacing w:after="120" w:line="276"/>
        <w:jc w:val="both"/>
      </w:pPr>
      <w:r>
        <w:rPr>
          <w:rFonts w:ascii="Barlow Semi Condensed" w:cs="Barlow Semi Condensed" w:eastAsia="Barlow Semi Condensed" w:hAnsi="Barlow Semi Condensed"/>
          <w:sz w:val="24"/>
          <w:szCs w:val="24"/>
        </w:rPr>
        <w:t xml:space="preserve">l'Archivio centrale dello Stato, che dal 2010 è la sede della conservazione</w:t>
      </w:r>
    </w:p>
    <w:p>
      <w:pPr>
        <w:spacing w:after="120" w:line="276"/>
        <w:jc w:val="both"/>
      </w:pPr>
      <w:r>
        <w:rPr>
          <w:rFonts w:ascii="Barlow Semi Condensed" w:cs="Barlow Semi Condensed" w:eastAsia="Barlow Semi Condensed" w:hAnsi="Barlow Semi Condensed"/>
          <w:sz w:val="24"/>
          <w:szCs w:val="24"/>
        </w:rPr>
        <w:t xml:space="preserve">unificata della documentazione sul caso; e l'Archivio storico del Senato. **Ma</w:t>
      </w:r>
    </w:p>
    <w:p>
      <w:pPr>
        <w:spacing w:after="120" w:line="276"/>
        <w:jc w:val="both"/>
      </w:pPr>
      <w:r>
        <w:rPr>
          <w:rFonts w:ascii="Barlow Semi Condensed" w:cs="Barlow Semi Condensed" w:eastAsia="Barlow Semi Condensed" w:hAnsi="Barlow Semi Condensed"/>
          <w:sz w:val="24"/>
          <w:szCs w:val="24"/>
        </w:rPr>
        <w:t xml:space="preserve">la prima sede logica siete voi**, perché quella carta, se fu conservata come</w:t>
      </w:r>
    </w:p>
    <w:p>
      <w:pPr>
        <w:spacing w:after="120" w:line="276"/>
        <w:jc w:val="both"/>
      </w:pPr>
      <w:r>
        <w:rPr>
          <w:rFonts w:ascii="Barlow Semi Condensed" w:cs="Barlow Semi Condensed" w:eastAsia="Barlow Semi Condensed" w:hAnsi="Barlow Semi Condensed"/>
          <w:sz w:val="24"/>
          <w:szCs w:val="24"/>
        </w:rPr>
        <w:t xml:space="preserve">carta personale e non come atto d'ufficio, è fra le carte di Aldo Moro che la</w:t>
      </w:r>
    </w:p>
    <w:p>
      <w:pPr>
        <w:spacing w:after="120" w:line="276"/>
        <w:jc w:val="both"/>
      </w:pPr>
      <w:r>
        <w:rPr>
          <w:rFonts w:ascii="Barlow Semi Condensed" w:cs="Barlow Semi Condensed" w:eastAsia="Barlow Semi Condensed" w:hAnsi="Barlow Semi Condensed"/>
          <w:sz w:val="24"/>
          <w:szCs w:val="24"/>
        </w:rPr>
        <w:t xml:space="preserve">Fondazione custodisce o di cui conosce la collocazione.</w:t>
      </w:r>
    </w:p>
    <w:p>
      <w:pPr>
        <w:spacing w:after="120" w:line="276"/>
        <w:jc w:val="both"/>
      </w:pPr>
      <w:r>
        <w:rPr>
          <w:rFonts w:ascii="Barlow Semi Condensed" w:cs="Barlow Semi Condensed" w:eastAsia="Barlow Semi Condensed" w:hAnsi="Barlow Semi Condensed"/>
          <w:sz w:val="24"/>
          <w:szCs w:val="24"/>
        </w:rPr>
        <w:t xml:space="preserve">Vi chiedo dunque una cosa sola: **se sappiate dire dove quel documento sia, o se</w:t>
      </w:r>
    </w:p>
    <w:p>
      <w:pPr>
        <w:spacing w:after="120" w:line="276"/>
        <w:jc w:val="both"/>
      </w:pPr>
      <w:r>
        <w:rPr>
          <w:rFonts w:ascii="Barlow Semi Condensed" w:cs="Barlow Semi Condensed" w:eastAsia="Barlow Semi Condensed" w:hAnsi="Barlow Semi Condensed"/>
          <w:sz w:val="24"/>
          <w:szCs w:val="24"/>
        </w:rPr>
        <w:t xml:space="preserve">sappiate dire che non c'è.** L'una e l'altra risposta hanno lo stesso valore per</w:t>
      </w:r>
    </w:p>
    <w:p>
      <w:pPr>
        <w:spacing w:after="120" w:line="276"/>
        <w:jc w:val="both"/>
      </w:pPr>
      <w:r>
        <w:rPr>
          <w:rFonts w:ascii="Barlow Semi Condensed" w:cs="Barlow Semi Condensed" w:eastAsia="Barlow Semi Condensed" w:hAnsi="Barlow Semi Condensed"/>
          <w:sz w:val="24"/>
          <w:szCs w:val="24"/>
        </w:rPr>
        <w:t xml:space="preserve">me, e la seconda va scritta esattamente come la prima.</w:t>
      </w:r>
    </w:p>
    <w:p>
      <w:pPr>
        <w:pStyle w:val="Heading3"/>
        <w:spacing w:after="80" w:before="160"/>
      </w:pPr>
      <w:r>
        <w:rPr>
          <w:rFonts w:ascii="Barlow Semi Condensed" w:cs="Barlow Semi Condensed" w:eastAsia="Barlow Semi Condensed" w:hAnsi="Barlow Semi Condensed"/>
          <w:sz w:val="24"/>
          <w:szCs w:val="24"/>
        </w:rPr>
        <w:t xml:space="preserve">La notizia, che è la ragione vera di questa lettera</w:t>
      </w:r>
    </w:p>
    <w:p>
      <w:pPr>
        <w:spacing w:after="120" w:line="276"/>
        <w:jc w:val="both"/>
      </w:pPr>
      <w:r>
        <w:rPr>
          <w:rFonts w:ascii="Barlow Semi Condensed" w:cs="Barlow Semi Condensed" w:eastAsia="Barlow Semi Condensed" w:hAnsi="Barlow Semi Condensed"/>
          <w:sz w:val="24"/>
          <w:szCs w:val="24"/>
        </w:rPr>
        <w:t xml:space="preserve">C'è un secondo punto, e vi riguarda più di quanto riguardi me.</w:t>
      </w:r>
    </w:p>
    <w:p>
      <w:pPr>
        <w:spacing w:after="120" w:line="276"/>
        <w:jc w:val="both"/>
      </w:pPr>
      <w:r>
        <w:rPr>
          <w:rFonts w:ascii="Barlow Semi Condensed" w:cs="Barlow Semi Condensed" w:eastAsia="Barlow Semi Condensed" w:hAnsi="Barlow Semi Condensed"/>
          <w:sz w:val="24"/>
          <w:szCs w:val="24"/>
        </w:rPr>
        <w:t xml:space="preserve">Da decenni circola l'affermazione secondo cui, in quei giorni, ad Aldo Moro</w:t>
      </w:r>
    </w:p>
    <w:p>
      <w:pPr>
        <w:spacing w:after="120" w:line="276"/>
        <w:jc w:val="both"/>
      </w:pPr>
      <w:r>
        <w:rPr>
          <w:rFonts w:ascii="Barlow Semi Condensed" w:cs="Barlow Semi Condensed" w:eastAsia="Barlow Semi Condensed" w:hAnsi="Barlow Semi Condensed"/>
          <w:sz w:val="24"/>
          <w:szCs w:val="24"/>
        </w:rPr>
        <w:t xml:space="preserve">sarebbe stata rivolta una minaccia personale, e la circolazione pubblica di</w:t>
      </w:r>
    </w:p>
    <w:p>
      <w:pPr>
        <w:spacing w:after="120" w:line="276"/>
        <w:jc w:val="both"/>
      </w:pPr>
      <w:r>
        <w:rPr>
          <w:rFonts w:ascii="Barlow Semi Condensed" w:cs="Barlow Semi Condensed" w:eastAsia="Barlow Semi Condensed" w:hAnsi="Barlow Semi Condensed"/>
          <w:sz w:val="24"/>
          <w:szCs w:val="24"/>
        </w:rPr>
        <w:t xml:space="preserve">quell'affermazione indica abitualmente **il verbale dello Studio Ovale come sua</w:t>
      </w:r>
    </w:p>
    <w:p>
      <w:pPr>
        <w:spacing w:after="120" w:line="276"/>
        <w:jc w:val="both"/>
      </w:pPr>
      <w:r>
        <w:rPr>
          <w:rFonts w:ascii="Barlow Semi Condensed" w:cs="Barlow Semi Condensed" w:eastAsia="Barlow Semi Condensed" w:hAnsi="Barlow Semi Condensed"/>
          <w:sz w:val="24"/>
          <w:szCs w:val="24"/>
        </w:rPr>
        <w:t xml:space="preserve">prova documentale**.</w:t>
      </w:r>
    </w:p>
    <w:p>
      <w:pPr>
        <w:spacing w:after="120" w:line="276"/>
        <w:jc w:val="both"/>
      </w:pPr>
      <w:r>
        <w:rPr>
          <w:rFonts w:ascii="Barlow Semi Condensed" w:cs="Barlow Semi Condensed" w:eastAsia="Barlow Semi Condensed" w:hAnsi="Barlow Semi Condensed"/>
          <w:sz w:val="24"/>
          <w:szCs w:val="24"/>
        </w:rPr>
        <w:t xml:space="preserve">Il verbale non contiene quella frase.</w:t>
      </w:r>
    </w:p>
    <w:p>
      <w:pPr>
        <w:spacing w:after="120" w:line="276"/>
        <w:jc w:val="both"/>
      </w:pPr>
      <w:r>
        <w:rPr>
          <w:rFonts w:ascii="Barlow Semi Condensed" w:cs="Barlow Semi Condensed" w:eastAsia="Barlow Semi Condensed" w:hAnsi="Barlow Semi Condensed"/>
          <w:sz w:val="24"/>
          <w:szCs w:val="24"/>
        </w:rPr>
        <w:t xml:space="preserve">Devo però dichiarare il grado esatto di questa negazione, perché una negazione</w:t>
      </w:r>
    </w:p>
    <w:p>
      <w:pPr>
        <w:spacing w:after="120" w:line="276"/>
        <w:jc w:val="both"/>
      </w:pPr>
      <w:r>
        <w:rPr>
          <w:rFonts w:ascii="Barlow Semi Condensed" w:cs="Barlow Semi Condensed" w:eastAsia="Barlow Semi Condensed" w:hAnsi="Barlow Semi Condensed"/>
          <w:sz w:val="24"/>
          <w:szCs w:val="24"/>
        </w:rPr>
        <w:t xml:space="preserve">detta più forte di quanto sia è essa stessa un errore. Ciò che ho accertato è</w:t>
      </w:r>
    </w:p>
    <w:p>
      <w:pPr>
        <w:spacing w:after="120" w:line="276"/>
        <w:jc w:val="both"/>
      </w:pPr>
      <w:r>
        <w:rPr>
          <w:rFonts w:ascii="Barlow Semi Condensed" w:cs="Barlow Semi Condensed" w:eastAsia="Barlow Semi Condensed" w:hAnsi="Barlow Semi Condensed"/>
          <w:sz w:val="24"/>
          <w:szCs w:val="24"/>
        </w:rPr>
        <w:t xml:space="preserve">che nessuna delle fonti che riportano la frase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e che le</w:t>
      </w:r>
    </w:p>
    <w:p>
      <w:pPr>
        <w:spacing w:after="120" w:line="276"/>
        <w:jc w:val="both"/>
      </w:pPr>
      <w:r>
        <w:rPr>
          <w:rFonts w:ascii="Barlow Semi Condensed" w:cs="Barlow Semi Condensed" w:eastAsia="Barlow Semi Condensed" w:hAnsi="Barlow Semi Condensed"/>
          <w:sz w:val="24"/>
          <w:szCs w:val="24"/>
        </w:rPr>
        <w:t xml:space="preserve">rese pubbliche del contenuto di quel documento non la contengono. **Non ho</w:t>
      </w:r>
    </w:p>
    <w:p>
      <w:pPr>
        <w:spacing w:after="120" w:line="276"/>
        <w:jc w:val="both"/>
      </w:pPr>
      <w:r>
        <w:rPr>
          <w:rFonts w:ascii="Barlow Semi Condensed" w:cs="Barlow Semi Condensed" w:eastAsia="Barlow Semi Condensed" w:hAnsi="Barlow Semi Condensed"/>
          <w:sz w:val="24"/>
          <w:szCs w:val="24"/>
        </w:rPr>
        <w:t xml:space="preserve">letto il documento originale riga per riga**: l'accesso diretto è risultato</w:t>
      </w:r>
    </w:p>
    <w:p>
      <w:pPr>
        <w:spacing w:after="120" w:line="276"/>
        <w:jc w:val="both"/>
      </w:pPr>
      <w:r>
        <w:rPr>
          <w:rFonts w:ascii="Barlow Semi Condensed" w:cs="Barlow Semi Condensed" w:eastAsia="Barlow Semi Condensed" w:hAnsi="Barlow Semi Condensed"/>
          <w:sz w:val="24"/>
          <w:szCs w:val="24"/>
        </w:rPr>
        <w:t xml:space="preserve">filtrato, e la verifica poggia su sintesi. Chiunque abbia accesso alla pagina</w:t>
      </w:r>
    </w:p>
    <w:p>
      <w:pPr>
        <w:spacing w:after="120" w:line="276"/>
        <w:jc w:val="both"/>
      </w:pPr>
      <w:r>
        <w:rPr>
          <w:rFonts w:ascii="Barlow Semi Condensed" w:cs="Barlow Semi Condensed" w:eastAsia="Barlow Semi Condensed" w:hAnsi="Barlow Semi Condensed"/>
          <w:sz w:val="24"/>
          <w:szCs w:val="24"/>
        </w:rPr>
        <w:t xml:space="preserve">può smentirmi in mezz'ora, ed è la ragione per cui scrivo la cosa in questa</w:t>
      </w:r>
    </w:p>
    <w:p>
      <w:pPr>
        <w:spacing w:after="120" w:line="276"/>
        <w:jc w:val="both"/>
      </w:pPr>
      <w:r>
        <w:rPr>
          <w:rFonts w:ascii="Barlow Semi Condensed" w:cs="Barlow Semi Condensed" w:eastAsia="Barlow Semi Condensed" w:hAnsi="Barlow Semi Condensed"/>
          <w:sz w:val="24"/>
          <w:szCs w:val="24"/>
        </w:rPr>
        <w:t xml:space="preserve">forma e non in una più comoda.</w:t>
      </w:r>
    </w:p>
    <w:p>
      <w:pPr>
        <w:spacing w:after="120" w:line="276"/>
        <w:jc w:val="both"/>
      </w:pPr>
      <w:r>
        <w:rPr>
          <w:rFonts w:ascii="Barlow Semi Condensed" w:cs="Barlow Semi Condensed" w:eastAsia="Barlow Semi Condensed" w:hAnsi="Barlow Semi Condensed"/>
          <w:sz w:val="24"/>
          <w:szCs w:val="24"/>
        </w:rPr>
        <w:t xml:space="preserve">Va aggiunta, per correttezza piena, l'osservazione che rende il punto non</w:t>
      </w:r>
    </w:p>
    <w:p>
      <w:pPr>
        <w:spacing w:after="120" w:line="276"/>
        <w:jc w:val="both"/>
      </w:pPr>
      <w:r>
        <w:rPr>
          <w:rFonts w:ascii="Barlow Semi Condensed" w:cs="Barlow Semi Condensed" w:eastAsia="Barlow Semi Condensed" w:hAnsi="Barlow Semi Condensed"/>
          <w:sz w:val="24"/>
          <w:szCs w:val="24"/>
        </w:rPr>
        <w:t xml:space="preserve">risolutivo: secondo la testimonianza da cui l'episodio discende, la frase</w:t>
      </w:r>
    </w:p>
    <w:p>
      <w:pPr>
        <w:spacing w:after="120" w:line="276"/>
        <w:jc w:val="both"/>
      </w:pPr>
      <w:r>
        <w:rPr>
          <w:rFonts w:ascii="Barlow Semi Condensed" w:cs="Barlow Semi Condensed" w:eastAsia="Barlow Semi Condensed" w:hAnsi="Barlow Semi Condensed"/>
          <w:sz w:val="24"/>
          <w:szCs w:val="24"/>
        </w:rPr>
        <w:t xml:space="preserve">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Un</w:t>
      </w:r>
    </w:p>
    <w:p>
      <w:pPr>
        <w:spacing w:after="120" w:line="276"/>
        <w:jc w:val="both"/>
      </w:pPr>
      <w:r>
        <w:rPr>
          <w:rFonts w:ascii="Barlow Semi Condensed" w:cs="Barlow Semi Condensed" w:eastAsia="Barlow Semi Condensed" w:hAnsi="Barlow Semi Condensed"/>
          <w:sz w:val="24"/>
          <w:szCs w:val="24"/>
        </w:rPr>
        <w:t xml:space="preserve">verbale registra la riunione, non i corridoi. **L'assenza dal verbale non prova</w:t>
      </w:r>
    </w:p>
    <w:p>
      <w:pPr>
        <w:spacing w:after="120" w:line="276"/>
        <w:jc w:val="both"/>
      </w:pPr>
      <w:r>
        <w:rPr>
          <w:rFonts w:ascii="Barlow Semi Condensed" w:cs="Barlow Semi Condensed" w:eastAsia="Barlow Semi Condensed" w:hAnsi="Barlow Semi Condensed"/>
          <w:sz w:val="24"/>
          <w:szCs w:val="24"/>
        </w:rPr>
        <w:t xml:space="preserve">dunque né la falsità né la verità dell'episodio**: toglie soltanto — ma in modo</w:t>
      </w:r>
    </w:p>
    <w:p>
      <w:pPr>
        <w:spacing w:after="120" w:line="276"/>
        <w:jc w:val="both"/>
      </w:pPr>
      <w:r>
        <w:rPr>
          <w:rFonts w:ascii="Barlow Semi Condensed" w:cs="Barlow Semi Condensed" w:eastAsia="Barlow Semi Condensed" w:hAnsi="Barlow Semi Condensed"/>
          <w:sz w:val="24"/>
          <w:szCs w:val="24"/>
        </w:rPr>
        <w:t xml:space="preserve">netto — l'appoggio documentale alla versione che lo colloca nell'incontro</w:t>
      </w:r>
    </w:p>
    <w:p>
      <w:pPr>
        <w:spacing w:after="120" w:line="276"/>
        <w:jc w:val="both"/>
      </w:pPr>
      <w:r>
        <w:rPr>
          <w:rFonts w:ascii="Barlow Semi Condensed" w:cs="Barlow Semi Condensed" w:eastAsia="Barlow Semi Condensed" w:hAnsi="Barlow Semi Condensed"/>
          <w:sz w:val="24"/>
          <w:szCs w:val="24"/>
        </w:rPr>
        <w:t xml:space="preserve">ufficiale.</w:t>
      </w:r>
    </w:p>
    <w:p>
      <w:pPr>
        <w:spacing w:after="120" w:line="276"/>
        <w:jc w:val="both"/>
      </w:pPr>
      <w:r>
        <w:rPr>
          <w:rFonts w:ascii="Barlow Semi Condensed" w:cs="Barlow Semi Condensed" w:eastAsia="Barlow Semi Condensed" w:hAnsi="Barlow Semi Condensed"/>
          <w:sz w:val="24"/>
          <w:szCs w:val="24"/>
        </w:rPr>
        <w:t xml:space="preserve">Il corpus registra l'episodio per quello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resa</w:t>
      </w:r>
    </w:p>
    <w:p>
      <w:pPr>
        <w:spacing w:after="120" w:line="276"/>
        <w:jc w:val="both"/>
      </w:pPr>
      <w:r>
        <w:rPr>
          <w:rFonts w:ascii="Barlow Semi Condensed" w:cs="Barlow Semi Condensed" w:eastAsia="Barlow Semi Condensed" w:hAnsi="Barlow Semi Condensed"/>
          <w:sz w:val="24"/>
          <w:szCs w:val="24"/>
        </w:rPr>
        <w:t xml:space="preserve">otto anni dopo e per via indiretta, con la smentita dell'interessato annotata</w:t>
      </w:r>
    </w:p>
    <w:p>
      <w:pPr>
        <w:spacing w:after="120" w:line="276"/>
        <w:jc w:val="both"/>
      </w:pPr>
      <w:r>
        <w:rPr>
          <w:rFonts w:ascii="Barlow Semi Condensed" w:cs="Barlow Semi Condensed" w:eastAsia="Barlow Semi Condensed" w:hAnsi="Barlow Semi Condensed"/>
          <w:sz w:val="24"/>
          <w:szCs w:val="24"/>
        </w:rPr>
        <w:t xml:space="preserve">accanto, e con le divergenze sulla data e sul luogo riportate e non sciolte —</w:t>
      </w:r>
    </w:p>
    <w:p>
      <w:pPr>
        <w:spacing w:after="120" w:line="276"/>
        <w:jc w:val="both"/>
      </w:pPr>
      <w:r>
        <w:rPr>
          <w:rFonts w:ascii="Barlow Semi Condensed" w:cs="Barlow Semi Condensed" w:eastAsia="Barlow Semi Condensed" w:hAnsi="Barlow Semi Condensed"/>
          <w:sz w:val="24"/>
          <w:szCs w:val="24"/>
        </w:rPr>
        <w:t xml:space="preserve">perché la stessa vicenda è collocata da fonti diverse nel 1974, nel 1976 e nel</w:t>
      </w:r>
    </w:p>
    <w:p>
      <w:pPr>
        <w:spacing w:after="120" w:line="276"/>
        <w:jc w:val="both"/>
      </w:pPr>
      <w:r>
        <w:rPr>
          <w:rFonts w:ascii="Barlow Semi Condensed" w:cs="Barlow Semi Condensed" w:eastAsia="Barlow Semi Condensed" w:hAnsi="Barlow Semi Condensed"/>
          <w:sz w:val="24"/>
          <w:szCs w:val="24"/>
        </w:rPr>
        <w:t xml:space="preserve">1977, e in stanze diverse.</w:t>
      </w:r>
    </w:p>
    <w:p>
      <w:pPr>
        <w:spacing w:after="120" w:line="276"/>
        <w:jc w:val="both"/>
      </w:pPr>
      <w:r>
        <w:rPr>
          <w:rFonts w:ascii="Barlow Semi Condensed" w:cs="Barlow Semi Condensed" w:eastAsia="Barlow Semi Condensed" w:hAnsi="Barlow Semi Condensed"/>
          <w:sz w:val="24"/>
          <w:szCs w:val="24"/>
        </w:rPr>
        <w:t xml:space="preserve">**Vi comunico questo prima di ogni altra cosa, e prima che lo leggiate altrove,</w:t>
      </w:r>
    </w:p>
    <w:p>
      <w:pPr>
        <w:spacing w:after="120" w:line="276"/>
        <w:jc w:val="both"/>
      </w:pPr>
      <w:r>
        <w:rPr>
          <w:rFonts w:ascii="Barlow Semi Condensed" w:cs="Barlow Semi Condensed" w:eastAsia="Barlow Semi Condensed" w:hAnsi="Barlow Semi Condensed"/>
          <w:sz w:val="24"/>
          <w:szCs w:val="24"/>
        </w:rPr>
        <w:t xml:space="preserve">per una ragione precisa.** Quell'affermazione riguarda una persona che non può</w:t>
      </w:r>
    </w:p>
    <w:p>
      <w:pPr>
        <w:spacing w:after="120" w:line="276"/>
        <w:jc w:val="both"/>
      </w:pPr>
      <w:r>
        <w:rPr>
          <w:rFonts w:ascii="Barlow Semi Condensed" w:cs="Barlow Semi Condensed" w:eastAsia="Barlow Semi Condensed" w:hAnsi="Barlow Semi Condensed"/>
          <w:sz w:val="24"/>
          <w:szCs w:val="24"/>
        </w:rPr>
        <w:t xml:space="preserve">più confermarla né smentirla, e la sua famiglia. Un accertamento che ne indebolisce</w:t>
      </w:r>
    </w:p>
    <w:p>
      <w:pPr>
        <w:spacing w:after="120" w:line="276"/>
        <w:jc w:val="both"/>
      </w:pPr>
      <w:r>
        <w:rPr>
          <w:rFonts w:ascii="Barlow Semi Condensed" w:cs="Barlow Semi Condensed" w:eastAsia="Barlow Semi Condensed" w:hAnsi="Barlow Semi Condensed"/>
          <w:sz w:val="24"/>
          <w:szCs w:val="24"/>
        </w:rPr>
        <w:t xml:space="preserve">l'appoggio documentale non è una buona notizia né una cattiva: è un dato, e chi</w:t>
      </w:r>
    </w:p>
    <w:p>
      <w:pPr>
        <w:spacing w:after="120" w:line="276"/>
        <w:jc w:val="both"/>
      </w:pPr>
      <w:r>
        <w:rPr>
          <w:rFonts w:ascii="Barlow Semi Condensed" w:cs="Barlow Semi Condensed" w:eastAsia="Barlow Semi Condensed" w:hAnsi="Barlow Semi Condensed"/>
          <w:sz w:val="24"/>
          <w:szCs w:val="24"/>
        </w:rPr>
        <w:t xml:space="preserve">ne cura la memoria ha diritto di conoscerlo per primo e di contestarlo.</w:t>
      </w:r>
    </w:p>
    <w:p>
      <w:pPr>
        <w:spacing w:after="120" w:line="276"/>
        <w:jc w:val="both"/>
      </w:pPr>
      <w:r>
        <w:rPr>
          <w:rFonts w:ascii="Barlow Semi Condensed" w:cs="Barlow Semi Condensed" w:eastAsia="Barlow Semi Condensed" w:hAnsi="Barlow Semi Condensed"/>
          <w:sz w:val="24"/>
          <w:szCs w:val="24"/>
        </w:rPr>
        <w:t xml:space="preserve">**Se possedete una carta, una testimonianza o un riferimento che contraddica</w:t>
      </w:r>
    </w:p>
    <w:p>
      <w:pPr>
        <w:spacing w:after="120" w:line="276"/>
        <w:jc w:val="both"/>
      </w:pPr>
      <w:r>
        <w:rPr>
          <w:rFonts w:ascii="Barlow Semi Condensed" w:cs="Barlow Semi Condensed" w:eastAsia="Barlow Semi Condensed" w:hAnsi="Barlow Semi Condensed"/>
          <w:sz w:val="24"/>
          <w:szCs w:val="24"/>
        </w:rPr>
        <w:t xml:space="preserve">quanto ho scritto, lo recepirò per nota, accanto al testo errato e senza</w:t>
      </w:r>
    </w:p>
    <w:p>
      <w:pPr>
        <w:spacing w:after="120" w:line="276"/>
        <w:jc w:val="both"/>
      </w:pPr>
      <w:r>
        <w:rPr>
          <w:rFonts w:ascii="Barlow Semi Condensed" w:cs="Barlow Semi Condensed" w:eastAsia="Barlow Semi Condensed" w:hAnsi="Barlow Semi Condensed"/>
          <w:sz w:val="24"/>
          <w:szCs w:val="24"/>
        </w:rPr>
        <w:t xml:space="preserve">cancellarlo** — che è il criterio con cui il corpus tratta ogni propria</w:t>
      </w:r>
    </w:p>
    <w:p>
      <w:pPr>
        <w:spacing w:after="120" w:line="276"/>
        <w:jc w:val="both"/>
      </w:pPr>
      <w:r>
        <w:rPr>
          <w:rFonts w:ascii="Barlow Semi Condensed" w:cs="Barlow Semi Condensed" w:eastAsia="Barlow Semi Condensed" w:hAnsi="Barlow Semi Condensed"/>
          <w:sz w:val="24"/>
          <w:szCs w:val="24"/>
        </w:rPr>
        <w:t xml:space="preserve">correzione, comprese quelle che ha dovuto fare contro sé stesso.</w:t>
      </w:r>
    </w:p>
    <w:p>
      <w:pPr>
        <w:pStyle w:val="Heading3"/>
        <w:spacing w:after="80" w:before="160"/>
      </w:pPr>
      <w:r>
        <w:rPr>
          <w:rFonts w:ascii="Barlow Semi Condensed" w:cs="Barlow Semi Condensed" w:eastAsia="Barlow Semi Condensed" w:hAnsi="Barlow Semi Condensed"/>
          <w:sz w:val="24"/>
          <w:szCs w:val="24"/>
        </w:rPr>
        <w:t xml:space="preserve">Che cosa non chiedo</w:t>
      </w:r>
    </w:p>
    <w:p>
      <w:pPr>
        <w:spacing w:after="120" w:line="276"/>
        <w:jc w:val="both"/>
      </w:pPr>
      <w:r>
        <w:rPr>
          <w:rFonts w:ascii="Barlow Semi Condensed" w:cs="Barlow Semi Condensed" w:eastAsia="Barlow Semi Condensed" w:hAnsi="Barlow Semi Condensed"/>
          <w:sz w:val="24"/>
          <w:szCs w:val="24"/>
        </w:rPr>
        <w:t xml:space="preserve">Non chiedo il deposito di alcunché, non chiedo patrocinio, non chiedo che il</w:t>
      </w:r>
    </w:p>
    <w:p>
      <w:pPr>
        <w:spacing w:after="120" w:line="276"/>
        <w:jc w:val="both"/>
      </w:pPr>
      <w:r>
        <w:rPr>
          <w:rFonts w:ascii="Barlow Semi Condensed" w:cs="Barlow Semi Condensed" w:eastAsia="Barlow Semi Condensed" w:hAnsi="Barlow Semi Condensed"/>
          <w:sz w:val="24"/>
          <w:szCs w:val="24"/>
        </w:rPr>
        <w:t xml:space="preserve">vostro nome compaia accanto al mio in alcun luogo, e non chiedo di essere</w:t>
      </w:r>
    </w:p>
    <w:p>
      <w:pPr>
        <w:spacing w:after="120" w:line="276"/>
        <w:jc w:val="both"/>
      </w:pPr>
      <w:r>
        <w:rPr>
          <w:rFonts w:ascii="Barlow Semi Condensed" w:cs="Barlow Semi Condensed" w:eastAsia="Barlow Semi Condensed" w:hAnsi="Barlow Semi Condensed"/>
          <w:sz w:val="24"/>
          <w:szCs w:val="24"/>
        </w:rPr>
        <w:t xml:space="preserve">ricevuto. Se riteneste che questa materia non vi competa, o che il modo in cui</w:t>
      </w:r>
    </w:p>
    <w:p>
      <w:pPr>
        <w:spacing w:after="120" w:line="276"/>
        <w:jc w:val="both"/>
      </w:pPr>
      <w:r>
        <w:rPr>
          <w:rFonts w:ascii="Barlow Semi Condensed" w:cs="Barlow Semi Condensed" w:eastAsia="Barlow Semi Condensed" w:hAnsi="Barlow Semi Condensed"/>
          <w:sz w:val="24"/>
          <w:szCs w:val="24"/>
        </w:rPr>
        <w:t xml:space="preserve">è stata prodotta la renda inutilizzabile, quel giudizio sarebbe a sua volta</w:t>
      </w:r>
    </w:p>
    <w:p>
      <w:pPr>
        <w:spacing w:after="120" w:line="276"/>
        <w:jc w:val="both"/>
      </w:pPr>
      <w:r>
        <w:rPr>
          <w:rFonts w:ascii="Barlow Semi Condensed" w:cs="Barlow Semi Condensed" w:eastAsia="Barlow Semi Condensed" w:hAnsi="Barlow Semi Condensed"/>
          <w:sz w:val="24"/>
          <w:szCs w:val="24"/>
        </w:rPr>
        <w:t xml:space="preserve">un'informazione e la accoglierei come tale.</w:t>
      </w:r>
    </w:p>
    <w:p>
      <w:pPr>
        <w:spacing w:after="120" w:line="276"/>
        <w:jc w:val="both"/>
      </w:pPr>
      <w:r>
        <w:rPr>
          <w:rFonts w:ascii="Barlow Semi Condensed" w:cs="Barlow Semi Condensed" w:eastAsia="Barlow Semi Condensed" w:hAnsi="Barlow Semi Condensed"/>
          <w:sz w:val="24"/>
          <w:szCs w:val="24"/>
        </w:rPr>
        <w:t xml:space="preserve">Resto a disposizione per l'invio dei materiali, nella misura e nel formato che</w:t>
      </w:r>
    </w:p>
    <w:p>
      <w:pPr>
        <w:spacing w:after="120" w:line="276"/>
        <w:jc w:val="both"/>
      </w:pPr>
      <w:r>
        <w:rPr>
          <w:rFonts w:ascii="Barlow Semi Condensed" w:cs="Barlow Semi Condensed" w:eastAsia="Barlow Semi Condensed" w:hAnsi="Barlow Semi Condensed"/>
          <w:sz w:val="24"/>
          <w:szCs w:val="24"/>
        </w:rPr>
        <w:t xml:space="preserve">riterrete utili — o per non inviarne alcuno, se preferite.</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[posta elettronica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p>
      <w:pPr>
        <w:spacing w:after="120" w:line="276"/>
        <w:jc w:val="both"/>
      </w:pPr>
      <w:r>
        <w:rPr>
          <w:rFonts w:ascii="Barlow Semi Condensed" w:cs="Barlow Semi Condensed" w:eastAsia="Barlow Semi Condensed" w:hAnsi="Barlow Semi Condensed"/>
          <w:b/>
          <w:bCs/>
          <w:sz w:val="24"/>
          <w:szCs w:val="24"/>
        </w:rPr>
        <w:t xml:space="preserve">Uno solo, e leggero.</w:t>
      </w:r>
      <w:r>
        <w:rPr>
          <w:rFonts w:ascii="Barlow Semi Condensed" w:cs="Barlow Semi Condensed" w:eastAsia="Barlow Semi Condensed" w:hAnsi="Barlow Semi Condensed"/>
          <w:sz w:val="24"/>
          <w:szCs w:val="24"/>
        </w:rPr>
        <w:t xml:space="preserve"> La regola qui è opposta a quella delle proposte</w:t>
      </w:r>
    </w:p>
    <w:p>
      <w:pPr>
        <w:spacing w:after="120" w:line="276"/>
        <w:jc w:val="both"/>
      </w:pPr>
      <w:r>
        <w:rPr>
          <w:rFonts w:ascii="Barlow Semi Condensed" w:cs="Barlow Semi Condensed" w:eastAsia="Barlow Semi Condensed" w:hAnsi="Barlow Semi Condensed"/>
          <w:sz w:val="24"/>
          <w:szCs w:val="24"/>
        </w:rPr>
        <w:t xml:space="preserve">editoriali: non si allega il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 una pagina con i numeri, la disciplina e i</w:t>
      </w:r>
    </w:p>
    <w:p>
      <w:pPr>
        <w:spacing w:after="120" w:line="276"/>
        <w:jc w:val="both"/>
      </w:pPr>
      <w:r>
        <w:rPr>
          <w:rFonts w:ascii="Barlow Semi Condensed" w:cs="Barlow Semi Condensed" w:eastAsia="Barlow Semi Condensed" w:hAnsi="Barlow Semi Condensed"/>
          <w:sz w:val="24"/>
          <w:szCs w:val="24"/>
        </w:rPr>
        <w:t xml:space="preserve">  limiti dichiarati.</w:t>
      </w:r>
    </w:p>
    <w:p>
      <w:pPr>
        <w:spacing w:after="120" w:line="276"/>
        <w:jc w:val="both"/>
      </w:pPr>
      <w:r>
        <w:rPr>
          <w:rFonts w:ascii="Barlow Semi Condensed" w:cs="Barlow Semi Condensed" w:eastAsia="Barlow Semi Condensed" w:hAnsi="Barlow Semi Condensed"/>
          <w:sz w:val="24"/>
          <w:szCs w:val="24"/>
        </w:rPr>
        <w:t xml:space="preserve">Il resto si offre e non si manda. Se chiedessero di vedere il materiale sul</w:t>
      </w:r>
    </w:p>
    <w:p>
      <w:pPr>
        <w:spacing w:after="120" w:line="276"/>
        <w:jc w:val="both"/>
      </w:pPr>
      <w:r>
        <w:rPr>
          <w:rFonts w:ascii="Barlow Semi Condensed" w:cs="Barlow Semi Condensed" w:eastAsia="Barlow Semi Condensed" w:hAnsi="Barlow Semi Condensed"/>
          <w:sz w:val="24"/>
          <w:szCs w:val="24"/>
        </w:rPr>
        <w:t xml:space="preserve">punto specifico, si invia allora — e solo allora — il capitolo campione, che</w:t>
      </w:r>
    </w:p>
    <w:p>
      <w:pPr>
        <w:spacing w:after="120" w:line="276"/>
        <w:jc w:val="both"/>
      </w:pPr>
      <w:r>
        <w:rPr>
          <w:rFonts w:ascii="Barlow Semi Condensed" w:cs="Barlow Semi Condensed" w:eastAsia="Barlow Semi Condensed" w:hAnsi="Barlow Semi Condensed"/>
          <w:sz w:val="24"/>
          <w:szCs w:val="24"/>
        </w:rPr>
        <w:t xml:space="preserve">tratta per intero il verbale del 25 settembre 1974.</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 — la più importante di tutto il dossier</w:t>
      </w:r>
    </w:p>
    <w:p>
      <w:pPr>
        <w:spacing w:after="120" w:line="276"/>
        <w:jc w:val="both"/>
      </w:pPr>
      <w:r>
        <w:rPr>
          <w:rFonts w:ascii="Barlow Semi Condensed" w:cs="Barlow Semi Condensed" w:eastAsia="Barlow Semi Condensed" w:hAnsi="Barlow Semi Condensed"/>
          <w:sz w:val="24"/>
          <w:szCs w:val="24"/>
        </w:rPr>
        <w:t xml:space="preserve">Questa è l'unica lettera del dossier che riguarda **la memoria di una persona</w:t>
      </w:r>
    </w:p>
    <w:p>
      <w:pPr>
        <w:spacing w:after="120" w:line="276"/>
        <w:jc w:val="both"/>
      </w:pPr>
      <w:r>
        <w:rPr>
          <w:rFonts w:ascii="Barlow Semi Condensed" w:cs="Barlow Semi Condensed" w:eastAsia="Barlow Semi Condensed" w:hAnsi="Barlow Semi Condensed"/>
          <w:sz w:val="24"/>
          <w:szCs w:val="24"/>
        </w:rPr>
        <w:t xml:space="preserve">determinata, e una famiglia che esiste**. Tre avvertenze, e nessuna è formale:</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Non si scrive nulla che possa suonare come una rivendicazione di</w:t>
      </w:r>
    </w:p>
    <w:p>
      <w:pPr>
        <w:spacing w:after="120" w:line="276"/>
        <w:jc w:val="both"/>
      </w:pPr>
      <w:r>
        <w:rPr>
          <w:rFonts w:ascii="Barlow Semi Condensed" w:cs="Barlow Semi Condensed" w:eastAsia="Barlow Semi Condensed" w:hAnsi="Barlow Semi Condensed"/>
          <w:sz w:val="24"/>
          <w:szCs w:val="24"/>
        </w:rPr>
        <w:t xml:space="preserve">scoperta. Non c'è alcuna scoperta: c'è un documento pubblico che dice altro da</w:t>
      </w:r>
    </w:p>
    <w:p>
      <w:pPr>
        <w:spacing w:after="120" w:line="276"/>
        <w:jc w:val="both"/>
      </w:pPr>
      <w:r>
        <w:rPr>
          <w:rFonts w:ascii="Barlow Semi Condensed" w:cs="Barlow Semi Condensed" w:eastAsia="Barlow Semi Condensed" w:hAnsi="Barlow Semi Condensed"/>
          <w:sz w:val="24"/>
          <w:szCs w:val="24"/>
        </w:rPr>
        <w:t xml:space="preserve">ciò che gli si fa dire, e una carta che nessuno ha cercato.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Non si usa il nome di Aldo Moro come richiamo. La lettera parla di</w:t>
      </w:r>
    </w:p>
    <w:p>
      <w:pPr>
        <w:spacing w:after="120" w:line="276"/>
        <w:jc w:val="both"/>
      </w:pPr>
      <w:r>
        <w:rPr>
          <w:rFonts w:ascii="Barlow Semi Condensed" w:cs="Barlow Semi Condensed" w:eastAsia="Barlow Semi Condensed" w:hAnsi="Barlow Semi Condensed"/>
          <w:sz w:val="24"/>
          <w:szCs w:val="24"/>
        </w:rPr>
        <w:t xml:space="preserve">una carta e di una data; se il tono scivola verso il caso, la vicenda o il</w:t>
      </w:r>
    </w:p>
    <w:p>
      <w:pPr>
        <w:spacing w:after="120" w:line="276"/>
        <w:jc w:val="both"/>
      </w:pPr>
      <w:r>
        <w:rPr>
          <w:rFonts w:ascii="Barlow Semi Condensed" w:cs="Barlow Semi Condensed" w:eastAsia="Barlow Semi Condensed" w:hAnsi="Barlow Semi Condensed"/>
          <w:sz w:val="24"/>
          <w:szCs w:val="24"/>
        </w:rPr>
        <w:t xml:space="preserve">mistero, va riscritta.</w:t>
      </w:r>
    </w:p>
    <w:p>
      <w:pPr>
        <w:spacing w:after="120" w:line="276"/>
        <w:jc w:val="both"/>
      </w:pPr>
      <w:r>
        <w:rPr>
          <w:rFonts w:ascii="Barlow Semi Condensed" w:cs="Barlow Semi Condensed" w:eastAsia="Barlow Semi Condensed" w:hAnsi="Barlow Semi Condensed"/>
          <w:b/>
          <w:bCs/>
          <w:sz w:val="24"/>
          <w:szCs w:val="24"/>
        </w:rPr>
        <w:t xml:space="preserve">Terza, e decide il resto.</w:t>
      </w:r>
      <w:r>
        <w:rPr>
          <w:rFonts w:ascii="Barlow Semi Condensed" w:cs="Barlow Semi Condensed" w:eastAsia="Barlow Semi Condensed" w:hAnsi="Barlow Semi Condensed"/>
          <w:sz w:val="24"/>
          <w:szCs w:val="24"/>
        </w:rPr>
        <w:t xml:space="preserve"> Se dopo la rilettura la lettera sembrasse chiedere</w:t>
      </w:r>
    </w:p>
    <w:p>
      <w:pPr>
        <w:spacing w:after="120" w:line="276"/>
        <w:jc w:val="both"/>
      </w:pPr>
      <w:r>
        <w:rPr>
          <w:rFonts w:ascii="Barlow Semi Condensed" w:cs="Barlow Semi Condensed" w:eastAsia="Barlow Semi Condensed" w:hAnsi="Barlow Semi Condensed"/>
          <w:sz w:val="24"/>
          <w:szCs w:val="24"/>
        </w:rPr>
        <w:t xml:space="preserve">qualcosa in cambio — una risposta, un riconoscimento, un contatto — **va</w:t>
      </w:r>
    </w:p>
    <w:p>
      <w:pPr>
        <w:spacing w:after="120" w:line="276"/>
        <w:jc w:val="both"/>
      </w:pPr>
      <w:r>
        <w:rPr>
          <w:rFonts w:ascii="Barlow Semi Condensed" w:cs="Barlow Semi Condensed" w:eastAsia="Barlow Semi Condensed" w:hAnsi="Barlow Semi Condensed"/>
          <w:sz w:val="24"/>
          <w:szCs w:val="24"/>
        </w:rPr>
        <w:t xml:space="preserve">tagliata finché non chiede più nulla**. È l'unica forma in cui merita di essere</w:t>
      </w:r>
    </w:p>
    <w:p>
      <w:pPr>
        <w:spacing w:after="120" w:line="276"/>
        <w:jc w:val="both"/>
      </w:pPr>
      <w:r>
        <w:rPr>
          <w:rFonts w:ascii="Barlow Semi Condensed" w:cs="Barlow Semi Condensed" w:eastAsia="Barlow Semi Condensed" w:hAnsi="Barlow Semi Condensed"/>
          <w:sz w:val="24"/>
          <w:szCs w:val="24"/>
        </w:rPr>
        <w:t xml:space="preserve">spedita.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Una porta vicina, per un oggetto diverso</w:t>
      </w:r>
    </w:p>
    <w:p>
      <w:pPr>
        <w:spacing w:after="120" w:line="276"/>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Edizione Nazionale delle Opere di Aldo Moro</w:t>
      </w:r>
      <w:r>
        <w:rPr>
          <w:rFonts w:ascii="Barlow Semi Condensed" w:cs="Barlow Semi Condensed" w:eastAsia="Barlow Semi Condensed" w:hAnsi="Barlow Semi Condensed"/>
          <w:sz w:val="24"/>
          <w:szCs w:val="24"/>
        </w:rPr>
        <w:t xml:space="preserve"> è un interlocutore distinto e</w:t>
      </w:r>
    </w:p>
    <w:p>
      <w:pPr>
        <w:spacing w:after="120" w:line="276"/>
        <w:jc w:val="both"/>
      </w:pPr>
      <w:r>
        <w:rPr>
          <w:rFonts w:ascii="Barlow Semi Condensed" w:cs="Barlow Semi Condensed" w:eastAsia="Barlow Semi Condensed" w:hAnsi="Barlow Semi Condensed"/>
          <w:sz w:val="24"/>
          <w:szCs w:val="24"/>
        </w:rPr>
        <w:t xml:space="preserve">per una cosa distinta: non il quesito d'archivio, ma **l'apparato delle</w:t>
      </w:r>
    </w:p>
    <w:p>
      <w:pPr>
        <w:spacing w:after="120" w:line="276"/>
        <w:jc w:val="both"/>
      </w:pPr>
      <w:r>
        <w:rPr>
          <w:rFonts w:ascii="Barlow Semi Condensed" w:cs="Barlow Semi Condensed" w:eastAsia="Barlow Semi Condensed" w:hAnsi="Barlow Semi Condensed"/>
          <w:sz w:val="24"/>
          <w:szCs w:val="24"/>
        </w:rPr>
        <w:t xml:space="preserve">citazioni** — 685 indirizzi distinti per 1.029 citazioni. Se qualcosa di questo</w:t>
      </w:r>
    </w:p>
    <w:p>
      <w:pPr>
        <w:spacing w:after="120" w:line="276"/>
        <w:jc w:val="both"/>
      </w:pPr>
      <w:r>
        <w:rPr>
          <w:rFonts w:ascii="Barlow Semi Condensed" w:cs="Barlow Semi Condensed" w:eastAsia="Barlow Semi Condensed" w:hAnsi="Barlow Semi Condensed"/>
          <w:sz w:val="24"/>
          <w:szCs w:val="24"/>
        </w:rPr>
        <w:t xml:space="preserve">lavoro può servire a chi cura un'edizione critica, è quello, e va proposto</w:t>
      </w:r>
    </w:p>
    <w:p>
      <w:pPr>
        <w:spacing w:after="120" w:line="276"/>
        <w:jc w:val="both"/>
      </w:pPr>
      <w:r>
        <w:rPr>
          <w:rFonts w:ascii="Barlow Semi Condensed" w:cs="Barlow Semi Condensed" w:eastAsia="Barlow Semi Condensed" w:hAnsi="Barlow Semi Condensed"/>
          <w:sz w:val="24"/>
          <w:szCs w:val="24"/>
        </w:rPr>
        <w:t xml:space="preserve">separatamente e in altra forma.</w:t>
      </w:r>
    </w:p>
    <w:p>
      <w:pPr>
        <w:spacing w:after="120" w:line="276"/>
        <w:jc w:val="both"/>
      </w:pPr>
      <w:r>
        <w:rPr>
          <w:rFonts w:ascii="Barlow Semi Condensed" w:cs="Barlow Semi Condensed" w:eastAsia="Barlow Semi Condensed" w:hAnsi="Barlow Semi Condensed"/>
          <w:sz w:val="24"/>
          <w:szCs w:val="24"/>
        </w:rPr>
        <w:t xml:space="preserve">Non si scrivono le due lettere lo stesso giorno.</w:t>
      </w:r>
    </w:p>
    <w:p>
      <w:pPr>
        <w:pStyle w:val="Heading3"/>
        <w:spacing w:after="80" w:before="240"/>
      </w:pPr>
      <w:r>
        <w:rPr>
          <w:rFonts w:ascii="Barlow Semi Condensed" w:cs="Barlow Semi Condensed" w:eastAsia="Barlow Semi Condensed" w:hAnsi="Barlow Semi Condensed"/>
          <w:sz w:val="24"/>
          <w:szCs w:val="24"/>
        </w:rPr>
        <w:t xml:space="preserve">Apparato grafico — Appendici · x. Alla Fondazione Aldo 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 1.744 parole in 7 sezioni; la più ampia è §4 Testo della lettera, con 1.170.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 52 paragrafi in 7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 All'Archivio Flamigni</w:t>
      </w:r>
    </w:p>
    <w:p>
      <w:pPr>
        <w:pStyle w:val="Heading1"/>
        <w:spacing w:after="120" w:before="240"/>
      </w:pPr>
      <w:r>
        <w:rPr>
          <w:rFonts w:ascii="Barlow Semi Condensed" w:cs="Barlow Semi Condensed" w:eastAsia="Barlow Semi Condensed" w:hAnsi="Barlow Semi Condensed"/>
          <w:sz w:val="24"/>
          <w:szCs w:val="24"/>
        </w:rPr>
        <w:t xml:space="preserve">PEC — Centro documentazione Archivio «Flamigni» ETS</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da verificare prima dell'invio</w:t>
      </w:r>
    </w:p>
    <w:p>
      <w:pPr>
        <w:spacing w:after="120" w:line="276"/>
        <w:jc w:val="both"/>
      </w:pPr>
      <w:r>
        <w:rPr>
          <w:rFonts w:ascii="Barlow Semi Condensed" w:cs="Barlow Semi Condensed" w:eastAsia="Barlow Semi Condensed" w:hAnsi="Barlow Semi Condensed"/>
          <w:sz w:val="24"/>
          <w:szCs w:val="24"/>
        </w:rPr>
        <w:t xml:space="preserve">**L'indirizzo PEC non è riportato in questa bozza perché non è stato possibile</w:t>
      </w:r>
    </w:p>
    <w:p>
      <w:pPr>
        <w:spacing w:after="120" w:line="276"/>
        <w:jc w:val="both"/>
      </w:pPr>
      <w:r>
        <w:rPr>
          <w:rFonts w:ascii="Barlow Semi Condensed" w:cs="Barlow Semi Condensed" w:eastAsia="Barlow Semi Condensed" w:hAnsi="Barlow Semi Condensed"/>
          <w:sz w:val="24"/>
          <w:szCs w:val="24"/>
        </w:rPr>
        <w:t xml:space="preserve">accertarlo.** Va reperito prima dell'invio, in uno di questi modi:</w:t>
      </w:r>
    </w:p>
    <w:p>
      <w:pPr>
        <w:spacing w:after="40"/>
        <w:ind w:left="360"/>
        <w:jc w:val="both"/>
      </w:pPr>
      <w:r>
        <w:rPr>
          <w:rFonts w:ascii="Barlow Semi Condensed" w:cs="Barlow Semi Condensed" w:eastAsia="Barlow Semi Condensed" w:hAnsi="Barlow Semi Condensed"/>
          <w:sz w:val="24"/>
          <w:szCs w:val="24"/>
        </w:rPr>
        <w:t xml:space="preserve">1. Il </w:t>
      </w:r>
      <w:r>
        <w:rPr>
          <w:rFonts w:ascii="Barlow Semi Condensed" w:cs="Barlow Semi Condensed" w:eastAsia="Barlow Semi Condensed" w:hAnsi="Barlow Semi Condensed"/>
          <w:b/>
          <w:bCs/>
          <w:sz w:val="24"/>
          <w:szCs w:val="24"/>
        </w:rPr>
        <w:t xml:space="preserve">RUNTS</w:t>
      </w:r>
      <w:r>
        <w:rPr>
          <w:rFonts w:ascii="Barlow Semi Condensed" w:cs="Barlow Semi Condensed" w:eastAsia="Barlow Semi Condensed" w:hAnsi="Barlow Semi Condensed"/>
          <w:sz w:val="24"/>
          <w:szCs w:val="24"/>
        </w:rPr>
        <w:t xml:space="preserve"> (Registro Unico Nazionale del Terzo Settore) — l'ente è un ETS</w:t>
      </w:r>
    </w:p>
    <w:p>
      <w:pPr>
        <w:spacing w:after="120" w:line="276"/>
        <w:jc w:val="both"/>
      </w:pPr>
      <w:r>
        <w:rPr>
          <w:rFonts w:ascii="Barlow Semi Condensed" w:cs="Barlow Semi Condensed" w:eastAsia="Barlow Semi Condensed" w:hAnsi="Barlow Semi Condensed"/>
          <w:sz w:val="24"/>
          <w:szCs w:val="24"/>
        </w:rPr>
        <w:t xml:space="preserve">   e vi è iscritto con il proprio domicilio digitale.</w:t>
      </w:r>
    </w:p>
    <w:p>
      <w:pPr>
        <w:spacing w:after="40"/>
        <w:ind w:left="360"/>
        <w:jc w:val="both"/>
      </w:pPr>
      <w:r>
        <w:rPr>
          <w:rFonts w:ascii="Barlow Semi Condensed" w:cs="Barlow Semi Condensed" w:eastAsia="Barlow Semi Condensed" w:hAnsi="Barlow Semi Condensed"/>
          <w:sz w:val="24"/>
          <w:szCs w:val="24"/>
        </w:rPr>
        <w:t xml:space="preserve">2. 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se l'ente vi risulta come persona giuridica.</w:t>
      </w:r>
    </w:p>
    <w:p>
      <w:pPr>
        <w:spacing w:after="40"/>
        <w:ind w:left="360"/>
        <w:jc w:val="both"/>
      </w:pPr>
      <w:r>
        <w:rPr>
          <w:rFonts w:ascii="Barlow Semi Condensed" w:cs="Barlow Semi Condensed" w:eastAsia="Barlow Semi Condensed" w:hAnsi="Barlow Semi Condensed"/>
          <w:sz w:val="24"/>
          <w:szCs w:val="24"/>
        </w:rPr>
        <w:t xml:space="preserve">3. Il sito istituzionale </w:t>
      </w:r>
      <w:r>
        <w:rPr>
          <w:rFonts w:ascii="Barlow Semi Condensed" w:cs="Barlow Semi Condensed" w:eastAsia="Barlow Semi Condensed" w:hAnsi="Barlow Semi Condensed"/>
          <w:b/>
          <w:bCs/>
          <w:sz w:val="24"/>
          <w:szCs w:val="24"/>
        </w:rPr>
        <w:t xml:space="preserve">archivioflamigni.org</w:t>
      </w:r>
      <w:r>
        <w:rPr>
          <w:rFonts w:ascii="Barlow Semi Condensed" w:cs="Barlow Semi Condensed" w:eastAsia="Barlow Semi Condensed" w:hAnsi="Barlow Semi Condensed"/>
          <w:sz w:val="24"/>
          <w:szCs w:val="24"/>
        </w:rPr>
        <w:t xml:space="preserve">, alla pagina dei contatti.</w:t>
      </w:r>
    </w:p>
    <w:p>
      <w:pPr>
        <w:spacing w:after="40"/>
        <w:ind w:left="360"/>
        <w:jc w:val="both"/>
      </w:pPr>
      <w:r>
        <w:rPr>
          <w:rFonts w:ascii="Barlow Semi Condensed" w:cs="Barlow Semi Condensed" w:eastAsia="Barlow Semi Condensed" w:hAnsi="Barlow Semi Condensed"/>
          <w:sz w:val="24"/>
          <w:szCs w:val="24"/>
        </w:rPr>
        <w:t xml:space="preserve">4. In subordine, una </w:t>
      </w:r>
      <w:r>
        <w:rPr>
          <w:rFonts w:ascii="Barlow Semi Condensed" w:cs="Barlow Semi Condensed" w:eastAsia="Barlow Semi Condensed" w:hAnsi="Barlow Semi Condensed"/>
          <w:b/>
          <w:bCs/>
          <w:sz w:val="24"/>
          <w:szCs w:val="24"/>
        </w:rPr>
        <w:t xml:space="preserve">richiesta preliminare via email ordinaria</w:t>
      </w:r>
      <w:r>
        <w:rPr>
          <w:rFonts w:ascii="Barlow Semi Condensed" w:cs="Barlow Semi Condensed" w:eastAsia="Barlow Semi Condensed" w:hAnsi="Barlow Semi Condensed"/>
          <w:sz w:val="24"/>
          <w:szCs w:val="24"/>
        </w:rPr>
        <w:t xml:space="preserve"> chiedendo</w:t>
      </w:r>
    </w:p>
    <w:p>
      <w:pPr>
        <w:spacing w:after="120" w:line="276"/>
        <w:jc w:val="both"/>
      </w:pPr>
      <w:r>
        <w:rPr>
          <w:rFonts w:ascii="Barlow Semi Condensed" w:cs="Barlow Semi Condensed" w:eastAsia="Barlow Semi Condensed" w:hAnsi="Barlow Semi Condensed"/>
          <w:sz w:val="24"/>
          <w:szCs w:val="24"/>
        </w:rPr>
        <w:t xml:space="preserve">   l'indirizzo PEC per una comunicazione formale.</w:t>
      </w:r>
    </w:p>
    <w:p>
      <w:pPr>
        <w:spacing w:after="120" w:line="276"/>
        <w:jc w:val="both"/>
      </w:pPr>
      <w:r>
        <w:rPr>
          <w:rFonts w:ascii="Barlow Semi Condensed" w:cs="Barlow Semi Condensed" w:eastAsia="Barlow Semi Condensed" w:hAnsi="Barlow Semi Condensed"/>
          <w:sz w:val="24"/>
          <w:szCs w:val="24"/>
        </w:rPr>
        <w:t xml:space="preserve">Se l'indirizzo PEC non esiste o non è reperibile, la comunicazione resta</w:t>
      </w:r>
    </w:p>
    <w:p>
      <w:pPr>
        <w:spacing w:after="120" w:line="276"/>
        <w:jc w:val="both"/>
      </w:pPr>
      <w:r>
        <w:rPr>
          <w:rFonts w:ascii="Barlow Semi Condensed" w:cs="Barlow Semi Condensed" w:eastAsia="Barlow Semi Condensed" w:hAnsi="Barlow Semi Condensed"/>
          <w:sz w:val="24"/>
          <w:szCs w:val="24"/>
        </w:rPr>
        <w:t xml:space="preserve">valida come email ordinaria: la PEC ha valore legale nell'ordinamento italiano</w:t>
      </w:r>
    </w:p>
    <w:p>
      <w:pPr>
        <w:spacing w:after="120" w:line="276"/>
        <w:jc w:val="both"/>
      </w:pPr>
      <w:r>
        <w:rPr>
          <w:rFonts w:ascii="Barlow Semi Condensed" w:cs="Barlow Semi Condensed" w:eastAsia="Barlow Semi Condensed" w:hAnsi="Barlow Semi Condensed"/>
          <w:sz w:val="24"/>
          <w:szCs w:val="24"/>
        </w:rPr>
        <w:t xml:space="preserve">(D.P.R. 68/2005), ma qui serve soprattutto a certificare data e contenuto</w:t>
      </w:r>
    </w:p>
    <w:p>
      <w:pPr>
        <w:spacing w:after="120" w:line="276"/>
        <w:jc w:val="both"/>
      </w:pPr>
      <w:r>
        <w:rPr>
          <w:rFonts w:ascii="Barlow Semi Condensed" w:cs="Barlow Semi Condensed" w:eastAsia="Barlow Semi Condensed" w:hAnsi="Barlow Semi Condensed"/>
          <w:sz w:val="24"/>
          <w:szCs w:val="24"/>
        </w:rPr>
        <w:t xml:space="preserve">dell'invio, non a produrre effetti giuridici.</w:t>
      </w:r>
    </w:p>
    <w:p>
      <w:pPr>
        <w:spacing w:after="120" w:line="276"/>
        <w:jc w:val="both"/>
      </w:pPr>
      <w:r>
        <w:rPr>
          <w:rFonts w:ascii="Barlow Semi Condensed" w:cs="Barlow Semi Condensed" w:eastAsia="Barlow Semi Condensed" w:hAnsi="Barlow Semi Condensed"/>
          <w:b/>
          <w:bCs/>
          <w:sz w:val="24"/>
          <w:szCs w:val="24"/>
        </w:rPr>
        <w:t xml:space="preserve">Sede per l'eventuale corrispondenza cartacea</w:t>
      </w:r>
      <w:r>
        <w:rPr>
          <w:rFonts w:ascii="Barlow Semi Condensed" w:cs="Barlow Semi Condensed" w:eastAsia="Barlow Semi Condensed" w:hAnsi="Barlow Semi Condensed"/>
          <w:sz w:val="24"/>
          <w:szCs w:val="24"/>
        </w:rPr>
        <w:t xml:space="preserve">: Piazza Bartolomeo Romano 6,</w:t>
      </w:r>
    </w:p>
    <w:p>
      <w:pPr>
        <w:spacing w:after="120" w:line="276"/>
        <w:jc w:val="both"/>
      </w:pPr>
      <w:r>
        <w:rPr>
          <w:rFonts w:ascii="Barlow Semi Condensed" w:cs="Barlow Semi Condensed" w:eastAsia="Barlow Semi Condensed" w:hAnsi="Barlow Semi Condensed"/>
          <w:sz w:val="24"/>
          <w:szCs w:val="24"/>
        </w:rPr>
        <w:t xml:space="preserve">00154 Roma (Garbatella).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Proposta di valutazione e di eventuale deposito — «Aldo Moro. La Seconda Guerra</w:t>
      </w:r>
    </w:p>
    <w:p>
      <w:pPr>
        <w:spacing w:after="120" w:line="276"/>
        <w:jc w:val="both"/>
      </w:pPr>
      <w:r>
        <w:rPr>
          <w:rFonts w:ascii="Barlow Semi Condensed" w:cs="Barlow Semi Condensed" w:eastAsia="Barlow Semi Condensed" w:hAnsi="Barlow Semi Condensed"/>
          <w:sz w:val="24"/>
          <w:szCs w:val="24"/>
        </w:rPr>
        <w:t xml:space="preserve">Mondiale non ha mai avuto fine»: opera documentale generata con intelligenza</w:t>
      </w:r>
    </w:p>
    <w:p>
      <w:pPr>
        <w:spacing w:after="120" w:line="276"/>
        <w:jc w:val="both"/>
      </w:pPr>
      <w:r>
        <w:rPr>
          <w:rFonts w:ascii="Barlow Semi Condensed" w:cs="Barlow Semi Condensed" w:eastAsia="Barlow Semi Condensed" w:hAnsi="Barlow Semi Condensed"/>
          <w:sz w:val="24"/>
          <w:szCs w:val="24"/>
        </w:rPr>
        <w:t xml:space="preserve">artificiale, con apparato di verifica e cinque atti d'archivio da compiere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Alla cortese attenzione del Centro documentazione Archivio «Flamigni» ETS</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mi rivolgo a codesto Centro in ragione della sua specifica competenza sul caso</w:t>
      </w:r>
    </w:p>
    <w:p>
      <w:pPr>
        <w:spacing w:after="120" w:line="276"/>
        <w:jc w:val="both"/>
      </w:pPr>
      <w:r>
        <w:rPr>
          <w:rFonts w:ascii="Barlow Semi Condensed" w:cs="Barlow Semi Condensed" w:eastAsia="Barlow Semi Condensed" w:hAnsi="Barlow Semi Condensed"/>
          <w:sz w:val="24"/>
          <w:szCs w:val="24"/>
        </w:rPr>
        <w:t xml:space="preserve">Moro e sulla storia della Repubblica, e in particolare della serie </w:t>
      </w:r>
      <w:r>
        <w:rPr>
          <w:rFonts w:ascii="Barlow Semi Condensed" w:cs="Barlow Semi Condensed" w:eastAsia="Barlow Semi Condensed" w:hAnsi="Barlow Semi Condensed"/>
          <w:i/>
          <w:iCs/>
          <w:sz w:val="24"/>
          <w:szCs w:val="24"/>
        </w:rPr>
        <w:t xml:space="preserve">Caso Moro</w:t>
      </w:r>
    </w:p>
    <w:p>
      <w:pPr>
        <w:spacing w:after="120" w:line="276"/>
        <w:jc w:val="both"/>
      </w:pPr>
      <w:r>
        <w:rPr>
          <w:rFonts w:ascii="Barlow Semi Condensed" w:cs="Barlow Semi Condensed" w:eastAsia="Barlow Semi Condensed" w:hAnsi="Barlow Semi Condensed"/>
          <w:sz w:val="24"/>
          <w:szCs w:val="24"/>
        </w:rPr>
        <w:t xml:space="preserve">del fondo del senatore Sergio Flamigni.</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va fatta prima di ogni altra cosa.</w:t>
      </w:r>
      <w:r>
        <w:rPr>
          <w:rFonts w:ascii="Barlow Semi Condensed" w:cs="Barlow Semi Condensed" w:eastAsia="Barlow Semi Condensed" w:hAnsi="Barlow Semi Condensed"/>
          <w:sz w:val="24"/>
          <w:szCs w:val="24"/>
        </w:rPr>
        <w:t xml:space="preserve"> L'opera</w:t>
      </w:r>
    </w:p>
    <w:p>
      <w:pPr>
        <w:spacing w:after="120" w:line="276"/>
        <w:jc w:val="both"/>
      </w:pPr>
      <w:r>
        <w:rPr>
          <w:rFonts w:ascii="Barlow Semi Condensed" w:cs="Barlow Semi Condensed" w:eastAsia="Barlow Semi Condensed" w:hAnsi="Barlow Semi Condensed"/>
          <w:sz w:val="24"/>
          <w:szCs w:val="24"/>
        </w:rPr>
        <w:t xml:space="preserve">che sottopongo alla vostra attenzione è stata **redatta con l'ausilio di sistemi</w:t>
      </w:r>
    </w:p>
    <w:p>
      <w:pPr>
        <w:spacing w:after="120" w:line="276"/>
        <w:jc w:val="both"/>
      </w:pPr>
      <w:r>
        <w:rPr>
          <w:rFonts w:ascii="Barlow Semi Condensed" w:cs="Barlow Semi Condensed" w:eastAsia="Barlow Semi Condensed" w:hAnsi="Barlow Semi Condensed"/>
          <w:sz w:val="24"/>
          <w:szCs w:val="24"/>
        </w:rPr>
        <w:t xml:space="preserve">di intelligenza artificiale**, sotto mia direzione e responsabilità. Ogni volume</w:t>
      </w:r>
    </w:p>
    <w:p>
      <w:pPr>
        <w:spacing w:after="120" w:line="276"/>
        <w:jc w:val="both"/>
      </w:pPr>
      <w:r>
        <w:rPr>
          <w:rFonts w:ascii="Barlow Semi Condensed" w:cs="Barlow Semi Condensed" w:eastAsia="Barlow Semi Condensed" w:hAnsi="Barlow Semi Condensed"/>
          <w:sz w:val="24"/>
          <w:szCs w:val="24"/>
        </w:rPr>
        <w:t xml:space="preserve">lo dichiara in copertina. Non si tratta di ricerca d'archivio condotta in prima</w:t>
      </w:r>
    </w:p>
    <w:p>
      <w:pPr>
        <w:spacing w:after="120" w:line="276"/>
        <w:jc w:val="both"/>
      </w:pPr>
      <w:r>
        <w:rPr>
          <w:rFonts w:ascii="Barlow Semi Condensed" w:cs="Barlow Semi Condensed" w:eastAsia="Barlow Semi Condensed" w:hAnsi="Barlow Semi Condensed"/>
          <w:sz w:val="24"/>
          <w:szCs w:val="24"/>
        </w:rPr>
        <w:t xml:space="preserve">persona: **non ho consultato fondi, non ho letto documenti originali, non ho</w:t>
      </w:r>
    </w:p>
    <w:p>
      <w:pPr>
        <w:spacing w:after="120" w:line="276"/>
        <w:jc w:val="both"/>
      </w:pPr>
      <w:r>
        <w:rPr>
          <w:rFonts w:ascii="Barlow Semi Condensed" w:cs="Barlow Semi Condensed" w:eastAsia="Barlow Semi Condensed" w:hAnsi="Barlow Semi Condensed"/>
          <w:sz w:val="24"/>
          <w:szCs w:val="24"/>
        </w:rPr>
        <w:t xml:space="preserve">prodotto alcun accertamento nuovo**. Comunico questo dato in apertura perché è</w:t>
      </w:r>
    </w:p>
    <w:p>
      <w:pPr>
        <w:spacing w:after="120" w:line="276"/>
        <w:jc w:val="both"/>
      </w:pPr>
      <w:r>
        <w:rPr>
          <w:rFonts w:ascii="Barlow Semi Condensed" w:cs="Barlow Semi Condensed" w:eastAsia="Barlow Semi Condensed" w:hAnsi="Barlow Semi Condensed"/>
          <w:sz w:val="24"/>
          <w:szCs w:val="24"/>
        </w:rPr>
        <w:t xml:space="preserve">il primo elemento che vi serve per decidere se il resto meriti tempo, e perché</w:t>
      </w:r>
    </w:p>
    <w:p>
      <w:pPr>
        <w:spacing w:after="120" w:line="276"/>
        <w:jc w:val="both"/>
      </w:pPr>
      <w:r>
        <w:rPr>
          <w:rFonts w:ascii="Barlow Semi Condensed" w:cs="Barlow Semi Condensed" w:eastAsia="Barlow Semi Condensed" w:hAnsi="Barlow Semi Condensed"/>
          <w:sz w:val="24"/>
          <w:szCs w:val="24"/>
        </w:rPr>
        <w:t xml:space="preserve">un'omissione su questo punto renderebbe scorretta l'intera proposta.</w:t>
      </w:r>
    </w:p>
    <w:p>
      <w:pPr>
        <w:spacing w:after="120" w:line="276"/>
        <w:jc w:val="both"/>
      </w:pPr>
      <w:r>
        <w:rPr>
          <w:rFonts w:ascii="Barlow Semi Condensed" w:cs="Barlow Semi Condensed" w:eastAsia="Barlow Semi Condensed" w:hAnsi="Barlow Semi Condensed"/>
          <w:b/>
          <w:bCs/>
          <w:sz w:val="24"/>
          <w:szCs w:val="24"/>
        </w:rPr>
        <w:t xml:space="preserve">Che cosa è l'opera.</w:t>
      </w:r>
      <w:r>
        <w:rPr>
          <w:rFonts w:ascii="Barlow Semi Condensed" w:cs="Barlow Semi Condensed" w:eastAsia="Barlow Semi Condensed" w:hAnsi="Barlow Semi Condensed"/>
          <w:sz w:val="24"/>
          <w:szCs w:val="24"/>
        </w:rPr>
        <w:t xml:space="preserve"> È un corpus documentale di circa 1.340 pagine, articolato</w:t>
      </w:r>
    </w:p>
    <w:p>
      <w:pPr>
        <w:spacing w:after="120" w:line="276"/>
        <w:jc w:val="both"/>
      </w:pPr>
      <w:r>
        <w:rPr>
          <w:rFonts w:ascii="Barlow Semi Condensed" w:cs="Barlow Semi Condensed" w:eastAsia="Barlow Semi Condensed" w:hAnsi="Barlow Semi Condensed"/>
          <w:sz w:val="24"/>
          <w:szCs w:val="24"/>
        </w:rPr>
        <w:t xml:space="preserve">in quattordici Libri, che raccoglie e ordina materiale già pubblico sul caso Moro,</w:t>
      </w:r>
    </w:p>
    <w:p>
      <w:pPr>
        <w:spacing w:after="120" w:line="276"/>
        <w:jc w:val="both"/>
      </w:pPr>
      <w:r>
        <w:rPr>
          <w:rFonts w:ascii="Barlow Semi Condensed" w:cs="Barlow Semi Condensed" w:eastAsia="Barlow Semi Condensed" w:hAnsi="Barlow Semi Condensed"/>
          <w:sz w:val="24"/>
          <w:szCs w:val="24"/>
        </w:rPr>
        <w:t xml:space="preserve">sulla parabola di Ernesto Guevara, sul nodo Feltrinelli-Hyperion, sul Tribunale</w:t>
      </w:r>
    </w:p>
    <w:p>
      <w:pPr>
        <w:spacing w:after="120" w:line="276"/>
        <w:jc w:val="both"/>
      </w:pPr>
      <w:r>
        <w:rPr>
          <w:rFonts w:ascii="Barlow Semi Condensed" w:cs="Barlow Semi Condensed" w:eastAsia="Barlow Semi Condensed" w:hAnsi="Barlow Semi Condensed"/>
          <w:sz w:val="24"/>
          <w:szCs w:val="24"/>
        </w:rPr>
        <w:t xml:space="preserve">Speciale del 1926 e sulla dimensione diplomatica di Aldo Moro ministro degli</w:t>
      </w:r>
    </w:p>
    <w:p>
      <w:pPr>
        <w:spacing w:after="120" w:line="276"/>
        <w:jc w:val="both"/>
      </w:pPr>
      <w:r>
        <w:rPr>
          <w:rFonts w:ascii="Barlow Semi Condensed" w:cs="Barlow Semi Condensed" w:eastAsia="Barlow Semi Condensed" w:hAnsi="Barlow Semi Condensed"/>
          <w:sz w:val="24"/>
          <w:szCs w:val="24"/>
        </w:rPr>
        <w:t xml:space="preserve">Esteri. Ne fanno parte cinque opere in forma di «blocchi mirati» — bersagli di</w:t>
      </w:r>
    </w:p>
    <w:p>
      <w:pPr>
        <w:spacing w:after="120" w:line="276"/>
        <w:jc w:val="both"/>
      </w:pPr>
      <w:r>
        <w:rPr>
          <w:rFonts w:ascii="Barlow Semi Condensed" w:cs="Barlow Semi Condensed" w:eastAsia="Barlow Semi Condensed" w:hAnsi="Barlow Semi Condensed"/>
          <w:sz w:val="24"/>
          <w:szCs w:val="24"/>
        </w:rPr>
        <w:t xml:space="preserve">ricerca, non affermazioni — per complessivi 7.699 blocchi mirati; a parte, e non in somma, il Libro quarto porta 538 blocchi certificati di verifica in otto tranche, che non sono bersagli di ricerca ma unità di controllo e di rettifica esercitate su un testo già scritto, e sommarle alle prime darebbe un numero che sembra dire più di quel che dice. Ciascun blocco mirato è</w:t>
      </w:r>
    </w:p>
    <w:p>
      <w:pPr>
        <w:spacing w:after="120" w:line="276"/>
        <w:jc w:val="both"/>
      </w:pPr>
      <w:r>
        <w:rPr>
          <w:rFonts w:ascii="Barlow Semi Condensed" w:cs="Barlow Semi Condensed" w:eastAsia="Barlow Semi Condensed" w:hAnsi="Barlow Semi Condensed"/>
          <w:sz w:val="24"/>
          <w:szCs w:val="24"/>
        </w:rPr>
        <w:t xml:space="preserve">un quesito da portare in archivio, una regola di lettura, un accertamento con</w:t>
      </w:r>
    </w:p>
    <w:p>
      <w:pPr>
        <w:spacing w:after="120" w:line="276"/>
        <w:jc w:val="both"/>
      </w:pPr>
      <w:r>
        <w:rPr>
          <w:rFonts w:ascii="Barlow Semi Condensed" w:cs="Barlow Semi Condensed" w:eastAsia="Barlow Semi Condensed" w:hAnsi="Barlow Semi Condensed"/>
          <w:sz w:val="24"/>
          <w:szCs w:val="24"/>
        </w:rPr>
        <w:t xml:space="preserve">grado dichiarato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Che cosa l'opera non pretende di essere.</w:t>
      </w:r>
      <w:r>
        <w:rPr>
          <w:rFonts w:ascii="Barlow Semi Condensed" w:cs="Barlow Semi Condensed" w:eastAsia="Barlow Semi Condensed" w:hAnsi="Barlow Semi Condensed"/>
          <w:sz w:val="24"/>
          <w:szCs w:val="24"/>
        </w:rPr>
        <w:t xml:space="preserve"> Non contiene rivelazioni e non</w:t>
      </w:r>
    </w:p>
    <w:p>
      <w:pPr>
        <w:spacing w:after="120" w:line="276"/>
        <w:jc w:val="both"/>
      </w:pPr>
      <w:r>
        <w:rPr>
          <w:rFonts w:ascii="Barlow Semi Condensed" w:cs="Barlow Semi Condensed" w:eastAsia="Barlow Semi Condensed" w:hAnsi="Barlow Semi Condensed"/>
          <w:sz w:val="24"/>
          <w:szCs w:val="24"/>
        </w:rPr>
        <w:t xml:space="preserve">aggiunge un solo fatto al patrimonio conoscitivo esistente. **Tredici dei</w:t>
      </w:r>
    </w:p>
    <w:p>
      <w:pPr>
        <w:spacing w:after="120" w:line="276"/>
        <w:jc w:val="both"/>
      </w:pPr>
      <w:r>
        <w:rPr>
          <w:rFonts w:ascii="Barlow Semi Condensed" w:cs="Barlow Semi Condensed" w:eastAsia="Barlow Semi Condensed" w:hAnsi="Barlow Semi Condensed"/>
          <w:sz w:val="24"/>
          <w:szCs w:val="24"/>
        </w:rPr>
        <w:t xml:space="preserve">quattordici Libri si fermano al giudicato**: non propongono una tesi sul caso,</w:t>
      </w:r>
    </w:p>
    <w:p>
      <w:pPr>
        <w:spacing w:after="120" w:line="276"/>
        <w:jc w:val="both"/>
      </w:pPr>
      <w:r>
        <w:rPr>
          <w:rFonts w:ascii="Barlow Semi Condensed" w:cs="Barlow Semi Condensed" w:eastAsia="Barlow Semi Condensed" w:hAnsi="Barlow Semi Condensed"/>
          <w:sz w:val="24"/>
          <w:szCs w:val="24"/>
        </w:rPr>
        <w:t xml:space="preserve">non indicano alcuna persona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definitivo e non compilano graduatorie.</w:t>
      </w:r>
    </w:p>
    <w:p>
      <w:pPr>
        <w:spacing w:after="120" w:line="276"/>
        <w:jc w:val="both"/>
      </w:pPr>
      <w:r>
        <w:rPr>
          <w:rFonts w:ascii="Barlow Semi Condensed" w:cs="Barlow Semi Condensed" w:eastAsia="Barlow Semi Condensed" w:hAnsi="Barlow Semi Condensed"/>
          <w:b/>
          <w:bCs/>
          <w:sz w:val="24"/>
          <w:szCs w:val="24"/>
        </w:rPr>
        <w:t xml:space="preserve">Il Libro quarto fa eccezione, e la dichiaro qui, non in fondo</w:t>
      </w:r>
      <w:r>
        <w:rPr>
          <w:rFonts w:ascii="Barlow Semi Condensed" w:cs="Barlow Semi Condensed" w:eastAsia="Barlow Semi Condensed" w:hAnsi="Barlow Semi Condensed"/>
          <w:sz w:val="24"/>
          <w:szCs w:val="24"/>
        </w:rPr>
        <w:t xml:space="preserve">, perché è il</w:t>
      </w:r>
    </w:p>
    <w:p>
      <w:pPr>
        <w:spacing w:after="120" w:line="276"/>
        <w:jc w:val="both"/>
      </w:pPr>
      <w:r>
        <w:rPr>
          <w:rFonts w:ascii="Barlow Semi Condensed" w:cs="Barlow Semi Condensed" w:eastAsia="Barlow Semi Condensed" w:hAnsi="Barlow Semi Condensed"/>
          <w:sz w:val="24"/>
          <w:szCs w:val="24"/>
        </w:rPr>
        <w:t xml:space="preserve">primo elemento su cui un archivio come il vostro giudicherà tutto il resto. È il</w:t>
      </w:r>
    </w:p>
    <w:p>
      <w:pPr>
        <w:spacing w:after="120" w:line="276"/>
        <w:jc w:val="both"/>
      </w:pPr>
      <w:r>
        <w:rPr>
          <w:rFonts w:ascii="Barlow Semi Condensed" w:cs="Barlow Semi Condensed" w:eastAsia="Barlow Semi Condensed" w:hAnsi="Barlow Semi Condensed"/>
          <w:sz w:val="24"/>
          <w:szCs w:val="24"/>
        </w:rPr>
        <w:t xml:space="preserve">Dossier maggiore dell'autore, opera anteriore al corpus e qui conservata per</w:t>
      </w:r>
    </w:p>
    <w:p>
      <w:pPr>
        <w:spacing w:after="120" w:line="276"/>
        <w:jc w:val="both"/>
      </w:pPr>
      <w:r>
        <w:rPr>
          <w:rFonts w:ascii="Barlow Semi Condensed" w:cs="Barlow Semi Condensed" w:eastAsia="Barlow Semi Condensed" w:hAnsi="Barlow Semi Condensed"/>
          <w:sz w:val="24"/>
          <w:szCs w:val="24"/>
        </w:rPr>
        <w:t xml:space="preserve">intero anziché riscritta: nella seconda metà congeda la disciplina</w:t>
      </w:r>
    </w:p>
    <w:p>
      <w:pPr>
        <w:spacing w:after="120" w:line="276"/>
        <w:jc w:val="both"/>
      </w:pPr>
      <w:r>
        <w:rPr>
          <w:rFonts w:ascii="Barlow Semi Condensed" w:cs="Barlow Semi Condensed" w:eastAsia="Barlow Semi Condensed" w:hAnsi="Barlow Semi Condensed"/>
          <w:sz w:val="24"/>
          <w:szCs w:val="24"/>
        </w:rPr>
        <w:t xml:space="preserve">falsificazionista e ordina secondo il grado di plausibilità del coinvolgimento.</w:t>
      </w:r>
    </w:p>
    <w:p>
      <w:pPr>
        <w:spacing w:after="120" w:line="276"/>
        <w:jc w:val="both"/>
      </w:pPr>
      <w:r>
        <w:rPr>
          <w:rFonts w:ascii="Barlow Semi Condensed" w:cs="Barlow Semi Condensed" w:eastAsia="Barlow Semi Condensed" w:hAnsi="Barlow Semi Condensed"/>
          <w:sz w:val="24"/>
          <w:szCs w:val="24"/>
        </w:rPr>
        <w:t xml:space="preserve">Ne dico i limiti con la stessa precisione con cui ne dico l'esistenza: è</w:t>
      </w:r>
    </w:p>
    <w:p>
      <w:pPr>
        <w:spacing w:after="120" w:line="276"/>
        <w:jc w:val="both"/>
      </w:pPr>
      <w:r>
        <w:rPr>
          <w:rFonts w:ascii="Barlow Semi Condensed" w:cs="Barlow Semi Condensed" w:eastAsia="Barlow Semi Condensed" w:hAnsi="Barlow Semi Condensed"/>
          <w:sz w:val="24"/>
          <w:szCs w:val="24"/>
        </w:rPr>
        <w:t xml:space="preserve">graduatoria </w:t>
      </w:r>
      <w:r>
        <w:rPr>
          <w:rFonts w:ascii="Barlow Semi Condensed" w:cs="Barlow Semi Condensed" w:eastAsia="Barlow Semi Condensed" w:hAnsi="Barlow Semi Condensed"/>
          <w:b/>
          <w:bCs/>
          <w:sz w:val="24"/>
          <w:szCs w:val="24"/>
        </w:rPr>
        <w:t xml:space="preserve">di plausibilità e non di colpevolezza</w:t>
      </w:r>
      <w:r>
        <w:rPr>
          <w:rFonts w:ascii="Barlow Semi Condensed" w:cs="Barlow Semi Condensed" w:eastAsia="Barlow Semi Condensed" w:hAnsi="Barlow Semi Condensed"/>
          <w:sz w:val="24"/>
          <w:szCs w:val="24"/>
        </w:rPr>
        <w:t xml:space="preserve">; **ordina categorie di</w:t>
      </w:r>
    </w:p>
    <w:p>
      <w:pPr>
        <w:spacing w:after="120" w:line="276"/>
        <w:jc w:val="both"/>
      </w:pPr>
      <w:r>
        <w:rPr>
          <w:rFonts w:ascii="Barlow Semi Condensed" w:cs="Barlow Semi Condensed" w:eastAsia="Barlow Semi Condensed" w:hAnsi="Barlow Semi Condensed"/>
          <w:sz w:val="24"/>
          <w:szCs w:val="24"/>
        </w:rPr>
        <w:t xml:space="preserve">soggetti e non nomi individuali** — i condannati in via definitiva, gli apparati</w:t>
      </w:r>
    </w:p>
    <w:p>
      <w:pPr>
        <w:spacing w:after="120" w:line="276"/>
        <w:jc w:val="both"/>
      </w:pPr>
      <w:r>
        <w:rPr>
          <w:rFonts w:ascii="Barlow Semi Condensed" w:cs="Barlow Semi Condensed" w:eastAsia="Barlow Semi Condensed" w:hAnsi="Barlow Semi Condensed"/>
          <w:sz w:val="24"/>
          <w:szCs w:val="24"/>
        </w:rPr>
        <w:t xml:space="preserve">dei depistaggi, i portatori d'interesse esterno; muove dal giudicato e rifiuta di</w:t>
      </w:r>
    </w:p>
    <w:p>
      <w:pPr>
        <w:spacing w:after="120" w:line="276"/>
        <w:jc w:val="both"/>
      </w:pPr>
      <w:r>
        <w:rPr>
          <w:rFonts w:ascii="Barlow Semi Condensed" w:cs="Barlow Semi Condensed" w:eastAsia="Barlow Semi Condensed" w:hAnsi="Barlow Semi Condensed"/>
          <w:sz w:val="24"/>
          <w:szCs w:val="24"/>
        </w:rPr>
        <w:t xml:space="preserve">nominare un mandante esterno determinato; ed è preceduta da una premessa che</w:t>
      </w:r>
    </w:p>
    <w:p>
      <w:pPr>
        <w:spacing w:after="120" w:line="276"/>
        <w:jc w:val="both"/>
      </w:pPr>
      <w:r>
        <w:rPr>
          <w:rFonts w:ascii="Barlow Semi Condensed" w:cs="Barlow Semi Condensed" w:eastAsia="Barlow Semi Condensed" w:hAnsi="Barlow Semi Condensed"/>
          <w:sz w:val="24"/>
          <w:szCs w:val="24"/>
        </w:rPr>
        <w:t xml:space="preserve">ribadisce, prima di ogni riga, la presunzione d'innocenza. La disciplina in</w:t>
      </w:r>
    </w:p>
    <w:p>
      <w:pPr>
        <w:spacing w:after="120" w:line="276"/>
        <w:jc w:val="both"/>
      </w:pPr>
      <w:r>
        <w:rPr>
          <w:rFonts w:ascii="Barlow Semi Condensed" w:cs="Barlow Semi Condensed" w:eastAsia="Barlow Semi Condensed" w:hAnsi="Barlow Semi Condensed"/>
          <w:sz w:val="24"/>
          <w:szCs w:val="24"/>
        </w:rPr>
        <w:t xml:space="preserve">copertina dell'opera registra l'eccezione e la limita a quel solo Libro, che si</w:t>
      </w:r>
    </w:p>
    <w:p>
      <w:pPr>
        <w:spacing w:after="120" w:line="276"/>
        <w:jc w:val="both"/>
      </w:pPr>
      <w:r>
        <w:rPr>
          <w:rFonts w:ascii="Barlow Semi Condensed" w:cs="Barlow Semi Condensed" w:eastAsia="Barlow Semi Condensed" w:hAnsi="Barlow Semi Condensed"/>
          <w:sz w:val="24"/>
          <w:szCs w:val="24"/>
        </w:rPr>
        <w:t xml:space="preserve">apre con una nota di raccordo.</w:t>
      </w:r>
    </w:p>
    <w:p>
      <w:pPr>
        <w:spacing w:after="120" w:line="276"/>
        <w:jc w:val="both"/>
      </w:pPr>
      <w:r>
        <w:rPr>
          <w:rFonts w:ascii="Barlow Semi Condensed" w:cs="Barlow Semi Condensed" w:eastAsia="Barlow Semi Condensed" w:hAnsi="Barlow Semi Condensed"/>
          <w:sz w:val="24"/>
          <w:szCs w:val="24"/>
        </w:rPr>
        <w:t xml:space="preserve">Vale </w:t>
      </w:r>
      <w:r>
        <w:rPr>
          <w:rFonts w:ascii="Barlow Semi Condensed" w:cs="Barlow Semi Condensed" w:eastAsia="Barlow Semi Condensed" w:hAnsi="Barlow Semi Condensed"/>
          <w:b/>
          <w:bCs/>
          <w:sz w:val="24"/>
          <w:szCs w:val="24"/>
        </w:rPr>
        <w:t xml:space="preserve">negli altri tredici Libri, e nella prima metà del quarto</w:t>
      </w:r>
      <w:r>
        <w:rPr>
          <w:rFonts w:ascii="Barlow Semi Condensed" w:cs="Barlow Semi Condensed" w:eastAsia="Barlow Semi Condensed" w:hAnsi="Barlow Semi Condensed"/>
          <w:sz w:val="24"/>
          <w:szCs w:val="24"/>
        </w:rPr>
        <w:t xml:space="preserve">, la regola che</w:t>
      </w:r>
    </w:p>
    <w:p>
      <w:pPr>
        <w:spacing w:after="120" w:line="276"/>
        <w:jc w:val="both"/>
      </w:pPr>
      <w:r>
        <w:rPr>
          <w:rFonts w:ascii="Barlow Semi Condensed" w:cs="Barlow Semi Condensed" w:eastAsia="Barlow Semi Condensed" w:hAnsi="Barlow Semi Condensed"/>
          <w:sz w:val="24"/>
          <w:szCs w:val="24"/>
        </w:rPr>
        <w:t xml:space="preserve">ho adottato come metro: un legame è reale solo se un documento di provenienza</w:t>
      </w:r>
    </w:p>
    <w:p>
      <w:pPr>
        <w:spacing w:after="120" w:line="276"/>
        <w:jc w:val="both"/>
      </w:pPr>
      <w:r>
        <w:rPr>
          <w:rFonts w:ascii="Barlow Semi Condensed" w:cs="Barlow Semi Condensed" w:eastAsia="Barlow Semi Condensed" w:hAnsi="Barlow Semi Condensed"/>
          <w:sz w:val="24"/>
          <w:szCs w:val="24"/>
        </w:rPr>
        <w:t xml:space="preserve">nomina entrambe le parti;</w:t>
      </w:r>
    </w:p>
    <w:p>
      <w:pPr>
        <w:spacing w:after="120" w:line="276"/>
        <w:jc w:val="both"/>
      </w:pPr>
      <w:r>
        <w:rPr>
          <w:rFonts w:ascii="Barlow Semi Condensed" w:cs="Barlow Semi Condensed" w:eastAsia="Barlow Semi Condensed" w:hAnsi="Barlow Semi Condensed"/>
          <w:sz w:val="24"/>
          <w:szCs w:val="24"/>
        </w:rPr>
        <w:t xml:space="preserve">la convergenza e la contemporaneità si registrano come tali e non si promuovono</w:t>
      </w:r>
    </w:p>
    <w:p>
      <w:pPr>
        <w:spacing w:after="120" w:line="276"/>
        <w:jc w:val="both"/>
      </w:pPr>
      <w:r>
        <w:rPr>
          <w:rFonts w:ascii="Barlow Semi Condensed" w:cs="Barlow Semi Condensed" w:eastAsia="Barlow Semi Condensed" w:hAnsi="Barlow Semi Condensed"/>
          <w:sz w:val="24"/>
          <w:szCs w:val="24"/>
        </w:rPr>
        <w:t xml:space="preserve">mai a nesso causale. Dove la documentazione tace, l'opera scrive che tace, e</w:t>
      </w:r>
    </w:p>
    <w:p>
      <w:pPr>
        <w:spacing w:after="120" w:line="276"/>
        <w:jc w:val="both"/>
      </w:pPr>
      <w:r>
        <w:rPr>
          <w:rFonts w:ascii="Barlow Semi Condensed" w:cs="Barlow Semi Condensed" w:eastAsia="Barlow Semi Condensed" w:hAnsi="Barlow Semi Condensed"/>
          <w:sz w:val="24"/>
          <w:szCs w:val="24"/>
        </w:rPr>
        <w:t xml:space="preserve">indica dove si dovrebbe cercare.</w:t>
      </w:r>
    </w:p>
    <w:p>
      <w:pPr>
        <w:spacing w:after="120" w:line="276"/>
        <w:jc w:val="both"/>
      </w:pPr>
      <w:r>
        <w:rPr>
          <w:rFonts w:ascii="Barlow Semi Condensed" w:cs="Barlow Semi Condensed" w:eastAsia="Barlow Semi Condensed" w:hAnsi="Barlow Semi Condensed"/>
          <w:b/>
          <w:bCs/>
          <w:sz w:val="24"/>
          <w:szCs w:val="24"/>
        </w:rPr>
        <w:t xml:space="preserve">Perché mi rivolgo a voi, e che cosa propongo concretamente.</w:t>
      </w:r>
      <w:r>
        <w:rPr>
          <w:rFonts w:ascii="Barlow Semi Condensed" w:cs="Barlow Semi Condensed" w:eastAsia="Barlow Semi Condensed" w:hAnsi="Barlow Semi Condensed"/>
          <w:sz w:val="24"/>
          <w:szCs w:val="24"/>
        </w:rPr>
        <w:t xml:space="preserve"> Il prodotto più</w:t>
      </w:r>
    </w:p>
    <w:p>
      <w:pPr>
        <w:spacing w:after="120" w:line="276"/>
        <w:jc w:val="both"/>
      </w:pPr>
      <w:r>
        <w:rPr>
          <w:rFonts w:ascii="Barlow Semi Condensed" w:cs="Barlow Semi Condensed" w:eastAsia="Barlow Semi Condensed" w:hAnsi="Barlow Semi Condensed"/>
          <w:sz w:val="24"/>
          <w:szCs w:val="24"/>
        </w:rPr>
        <w:t xml:space="preserve">utile del lavoro non sono le pagine, ma un elenco di **atti d'archivio</w:t>
      </w:r>
    </w:p>
    <w:p>
      <w:pPr>
        <w:spacing w:after="120" w:line="276"/>
        <w:jc w:val="both"/>
      </w:pPr>
      <w:r>
        <w:rPr>
          <w:rFonts w:ascii="Barlow Semi Condensed" w:cs="Barlow Semi Condensed" w:eastAsia="Barlow Semi Condensed" w:hAnsi="Barlow Semi Condensed"/>
          <w:sz w:val="24"/>
          <w:szCs w:val="24"/>
        </w:rPr>
        <w:t xml:space="preserve">eseguibili** che ne discendono. Fra questi ve n'è uno che ritengo possa</w:t>
      </w:r>
    </w:p>
    <w:p>
      <w:pPr>
        <w:spacing w:after="120" w:line="276"/>
        <w:jc w:val="both"/>
      </w:pPr>
      <w:r>
        <w:rPr>
          <w:rFonts w:ascii="Barlow Semi Condensed" w:cs="Barlow Semi Condensed" w:eastAsia="Barlow Semi Condensed" w:hAnsi="Barlow Semi Condensed"/>
          <w:sz w:val="24"/>
          <w:szCs w:val="24"/>
        </w:rPr>
        <w:t xml:space="preserve">interessarvi in modo specifico: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Del colloquio dello Studio Ovale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fra Giovanni Leone, Aldo Moro, Gerald Ford e Henry Kissinger esiste, allo stato, </w:t>
      </w:r>
      <w:r>
        <w:rPr>
          <w:rFonts w:ascii="Barlow Semi Condensed" w:cs="Barlow Semi Condensed" w:eastAsia="Barlow Semi Condensed" w:hAnsi="Barlow Semi Condensed"/>
          <w:b/>
          <w:bCs/>
          <w:i w:val="false"/>
          <w:iCs w:val="false"/>
          <w:sz w:val="24"/>
          <w:szCs w:val="24"/>
        </w:rPr>
        <w:t xml:space="preserve">un solo versante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i w:val="false"/>
          <w:iCs w:val="false"/>
          <w:sz w:val="24"/>
          <w:szCs w:val="24"/>
        </w:rPr>
        <w:t xml:space="preserve">memorandum of conversation</w:t>
      </w:r>
      <w:r>
        <w:rPr>
          <w:rFonts w:ascii="Barlow Semi Condensed" w:cs="Barlow Semi Condensed" w:eastAsia="Barlow Semi Condensed" w:hAnsi="Barlow Semi Condensed"/>
          <w:i w:val="false"/>
          <w:iCs w:val="false"/>
          <w:sz w:val="24"/>
          <w:szCs w:val="24"/>
        </w:rPr>
        <w:t xml:space="preserve"> redatto dallo staff statunitense, edito come documento 350 del volume FRUS 1969-1976 E-15 parte 2 e conservato come file 1552802 della Gerald R. Ford Presidential Library. </w:t>
      </w:r>
      <w:r>
        <w:rPr>
          <w:rFonts w:ascii="Barlow Semi Condensed" w:cs="Barlow Semi Condensed" w:eastAsia="Barlow Semi Condensed" w:hAnsi="Barlow Semi Condensed"/>
          <w:b/>
          <w:bCs/>
          <w:i w:val="false"/>
          <w:iCs w:val="false"/>
          <w:sz w:val="24"/>
          <w:szCs w:val="24"/>
        </w:rPr>
        <w:t xml:space="preserve">Non risulta che sia mai stato cercato l'appunto italiano dello stesso incontro</w:t>
      </w:r>
      <w:r>
        <w:rPr>
          <w:rFonts w:ascii="Barlow Semi Condensed" w:cs="Barlow Semi Condensed" w:eastAsia="Barlow Semi Condensed" w:hAnsi="Barlow Semi Condensed"/>
          <w:i w:val="false"/>
          <w:iCs w:val="false"/>
          <w:sz w:val="24"/>
          <w:szCs w:val="24"/>
        </w:rPr>
        <w:t xml:space="preserve"> — il telespresso o la nota di gabinetto che ogni ministro fa stendere dopo un bilaterale. L'esito di tale ricerca sarebbe dirimente in tutte e tre le direzioni possibili: se l'appunto esiste e concorda, la versione dell'ultimatum perde l'ultimo appoggio documentale; se esiste e diverge, si avrebbe una divergenza fra due fonti primarie, cosa diversa da una testimonianza contestata; se non esiste, l'assenza va datata e spiegata.</w:t>
      </w:r>
    </w:p>
    <w:p>
      <w:pPr>
        <w:spacing w:after="120" w:line="276"/>
        <w:jc w:val="both"/>
      </w:pPr>
      <w:r>
        <w:rPr>
          <w:rFonts w:ascii="Barlow Semi Condensed" w:cs="Barlow Semi Condensed" w:eastAsia="Barlow Semi Condensed" w:hAnsi="Barlow Semi Condensed"/>
          <w:sz w:val="24"/>
          <w:szCs w:val="24"/>
        </w:rPr>
        <w:t xml:space="preserve">Gli altri quattro atti riguardano la collazione delle due copie note di quel</w:t>
      </w:r>
    </w:p>
    <w:p>
      <w:pPr>
        <w:spacing w:after="120" w:line="276"/>
        <w:jc w:val="both"/>
      </w:pPr>
      <w:r>
        <w:rPr>
          <w:rFonts w:ascii="Barlow Semi Condensed" w:cs="Barlow Semi Condensed" w:eastAsia="Barlow Semi Condensed" w:hAnsi="Barlow Semi Condensed"/>
          <w:sz w:val="24"/>
          <w:szCs w:val="24"/>
        </w:rPr>
        <w:t xml:space="preserve">verbale, l'accertamento della sua riga di firma, lo spoglio della serie NATO</w:t>
      </w:r>
    </w:p>
    <w:p>
      <w:pPr>
        <w:spacing w:after="120" w:line="276"/>
        <w:jc w:val="both"/>
      </w:pPr>
      <w:r>
        <w:rPr>
          <w:rFonts w:ascii="Barlow Semi Condensed" w:cs="Barlow Semi Condensed" w:eastAsia="Barlow Semi Condensed" w:hAnsi="Barlow Semi Condensed"/>
          <w:sz w:val="24"/>
          <w:szCs w:val="24"/>
        </w:rPr>
        <w:t xml:space="preserve">dell'Archivio storico diplomatico, e la costruzione di un cantiere di ricerca sul</w:t>
      </w:r>
    </w:p>
    <w:p>
      <w:pPr>
        <w:spacing w:after="120" w:line="276"/>
        <w:jc w:val="both"/>
      </w:pPr>
      <w:r>
        <w:rPr>
          <w:rFonts w:ascii="Barlow Semi Condensed" w:cs="Barlow Semi Condensed" w:eastAsia="Barlow Semi Condensed" w:hAnsi="Barlow Semi Condensed"/>
          <w:sz w:val="24"/>
          <w:szCs w:val="24"/>
        </w:rPr>
        <w:t xml:space="preserve">versante statunitense, che il programma di ricerca del corpus non possiede</w:t>
      </w:r>
    </w:p>
    <w:p>
      <w:pPr>
        <w:spacing w:after="120" w:line="276"/>
        <w:jc w:val="both"/>
      </w:pPr>
      <w:r>
        <w:rPr>
          <w:rFonts w:ascii="Barlow Semi Condensed" w:cs="Barlow Semi Condensed" w:eastAsia="Barlow Semi Condensed" w:hAnsi="Barlow Semi Condensed"/>
          <w:sz w:val="24"/>
          <w:szCs w:val="24"/>
        </w:rPr>
        <w:t xml:space="preserve">mentre possiede quelli britannico, francese e tedesco.</w:t>
      </w:r>
    </w:p>
    <w:p>
      <w:pPr>
        <w:spacing w:after="120" w:line="276"/>
        <w:jc w:val="both"/>
      </w:pPr>
      <w:r>
        <w:rPr>
          <w:rFonts w:ascii="Barlow Semi Condensed" w:cs="Barlow Semi Condensed" w:eastAsia="Barlow Semi Condensed" w:hAnsi="Barlow Semi Condensed"/>
          <w:b/>
          <w:bCs/>
          <w:sz w:val="24"/>
          <w:szCs w:val="24"/>
        </w:rPr>
        <w:t xml:space="preserve">La proposta è dunque triplice, e ciascuna parte è indipendente dalle altre: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Valutazione critica.</w:t>
      </w:r>
      <w:r>
        <w:rPr>
          <w:rFonts w:ascii="Barlow Semi Condensed" w:cs="Barlow Semi Condensed" w:eastAsia="Barlow Semi Condensed" w:hAnsi="Barlow Semi Condensed"/>
          <w:sz w:val="24"/>
          <w:szCs w:val="24"/>
        </w:rPr>
        <w:t xml:space="preserve"> Che il Centro esamini l'opera e ne segnali errori,</w:t>
      </w:r>
    </w:p>
    <w:p>
      <w:pPr>
        <w:spacing w:after="120" w:line="276"/>
        <w:jc w:val="both"/>
      </w:pPr>
      <w:r>
        <w:rPr>
          <w:rFonts w:ascii="Barlow Semi Condensed" w:cs="Barlow Semi Condensed" w:eastAsia="Barlow Semi Condensed" w:hAnsi="Barlow Semi Condensed"/>
          <w:sz w:val="24"/>
          <w:szCs w:val="24"/>
        </w:rPr>
        <w:t xml:space="preserve">   attribuzioni improprie o passaggi da correggere. Ogni rilievo verrà recepito</w:t>
      </w:r>
    </w:p>
    <w:p>
      <w:pPr>
        <w:spacing w:after="120" w:line="276"/>
        <w:jc w:val="both"/>
      </w:pPr>
      <w:r>
        <w:rPr>
          <w:rFonts w:ascii="Barlow Semi Condensed" w:cs="Barlow Semi Condensed" w:eastAsia="Barlow Semi Condensed" w:hAnsi="Barlow Semi Condensed"/>
          <w:sz w:val="24"/>
          <w:szCs w:val="24"/>
        </w:rPr>
        <w:t xml:space="preserve">   per nota, secondo il criterio già adottato nell'opera, che non riscrive in</w:t>
      </w:r>
    </w:p>
    <w:p>
      <w:pPr>
        <w:spacing w:after="120" w:line="276"/>
        <w:jc w:val="both"/>
      </w:pPr>
      <w:r>
        <w:rPr>
          <w:rFonts w:ascii="Barlow Semi Condensed" w:cs="Barlow Semi Condensed" w:eastAsia="Barlow Semi Condensed" w:hAnsi="Barlow Semi Condensed"/>
          <w:sz w:val="24"/>
          <w:szCs w:val="24"/>
        </w:rPr>
        <w:t xml:space="preserve">   silenzio ma annota accanto al testo errato.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Eventuale deposito</w:t>
      </w:r>
      <w:r>
        <w:rPr>
          <w:rFonts w:ascii="Barlow Semi Condensed" w:cs="Barlow Semi Condensed" w:eastAsia="Barlow Semi Condensed" w:hAnsi="Barlow Semi Condensed"/>
          <w:sz w:val="24"/>
          <w:szCs w:val="24"/>
        </w:rPr>
        <w:t xml:space="preserve">, nella forma che riterrete appropriata — anche come</w:t>
      </w:r>
    </w:p>
    <w:p>
      <w:pPr>
        <w:spacing w:after="120" w:line="276"/>
        <w:jc w:val="both"/>
      </w:pPr>
      <w:r>
        <w:rPr>
          <w:rFonts w:ascii="Barlow Semi Condensed" w:cs="Barlow Semi Condensed" w:eastAsia="Barlow Semi Condensed" w:hAnsi="Barlow Semi Condensed"/>
          <w:sz w:val="24"/>
          <w:szCs w:val="24"/>
        </w:rPr>
        <w:t xml:space="preserve">   materiale di consultazione qualificato per la sua natura, e non come studio</w:t>
      </w:r>
    </w:p>
    <w:p>
      <w:pPr>
        <w:spacing w:after="120" w:line="276"/>
        <w:jc w:val="both"/>
      </w:pPr>
      <w:r>
        <w:rPr>
          <w:rFonts w:ascii="Barlow Semi Condensed" w:cs="Barlow Semi Condensed" w:eastAsia="Barlow Semi Condensed" w:hAnsi="Barlow Semi Condensed"/>
          <w:sz w:val="24"/>
          <w:szCs w:val="24"/>
        </w:rPr>
        <w:t xml:space="preserve">   storiografico.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Segnalazione degli atti d'archivio</w:t>
      </w:r>
      <w:r>
        <w:rPr>
          <w:rFonts w:ascii="Barlow Semi Condensed" w:cs="Barlow Semi Condensed" w:eastAsia="Barlow Semi Condensed" w:hAnsi="Barlow Semi Condensed"/>
          <w:sz w:val="24"/>
          <w:szCs w:val="24"/>
        </w:rPr>
        <w:t xml:space="preserve"> a ricercatori del vostro ambito che</w:t>
      </w:r>
    </w:p>
    <w:p>
      <w:pPr>
        <w:spacing w:after="120" w:line="276"/>
        <w:jc w:val="both"/>
      </w:pPr>
      <w:r>
        <w:rPr>
          <w:rFonts w:ascii="Barlow Semi Condensed" w:cs="Barlow Semi Condensed" w:eastAsia="Barlow Semi Condensed" w:hAnsi="Barlow Semi Condensed"/>
          <w:sz w:val="24"/>
          <w:szCs w:val="24"/>
        </w:rPr>
        <w:t xml:space="preserve">   volessero eseguirli. Non chiedo che li esegua il Centro: chiedo che siano</w:t>
      </w:r>
    </w:p>
    <w:p>
      <w:pPr>
        <w:spacing w:after="120" w:line="276"/>
        <w:jc w:val="both"/>
      </w:pPr>
      <w:r>
        <w:rPr>
          <w:rFonts w:ascii="Barlow Semi Condensed" w:cs="Barlow Semi Condensed" w:eastAsia="Barlow Semi Condensed" w:hAnsi="Barlow Semi Condensed"/>
          <w:sz w:val="24"/>
          <w:szCs w:val="24"/>
        </w:rPr>
        <w:t xml:space="preserve">   messi a disposizione di chi ha la competenza per farlo.</w:t>
      </w:r>
    </w:p>
    <w:p>
      <w:pPr>
        <w:spacing w:after="120" w:line="276"/>
        <w:jc w:val="both"/>
      </w:pPr>
      <w:r>
        <w:rPr>
          <w:rFonts w:ascii="Barlow Semi Condensed" w:cs="Barlow Semi Condensed" w:eastAsia="Barlow Semi Condensed" w:hAnsi="Barlow Semi Condensed"/>
          <w:sz w:val="24"/>
          <w:szCs w:val="24"/>
        </w:rPr>
        <w:t xml:space="preserve">Non chiedo pubblicazione a vostro nome, né patrocinio, né alcun onere economico.</w:t>
      </w:r>
    </w:p>
    <w:p>
      <w:pPr>
        <w:spacing w:after="120" w:line="276"/>
        <w:jc w:val="both"/>
      </w:pPr>
      <w:r>
        <w:rPr>
          <w:rFonts w:ascii="Barlow Semi Condensed" w:cs="Barlow Semi Condensed" w:eastAsia="Barlow Semi Condensed" w:hAnsi="Barlow Semi Condensed"/>
          <w:sz w:val="24"/>
          <w:szCs w:val="24"/>
        </w:rPr>
        <w:t xml:space="preserve">L'opera è disponibile integralmente e gratuitamente, e resterà tale.</w:t>
      </w:r>
    </w:p>
    <w:p>
      <w:pPr>
        <w:spacing w:after="120" w:line="276"/>
        <w:jc w:val="both"/>
      </w:pPr>
      <w:r>
        <w:rPr>
          <w:rFonts w:ascii="Barlow Semi Condensed" w:cs="Barlow Semi Condensed" w:eastAsia="Barlow Semi Condensed" w:hAnsi="Barlow Semi Condensed"/>
          <w:sz w:val="24"/>
          <w:szCs w:val="24"/>
        </w:rPr>
        <w:t xml:space="preserve">Resto a disposizione per ogni chiarimento e per l'invio dei materiali nel formato</w:t>
      </w:r>
    </w:p>
    <w:p>
      <w:pPr>
        <w:spacing w:after="120" w:line="276"/>
        <w:jc w:val="both"/>
      </w:pPr>
      <w:r>
        <w:rPr>
          <w:rFonts w:ascii="Barlow Semi Condensed" w:cs="Barlow Semi Condensed" w:eastAsia="Barlow Semi Condensed" w:hAnsi="Barlow Semi Condensed"/>
          <w:sz w:val="24"/>
          <w:szCs w:val="24"/>
        </w:rPr>
        <w:t xml:space="preserve">che riterrete più comodo.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[indicare PEC o email ordinaria]</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 da elencare nel corpo della PEC</w:t>
      </w:r>
    </w:p>
    <w:p>
      <w:pPr>
        <w:spacing w:after="120" w:line="276"/>
        <w:jc w:val="both"/>
      </w:pPr>
      <w:r>
        <w:rPr>
          <w:rFonts w:ascii="Barlow Semi Condensed" w:cs="Barlow Semi Condensed" w:eastAsia="Barlow Semi Condensed" w:hAnsi="Barlow Semi Condensed"/>
          <w:sz w:val="24"/>
          <w:szCs w:val="24"/>
        </w:rPr>
        <w:t xml:space="preserve">Da citare per nome esatto del file, così che la ricevuta di avvenuta consegna</w:t>
      </w:r>
    </w:p>
    <w:p>
      <w:pPr>
        <w:spacing w:after="120" w:line="276"/>
        <w:jc w:val="both"/>
      </w:pPr>
      <w:r>
        <w:rPr>
          <w:rFonts w:ascii="Barlow Semi Condensed" w:cs="Barlow Semi Condensed" w:eastAsia="Barlow Semi Condensed" w:hAnsi="Barlow Semi Condensed"/>
          <w:sz w:val="24"/>
          <w:szCs w:val="24"/>
        </w:rPr>
        <w:t xml:space="preserve">certifichi anche il contenuto trasmesso. Si consiglia di allegare i PDF e non i</w:t>
      </w:r>
    </w:p>
    <w:p>
      <w:pPr>
        <w:spacing w:after="120" w:line="276"/>
        <w:jc w:val="both"/>
      </w:pPr>
      <w:r>
        <w:rPr>
          <w:rFonts w:ascii="Barlow Semi Condensed" w:cs="Barlow Semi Condensed" w:eastAsia="Barlow Semi Condensed" w:hAnsi="Barlow Semi Condensed"/>
          <w:sz w:val="24"/>
          <w:szCs w:val="24"/>
        </w:rPr>
        <w:t xml:space="preserve">DOCX, e di valutare l'invio del solo volume integrale se il gestore PEC impone</w:t>
      </w:r>
    </w:p>
    <w:p>
      <w:pPr>
        <w:spacing w:after="120" w:line="276"/>
        <w:jc w:val="both"/>
      </w:pPr>
      <w:r>
        <w:rPr>
          <w:rFonts w:ascii="Barlow Semi Condensed" w:cs="Barlow Semi Condensed" w:eastAsia="Barlow Semi Condensed" w:hAnsi="Barlow Semi Condensed"/>
          <w:sz w:val="24"/>
          <w:szCs w:val="24"/>
        </w:rPr>
        <w:t xml:space="preserve">limiti di dimensione (l'Opera integrale supera i 24 MB).</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UNA_GUERRA_SENZA_FINE_OPERA_INTEGRALE.pdf</w:t>
      </w:r>
      <w:r>
        <w:rPr>
          <w:rFonts w:ascii="Barlow Semi Condensed" w:cs="Barlow Semi Condensed" w:eastAsia="Barlow Semi Condensed" w:hAnsi="Barlow Semi Condensed"/>
          <w:sz w:val="24"/>
          <w:szCs w:val="24"/>
        </w:rPr>
        <w:t xml:space="preserve"> — l'opera completa, 1.762 pagine</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GUIDA-ALLA-LETTURA.md</w:t>
      </w:r>
      <w:r>
        <w:rPr>
          <w:rFonts w:ascii="Barlow Semi Condensed" w:cs="Barlow Semi Condensed" w:eastAsia="Barlow Semi Condensed" w:hAnsi="Barlow Semi Condensed"/>
          <w:sz w:val="24"/>
          <w:szCs w:val="24"/>
        </w:rPr>
        <w:t xml:space="preserve"> — la guida alla lettura del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INDICE-DOCUMENTI-BRANCH.md</w:t>
      </w:r>
      <w:r>
        <w:rPr>
          <w:rFonts w:ascii="Barlow Semi Condensed" w:cs="Barlow Semi Condensed" w:eastAsia="Barlow Semi Condensed" w:hAnsi="Barlow Semi Condensed"/>
          <w:sz w:val="24"/>
          <w:szCs w:val="24"/>
        </w:rPr>
        <w:t xml:space="preserve"> — l'indice ragionato di tutti i documenti</w:t>
      </w:r>
    </w:p>
    <w:p>
      <w:pPr>
        <w:spacing w:after="120" w:line="276"/>
        <w:jc w:val="both"/>
      </w:pPr>
      <w:r>
        <w:rPr>
          <w:rFonts w:ascii="Barlow Semi Condensed" w:cs="Barlow Semi Condensed" w:eastAsia="Barlow Semi Condensed" w:hAnsi="Barlow Semi Condensed"/>
          <w:sz w:val="24"/>
          <w:szCs w:val="24"/>
        </w:rPr>
        <w:t xml:space="preserve">In alternativa all'allegato pesante, si può indicare nel corpo il collegamento</w:t>
      </w:r>
    </w:p>
    <w:p>
      <w:pPr>
        <w:spacing w:after="120" w:line="276"/>
        <w:jc w:val="both"/>
      </w:pPr>
      <w:r>
        <w:rPr>
          <w:rFonts w:ascii="Barlow Semi Condensed" w:cs="Barlow Semi Condensed" w:eastAsia="Barlow Semi Condensed" w:hAnsi="Barlow Semi Condensed"/>
          <w:sz w:val="24"/>
          <w:szCs w:val="24"/>
        </w:rPr>
        <w:t xml:space="preserve">al deposito pubblico e allegare la sola guida alla lettura.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w:t>
      </w:r>
    </w:p>
    <w:p>
      <w:pPr>
        <w:spacing w:after="120" w:line="276"/>
        <w:jc w:val="both"/>
      </w:pPr>
      <w:r>
        <w:rPr>
          <w:rFonts w:ascii="Barlow Semi Condensed" w:cs="Barlow Semi Condensed" w:eastAsia="Barlow Semi Condensed" w:hAnsi="Barlow Semi Condensed"/>
          <w:sz w:val="24"/>
          <w:szCs w:val="24"/>
        </w:rPr>
        <w:t xml:space="preserve">Prima dell'invio conviene rileggere l'opera con un occhio a ciò che un archivio</w:t>
      </w:r>
    </w:p>
    <w:p>
      <w:pPr>
        <w:spacing w:after="120" w:line="276"/>
        <w:jc w:val="both"/>
      </w:pPr>
      <w:r>
        <w:rPr>
          <w:rFonts w:ascii="Barlow Semi Condensed" w:cs="Barlow Semi Condensed" w:eastAsia="Barlow Semi Condensed" w:hAnsi="Barlow Semi Condensed"/>
          <w:sz w:val="24"/>
          <w:szCs w:val="24"/>
        </w:rPr>
        <w:t xml:space="preserve">specializzato noterebbe per primo: la qualificazione dei gradi, il trattamento</w:t>
      </w:r>
    </w:p>
    <w:p>
      <w:pPr>
        <w:spacing w:after="120" w:line="276"/>
        <w:jc w:val="both"/>
      </w:pPr>
      <w:r>
        <w:rPr>
          <w:rFonts w:ascii="Barlow Semi Condensed" w:cs="Barlow Semi Condensed" w:eastAsia="Barlow Semi Condensed" w:hAnsi="Barlow Semi Condensed"/>
          <w:sz w:val="24"/>
          <w:szCs w:val="24"/>
        </w:rPr>
        <w:t xml:space="preserve">delle persone nominate, e la distinzione fra ciò che è documentato e ciò che è</w:t>
      </w:r>
    </w:p>
    <w:p>
      <w:pPr>
        <w:spacing w:after="120" w:line="276"/>
        <w:jc w:val="both"/>
      </w:pPr>
      <w:r>
        <w:rPr>
          <w:rFonts w:ascii="Barlow Semi Condensed" w:cs="Barlow Semi Condensed" w:eastAsia="Barlow Semi Condensed" w:hAnsi="Barlow Semi Condensed"/>
          <w:sz w:val="24"/>
          <w:szCs w:val="24"/>
        </w:rPr>
        <w:t xml:space="preserve">riferito. Il Centro Flamigni conserva le carte di chi ha lavorato su questa</w:t>
      </w:r>
    </w:p>
    <w:p>
      <w:pPr>
        <w:spacing w:after="120" w:line="276"/>
        <w:jc w:val="both"/>
      </w:pPr>
      <w:r>
        <w:rPr>
          <w:rFonts w:ascii="Barlow Semi Condensed" w:cs="Barlow Semi Condensed" w:eastAsia="Barlow Semi Condensed" w:hAnsi="Barlow Semi Condensed"/>
          <w:sz w:val="24"/>
          <w:szCs w:val="24"/>
        </w:rPr>
        <w:t xml:space="preserve">materia per trent'anni: un'imprecisione che altrove passerebbe, lì non passa.</w:t>
      </w:r>
    </w:p>
    <w:p>
      <w:pPr>
        <w:pStyle w:val="Heading3"/>
        <w:spacing w:after="80" w:before="240"/>
      </w:pPr>
      <w:r>
        <w:rPr>
          <w:rFonts w:ascii="Barlow Semi Condensed" w:cs="Barlow Semi Condensed" w:eastAsia="Barlow Semi Condensed" w:hAnsi="Barlow Semi Condensed"/>
          <w:sz w:val="24"/>
          <w:szCs w:val="24"/>
        </w:rPr>
        <w:t xml:space="preserve">Apparato grafico — Appendici · xi. All'Archivio Flamigni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 1.289 parole in 5 sezioni; la più ampia è §3 Corpo del messaggio, con 961.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 31 paragrafi in 5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xii. Al Centro Flamigni</w:t>
      </w:r>
    </w:p>
    <w:p>
      <w:pPr>
        <w:pStyle w:val="Heading1"/>
        <w:spacing w:after="120" w:before="240"/>
      </w:pPr>
      <w:r>
        <w:rPr>
          <w:rFonts w:ascii="Barlow Semi Condensed" w:cs="Barlow Semi Condensed" w:eastAsia="Barlow Semi Condensed" w:hAnsi="Barlow Semi Condensed"/>
          <w:sz w:val="24"/>
          <w:szCs w:val="24"/>
        </w:rPr>
        <w:t xml:space="preserve">Relazione sul progetto</w:t>
      </w:r>
    </w:p>
    <w:p>
      <w:pPr>
        <w:pStyle w:val="Heading2"/>
        <w:spacing w:after="100" w:before="200"/>
      </w:pPr>
      <w:r>
        <w:rPr>
          <w:rFonts w:ascii="Barlow Semi Condensed" w:cs="Barlow Semi Condensed" w:eastAsia="Barlow Semi Condensed" w:hAnsi="Barlow Semi Condensed"/>
          <w:sz w:val="24"/>
          <w:szCs w:val="24"/>
        </w:rPr>
        <w:t xml:space="preserve">Come è nato, come è cambiato, dove può andare</w:t>
      </w:r>
    </w:p>
    <w:p>
      <w:pPr>
        <w:spacing w:after="120" w:line="276"/>
        <w:jc w:val="both"/>
      </w:pPr>
      <w:r>
        <w:rPr>
          <w:rFonts w:ascii="Barlow Semi Condensed" w:cs="Barlow Semi Condensed" w:eastAsia="Barlow Semi Condensed" w:hAnsi="Barlow Semi Condensed"/>
          <w:sz w:val="24"/>
          <w:szCs w:val="24"/>
        </w:rPr>
        <w:t xml:space="preserve">*Documento di accompagnamento alla proposta rivolta al Centro documentazione</w:t>
      </w:r>
    </w:p>
    <w:p>
      <w:pPr>
        <w:spacing w:after="120" w:line="276"/>
        <w:jc w:val="both"/>
      </w:pPr>
      <w:r>
        <w:rPr>
          <w:rFonts w:ascii="Barlow Semi Condensed" w:cs="Barlow Semi Condensed" w:eastAsia="Barlow Semi Condensed" w:hAnsi="Barlow Semi Condensed"/>
          <w:sz w:val="24"/>
          <w:szCs w:val="24"/>
        </w:rPr>
        <w:t xml:space="preserve">Archivio «Flamigni» ETS. Redatto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relazione, e perché a voi</w:t>
      </w:r>
    </w:p>
    <w:p>
      <w:pPr>
        <w:spacing w:after="120" w:line="276"/>
        <w:jc w:val="both"/>
      </w:pPr>
      <w:r>
        <w:rPr>
          <w:rFonts w:ascii="Barlow Semi Condensed" w:cs="Barlow Semi Condensed" w:eastAsia="Barlow Semi Condensed" w:hAnsi="Barlow Semi Condensed"/>
          <w:sz w:val="24"/>
          <w:szCs w:val="24"/>
        </w:rPr>
        <w:t xml:space="preserve">La proposta che accompagna queste pagine dice </w:t>
      </w: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è l'opera. Questa</w:t>
      </w:r>
    </w:p>
    <w:p>
      <w:pPr>
        <w:spacing w:after="120" w:line="276"/>
        <w:jc w:val="both"/>
      </w:pPr>
      <w:r>
        <w:rPr>
          <w:rFonts w:ascii="Barlow Semi Condensed" w:cs="Barlow Semi Condensed" w:eastAsia="Barlow Semi Condensed" w:hAnsi="Barlow Semi Condensed"/>
          <w:sz w:val="24"/>
          <w:szCs w:val="24"/>
        </w:rPr>
        <w:t xml:space="preserve">relazione dice </w:t>
      </w:r>
      <w:r>
        <w:rPr>
          <w:rFonts w:ascii="Barlow Semi Condensed" w:cs="Barlow Semi Condensed" w:eastAsia="Barlow Semi Condensed" w:hAnsi="Barlow Semi Condensed"/>
          <w:b/>
          <w:bCs/>
          <w:sz w:val="24"/>
          <w:szCs w:val="24"/>
        </w:rPr>
        <w:t xml:space="preserve">come è stata fatta</w:t>
      </w:r>
      <w:r>
        <w:rPr>
          <w:rFonts w:ascii="Barlow Semi Condensed" w:cs="Barlow Semi Condensed" w:eastAsia="Barlow Semi Condensed" w:hAnsi="Barlow Semi Condensed"/>
          <w:sz w:val="24"/>
          <w:szCs w:val="24"/>
        </w:rPr>
        <w:t xml:space="preserve">, ed è il documento che ritengo più utile</w:t>
      </w:r>
    </w:p>
    <w:p>
      <w:pPr>
        <w:spacing w:after="120" w:line="276"/>
        <w:jc w:val="both"/>
      </w:pPr>
      <w:r>
        <w:rPr>
          <w:rFonts w:ascii="Barlow Semi Condensed" w:cs="Barlow Semi Condensed" w:eastAsia="Barlow Semi Condensed" w:hAnsi="Barlow Semi Condensed"/>
          <w:sz w:val="24"/>
          <w:szCs w:val="24"/>
        </w:rPr>
        <w:t xml:space="preserve">alla vostra valutazione: un archivio che conserva le carte di chi ha lavorato</w:t>
      </w:r>
    </w:p>
    <w:p>
      <w:pPr>
        <w:spacing w:after="120" w:line="276"/>
        <w:jc w:val="both"/>
      </w:pPr>
      <w:r>
        <w:rPr>
          <w:rFonts w:ascii="Barlow Semi Condensed" w:cs="Barlow Semi Condensed" w:eastAsia="Barlow Semi Condensed" w:hAnsi="Barlow Semi Condensed"/>
          <w:sz w:val="24"/>
          <w:szCs w:val="24"/>
        </w:rPr>
        <w:t xml:space="preserve">trent'anni su questa materia giudica un lavoro dal metodo prima che dal</w:t>
      </w:r>
    </w:p>
    <w:p>
      <w:pPr>
        <w:spacing w:after="120" w:line="276"/>
        <w:jc w:val="both"/>
      </w:pPr>
      <w:r>
        <w:rPr>
          <w:rFonts w:ascii="Barlow Semi Condensed" w:cs="Barlow Semi Condensed" w:eastAsia="Barlow Semi Condensed" w:hAnsi="Barlow Semi Condensed"/>
          <w:sz w:val="24"/>
          <w:szCs w:val="24"/>
        </w:rPr>
        <w:t xml:space="preserve">risultato, e ha ragione di farlo.</w:t>
      </w:r>
    </w:p>
    <w:p>
      <w:pPr>
        <w:spacing w:after="120" w:line="276"/>
        <w:jc w:val="both"/>
      </w:pPr>
      <w:r>
        <w:rPr>
          <w:rFonts w:ascii="Barlow Semi Condensed" w:cs="Barlow Semi Condensed" w:eastAsia="Barlow Semi Condensed" w:hAnsi="Barlow Semi Condensed"/>
          <w:sz w:val="24"/>
          <w:szCs w:val="24"/>
        </w:rPr>
        <w:t xml:space="preserve">Dico subito la cosa che rende la relazione possibile in questa forma. Il lavoro</w:t>
      </w:r>
    </w:p>
    <w:p>
      <w:pPr>
        <w:spacing w:after="120" w:line="276"/>
        <w:jc w:val="both"/>
      </w:pPr>
      <w:r>
        <w:rPr>
          <w:rFonts w:ascii="Barlow Semi Condensed" w:cs="Barlow Semi Condensed" w:eastAsia="Barlow Semi Condensed" w:hAnsi="Barlow Semi Condensed"/>
          <w:sz w:val="24"/>
          <w:szCs w:val="24"/>
        </w:rPr>
        <w:t xml:space="preserve">è stato condotto in un deposito di codice, e ogni sua modifica è registrata con</w:t>
      </w:r>
    </w:p>
    <w:p>
      <w:pPr>
        <w:spacing w:after="120" w:line="276"/>
        <w:jc w:val="both"/>
      </w:pPr>
      <w:r>
        <w:rPr>
          <w:rFonts w:ascii="Barlow Semi Condensed" w:cs="Barlow Semi Condensed" w:eastAsia="Barlow Semi Condensed" w:hAnsi="Barlow Semi Condensed"/>
          <w:sz w:val="24"/>
          <w:szCs w:val="24"/>
        </w:rPr>
        <w:t xml:space="preserve">data, ora e contenuto: </w:t>
      </w:r>
      <w:r>
        <w:rPr>
          <w:rFonts w:ascii="Barlow Semi Condensed" w:cs="Barlow Semi Condensed" w:eastAsia="Barlow Semi Condensed" w:hAnsi="Barlow Semi Condensed"/>
          <w:b/>
          <w:bCs/>
          <w:sz w:val="24"/>
          <w:szCs w:val="24"/>
        </w:rPr>
        <w:t xml:space="preserve">centocinquantaquattro revisioni</w:t>
      </w:r>
      <w:r>
        <w:rPr>
          <w:rFonts w:ascii="Barlow Semi Condensed" w:cs="Barlow Semi Condensed" w:eastAsia="Barlow Semi Condensed" w:hAnsi="Barlow Semi Condensed"/>
          <w:sz w:val="24"/>
          <w:szCs w:val="24"/>
        </w:rPr>
        <w:t xml:space="preserve">, di cui</w:t>
      </w:r>
    </w:p>
    <w:p>
      <w:pPr>
        <w:spacing w:after="120" w:line="276"/>
        <w:jc w:val="both"/>
      </w:pPr>
      <w:r>
        <w:rPr>
          <w:rFonts w:ascii="Barlow Semi Condensed" w:cs="Barlow Semi Condensed" w:eastAsia="Barlow Semi Condensed" w:hAnsi="Barlow Semi Condensed"/>
          <w:b/>
          <w:bCs/>
          <w:sz w:val="24"/>
          <w:szCs w:val="24"/>
        </w:rPr>
        <w:t xml:space="preserve">centotré</w:t>
      </w:r>
      <w:r>
        <w:rPr>
          <w:rFonts w:ascii="Barlow Semi Condensed" w:cs="Barlow Semi Condensed" w:eastAsia="Barlow Semi Condensed" w:hAnsi="Barlow Semi Condensed"/>
          <w:sz w:val="24"/>
          <w:szCs w:val="24"/>
        </w:rPr>
        <w:t xml:space="preserve"> appartengono al corpus storico. Non ricostruisco dunque la genesi</w:t>
      </w:r>
    </w:p>
    <w:p>
      <w:pPr>
        <w:spacing w:after="120" w:line="276"/>
        <w:jc w:val="both"/>
      </w:pPr>
      <w:r>
        <w:rPr>
          <w:rFonts w:ascii="Barlow Semi Condensed" w:cs="Barlow Semi Condensed" w:eastAsia="Barlow Semi Condensed" w:hAnsi="Barlow Semi Condensed"/>
          <w:sz w:val="24"/>
          <w:szCs w:val="24"/>
        </w:rPr>
        <w:t xml:space="preserve">a memoria — la leggo in un registro che non ho scritto per raccontarla, e che</w:t>
      </w:r>
    </w:p>
    <w:p>
      <w:pPr>
        <w:spacing w:after="120" w:line="276"/>
        <w:jc w:val="both"/>
      </w:pPr>
      <w:r>
        <w:rPr>
          <w:rFonts w:ascii="Barlow Semi Condensed" w:cs="Barlow Semi Condensed" w:eastAsia="Barlow Semi Condensed" w:hAnsi="Barlow Semi Condensed"/>
          <w:sz w:val="24"/>
          <w:szCs w:val="24"/>
        </w:rPr>
        <w:t xml:space="preserve">per questo vale più di un racconto. Dove qui compare una data, quella data è</w:t>
      </w:r>
    </w:p>
    <w:p>
      <w:pPr>
        <w:spacing w:after="120" w:line="276"/>
        <w:jc w:val="both"/>
      </w:pPr>
      <w:r>
        <w:rPr>
          <w:rFonts w:ascii="Barlow Semi Condensed" w:cs="Barlow Semi Condensed" w:eastAsia="Barlow Semi Condensed" w:hAnsi="Barlow Semi Condensed"/>
          <w:sz w:val="24"/>
          <w:szCs w:val="24"/>
        </w:rPr>
        <w:t xml:space="preserve">verificabile.</w:t>
      </w:r>
    </w:p>
    <w:p>
      <w:pPr>
        <w:spacing w:after="120" w:line="276"/>
        <w:jc w:val="both"/>
      </w:pPr>
      <w:r>
        <w:rPr>
          <w:rFonts w:ascii="Barlow Semi Condensed" w:cs="Barlow Semi Condensed" w:eastAsia="Barlow Semi Condensed" w:hAnsi="Barlow Semi Condensed"/>
          <w:sz w:val="24"/>
          <w:szCs w:val="24"/>
        </w:rPr>
        <w:t xml:space="preserve">Il registro contiene anche ciò che smentisce la versione più comoda dei fatti.</w:t>
      </w:r>
    </w:p>
    <w:p>
      <w:pPr>
        <w:spacing w:after="120" w:line="276"/>
        <w:jc w:val="both"/>
      </w:pPr>
      <w:r>
        <w:rPr>
          <w:rFonts w:ascii="Barlow Semi Condensed" w:cs="Barlow Semi Condensed" w:eastAsia="Barlow Semi Condensed" w:hAnsi="Barlow Semi Condensed"/>
          <w:sz w:val="24"/>
          <w:szCs w:val="24"/>
        </w:rPr>
        <w:t xml:space="preserve">Ne troverete un esempio al paragrafo 4, e ne ho fatto una correzione ai miei</w:t>
      </w:r>
    </w:p>
    <w:p>
      <w:pPr>
        <w:spacing w:after="120" w:line="276"/>
        <w:jc w:val="both"/>
      </w:pPr>
      <w:r>
        <w:rPr>
          <w:rFonts w:ascii="Barlow Semi Condensed" w:cs="Barlow Semi Condensed" w:eastAsia="Barlow Semi Condensed" w:hAnsi="Barlow Semi Condensed"/>
          <w:sz w:val="24"/>
          <w:szCs w:val="24"/>
        </w:rPr>
        <w:t xml:space="preserve">stessi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 La nascita: cinquantasette nomi</w:t>
      </w:r>
    </w:p>
    <w:p>
      <w:pPr>
        <w:spacing w:after="120" w:line="276"/>
        <w:jc w:val="both"/>
      </w:pPr>
      <w:r>
        <w:rPr>
          <w:rFonts w:ascii="Barlow Semi Condensed" w:cs="Barlow Semi Condensed" w:eastAsia="Barlow Semi Condensed" w:hAnsi="Barlow Semi Condensed"/>
          <w:sz w:val="24"/>
          <w:szCs w:val="24"/>
        </w:rPr>
        <w:t xml:space="preserve">Il progetto comincia il </w:t>
      </w:r>
      <w:r>
        <w:rPr>
          <w:rFonts w:ascii="Barlow Semi Condensed" w:cs="Barlow Semi Condensed" w:eastAsia="Barlow Semi Condensed" w:hAnsi="Barlow Semi Condensed"/>
          <w:b/>
          <w:bCs/>
          <w:sz w:val="24"/>
          <w:szCs w:val="24"/>
        </w:rPr>
        <w:t xml:space="preserve">24 agosto 2026, alle 14:49</w:t>
      </w:r>
      <w:r>
        <w:rPr>
          <w:rFonts w:ascii="Barlow Semi Condensed" w:cs="Barlow Semi Condensed" w:eastAsia="Barlow Semi Condensed" w:hAnsi="Barlow Semi Condensed"/>
          <w:sz w:val="24"/>
          <w:szCs w:val="24"/>
        </w:rPr>
        <w:t xml:space="preserve">, con un file di</w:t>
      </w:r>
    </w:p>
    <w:p>
      <w:pPr>
        <w:spacing w:after="120" w:line="276"/>
        <w:jc w:val="both"/>
      </w:pPr>
      <w:r>
        <w:rPr>
          <w:rFonts w:ascii="Barlow Semi Condensed" w:cs="Barlow Semi Condensed" w:eastAsia="Barlow Semi Condensed" w:hAnsi="Barlow Semi Condensed"/>
          <w:sz w:val="24"/>
          <w:szCs w:val="24"/>
        </w:rPr>
        <w:t xml:space="preserve">centoventidue righe intitolato *Amnistiati del Tribunale Speciale per la Difesa</w:t>
      </w:r>
    </w:p>
    <w:p>
      <w:pPr>
        <w:spacing w:after="120" w:line="276"/>
        <w:jc w:val="both"/>
      </w:pPr>
      <w:r>
        <w:rPr>
          <w:rFonts w:ascii="Barlow Semi Condensed" w:cs="Barlow Semi Condensed" w:eastAsia="Barlow Semi Condensed" w:hAnsi="Barlow Semi Condensed"/>
          <w:sz w:val="24"/>
          <w:szCs w:val="24"/>
        </w:rPr>
        <w:t xml:space="preserve">dello Stato</w:t>
      </w:r>
      <w:r>
        <w:rPr>
          <w:rFonts w:ascii="Barlow Semi Condensed" w:cs="Barlow Semi Condensed" w:eastAsia="Barlow Semi Condensed" w:hAnsi="Barlow Semi Condensed"/>
          <w:i/>
          <w:iCs/>
          <w:sz w:val="24"/>
          <w:szCs w:val="24"/>
        </w:rPr>
        <w:t xml:space="preserve">: </w:t>
      </w:r>
      <w:r>
        <w:rPr>
          <w:rFonts w:ascii="Barlow Semi Condensed" w:cs="Barlow Semi Condensed" w:eastAsia="Barlow Semi Condensed" w:hAnsi="Barlow Semi Condensed"/>
          <w:i/>
          <w:iCs/>
          <w:sz w:val="24"/>
          <w:szCs w:val="24"/>
        </w:rPr>
        <w:t xml:space="preserve">cinquantasette persone</w:t>
      </w:r>
      <w:r>
        <w:rPr>
          <w:rFonts w:ascii="Barlow Semi Condensed" w:cs="Barlow Semi Condensed" w:eastAsia="Barlow Semi Condensed" w:hAnsi="Barlow Semi Condensed"/>
          <w:sz w:val="24"/>
          <w:szCs w:val="24"/>
        </w:rPr>
        <w:t xml:space="preserve">*, censite nell'archivio Storia e Memoria</w:t>
      </w:r>
    </w:p>
    <w:p>
      <w:pPr>
        <w:spacing w:after="120" w:line="276"/>
        <w:jc w:val="both"/>
      </w:pPr>
      <w:r>
        <w:rPr>
          <w:rFonts w:ascii="Barlow Semi Condensed" w:cs="Barlow Semi Condensed" w:eastAsia="Barlow Semi Condensed" w:hAnsi="Barlow Semi Condensed"/>
          <w:sz w:val="24"/>
          <w:szCs w:val="24"/>
        </w:rPr>
        <w:t xml:space="preserve">di Bologna, condannate o deferite dal Tribunale Speciale fra il 1926 e il 1943 e</w:t>
      </w:r>
    </w:p>
    <w:p>
      <w:pPr>
        <w:spacing w:after="120" w:line="276"/>
        <w:jc w:val="both"/>
      </w:pPr>
      <w:r>
        <w:rPr>
          <w:rFonts w:ascii="Barlow Semi Condensed" w:cs="Barlow Semi Condensed" w:eastAsia="Barlow Semi Condensed" w:hAnsi="Barlow Semi Condensed"/>
          <w:sz w:val="24"/>
          <w:szCs w:val="24"/>
        </w:rPr>
        <w:t xml:space="preserve">poi beneficiarie di un'amnistia — quasi tutte quella del decennale, novembre</w:t>
      </w:r>
    </w:p>
    <w:p>
      <w:pPr>
        <w:spacing w:after="120" w:line="276"/>
        <w:jc w:val="both"/>
      </w:pPr>
      <w:r>
        <w:rPr>
          <w:rFonts w:ascii="Barlow Semi Condensed" w:cs="Barlow Semi Condensed" w:eastAsia="Barlow Semi Condensed" w:hAnsi="Barlow Semi Condensed"/>
          <w:sz w:val="24"/>
          <w:szCs w:val="24"/>
        </w:rPr>
        <w:t xml:space="preserve">1932.</w:t>
      </w:r>
    </w:p>
    <w:p>
      <w:pPr>
        <w:spacing w:after="120" w:line="276"/>
        <w:jc w:val="both"/>
      </w:pPr>
      <w:r>
        <w:rPr>
          <w:rFonts w:ascii="Barlow Semi Condensed" w:cs="Barlow Semi Condensed" w:eastAsia="Barlow Semi Condensed" w:hAnsi="Barlow Semi Condensed"/>
          <w:sz w:val="24"/>
          <w:szCs w:val="24"/>
        </w:rPr>
        <w:t xml:space="preserve">Non c'era, in quel momento, alcun progetto. C'era un elenco.</w:t>
      </w:r>
    </w:p>
    <w:p>
      <w:pPr>
        <w:spacing w:after="120" w:line="276"/>
        <w:jc w:val="both"/>
      </w:pPr>
      <w:r>
        <w:rPr>
          <w:rFonts w:ascii="Barlow Semi Condensed" w:cs="Barlow Semi Condensed" w:eastAsia="Barlow Semi Condensed" w:hAnsi="Barlow Semi Condensed"/>
          <w:sz w:val="24"/>
          <w:szCs w:val="24"/>
        </w:rPr>
        <w:t xml:space="preserve">Ma quel primo file conteneva già, in tre righe, tutto ciò che sarebbe diventato</w:t>
      </w:r>
    </w:p>
    <w:p>
      <w:pPr>
        <w:spacing w:after="120" w:line="276"/>
        <w:jc w:val="both"/>
      </w:pPr>
      <w:r>
        <w:rPr>
          <w:rFonts w:ascii="Barlow Semi Condensed" w:cs="Barlow Semi Condensed" w:eastAsia="Barlow Semi Condensed" w:hAnsi="Barlow Semi Condensed"/>
          <w:sz w:val="24"/>
          <w:szCs w:val="24"/>
        </w:rPr>
        <w:t xml:space="preserve">la disciplina delle mille pagine successive. Vale la pena rileggerle, perché</w:t>
      </w:r>
    </w:p>
    <w:p>
      <w:pPr>
        <w:spacing w:after="120" w:line="276"/>
        <w:jc w:val="both"/>
      </w:pPr>
      <w:r>
        <w:rPr>
          <w:rFonts w:ascii="Barlow Semi Condensed" w:cs="Barlow Semi Condensed" w:eastAsia="Barlow Semi Condensed" w:hAnsi="Barlow Semi Condensed"/>
          <w:sz w:val="24"/>
          <w:szCs w:val="24"/>
        </w:rPr>
        <w:t xml:space="preserve">sono l'atto di nascita: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sito non è raggiungibile direttamente dall'ambiente di lavoro (accesso bloccato dalla policy di rete), quindi l'elenco è stato ricostruito interrogando sistematicamente i motori di ricerca sulle pagine dell'archivio. L'elenco non è esaustivo: l'archivio bolognese censisce 734 antifascisti deferiti al Tribunale Speciale, di cui 384 condannati. Qui sono riportati i casi individuali effettivamente rintracciati, ciascuno con il link alla scheda originale per la verifica.</w:t>
      </w:r>
    </w:p>
    <w:p>
      <w:pPr>
        <w:spacing w:after="120" w:line="276"/>
        <w:jc w:val="both"/>
      </w:pPr>
      <w:r>
        <w:rPr>
          <w:rFonts w:ascii="Barlow Semi Condensed" w:cs="Barlow Semi Condensed" w:eastAsia="Barlow Semi Condensed" w:hAnsi="Barlow Semi Condensed"/>
          <w:sz w:val="24"/>
          <w:szCs w:val="24"/>
        </w:rPr>
        <w:t xml:space="preserve">Ci sono tre cose in quella nota, e sono le stesse tre che governano oggi</w:t>
      </w:r>
    </w:p>
    <w:p>
      <w:pPr>
        <w:spacing w:after="120" w:line="276"/>
        <w:jc w:val="both"/>
      </w:pPr>
      <w:r>
        <w:rPr>
          <w:rFonts w:ascii="Barlow Semi Condensed" w:cs="Barlow Semi Condensed" w:eastAsia="Barlow Semi Condensed" w:hAnsi="Barlow Semi Condensed"/>
          <w:sz w:val="24"/>
          <w:szCs w:val="24"/>
        </w:rPr>
        <w:t xml:space="preserve">milletrecento pagine. </w:t>
      </w:r>
      <w:r>
        <w:rPr>
          <w:rFonts w:ascii="Barlow Semi Condensed" w:cs="Barlow Semi Condensed" w:eastAsia="Barlow Semi Condensed" w:hAnsi="Barlow Semi Condensed"/>
          <w:b/>
          <w:bCs/>
          <w:sz w:val="24"/>
          <w:szCs w:val="24"/>
        </w:rPr>
        <w:t xml:space="preserve">Il limite d'accesso dichiarato</w:t>
      </w:r>
      <w:r>
        <w:rPr>
          <w:rFonts w:ascii="Barlow Semi Condensed" w:cs="Barlow Semi Condensed" w:eastAsia="Barlow Semi Condensed" w:hAnsi="Barlow Semi Condensed"/>
          <w:sz w:val="24"/>
          <w:szCs w:val="24"/>
        </w:rPr>
        <w:t xml:space="preserve"> invece che taciuto. **La</w:t>
      </w:r>
    </w:p>
    <w:p>
      <w:pPr>
        <w:spacing w:after="120" w:line="276"/>
        <w:jc w:val="both"/>
      </w:pPr>
      <w:r>
        <w:rPr>
          <w:rFonts w:ascii="Barlow Semi Condensed" w:cs="Barlow Semi Condensed" w:eastAsia="Barlow Semi Condensed" w:hAnsi="Barlow Semi Condensed"/>
          <w:sz w:val="24"/>
          <w:szCs w:val="24"/>
        </w:rPr>
        <w:t xml:space="preserve">misura dell'incompletezza**, data col denominatore — cinquantasette su</w:t>
      </w:r>
    </w:p>
    <w:p>
      <w:pPr>
        <w:spacing w:after="120" w:line="276"/>
        <w:jc w:val="both"/>
      </w:pPr>
      <w:r>
        <w:rPr>
          <w:rFonts w:ascii="Barlow Semi Condensed" w:cs="Barlow Semi Condensed" w:eastAsia="Barlow Semi Condensed" w:hAnsi="Barlow Semi Condensed"/>
          <w:sz w:val="24"/>
          <w:szCs w:val="24"/>
        </w:rPr>
        <w:t xml:space="preserve">settecentotrentaquattro, non «un elenco di amnistiati». E **il rimando puntuale</w:t>
      </w:r>
    </w:p>
    <w:p>
      <w:pPr>
        <w:spacing w:after="120" w:line="276"/>
        <w:jc w:val="both"/>
      </w:pPr>
      <w:r>
        <w:rPr>
          <w:rFonts w:ascii="Barlow Semi Condensed" w:cs="Barlow Semi Condensed" w:eastAsia="Barlow Semi Condensed" w:hAnsi="Barlow Semi Condensed"/>
          <w:sz w:val="24"/>
          <w:szCs w:val="24"/>
        </w:rPr>
        <w:t xml:space="preserve">alla fonte per ciascuna riga**, che è ciò che rende il documento falsificabile da</w:t>
      </w:r>
    </w:p>
    <w:p>
      <w:pPr>
        <w:spacing w:after="120" w:line="276"/>
        <w:jc w:val="both"/>
      </w:pPr>
      <w:r>
        <w:rPr>
          <w:rFonts w:ascii="Barlow Semi Condensed" w:cs="Barlow Semi Condensed" w:eastAsia="Barlow Semi Condensed" w:hAnsi="Barlow Semi Condensed"/>
          <w:sz w:val="24"/>
          <w:szCs w:val="24"/>
        </w:rPr>
        <w:t xml:space="preserve">chi lo legge senza doversi fidare di chi lo ha scritto.</w:t>
      </w:r>
    </w:p>
    <w:p>
      <w:pPr>
        <w:spacing w:after="120" w:line="276"/>
        <w:jc w:val="both"/>
      </w:pPr>
      <w:r>
        <w:rPr>
          <w:rFonts w:ascii="Barlow Semi Condensed" w:cs="Barlow Semi Condensed" w:eastAsia="Barlow Semi Condensed" w:hAnsi="Barlow Semi Condensed"/>
          <w:sz w:val="24"/>
          <w:szCs w:val="24"/>
        </w:rPr>
        <w:t xml:space="preserve">Il ramo di lavoro porta ancora oggi il nome di quel file. Millesettecento pagine</w:t>
      </w:r>
    </w:p>
    <w:p>
      <w:pPr>
        <w:spacing w:after="120" w:line="276"/>
        <w:jc w:val="both"/>
      </w:pPr>
      <w:r>
        <w:rPr>
          <w:rFonts w:ascii="Barlow Semi Condensed" w:cs="Barlow Semi Condensed" w:eastAsia="Barlow Semi Condensed" w:hAnsi="Barlow Semi Condensed"/>
          <w:sz w:val="24"/>
          <w:szCs w:val="24"/>
        </w:rPr>
        <w:t xml:space="preserve">dopo, il corpus vive su un ramo che si chiama come una lista di cinquantasette</w:t>
      </w:r>
    </w:p>
    <w:p>
      <w:pPr>
        <w:spacing w:after="120" w:line="276"/>
        <w:jc w:val="both"/>
      </w:pPr>
      <w:r>
        <w:rPr>
          <w:rFonts w:ascii="Barlow Semi Condensed" w:cs="Barlow Semi Condensed" w:eastAsia="Barlow Semi Condensed" w:hAnsi="Barlow Semi Condensed"/>
          <w:sz w:val="24"/>
          <w:szCs w:val="24"/>
        </w:rPr>
        <w:t xml:space="preserve">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 Il primo allargamento, e la nascita della triangolazione</w:t>
      </w:r>
    </w:p>
    <w:p>
      <w:pPr>
        <w:spacing w:after="120" w:line="276"/>
        <w:jc w:val="both"/>
      </w:pPr>
      <w:r>
        <w:rPr>
          <w:rFonts w:ascii="Barlow Semi Condensed" w:cs="Barlow Semi Condensed" w:eastAsia="Barlow Semi Condensed" w:hAnsi="Barlow Semi Condensed"/>
          <w:sz w:val="24"/>
          <w:szCs w:val="24"/>
        </w:rPr>
        <w:t xml:space="preserve">Nelle ore successive il perimetro si allarga a Ernesto Guevara — tre documenti</w:t>
      </w:r>
    </w:p>
    <w:p>
      <w:pPr>
        <w:spacing w:after="120" w:line="276"/>
        <w:jc w:val="both"/>
      </w:pPr>
      <w:r>
        <w:rPr>
          <w:rFonts w:ascii="Barlow Semi Condensed" w:cs="Barlow Semi Condensed" w:eastAsia="Barlow Semi Condensed" w:hAnsi="Barlow Semi Condensed"/>
          <w:sz w:val="24"/>
          <w:szCs w:val="24"/>
        </w:rPr>
        <w:t xml:space="preserve">fra le 14:50 e le 15:08 — e alle 15:15 accade la cosa che dà al progetto la sua</w:t>
      </w:r>
    </w:p>
    <w:p>
      <w:pPr>
        <w:spacing w:after="120" w:line="276"/>
        <w:jc w:val="both"/>
      </w:pPr>
      <w:r>
        <w:rPr>
          <w:rFonts w:ascii="Barlow Semi Condensed" w:cs="Barlow Semi Condensed" w:eastAsia="Barlow Semi Condensed" w:hAnsi="Barlow Semi Condensed"/>
          <w:sz w:val="24"/>
          <w:szCs w:val="24"/>
        </w:rPr>
        <w:t xml:space="preserve">forma definitiva. Non un nuovo documento: </w:t>
      </w:r>
      <w:r>
        <w:rPr>
          <w:rFonts w:ascii="Barlow Semi Condensed" w:cs="Barlow Semi Condensed" w:eastAsia="Barlow Semi Condensed" w:hAnsi="Barlow Semi Condensed"/>
          <w:b/>
          <w:bCs/>
          <w:sz w:val="24"/>
          <w:szCs w:val="24"/>
        </w:rPr>
        <w:t xml:space="preserve">un'operazione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registro la chiama </w:t>
      </w:r>
      <w:r>
        <w:rPr>
          <w:rFonts w:ascii="Barlow Semi Condensed" w:cs="Barlow Semi Condensed" w:eastAsia="Barlow Semi Condensed" w:hAnsi="Barlow Semi Condensed"/>
          <w:i/>
          <w:iCs/>
          <w:sz w:val="24"/>
          <w:szCs w:val="24"/>
        </w:rPr>
        <w:t xml:space="preserve">triangolazione</w:t>
      </w:r>
      <w:r>
        <w:rPr>
          <w:rFonts w:ascii="Barlow Semi Condensed" w:cs="Barlow Semi Condensed" w:eastAsia="Barlow Semi Condensed" w:hAnsi="Barlow Semi Condensed"/>
          <w:sz w:val="24"/>
          <w:szCs w:val="24"/>
        </w:rPr>
        <w:t xml:space="preserve">: si prende un documento nuovo e lo si</w:t>
      </w:r>
    </w:p>
    <w:p>
      <w:pPr>
        <w:spacing w:after="120" w:line="276"/>
        <w:jc w:val="both"/>
      </w:pPr>
      <w:r>
        <w:rPr>
          <w:rFonts w:ascii="Barlow Semi Condensed" w:cs="Barlow Semi Condensed" w:eastAsia="Barlow Semi Condensed" w:hAnsi="Barlow Semi Condensed"/>
          <w:sz w:val="24"/>
          <w:szCs w:val="24"/>
        </w:rPr>
        <w:t xml:space="preserve">mette contro tutto ciò che il corpus già contiene, non per confermarlo ma per</w:t>
      </w:r>
    </w:p>
    <w:p>
      <w:pPr>
        <w:spacing w:after="120" w:line="276"/>
        <w:jc w:val="both"/>
      </w:pPr>
      <w:r>
        <w:rPr>
          <w:rFonts w:ascii="Barlow Semi Condensed" w:cs="Barlow Semi Condensed" w:eastAsia="Barlow Semi Condensed" w:hAnsi="Barlow Semi Condensed"/>
          <w:sz w:val="24"/>
          <w:szCs w:val="24"/>
        </w:rPr>
        <w:t xml:space="preserve">vedere che cosa si rompe. Sette minuti dopo, alle 15:22, la revisione successiva</w:t>
      </w:r>
    </w:p>
    <w:p>
      <w:pPr>
        <w:spacing w:after="120" w:line="276"/>
        <w:jc w:val="both"/>
      </w:pPr>
      <w:r>
        <w:rPr>
          <w:rFonts w:ascii="Barlow Semi Condensed" w:cs="Barlow Semi Condensed" w:eastAsia="Barlow Semi Condensed" w:hAnsi="Barlow Semi Condensed"/>
          <w:sz w:val="24"/>
          <w:szCs w:val="24"/>
        </w:rPr>
        <w:t xml:space="preserve">si intitola «Applicate le correzioni emerse dalla triangolazione ai tre</w:t>
      </w:r>
    </w:p>
    <w:p>
      <w:pPr>
        <w:spacing w:after="120" w:line="276"/>
        <w:jc w:val="both"/>
      </w:pPr>
      <w:r>
        <w:rPr>
          <w:rFonts w:ascii="Barlow Semi Condensed" w:cs="Barlow Semi Condensed" w:eastAsia="Barlow Semi Condensed" w:hAnsi="Barlow Semi Condensed"/>
          <w:sz w:val="24"/>
          <w:szCs w:val="24"/>
        </w:rPr>
        <w:t xml:space="preserve">documenti». **Il primo uso del metodo produce correzioni ai propri stessi</w:t>
      </w:r>
    </w:p>
    <w:p>
      <w:pPr>
        <w:spacing w:after="120" w:line="276"/>
        <w:jc w:val="both"/>
      </w:pPr>
      <w:r>
        <w:rPr>
          <w:rFonts w:ascii="Barlow Semi Condensed" w:cs="Barlow Semi Condensed" w:eastAsia="Barlow Semi Condensed" w:hAnsi="Barlow Semi Condensed"/>
          <w:sz w:val="24"/>
          <w:szCs w:val="24"/>
        </w:rPr>
        <w:t xml:space="preserve">testi**, non conferme.</w:t>
      </w:r>
    </w:p>
    <w:p>
      <w:pPr>
        <w:spacing w:after="120" w:line="276"/>
        <w:jc w:val="both"/>
      </w:pPr>
      <w:r>
        <w:rPr>
          <w:rFonts w:ascii="Barlow Semi Condensed" w:cs="Barlow Semi Condensed" w:eastAsia="Barlow Semi Condensed" w:hAnsi="Barlow Semi Condensed"/>
          <w:sz w:val="24"/>
          <w:szCs w:val="24"/>
        </w:rPr>
        <w:t xml:space="preserve">Quella sequenza — costruisci, incrocia, correggi — è tutto ciò che il progetto</w:t>
      </w:r>
    </w:p>
    <w:p>
      <w:pPr>
        <w:spacing w:after="120" w:line="276"/>
        <w:jc w:val="both"/>
      </w:pPr>
      <w:r>
        <w:rPr>
          <w:rFonts w:ascii="Barlow Semi Condensed" w:cs="Barlow Semi Condensed" w:eastAsia="Barlow Semi Condensed" w:hAnsi="Barlow Semi Condensed"/>
          <w:sz w:val="24"/>
          <w:szCs w:val="24"/>
        </w:rPr>
        <w:t xml:space="preserve">sa fare, e ritorna lungo tutte le centotré revisioni del corpus. Non ha altri</w:t>
      </w:r>
    </w:p>
    <w:p>
      <w:pPr>
        <w:spacing w:after="120" w:line="276"/>
        <w:jc w:val="both"/>
      </w:pPr>
      <w:r>
        <w:rPr>
          <w:rFonts w:ascii="Barlow Semi Condensed" w:cs="Barlow Semi Condensed" w:eastAsia="Barlow Semi Condensed" w:hAnsi="Barlow Semi Condensed"/>
          <w:sz w:val="24"/>
          <w:szCs w:val="24"/>
        </w:rPr>
        <w:t xml:space="preserve">strumenti.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 Le regole hanno una data, e non sono nate insieme</w:t>
      </w:r>
    </w:p>
    <w:p>
      <w:pPr>
        <w:spacing w:after="120" w:line="276"/>
        <w:jc w:val="both"/>
      </w:pPr>
      <w:r>
        <w:rPr>
          <w:rFonts w:ascii="Barlow Semi Condensed" w:cs="Barlow Semi Condensed" w:eastAsia="Barlow Semi Condensed" w:hAnsi="Barlow Semi Condensed"/>
          <w:sz w:val="24"/>
          <w:szCs w:val="24"/>
        </w:rPr>
        <w:t xml:space="preserve">Questo è il punto in cui il registro dice qualcosa che io stesso avrei</w:t>
      </w:r>
    </w:p>
    <w:p>
      <w:pPr>
        <w:spacing w:after="120" w:line="276"/>
        <w:jc w:val="both"/>
      </w:pPr>
      <w:r>
        <w:rPr>
          <w:rFonts w:ascii="Barlow Semi Condensed" w:cs="Barlow Semi Condensed" w:eastAsia="Barlow Semi Condensed" w:hAnsi="Barlow Semi Condensed"/>
          <w:sz w:val="24"/>
          <w:szCs w:val="24"/>
        </w:rPr>
        <w:t xml:space="preserve">raccontato diversamente.</w:t>
      </w:r>
    </w:p>
    <w:p>
      <w:pPr>
        <w:spacing w:after="120" w:line="276"/>
        <w:jc w:val="both"/>
      </w:pPr>
      <w:r>
        <w:rPr>
          <w:rFonts w:ascii="Barlow Semi Condensed" w:cs="Barlow Semi Condensed" w:eastAsia="Barlow Semi Condensed" w:hAnsi="Barlow Semi Condensed"/>
          <w:sz w:val="24"/>
          <w:szCs w:val="24"/>
        </w:rPr>
        <w:t xml:space="preserve">Le regole che governano il corpus non furono scritte all'inizio. **Arrivarono una</w:t>
      </w:r>
    </w:p>
    <w:p>
      <w:pPr>
        <w:spacing w:after="120" w:line="276"/>
        <w:jc w:val="both"/>
      </w:pPr>
      <w:r>
        <w:rPr>
          <w:rFonts w:ascii="Barlow Semi Condensed" w:cs="Barlow Semi Condensed" w:eastAsia="Barlow Semi Condensed" w:hAnsi="Barlow Semi Condensed"/>
          <w:sz w:val="24"/>
          <w:szCs w:val="24"/>
        </w:rPr>
        <w:t xml:space="preserve">per volta, ciascuna quando un lavoro specifico aveva incrinato quella</w:t>
      </w:r>
    </w:p>
    <w:p>
      <w:pPr>
        <w:spacing w:after="120" w:line="276"/>
        <w:jc w:val="both"/>
      </w:pPr>
      <w:r>
        <w:rPr>
          <w:rFonts w:ascii="Barlow Semi Condensed" w:cs="Barlow Semi Condensed" w:eastAsia="Barlow Semi Condensed" w:hAnsi="Barlow Semi Condensed"/>
          <w:sz w:val="24"/>
          <w:szCs w:val="24"/>
        </w:rPr>
        <w:t xml:space="preserve">precedente**, e ciascuna porta la data e l'ora del lavoro che l'ha resa</w:t>
      </w:r>
    </w:p>
    <w:p>
      <w:pPr>
        <w:spacing w:after="120" w:line="276"/>
        <w:jc w:val="both"/>
      </w:pPr>
      <w:r>
        <w:rPr>
          <w:rFonts w:ascii="Barlow Semi Condensed" w:cs="Barlow Semi Condensed" w:eastAsia="Barlow Semi Condensed" w:hAnsi="Barlow Semi Condensed"/>
          <w:sz w:val="24"/>
          <w:szCs w:val="24"/>
        </w:rPr>
        <w:t xml:space="preserve">necessaria: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Regola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Comparsa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lavoro che l'ha imposta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l'esito negativo dichiarato vale come acquisizione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regola dei tre piani</w:t>
            </w:r>
            <w:r>
              <w:rPr>
                <w:rFonts w:ascii="Barlow Semi Condensed" w:cs="Barlow Semi Condensed" w:eastAsia="Barlow Semi Condensed" w:hAnsi="Barlow Semi Condensed"/>
                <w:sz w:val="20"/>
                <w:szCs w:val="20"/>
              </w:rPr>
              <w:t xml:space="preserve"> — documento, convergenza, diceria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l'apparato dei gradi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dalla somiglianza non discende la parentela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25/08, 12:32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nove cantieri d'archivio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attesa dichiarata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limite forense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26/08, 13:17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campagna territoriale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Due il primo giorno, a quattro minuti l'una dall'altra e a sera. Una il secondo.</w:t>
      </w:r>
    </w:p>
    <w:p>
      <w:pPr>
        <w:spacing w:after="120" w:line="276"/>
        <w:jc w:val="both"/>
      </w:pPr>
      <w:r>
        <w:rPr>
          <w:rFonts w:ascii="Barlow Semi Condensed" w:cs="Barlow Semi Condensed" w:eastAsia="Barlow Semi Condensed" w:hAnsi="Barlow Semi Condensed"/>
          <w:sz w:val="24"/>
          <w:szCs w:val="24"/>
        </w:rPr>
        <w:t xml:space="preserve">Tre il terzo, tutte nello stesso lavoro.</w:t>
      </w:r>
    </w:p>
    <w:p>
      <w:pPr>
        <w:spacing w:after="120" w:line="276"/>
        <w:jc w:val="both"/>
      </w:pPr>
      <w:r>
        <w:rPr>
          <w:rFonts w:ascii="Barlow Semi Condensed" w:cs="Barlow Semi Condensed" w:eastAsia="Barlow Semi Condensed" w:hAnsi="Barlow Semi Condensed"/>
          <w:b/>
          <w:bCs/>
          <w:sz w:val="24"/>
          <w:szCs w:val="24"/>
        </w:rPr>
        <w:t xml:space="preserve">Ne segue una correzione che devo fare ai miei stessi documenti.</w:t>
      </w:r>
      <w:r>
        <w:rPr>
          <w:rFonts w:ascii="Barlow Semi Condensed" w:cs="Barlow Semi Condensed" w:eastAsia="Barlow Semi Condensed" w:hAnsi="Barlow Semi Condensed"/>
          <w:sz w:val="24"/>
          <w:szCs w:val="24"/>
        </w:rPr>
        <w:t xml:space="preserve"> La scheda</w:t>
      </w:r>
    </w:p>
    <w:p>
      <w:pPr>
        <w:spacing w:after="120" w:line="276"/>
        <w:jc w:val="both"/>
      </w:pPr>
      <w:r>
        <w:rPr>
          <w:rFonts w:ascii="Barlow Semi Condensed" w:cs="Barlow Semi Condensed" w:eastAsia="Barlow Semi Condensed" w:hAnsi="Barlow Semi Condensed"/>
          <w:sz w:val="24"/>
          <w:szCs w:val="24"/>
        </w:rPr>
        <w:t xml:space="preserve">dell'opera e le proposte editoriali descrivono il corpus come prodotto «sotto una</w:t>
      </w:r>
    </w:p>
    <w:p>
      <w:pPr>
        <w:spacing w:after="120" w:line="276"/>
        <w:jc w:val="both"/>
      </w:pPr>
      <w:r>
        <w:rPr>
          <w:rFonts w:ascii="Barlow Semi Condensed" w:cs="Barlow Semi Condensed" w:eastAsia="Barlow Semi Condensed" w:hAnsi="Barlow Semi Condensed"/>
          <w:sz w:val="24"/>
          <w:szCs w:val="24"/>
        </w:rPr>
        <w:t xml:space="preserve">disciplina metodologica scritta prima del lavoro». Il registro dice che è troppo</w:t>
      </w:r>
    </w:p>
    <w:p>
      <w:pPr>
        <w:spacing w:after="120" w:line="276"/>
        <w:jc w:val="both"/>
      </w:pPr>
      <w:r>
        <w:rPr>
          <w:rFonts w:ascii="Barlow Semi Condensed" w:cs="Barlow Semi Condensed" w:eastAsia="Barlow Semi Condensed" w:hAnsi="Barlow Semi Condensed"/>
          <w:sz w:val="24"/>
          <w:szCs w:val="24"/>
        </w:rPr>
        <w:t xml:space="preserve">forte: la disciplina fu scritta prima di </w:t>
      </w:r>
      <w:r>
        <w:rPr>
          <w:rFonts w:ascii="Barlow Semi Condensed" w:cs="Barlow Semi Condensed" w:eastAsia="Barlow Semi Condensed" w:hAnsi="Barlow Semi Condensed"/>
          <w:b/>
          <w:bCs/>
          <w:sz w:val="24"/>
          <w:szCs w:val="24"/>
        </w:rPr>
        <w:t xml:space="preserve">ciascun lotto</w:t>
      </w:r>
      <w:r>
        <w:rPr>
          <w:rFonts w:ascii="Barlow Semi Condensed" w:cs="Barlow Semi Condensed" w:eastAsia="Barlow Semi Condensed" w:hAnsi="Barlow Semi Condensed"/>
          <w:sz w:val="24"/>
          <w:szCs w:val="24"/>
        </w:rPr>
        <w:t xml:space="preserve"> e riscritta ogni volta</w:t>
      </w:r>
    </w:p>
    <w:p>
      <w:pPr>
        <w:spacing w:after="120" w:line="276"/>
        <w:jc w:val="both"/>
      </w:pPr>
      <w:r>
        <w:rPr>
          <w:rFonts w:ascii="Barlow Semi Condensed" w:cs="Barlow Semi Condensed" w:eastAsia="Barlow Semi Condensed" w:hAnsi="Barlow Semi Condensed"/>
          <w:sz w:val="24"/>
          <w:szCs w:val="24"/>
        </w:rPr>
        <w:t xml:space="preserve">che un lotto la incrinava. La formula esatta è **scritta prima di ogni lotto,</w:t>
      </w:r>
    </w:p>
    <w:p>
      <w:pPr>
        <w:spacing w:after="120" w:line="276"/>
        <w:jc w:val="both"/>
      </w:pPr>
      <w:r>
        <w:rPr>
          <w:rFonts w:ascii="Barlow Semi Condensed" w:cs="Barlow Semi Condensed" w:eastAsia="Barlow Semi Condensed" w:hAnsi="Barlow Semi Condensed"/>
          <w:sz w:val="24"/>
          <w:szCs w:val="24"/>
        </w:rPr>
        <w:t xml:space="preserve">mai prima di tutto**, e l'accrescimento è datato. Correggo qui, per nota, senza</w:t>
      </w:r>
    </w:p>
    <w:p>
      <w:pPr>
        <w:spacing w:after="120" w:line="276"/>
        <w:jc w:val="both"/>
      </w:pPr>
      <w:r>
        <w:rPr>
          <w:rFonts w:ascii="Barlow Semi Condensed" w:cs="Barlow Semi Condensed" w:eastAsia="Barlow Semi Condensed" w:hAnsi="Barlow Semi Condensed"/>
          <w:sz w:val="24"/>
          <w:szCs w:val="24"/>
        </w:rPr>
        <w:t xml:space="preserve">riscrivere in silenzio i documenti che lo dicevano male; e segnalo che questa è</w:t>
      </w:r>
    </w:p>
    <w:p>
      <w:pPr>
        <w:spacing w:after="120" w:line="276"/>
        <w:jc w:val="both"/>
      </w:pPr>
      <w:r>
        <w:rPr>
          <w:rFonts w:ascii="Barlow Semi Condensed" w:cs="Barlow Semi Condensed" w:eastAsia="Barlow Semi Condensed" w:hAnsi="Barlow Semi Condensed"/>
          <w:sz w:val="24"/>
          <w:szCs w:val="24"/>
        </w:rPr>
        <w:t xml:space="preserve">la prima cosa che un lettore attento troverebbe confrontando le mie affermazioni</w:t>
      </w:r>
    </w:p>
    <w:p>
      <w:pPr>
        <w:spacing w:after="120" w:line="276"/>
        <w:jc w:val="both"/>
      </w:pPr>
      <w:r>
        <w:rPr>
          <w:rFonts w:ascii="Barlow Semi Condensed" w:cs="Barlow Semi Condensed" w:eastAsia="Barlow Semi Condensed" w:hAnsi="Barlow Semi Condensed"/>
          <w:sz w:val="24"/>
          <w:szCs w:val="24"/>
        </w:rPr>
        <w:t xml:space="preserve">col mio stesso registro.</w:t>
      </w:r>
    </w:p>
    <w:p>
      <w:pPr>
        <w:spacing w:after="120" w:line="276"/>
        <w:jc w:val="both"/>
      </w:pPr>
      <w:r>
        <w:rPr>
          <w:rFonts w:ascii="Barlow Semi Condensed" w:cs="Barlow Semi Condensed" w:eastAsia="Barlow Semi Condensed" w:hAnsi="Barlow Semi Condensed"/>
          <w:sz w:val="24"/>
          <w:szCs w:val="24"/>
        </w:rPr>
        <w:t xml:space="preserve">Che cosa significa ciascuna regola, in una riga: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«Cercato lì, con quei criteri, in quella data, non trovato» è</w:t>
      </w:r>
    </w:p>
    <w:p>
      <w:pPr>
        <w:spacing w:after="120" w:line="276"/>
        <w:jc w:val="both"/>
      </w:pPr>
      <w:r>
        <w:rPr>
          <w:rFonts w:ascii="Barlow Semi Condensed" w:cs="Barlow Semi Condensed" w:eastAsia="Barlow Semi Condensed" w:hAnsi="Barlow Semi Condensed"/>
          <w:sz w:val="24"/>
          <w:szCs w:val="24"/>
        </w:rPr>
        <w:t xml:space="preserve">  un'acquisizione di pieno valore, non un fallimento da tacere. Ha un perimetro,</w:t>
      </w:r>
    </w:p>
    <w:p>
      <w:pPr>
        <w:spacing w:after="120" w:line="276"/>
        <w:jc w:val="both"/>
      </w:pPr>
      <w:r>
        <w:rPr>
          <w:rFonts w:ascii="Barlow Semi Condensed" w:cs="Barlow Semi Condensed" w:eastAsia="Barlow Semi Condensed" w:hAnsi="Barlow Semi Condensed"/>
          <w:sz w:val="24"/>
          <w:szCs w:val="24"/>
        </w:rPr>
        <w:t xml:space="preserve">  un metodo, un responsabile, ed è ripetibile da altri.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tre piani.</w:t>
      </w:r>
      <w:r>
        <w:rPr>
          <w:rFonts w:ascii="Barlow Semi Condensed" w:cs="Barlow Semi Condensed" w:eastAsia="Barlow Semi Condensed" w:hAnsi="Barlow Semi Condensed"/>
          <w:sz w:val="24"/>
          <w:szCs w:val="24"/>
        </w:rPr>
        <w:t xml:space="preserve"> Un rapporto diretto documentato è piano 1; una convergenza</w:t>
      </w:r>
    </w:p>
    <w:p>
      <w:pPr>
        <w:spacing w:after="120" w:line="276"/>
        <w:jc w:val="both"/>
      </w:pPr>
      <w:r>
        <w:rPr>
          <w:rFonts w:ascii="Barlow Semi Condensed" w:cs="Barlow Semi Condensed" w:eastAsia="Barlow Semi Condensed" w:hAnsi="Barlow Semi Condensed"/>
          <w:sz w:val="24"/>
          <w:szCs w:val="24"/>
        </w:rPr>
        <w:t xml:space="preserve">  strutturale nella stessa cornice è piano 2; un'affermazione di terza mano senza</w:t>
      </w:r>
    </w:p>
    <w:p>
      <w:pPr>
        <w:spacing w:after="120" w:line="276"/>
        <w:jc w:val="both"/>
      </w:pPr>
      <w:r>
        <w:rPr>
          <w:rFonts w:ascii="Barlow Semi Condensed" w:cs="Barlow Semi Condensed" w:eastAsia="Barlow Semi Condensed" w:hAnsi="Barlow Semi Condensed"/>
          <w:sz w:val="24"/>
          <w:szCs w:val="24"/>
        </w:rPr>
        <w:t xml:space="preserve">  riscontro è piano 3. </w:t>
      </w:r>
      <w:r>
        <w:rPr>
          <w:rFonts w:ascii="Barlow Semi Condensed" w:cs="Barlow Semi Condensed" w:eastAsia="Barlow Semi Condensed" w:hAnsi="Barlow Semi Condensed"/>
          <w:b/>
          <w:bCs/>
          <w:sz w:val="24"/>
          <w:szCs w:val="24"/>
        </w:rPr>
        <w:t xml:space="preserve">Un ponte è reale solo al piano 1</w:t>
      </w:r>
      <w:r>
        <w:rPr>
          <w:rFonts w:ascii="Barlow Semi Condensed" w:cs="Barlow Semi Condensed" w:eastAsia="Barlow Semi Condensed" w:hAnsi="Barlow Semi Condensed"/>
          <w:sz w:val="24"/>
          <w:szCs w:val="24"/>
        </w:rPr>
        <w:t xml:space="preserve">, e il piano si</w:t>
      </w:r>
    </w:p>
    <w:p>
      <w:pPr>
        <w:spacing w:after="120" w:line="276"/>
        <w:jc w:val="both"/>
      </w:pPr>
      <w:r>
        <w:rPr>
          <w:rFonts w:ascii="Barlow Semi Condensed" w:cs="Barlow Semi Condensed" w:eastAsia="Barlow Semi Condensed" w:hAnsi="Barlow Semi Condensed"/>
          <w:sz w:val="24"/>
          <w:szCs w:val="24"/>
        </w:rPr>
        <w:t xml:space="preserve">  dichiara ogni volta.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Omologia contro analogia.</w:t>
      </w:r>
      <w:r>
        <w:rPr>
          <w:rFonts w:ascii="Barlow Semi Condensed" w:cs="Barlow Semi Condensed" w:eastAsia="Barlow Semi Condensed" w:hAnsi="Barlow Semi Condensed"/>
          <w:sz w:val="24"/>
          <w:szCs w:val="24"/>
        </w:rPr>
        <w:t xml:space="preserve"> Dalla somiglianza di due esiti non si deduce un</w:t>
      </w:r>
    </w:p>
    <w:p>
      <w:pPr>
        <w:spacing w:after="120" w:line="276"/>
        <w:jc w:val="both"/>
      </w:pPr>
      <w:r>
        <w:rPr>
          <w:rFonts w:ascii="Barlow Semi Condensed" w:cs="Barlow Semi Condensed" w:eastAsia="Barlow Semi Condensed" w:hAnsi="Barlow Semi Condensed"/>
          <w:sz w:val="24"/>
          <w:szCs w:val="24"/>
        </w:rPr>
        <w:t xml:space="preserve">  antenato comune. La prova è un documento di provenienza che nomini entrambe le</w:t>
      </w:r>
    </w:p>
    <w:p>
      <w:pPr>
        <w:spacing w:after="120" w:line="276"/>
        <w:jc w:val="both"/>
      </w:pPr>
      <w:r>
        <w:rPr>
          <w:rFonts w:ascii="Barlow Semi Condensed" w:cs="Barlow Semi Condensed" w:eastAsia="Barlow Semi Condensed" w:hAnsi="Barlow Semi Condensed"/>
          <w:sz w:val="24"/>
          <w:szCs w:val="24"/>
        </w:rPr>
        <w:t xml:space="preserve">  parti; senza quello, si hanno due fatti e non un legame.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Silenzio d'oggetto.</w:t>
      </w:r>
      <w:r>
        <w:rPr>
          <w:rFonts w:ascii="Barlow Semi Condensed" w:cs="Barlow Semi Condensed" w:eastAsia="Barlow Semi Condensed" w:hAnsi="Barlow Semi Condensed"/>
          <w:sz w:val="24"/>
          <w:szCs w:val="24"/>
        </w:rPr>
        <w:t xml:space="preserve"> Un archivio interrogato che non risponde e un capitolo</w:t>
      </w:r>
    </w:p>
    <w:p>
      <w:pPr>
        <w:spacing w:after="120" w:line="276"/>
        <w:jc w:val="both"/>
      </w:pPr>
      <w:r>
        <w:rPr>
          <w:rFonts w:ascii="Barlow Semi Condensed" w:cs="Barlow Semi Condensed" w:eastAsia="Barlow Semi Condensed" w:hAnsi="Barlow Semi Condensed"/>
          <w:sz w:val="24"/>
          <w:szCs w:val="24"/>
        </w:rPr>
        <w:t xml:space="preserve">  che parlava d'altro hanno lo stesso aspetto e valore opposto. Il primo è uno</w:t>
      </w:r>
    </w:p>
    <w:p>
      <w:pPr>
        <w:spacing w:after="120" w:line="276"/>
        <w:jc w:val="both"/>
      </w:pPr>
      <w:r>
        <w:rPr>
          <w:rFonts w:ascii="Barlow Semi Condensed" w:cs="Barlow Semi Condensed" w:eastAsia="Barlow Semi Condensed" w:hAnsi="Barlow Semi Condensed"/>
          <w:sz w:val="24"/>
          <w:szCs w:val="24"/>
        </w:rPr>
        <w:t xml:space="preserve">  Stato Zero; il secondo è un perimetro dichiarato, e non ha mancato nulla.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Attesa dichiarata.</w:t>
      </w:r>
      <w:r>
        <w:rPr>
          <w:rFonts w:ascii="Barlow Semi Condensed" w:cs="Barlow Semi Condensed" w:eastAsia="Barlow Semi Condensed" w:hAnsi="Barlow Semi Condensed"/>
          <w:sz w:val="24"/>
          <w:szCs w:val="24"/>
        </w:rPr>
        <w:t xml:space="preserve"> Prima di aprire un fondo si scrive che cosa ci si</w:t>
      </w:r>
    </w:p>
    <w:p>
      <w:pPr>
        <w:spacing w:after="120" w:line="276"/>
        <w:jc w:val="both"/>
      </w:pPr>
      <w:r>
        <w:rPr>
          <w:rFonts w:ascii="Barlow Semi Condensed" w:cs="Barlow Semi Condensed" w:eastAsia="Barlow Semi Condensed" w:hAnsi="Barlow Semi Condensed"/>
          <w:sz w:val="24"/>
          <w:szCs w:val="24"/>
        </w:rPr>
        <w:t xml:space="preserve">  aspetta di trovarvi. Un esito negativo previsto e uno inatteso sono identici</w:t>
      </w:r>
    </w:p>
    <w:p>
      <w:pPr>
        <w:spacing w:after="120" w:line="276"/>
        <w:jc w:val="both"/>
      </w:pPr>
      <w:r>
        <w:rPr>
          <w:rFonts w:ascii="Barlow Semi Condensed" w:cs="Barlow Semi Condensed" w:eastAsia="Barlow Semi Condensed" w:hAnsi="Barlow Semi Condensed"/>
          <w:sz w:val="24"/>
          <w:szCs w:val="24"/>
        </w:rPr>
        <w:t xml:space="preserve">  sullo schermo, e solo l'attesa scritta prima li distingue.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Limite forense.</w:t>
      </w:r>
      <w:r>
        <w:rPr>
          <w:rFonts w:ascii="Barlow Semi Condensed" w:cs="Barlow Semi Condensed" w:eastAsia="Barlow Semi Condensed" w:hAnsi="Barlow Semi Condensed"/>
          <w:sz w:val="24"/>
          <w:szCs w:val="24"/>
        </w:rPr>
        <w:t xml:space="preserve"> La scienza risponde a domande sulle cose, non sulle</w:t>
      </w:r>
    </w:p>
    <w:p>
      <w:pPr>
        <w:spacing w:after="120" w:line="276"/>
        <w:jc w:val="both"/>
      </w:pPr>
      <w:r>
        <w:rPr>
          <w:rFonts w:ascii="Barlow Semi Condensed" w:cs="Barlow Semi Condensed" w:eastAsia="Barlow Semi Condensed" w:hAnsi="Barlow Semi Condensed"/>
          <w:sz w:val="24"/>
          <w:szCs w:val="24"/>
        </w:rPr>
        <w:t xml:space="preserve">  intenzioni. Una perizia dice quale arma ha sparato, non perché.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 Un precedente nella stessa cartella, e perché non lo chiamo antenato</w:t>
      </w:r>
    </w:p>
    <w:p>
      <w:pPr>
        <w:spacing w:after="120" w:line="276"/>
        <w:jc w:val="both"/>
      </w:pPr>
      <w:r>
        <w:rPr>
          <w:rFonts w:ascii="Barlow Semi Condensed" w:cs="Barlow Semi Condensed" w:eastAsia="Barlow Semi Condensed" w:hAnsi="Barlow Semi Condensed"/>
          <w:sz w:val="24"/>
          <w:szCs w:val="24"/>
        </w:rPr>
        <w:t xml:space="preserve">Il deposito che ospita il corpus ne ospitava già un altro. Nel luglio 2026 —</w:t>
      </w:r>
    </w:p>
    <w:p>
      <w:pPr>
        <w:spacing w:after="120" w:line="276"/>
        <w:jc w:val="both"/>
      </w:pPr>
      <w:r>
        <w:rPr>
          <w:rFonts w:ascii="Barlow Semi Condensed" w:cs="Barlow Semi Condensed" w:eastAsia="Barlow Semi Condensed" w:hAnsi="Barlow Semi Condensed"/>
          <w:sz w:val="24"/>
          <w:szCs w:val="24"/>
        </w:rPr>
        <w:t xml:space="preserve">giornate del 7, 8 e 11 — la stessa cartella conteneva un lavoro di tutt'altra</w:t>
      </w:r>
    </w:p>
    <w:p>
      <w:pPr>
        <w:spacing w:after="120" w:line="276"/>
        <w:jc w:val="both"/>
      </w:pPr>
      <w:r>
        <w:rPr>
          <w:rFonts w:ascii="Barlow Semi Condensed" w:cs="Barlow Semi Condensed" w:eastAsia="Barlow Semi Condensed" w:hAnsi="Barlow Semi Condensed"/>
          <w:sz w:val="24"/>
          <w:szCs w:val="24"/>
        </w:rPr>
        <w:t xml:space="preserve">materia: la ristrutturazione di uno studio di politica sanitaria, con apparato</w:t>
      </w:r>
    </w:p>
    <w:p>
      <w:pPr>
        <w:spacing w:after="120" w:line="276"/>
        <w:jc w:val="both"/>
      </w:pPr>
      <w:r>
        <w:rPr>
          <w:rFonts w:ascii="Barlow Semi Condensed" w:cs="Barlow Semi Condensed" w:eastAsia="Barlow Semi Condensed" w:hAnsi="Barlow Semi Condensed"/>
          <w:sz w:val="24"/>
          <w:szCs w:val="24"/>
        </w:rPr>
        <w:t xml:space="preserve">editoriale, protocollo di validazione e registro delle anomalie.</w:t>
      </w:r>
    </w:p>
    <w:p>
      <w:pPr>
        <w:spacing w:after="120" w:line="276"/>
        <w:jc w:val="both"/>
      </w:pPr>
      <w:r>
        <w:rPr>
          <w:rFonts w:ascii="Barlow Semi Condensed" w:cs="Barlow Semi Condensed" w:eastAsia="Barlow Semi Condensed" w:hAnsi="Barlow Semi Condensed"/>
          <w:sz w:val="24"/>
          <w:szCs w:val="24"/>
        </w:rPr>
        <w:t xml:space="preserve">Quel registro si apre così: *«Questo file registra difetti o incoerenze rilevate</w:t>
      </w:r>
    </w:p>
    <w:p>
      <w:pPr>
        <w:spacing w:after="120" w:line="276"/>
        <w:jc w:val="both"/>
      </w:pPr>
      <w:r>
        <w:rPr>
          <w:rFonts w:ascii="Barlow Semi Condensed" w:cs="Barlow Semi Condensed" w:eastAsia="Barlow Semi Condensed" w:hAnsi="Barlow Semi Condensed"/>
          <w:sz w:val="24"/>
          <w:szCs w:val="24"/>
        </w:rPr>
        <w:t xml:space="preserve">nel corpo integrale, senza deciderne il trattamento. Nessuna correzione viene</w:t>
      </w:r>
    </w:p>
    <w:p>
      <w:pPr>
        <w:spacing w:after="120" w:line="276"/>
        <w:jc w:val="both"/>
      </w:pPr>
      <w:r>
        <w:rPr>
          <w:rFonts w:ascii="Barlow Semi Condensed" w:cs="Barlow Semi Condensed" w:eastAsia="Barlow Semi Condensed" w:hAnsi="Barlow Semi Condensed"/>
          <w:sz w:val="24"/>
          <w:szCs w:val="24"/>
        </w:rPr>
        <w:t xml:space="preserve">applicata al testo finché l'autore non decide come procedere.»*</w:t>
      </w:r>
    </w:p>
    <w:p>
      <w:pPr>
        <w:spacing w:after="120" w:line="276"/>
        <w:jc w:val="both"/>
      </w:pPr>
      <w:r>
        <w:rPr>
          <w:rFonts w:ascii="Barlow Semi Condensed" w:cs="Barlow Semi Condensed" w:eastAsia="Barlow Semi Condensed" w:hAnsi="Barlow Semi Condensed"/>
          <w:sz w:val="24"/>
          <w:szCs w:val="24"/>
        </w:rPr>
        <w:t xml:space="preserve">È, parola per parola, la regola che il corpus chiama **correzione per nota, mai</w:t>
      </w:r>
    </w:p>
    <w:p>
      <w:pPr>
        <w:spacing w:after="120" w:line="276"/>
        <w:jc w:val="both"/>
      </w:pPr>
      <w:r>
        <w:rPr>
          <w:rFonts w:ascii="Barlow Semi Condensed" w:cs="Barlow Semi Condensed" w:eastAsia="Barlow Semi Condensed" w:hAnsi="Barlow Semi Condensed"/>
          <w:sz w:val="24"/>
          <w:szCs w:val="24"/>
        </w:rPr>
        <w:t xml:space="preserve">riscrittura silenziosa**.</w:t>
      </w:r>
    </w:p>
    <w:p>
      <w:pPr>
        <w:spacing w:after="120" w:line="276"/>
        <w:jc w:val="both"/>
      </w:pPr>
      <w:r>
        <w:rPr>
          <w:rFonts w:ascii="Barlow Semi Condensed" w:cs="Barlow Semi Condensed" w:eastAsia="Barlow Semi Condensed" w:hAnsi="Barlow Semi Condensed"/>
          <w:sz w:val="24"/>
          <w:szCs w:val="24"/>
        </w:rPr>
        <w:t xml:space="preserve">La tentazione è dire che la disciplina del corpus discende da lì. **Non lo</w:t>
      </w:r>
    </w:p>
    <w:p>
      <w:pPr>
        <w:spacing w:after="120" w:line="276"/>
        <w:jc w:val="both"/>
      </w:pPr>
      <w:r>
        <w:rPr>
          <w:rFonts w:ascii="Barlow Semi Condensed" w:cs="Barlow Semi Condensed" w:eastAsia="Barlow Semi Condensed" w:hAnsi="Barlow Semi Condensed"/>
          <w:sz w:val="24"/>
          <w:szCs w:val="24"/>
        </w:rPr>
        <w:t xml:space="preserve">scrivo, e la ragione è la regola numero tre.** Ho verificato: nessuno degli otto</w:t>
      </w:r>
    </w:p>
    <w:p>
      <w:pPr>
        <w:spacing w:after="120" w:line="276"/>
        <w:jc w:val="both"/>
      </w:pPr>
      <w:r>
        <w:rPr>
          <w:rFonts w:ascii="Barlow Semi Condensed" w:cs="Barlow Semi Condensed" w:eastAsia="Barlow Semi Condensed" w:hAnsi="Barlow Semi Condensed"/>
          <w:sz w:val="24"/>
          <w:szCs w:val="24"/>
        </w:rPr>
        <w:t xml:space="preserve">termini caratteristici del corpus — Stato Zero, i gradi, i tre piani, la</w:t>
      </w:r>
    </w:p>
    <w:p>
      <w:pPr>
        <w:spacing w:after="120" w:line="276"/>
        <w:jc w:val="both"/>
      </w:pPr>
      <w:r>
        <w:rPr>
          <w:rFonts w:ascii="Barlow Semi Condensed" w:cs="Barlow Semi Condensed" w:eastAsia="Barlow Semi Condensed" w:hAnsi="Barlow Semi Condensed"/>
          <w:sz w:val="24"/>
          <w:szCs w:val="24"/>
        </w:rPr>
        <w:t xml:space="preserve">triangolazione, il verbale di vuoto, la correzione per nota — compare in un solo</w:t>
      </w:r>
    </w:p>
    <w:p>
      <w:pPr>
        <w:spacing w:after="120" w:line="276"/>
        <w:jc w:val="both"/>
      </w:pPr>
      <w:r>
        <w:rPr>
          <w:rFonts w:ascii="Barlow Semi Condensed" w:cs="Barlow Semi Condensed" w:eastAsia="Barlow Semi Condensed" w:hAnsi="Barlow Semi Condensed"/>
          <w:sz w:val="24"/>
          <w:szCs w:val="24"/>
        </w:rPr>
        <w:t xml:space="preserve">file del lavoro di luglio. Il vocabolario non è ereditato: è stato creato in</w:t>
      </w:r>
    </w:p>
    <w:p>
      <w:pPr>
        <w:spacing w:after="120" w:line="276"/>
        <w:jc w:val="both"/>
      </w:pPr>
      <w:r>
        <w:rPr>
          <w:rFonts w:ascii="Barlow Semi Condensed" w:cs="Barlow Semi Condensed" w:eastAsia="Barlow Semi Condensed" w:hAnsi="Barlow Semi Condensed"/>
          <w:sz w:val="24"/>
          <w:szCs w:val="24"/>
        </w:rPr>
        <w:t xml:space="preserve">agosto.</w:t>
      </w:r>
    </w:p>
    <w:p>
      <w:pPr>
        <w:spacing w:after="120" w:line="276"/>
        <w:jc w:val="both"/>
      </w:pPr>
      <w:r>
        <w:rPr>
          <w:rFonts w:ascii="Barlow Semi Condensed" w:cs="Barlow Semi Condensed" w:eastAsia="Barlow Semi Condensed" w:hAnsi="Barlow Semi Condensed"/>
          <w:sz w:val="24"/>
          <w:szCs w:val="24"/>
        </w:rPr>
        <w:t xml:space="preserve">Restano dunque due fatti: **stesso autore, stessa cartella, sei settimane di</w:t>
      </w:r>
    </w:p>
    <w:p>
      <w:pPr>
        <w:spacing w:after="120" w:line="276"/>
        <w:jc w:val="both"/>
      </w:pPr>
      <w:r>
        <w:rPr>
          <w:rFonts w:ascii="Barlow Semi Condensed" w:cs="Barlow Semi Condensed" w:eastAsia="Barlow Semi Condensed" w:hAnsi="Barlow Semi Condensed"/>
          <w:sz w:val="24"/>
          <w:szCs w:val="24"/>
        </w:rPr>
        <w:t xml:space="preserve">distanza, stesso comportamento, nomi diversi**. È esattamente la configurazione</w:t>
      </w:r>
    </w:p>
    <w:p>
      <w:pPr>
        <w:spacing w:after="120" w:line="276"/>
        <w:jc w:val="both"/>
      </w:pPr>
      <w:r>
        <w:rPr>
          <w:rFonts w:ascii="Barlow Semi Condensed" w:cs="Barlow Semi Condensed" w:eastAsia="Barlow Semi Condensed" w:hAnsi="Barlow Semi Condensed"/>
          <w:sz w:val="24"/>
          <w:szCs w:val="24"/>
        </w:rPr>
        <w:t xml:space="preserve">che la regola dei tre piani colloca al </w:t>
      </w:r>
      <w:r>
        <w:rPr>
          <w:rFonts w:ascii="Barlow Semi Condensed" w:cs="Barlow Semi Condensed" w:eastAsia="Barlow Semi Condensed" w:hAnsi="Barlow Semi Condensed"/>
          <w:b/>
          <w:bCs/>
          <w:sz w:val="24"/>
          <w:szCs w:val="24"/>
        </w:rPr>
        <w:t xml:space="preserve">piano 2</w:t>
      </w:r>
      <w:r>
        <w:rPr>
          <w:rFonts w:ascii="Barlow Semi Condensed" w:cs="Barlow Semi Condensed" w:eastAsia="Barlow Semi Condensed" w:hAnsi="Barlow Semi Condensed"/>
          <w:sz w:val="24"/>
          <w:szCs w:val="24"/>
        </w:rPr>
        <w:t xml:space="preserve"> — convergenza strutturale — e</w:t>
      </w:r>
    </w:p>
    <w:p>
      <w:pPr>
        <w:spacing w:after="120" w:line="276"/>
        <w:jc w:val="both"/>
      </w:pPr>
      <w:r>
        <w:rPr>
          <w:rFonts w:ascii="Barlow Semi Condensed" w:cs="Barlow Semi Condensed" w:eastAsia="Barlow Semi Condensed" w:hAnsi="Barlow Semi Condensed"/>
          <w:sz w:val="24"/>
          <w:szCs w:val="24"/>
        </w:rPr>
        <w:t xml:space="preserve">che vi resta finché non compaia un documento in cui l'uno rimandi all'altro. Non</w:t>
      </w:r>
    </w:p>
    <w:p>
      <w:pPr>
        <w:spacing w:after="120" w:line="276"/>
        <w:jc w:val="both"/>
      </w:pPr>
      <w:r>
        <w:rPr>
          <w:rFonts w:ascii="Barlow Semi Condensed" w:cs="Barlow Semi Condensed" w:eastAsia="Barlow Semi Condensed" w:hAnsi="Barlow Semi Condensed"/>
          <w:sz w:val="24"/>
          <w:szCs w:val="24"/>
        </w:rPr>
        <w:t xml:space="preserve">c'è. Lo registro come convergenza e non come filiazione, e applico a me stesso il</w:t>
      </w:r>
    </w:p>
    <w:p>
      <w:pPr>
        <w:spacing w:after="120" w:line="276"/>
        <w:jc w:val="both"/>
      </w:pPr>
      <w:r>
        <w:rPr>
          <w:rFonts w:ascii="Barlow Semi Condensed" w:cs="Barlow Semi Condensed" w:eastAsia="Barlow Semi Condensed" w:hAnsi="Barlow Semi Condensed"/>
          <w:sz w:val="24"/>
          <w:szCs w:val="24"/>
        </w:rPr>
        <w:t xml:space="preserve">criterio che applico a chiunque altro. Se un giorno quel documento comparisse,</w:t>
      </w:r>
    </w:p>
    <w:p>
      <w:pPr>
        <w:spacing w:after="120" w:line="276"/>
        <w:jc w:val="both"/>
      </w:pPr>
      <w:r>
        <w:rPr>
          <w:rFonts w:ascii="Barlow Semi Condensed" w:cs="Barlow Semi Condensed" w:eastAsia="Barlow Semi Condensed" w:hAnsi="Barlow Semi Condensed"/>
          <w:sz w:val="24"/>
          <w:szCs w:val="24"/>
        </w:rPr>
        <w:t xml:space="preserve">il piano salirebbe; ma non lo si promuove per comodità narrativa.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 Come si è evoluto: da narrare a domandare</w:t>
      </w:r>
    </w:p>
    <w:p>
      <w:pPr>
        <w:spacing w:after="120" w:line="276"/>
        <w:jc w:val="both"/>
      </w:pPr>
      <w:r>
        <w:rPr>
          <w:rFonts w:ascii="Barlow Semi Condensed" w:cs="Barlow Semi Condensed" w:eastAsia="Barlow Semi Condensed" w:hAnsi="Barlow Semi Condensed"/>
          <w:sz w:val="24"/>
          <w:szCs w:val="24"/>
        </w:rPr>
        <w:t xml:space="preserve">L'evoluzione sostanziale del progetto non è la crescita, che è banale. È un</w:t>
      </w:r>
    </w:p>
    <w:p>
      <w:pPr>
        <w:spacing w:after="120" w:line="276"/>
        <w:jc w:val="both"/>
      </w:pPr>
      <w:r>
        <w:rPr>
          <w:rFonts w:ascii="Barlow Semi Condensed" w:cs="Barlow Semi Condensed" w:eastAsia="Barlow Semi Condensed" w:hAnsi="Barlow Semi Condensed"/>
          <w:sz w:val="24"/>
          <w:szCs w:val="24"/>
        </w:rPr>
        <w:t xml:space="preserve">cambio di natura, e si può datare al </w:t>
      </w:r>
      <w:r>
        <w:rPr>
          <w:rFonts w:ascii="Barlow Semi Condensed" w:cs="Barlow Semi Condensed" w:eastAsia="Barlow Semi Condensed" w:hAnsi="Barlow Semi Condensed"/>
          <w:b/>
          <w:bCs/>
          <w:sz w:val="24"/>
          <w:szCs w:val="24"/>
        </w:rPr>
        <w:t xml:space="preserve">25 agosto, ore 10:49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Fino a quel momento il corpus </w:t>
      </w:r>
      <w:r>
        <w:rPr>
          <w:rFonts w:ascii="Barlow Semi Condensed" w:cs="Barlow Semi Condensed" w:eastAsia="Barlow Semi Condensed" w:hAnsi="Barlow Semi Condensed"/>
          <w:b/>
          <w:bCs/>
          <w:sz w:val="24"/>
          <w:szCs w:val="24"/>
        </w:rPr>
        <w:t xml:space="preserve">raccontava</w:t>
      </w:r>
      <w:r>
        <w:rPr>
          <w:rFonts w:ascii="Barlow Semi Condensed" w:cs="Barlow Semi Condensed" w:eastAsia="Barlow Semi Condensed" w:hAnsi="Barlow Semi Condensed"/>
          <w:sz w:val="24"/>
          <w:szCs w:val="24"/>
        </w:rPr>
        <w:t xml:space="preserve">: ritratti, parabole, monografie,</w:t>
      </w:r>
    </w:p>
    <w:p>
      <w:pPr>
        <w:spacing w:after="120" w:line="276"/>
        <w:jc w:val="both"/>
      </w:pPr>
      <w:r>
        <w:rPr>
          <w:rFonts w:ascii="Barlow Semi Condensed" w:cs="Barlow Semi Condensed" w:eastAsia="Barlow Semi Condensed" w:hAnsi="Barlow Semi Condensed"/>
          <w:sz w:val="24"/>
          <w:szCs w:val="24"/>
        </w:rPr>
        <w:t xml:space="preserve">registri giudiziari, studi su Feltrinelli, sul nodo Hyperion, sul ceppo Simioni,</w:t>
      </w:r>
    </w:p>
    <w:p>
      <w:pPr>
        <w:spacing w:after="120" w:line="276"/>
        <w:jc w:val="both"/>
      </w:pPr>
      <w:r>
        <w:rPr>
          <w:rFonts w:ascii="Barlow Semi Condensed" w:cs="Barlow Semi Condensed" w:eastAsia="Barlow Semi Condensed" w:hAnsi="Barlow Semi Condensed"/>
          <w:sz w:val="24"/>
          <w:szCs w:val="24"/>
        </w:rPr>
        <w:t xml:space="preserve">sul Tribunale Speciale, sulla dimensione diplomatica di Moro ministro degli</w:t>
      </w:r>
    </w:p>
    <w:p>
      <w:pPr>
        <w:spacing w:after="120" w:line="276"/>
        <w:jc w:val="both"/>
      </w:pPr>
      <w:r>
        <w:rPr>
          <w:rFonts w:ascii="Barlow Semi Condensed" w:cs="Barlow Semi Condensed" w:eastAsia="Barlow Semi Condensed" w:hAnsi="Barlow Semi Condensed"/>
          <w:sz w:val="24"/>
          <w:szCs w:val="24"/>
        </w:rPr>
        <w:t xml:space="preserve">Esteri. Materiale ordinato, gradato, ma pur sempre esposizione.</w:t>
      </w:r>
    </w:p>
    <w:p>
      <w:pPr>
        <w:spacing w:after="120" w:line="276"/>
        <w:jc w:val="both"/>
      </w:pPr>
      <w:r>
        <w:rPr>
          <w:rFonts w:ascii="Barlow Semi Condensed" w:cs="Barlow Semi Condensed" w:eastAsia="Barlow Semi Condensed" w:hAnsi="Barlow Semi Condensed"/>
          <w:sz w:val="24"/>
          <w:szCs w:val="24"/>
        </w:rPr>
        <w:t xml:space="preserve">Da quel momento il corpus </w:t>
      </w:r>
      <w:r>
        <w:rPr>
          <w:rFonts w:ascii="Barlow Semi Condensed" w:cs="Barlow Semi Condensed" w:eastAsia="Barlow Semi Condensed" w:hAnsi="Barlow Semi Condensed"/>
          <w:b/>
          <w:bCs/>
          <w:sz w:val="24"/>
          <w:szCs w:val="24"/>
        </w:rPr>
        <w:t xml:space="preserve">domanda</w:t>
      </w:r>
      <w:r>
        <w:rPr>
          <w:rFonts w:ascii="Barlow Semi Condensed" w:cs="Barlow Semi Condensed" w:eastAsia="Barlow Semi Condensed" w:hAnsi="Barlow Semi Condensed"/>
          <w:sz w:val="24"/>
          <w:szCs w:val="24"/>
        </w:rPr>
        <w:t xml:space="preserve">. Nasce la forma del </w:t>
      </w:r>
      <w:r>
        <w:rPr>
          <w:rFonts w:ascii="Barlow Semi Condensed" w:cs="Barlow Semi Condensed" w:eastAsia="Barlow Semi Condensed" w:hAnsi="Barlow Semi Condensed"/>
          <w:b/>
          <w:bCs/>
          <w:sz w:val="24"/>
          <w:szCs w:val="24"/>
        </w:rPr>
        <w:t xml:space="preserve">blocco mirato</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un'affermazione, ma un bersaglio di ricerca — un quesito formulato in modo che</w:t>
      </w:r>
    </w:p>
    <w:p>
      <w:pPr>
        <w:spacing w:after="120" w:line="276"/>
        <w:jc w:val="both"/>
      </w:pPr>
      <w:r>
        <w:rPr>
          <w:rFonts w:ascii="Barlow Semi Condensed" w:cs="Barlow Semi Condensed" w:eastAsia="Barlow Semi Condensed" w:hAnsi="Barlow Semi Condensed"/>
          <w:sz w:val="24"/>
          <w:szCs w:val="24"/>
        </w:rPr>
        <w:t xml:space="preserve">qualcuno possa portarlo in archivio, con il grado di ciò che già si sa e la sede</w:t>
      </w:r>
    </w:p>
    <w:p>
      <w:pPr>
        <w:spacing w:after="120" w:line="276"/>
        <w:jc w:val="both"/>
      </w:pPr>
      <w:r>
        <w:rPr>
          <w:rFonts w:ascii="Barlow Semi Condensed" w:cs="Barlow Semi Condensed" w:eastAsia="Barlow Semi Condensed" w:hAnsi="Barlow Semi Condensed"/>
          <w:sz w:val="24"/>
          <w:szCs w:val="24"/>
        </w:rPr>
        <w:t xml:space="preserve">in cui si cercherebbe. Il primo lotto è di trecento blocchi; oggi sono</w:t>
      </w:r>
    </w:p>
    <w:p>
      <w:pPr>
        <w:spacing w:after="120" w:line="276"/>
        <w:jc w:val="both"/>
      </w:pPr>
      <w:r>
        <w:rPr>
          <w:rFonts w:ascii="Barlow Semi Condensed" w:cs="Barlow Semi Condensed" w:eastAsia="Barlow Semi Condensed" w:hAnsi="Barlow Semi Condensed"/>
          <w:b/>
          <w:bCs/>
          <w:sz w:val="24"/>
          <w:szCs w:val="24"/>
        </w:rPr>
        <w:t xml:space="preserve">settemilaseicentonovantanove</w:t>
      </w:r>
      <w:r>
        <w:rPr>
          <w:rFonts w:ascii="Barlow Semi Condensed" w:cs="Barlow Semi Condensed" w:eastAsia="Barlow Semi Condensed" w:hAnsi="Barlow Semi Condensed"/>
          <w:sz w:val="24"/>
          <w:szCs w:val="24"/>
        </w:rPr>
        <w:t xml:space="preserve"> in cinque opere.</w:t>
      </w:r>
    </w:p>
    <w:p>
      <w:pPr>
        <w:spacing w:after="120" w:line="276"/>
        <w:jc w:val="both"/>
      </w:pPr>
      <w:r>
        <w:rPr>
          <w:rFonts w:ascii="Barlow Semi Condensed" w:cs="Barlow Semi Condensed" w:eastAsia="Barlow Semi Condensed" w:hAnsi="Barlow Semi Condensed"/>
          <w:sz w:val="24"/>
          <w:szCs w:val="24"/>
        </w:rPr>
        <w:t xml:space="preserve">È la trasformazione che rende il lavoro utile a un centro come il vostro. Un</w:t>
      </w:r>
    </w:p>
    <w:p>
      <w:pPr>
        <w:spacing w:after="120" w:line="276"/>
        <w:jc w:val="both"/>
      </w:pPr>
      <w:r>
        <w:rPr>
          <w:rFonts w:ascii="Barlow Semi Condensed" w:cs="Barlow Semi Condensed" w:eastAsia="Barlow Semi Condensed" w:hAnsi="Barlow Semi Condensed"/>
          <w:sz w:val="24"/>
          <w:szCs w:val="24"/>
        </w:rPr>
        <w:t xml:space="preserve">racconto in più su questa materia non serve a nessuno, e ce ne sono troppi. Un</w:t>
      </w:r>
    </w:p>
    <w:p>
      <w:pPr>
        <w:spacing w:after="120" w:line="276"/>
        <w:jc w:val="both"/>
      </w:pPr>
      <w:r>
        <w:rPr>
          <w:rFonts w:ascii="Barlow Semi Condensed" w:cs="Barlow Semi Condensed" w:eastAsia="Barlow Semi Condensed" w:hAnsi="Barlow Semi Condensed"/>
          <w:sz w:val="24"/>
          <w:szCs w:val="24"/>
        </w:rPr>
        <w:t xml:space="preserve">elenco di domande eseguibili, ciascuna con la porta a cui bussare, è un altro</w:t>
      </w:r>
    </w:p>
    <w:p>
      <w:pPr>
        <w:spacing w:after="120" w:line="276"/>
        <w:jc w:val="both"/>
      </w:pPr>
      <w:r>
        <w:rPr>
          <w:rFonts w:ascii="Barlow Semi Condensed" w:cs="Barlow Semi Condensed" w:eastAsia="Barlow Semi Condensed" w:hAnsi="Barlow Semi Condensed"/>
          <w:sz w:val="24"/>
          <w:szCs w:val="24"/>
        </w:rPr>
        <w:t xml:space="preserve">genere di oggetto.</w:t>
      </w:r>
    </w:p>
    <w:p>
      <w:pPr>
        <w:spacing w:after="120" w:line="276"/>
        <w:jc w:val="both"/>
      </w:pPr>
      <w:r>
        <w:rPr>
          <w:rFonts w:ascii="Barlow Semi Condensed" w:cs="Barlow Semi Condensed" w:eastAsia="Barlow Semi Condensed" w:hAnsi="Barlow Semi Condensed"/>
          <w:sz w:val="24"/>
          <w:szCs w:val="24"/>
        </w:rPr>
        <w:t xml:space="preserve">Lo stato al 26 agosto 2026: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rilegate in un volume integrale,</w:t>
      </w:r>
    </w:p>
    <w:p>
      <w:pPr>
        <w:spacing w:after="120" w:line="276"/>
        <w:jc w:val="both"/>
      </w:pPr>
      <w:r>
        <w:rPr>
          <w:rFonts w:ascii="Barlow Semi Condensed" w:cs="Barlow Semi Condensed" w:eastAsia="Barlow Semi Condensed" w:hAnsi="Barlow Semi Condensed"/>
          <w:sz w:val="24"/>
          <w:szCs w:val="24"/>
        </w:rPr>
        <w:t xml:space="preserve">quarantasette documenti, </w:t>
      </w:r>
      <w:r>
        <w:rPr>
          <w:rFonts w:ascii="Barlow Semi Condensed" w:cs="Barlow Semi Condensed" w:eastAsia="Barlow Semi Condensed" w:hAnsi="Barlow Semi Condensed"/>
          <w:b/>
          <w:bCs/>
          <w:sz w:val="24"/>
          <w:szCs w:val="24"/>
        </w:rPr>
        <w:t xml:space="preserve">667 riferimenti bibliografici distinti</w:t>
      </w:r>
      <w:r>
        <w:rPr>
          <w:rFonts w:ascii="Barlow Semi Condensed" w:cs="Barlow Semi Condensed" w:eastAsia="Barlow Semi Condensed" w:hAnsi="Barlow Semi Condensed"/>
          <w:sz w:val="24"/>
          <w:szCs w:val="24"/>
        </w:rPr>
        <w:t xml:space="preserve"> per 1.002</w:t>
      </w:r>
    </w:p>
    <w:p>
      <w:pPr>
        <w:spacing w:after="120" w:line="276"/>
        <w:jc w:val="both"/>
      </w:pPr>
      <w:r>
        <w:rPr>
          <w:rFonts w:ascii="Barlow Semi Condensed" w:cs="Barlow Semi Condensed" w:eastAsia="Barlow Semi Condensed" w:hAnsi="Barlow Semi Condensed"/>
          <w:sz w:val="24"/>
          <w:szCs w:val="24"/>
        </w:rPr>
        <w:t xml:space="preserve">citazioni su 344 domini. Il dominio più citato — sessantadue volte — è</w:t>
      </w:r>
    </w:p>
    <w:p>
      <w:pPr>
        <w:spacing w:after="120" w:line="276"/>
        <w:jc w:val="both"/>
      </w:pP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cioè l'archivio da cui il lavoro era partito con</w:t>
      </w:r>
    </w:p>
    <w:p>
      <w:pPr>
        <w:spacing w:after="120" w:line="276"/>
        <w:jc w:val="both"/>
      </w:pPr>
      <w:r>
        <w:rPr>
          <w:rFonts w:ascii="Barlow Semi Condensed" w:cs="Barlow Semi Condensed" w:eastAsia="Barlow Semi Condensed" w:hAnsi="Barlow Semi Condensed"/>
          <w:sz w:val="24"/>
          <w:szCs w:val="24"/>
        </w:rPr>
        <w:t xml:space="preserve">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 Gli errori, che sono la parte da leggere per prima</w:t>
      </w:r>
    </w:p>
    <w:p>
      <w:pPr>
        <w:spacing w:after="120" w:line="276"/>
        <w:jc w:val="both"/>
      </w:pPr>
      <w:r>
        <w:rPr>
          <w:rFonts w:ascii="Barlow Semi Condensed" w:cs="Barlow Semi Condensed" w:eastAsia="Barlow Semi Condensed" w:hAnsi="Barlow Semi Condensed"/>
          <w:sz w:val="24"/>
          <w:szCs w:val="24"/>
        </w:rPr>
        <w:t xml:space="preserve">Un lavoro che dichiara di aver funzionato non è verificabile. Un lavoro che</w:t>
      </w:r>
    </w:p>
    <w:p>
      <w:pPr>
        <w:spacing w:after="120" w:line="276"/>
        <w:jc w:val="both"/>
      </w:pPr>
      <w:r>
        <w:rPr>
          <w:rFonts w:ascii="Barlow Semi Condensed" w:cs="Barlow Semi Condensed" w:eastAsia="Barlow Semi Condensed" w:hAnsi="Barlow Semi Condensed"/>
          <w:sz w:val="24"/>
          <w:szCs w:val="24"/>
        </w:rPr>
        <w:t xml:space="preserve">dichiara dove ha sbagliato lo è. Elenco gli errori trovati e corretti, perché è</w:t>
      </w:r>
    </w:p>
    <w:p>
      <w:pPr>
        <w:spacing w:after="120" w:line="276"/>
        <w:jc w:val="both"/>
      </w:pPr>
      <w:r>
        <w:rPr>
          <w:rFonts w:ascii="Barlow Semi Condensed" w:cs="Barlow Semi Condensed" w:eastAsia="Barlow Semi Condensed" w:hAnsi="Barlow Semi Condensed"/>
          <w:sz w:val="24"/>
          <w:szCs w:val="24"/>
        </w:rPr>
        <w:t xml:space="preserve">la sezione su cui vi chiedo di misurare tutto il resto.</w:t>
      </w:r>
    </w:p>
    <w:p>
      <w:pPr>
        <w:spacing w:after="120" w:line="276"/>
        <w:jc w:val="both"/>
      </w:pPr>
      <w:r>
        <w:rPr>
          <w:rFonts w:ascii="Barlow Semi Condensed" w:cs="Barlow Semi Condensed" w:eastAsia="Barlow Semi Condensed" w:hAnsi="Barlow Semi Condensed"/>
          <w:b/>
          <w:bCs/>
          <w:sz w:val="24"/>
          <w:szCs w:val="24"/>
        </w:rPr>
        <w:t xml:space="preserve">Errori di merito</w:t>
      </w:r>
      <w:r>
        <w:rPr>
          <w:rFonts w:ascii="Barlow Semi Condensed" w:cs="Barlow Semi Condensed" w:eastAsia="Barlow Semi Condensed" w:hAnsi="Barlow Semi Condensed"/>
          <w:sz w:val="24"/>
          <w:szCs w:val="24"/>
        </w:rPr>
        <w:t xml:space="preserve">, cioè sul contenuto, corretti dopo verifica su fonti</w:t>
      </w:r>
    </w:p>
    <w:p>
      <w:pPr>
        <w:spacing w:after="120" w:line="276"/>
        <w:jc w:val="both"/>
      </w:pPr>
      <w:r>
        <w:rPr>
          <w:rFonts w:ascii="Barlow Semi Condensed" w:cs="Barlow Semi Condensed" w:eastAsia="Barlow Semi Condensed" w:hAnsi="Barlow Semi Condensed"/>
          <w:sz w:val="24"/>
          <w:szCs w:val="24"/>
        </w:rPr>
        <w:t xml:space="preserve">esterne: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data dell'anglicizzazione onomastica.</w:t>
      </w:r>
      <w:r>
        <w:rPr>
          <w:rFonts w:ascii="Barlow Semi Condensed" w:cs="Barlow Semi Condensed" w:eastAsia="Barlow Semi Condensed" w:hAnsi="Barlow Semi Condensed"/>
          <w:sz w:val="24"/>
          <w:szCs w:val="24"/>
        </w:rPr>
        <w:t xml:space="preserve"> Il corpus dava per documentata al</w:t>
      </w:r>
    </w:p>
    <w:p>
      <w:pPr>
        <w:spacing w:after="120" w:line="276"/>
        <w:jc w:val="both"/>
      </w:pPr>
      <w:r>
        <w:rPr>
          <w:rFonts w:ascii="Barlow Semi Condensed" w:cs="Barlow Semi Condensed" w:eastAsia="Barlow Semi Condensed" w:hAnsi="Barlow Semi Condensed"/>
          <w:sz w:val="24"/>
          <w:szCs w:val="24"/>
        </w:rPr>
        <w:t xml:space="preserve">  1938 la trasformazione di un nome che il fascicolo d'immigrazione colloca al</w:t>
      </w:r>
    </w:p>
    <w:p>
      <w:pPr>
        <w:spacing w:after="120" w:line="276"/>
        <w:jc w:val="both"/>
      </w:pPr>
      <w:r>
        <w:rPr>
          <w:rFonts w:ascii="Barlow Semi Condensed" w:cs="Barlow Semi Condensed" w:eastAsia="Barlow Semi Condensed" w:hAnsi="Barlow Semi Condensed"/>
          <w:sz w:val="24"/>
          <w:szCs w:val="24"/>
        </w:rPr>
        <w:t xml:space="preserve">  1942-1943. Corretto: </w:t>
      </w:r>
      <w:r>
        <w:rPr>
          <w:rFonts w:ascii="Barlow Semi Condensed" w:cs="Barlow Semi Condensed" w:eastAsia="Barlow Semi Condensed" w:hAnsi="Barlow Semi Condensed"/>
          <w:b/>
          <w:bCs/>
          <w:sz w:val="24"/>
          <w:szCs w:val="24"/>
        </w:rPr>
        <w:t xml:space="preserve">la divergenza si riporta, non si scioglie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Odendaal.</w:t>
      </w:r>
      <w:r>
        <w:rPr>
          <w:rFonts w:ascii="Barlow Semi Condensed" w:cs="Barlow Semi Condensed" w:eastAsia="Barlow Semi Condensed" w:hAnsi="Barlow Semi Condensed"/>
          <w:sz w:val="24"/>
          <w:szCs w:val="24"/>
        </w:rPr>
        <w:t xml:space="preserve"> Un'attribuzione amministrativa era invertita.</w:t>
      </w:r>
    </w:p>
    <w:p>
      <w:pPr>
        <w:spacing w:after="120" w:line="276"/>
        <w:jc w:val="both"/>
      </w:pPr>
      <w:r>
        <w:rPr>
          <w:rFonts w:ascii="Barlow Semi Condensed" w:cs="Barlow Semi Condensed" w:eastAsia="Barlow Semi Condensed" w:hAnsi="Barlow Semi Condensed"/>
          <w:sz w:val="24"/>
          <w:szCs w:val="24"/>
        </w:rPr>
        <w:t xml:space="preserve">  Corretta e registrata.</w:t>
      </w:r>
    </w:p>
    <w:p>
      <w:pPr>
        <w:spacing w:after="120" w:line="276"/>
        <w:jc w:val="both"/>
      </w:pPr>
      <w:r>
        <w:rPr>
          <w:rFonts w:ascii="Barlow Semi Condensed" w:cs="Barlow Semi Condensed" w:eastAsia="Barlow Semi Condensed" w:hAnsi="Barlow Semi Condensed"/>
          <w:b/>
          <w:bCs/>
          <w:sz w:val="24"/>
          <w:szCs w:val="24"/>
        </w:rPr>
        <w:t xml:space="preserve">Difetti di lavorazione</w:t>
      </w:r>
      <w:r>
        <w:rPr>
          <w:rFonts w:ascii="Barlow Semi Condensed" w:cs="Barlow Semi Condensed" w:eastAsia="Barlow Semi Condensed" w:hAnsi="Barlow Semi Condensed"/>
          <w:sz w:val="24"/>
          <w:szCs w:val="24"/>
        </w:rPr>
        <w:t xml:space="preserve">, trovati dal progetto in sé stesso: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Un'intera serie di settanta blocchi risultava scritta </w:t>
      </w:r>
      <w:r>
        <w:rPr>
          <w:rFonts w:ascii="Barlow Semi Condensed" w:cs="Barlow Semi Condensed" w:eastAsia="Barlow Semi Condensed" w:hAnsi="Barlow Semi Condensed"/>
          <w:b/>
          <w:bCs/>
          <w:sz w:val="24"/>
          <w:szCs w:val="24"/>
        </w:rPr>
        <w:t xml:space="preserve">senza diacritici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cioè in italiano approssimato. Riparata con una procedura che garantiva</w:t>
      </w:r>
    </w:p>
    <w:p>
      <w:pPr>
        <w:spacing w:after="120" w:line="276"/>
        <w:jc w:val="both"/>
      </w:pPr>
      <w:r>
        <w:rPr>
          <w:rFonts w:ascii="Barlow Semi Condensed" w:cs="Barlow Semi Condensed" w:eastAsia="Barlow Semi Condensed" w:hAnsi="Barlow Semi Condensed"/>
          <w:sz w:val="24"/>
          <w:szCs w:val="24"/>
        </w:rPr>
        <w:t xml:space="preserve">  meccanicamente di non toccare altro che gli accenti.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frontespizio compariva due volte</w:t>
      </w:r>
      <w:r>
        <w:rPr>
          <w:rFonts w:ascii="Barlow Semi Condensed" w:cs="Barlow Semi Condensed" w:eastAsia="Barlow Semi Condensed" w:hAnsi="Barlow Semi Condensed"/>
          <w:sz w:val="24"/>
          <w:szCs w:val="24"/>
        </w:rPr>
        <w:t xml:space="preserve"> in due opere; l'</w:t>
      </w:r>
      <w:r>
        <w:rPr>
          <w:rFonts w:ascii="Barlow Semi Condensed" w:cs="Barlow Semi Condensed" w:eastAsia="Barlow Semi Condensed" w:hAnsi="Barlow Semi Condensed"/>
          <w:b/>
          <w:bCs/>
          <w:sz w:val="24"/>
          <w:szCs w:val="24"/>
        </w:rPr>
        <w:t xml:space="preserve">Apparato L</w:t>
      </w:r>
      <w:r>
        <w:rPr>
          <w:rFonts w:ascii="Barlow Semi Condensed" w:cs="Barlow Semi Condensed" w:eastAsia="Barlow Semi Condensed" w:hAnsi="Barlow Semi Condensed"/>
          <w:sz w:val="24"/>
          <w:szCs w:val="24"/>
        </w:rPr>
        <w:t xml:space="preserve"> due</w:t>
      </w:r>
    </w:p>
    <w:p>
      <w:pPr>
        <w:spacing w:after="120" w:line="276"/>
        <w:jc w:val="both"/>
      </w:pPr>
      <w:r>
        <w:rPr>
          <w:rFonts w:ascii="Barlow Semi Condensed" w:cs="Barlow Semi Condensed" w:eastAsia="Barlow Semi Condensed" w:hAnsi="Barlow Semi Condensed"/>
          <w:sz w:val="24"/>
          <w:szCs w:val="24"/>
        </w:rPr>
        <w:t xml:space="preserve">  volte in un'altra, e in entrambi i volumi rilegati che lo contengono. Stessa</w:t>
      </w:r>
    </w:p>
    <w:p>
      <w:pPr>
        <w:spacing w:after="120" w:line="276"/>
        <w:jc w:val="both"/>
      </w:pPr>
      <w:r>
        <w:rPr>
          <w:rFonts w:ascii="Barlow Semi Condensed" w:cs="Barlow Semi Condensed" w:eastAsia="Barlow Semi Condensed" w:hAnsi="Barlow Semi Condensed"/>
          <w:sz w:val="24"/>
          <w:szCs w:val="24"/>
        </w:rPr>
        <w:t xml:space="preserve">  causa in punti diversi della catena di composizione.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difetto che sarebbe costato di più: il completamento di una campagna veniva</w:t>
      </w:r>
    </w:p>
    <w:p>
      <w:pPr>
        <w:spacing w:after="120" w:line="276"/>
        <w:jc w:val="both"/>
      </w:pPr>
      <w:r>
        <w:rPr>
          <w:rFonts w:ascii="Barlow Semi Condensed" w:cs="Barlow Semi Condensed" w:eastAsia="Barlow Semi Condensed" w:hAnsi="Barlow Semi Condensed"/>
          <w:sz w:val="24"/>
          <w:szCs w:val="24"/>
        </w:rPr>
        <w:t xml:space="preserve">  misurato contando righe in un registro di lavorazione che un rilancio</w:t>
      </w:r>
    </w:p>
    <w:p>
      <w:pPr>
        <w:spacing w:after="120" w:line="276"/>
        <w:jc w:val="both"/>
      </w:pPr>
      <w:r>
        <w:rPr>
          <w:rFonts w:ascii="Barlow Semi Condensed" w:cs="Barlow Semi Condensed" w:eastAsia="Barlow Semi Condensed" w:hAnsi="Barlow Semi Condensed"/>
          <w:sz w:val="24"/>
          <w:szCs w:val="24"/>
        </w:rPr>
        <w:t xml:space="preserve">  riscrive. Una campagna mostrava tredici righe e dodici serie. L'opera sarebbe</w:t>
      </w:r>
    </w:p>
    <w:p>
      <w:pPr>
        <w:spacing w:after="120" w:line="276"/>
        <w:jc w:val="both"/>
      </w:pPr>
      <w:r>
        <w:rPr>
          <w:rFonts w:ascii="Barlow Semi Condensed" w:cs="Barlow Semi Condensed" w:eastAsia="Barlow Semi Condensed" w:hAnsi="Barlow Semi Condensed"/>
          <w:sz w:val="24"/>
          <w:szCs w:val="24"/>
        </w:rPr>
        <w:t xml:space="preserve">  stata composta </w:t>
      </w:r>
      <w:r>
        <w:rPr>
          <w:rFonts w:ascii="Barlow Semi Condensed" w:cs="Barlow Semi Condensed" w:eastAsia="Barlow Semi Condensed" w:hAnsi="Barlow Semi Condensed"/>
          <w:b/>
          <w:bCs/>
          <w:sz w:val="24"/>
          <w:szCs w:val="24"/>
        </w:rPr>
        <w:t xml:space="preserve">incompleta, dichiarandosi completa</w:t>
      </w:r>
      <w:r>
        <w:rPr>
          <w:rFonts w:ascii="Barlow Semi Condensed" w:cs="Barlow Semi Condensed" w:eastAsia="Barlow Semi Condensed" w:hAnsi="Barlow Semi Condensed"/>
          <w:sz w:val="24"/>
          <w:szCs w:val="24"/>
        </w:rPr>
        <w:t xml:space="preserve">, coi conteggi sbagliati</w:t>
      </w:r>
    </w:p>
    <w:p>
      <w:pPr>
        <w:spacing w:after="120" w:line="276"/>
        <w:jc w:val="both"/>
      </w:pPr>
      <w:r>
        <w:rPr>
          <w:rFonts w:ascii="Barlow Semi Condensed" w:cs="Barlow Semi Condensed" w:eastAsia="Barlow Semi Condensed" w:hAnsi="Barlow Semi Condensed"/>
          <w:sz w:val="24"/>
          <w:szCs w:val="24"/>
        </w:rPr>
        <w:t xml:space="preserve">  in copertina. Trovato per caso, confrontando due misure che dovevano coincidere</w:t>
      </w:r>
    </w:p>
    <w:p>
      <w:pPr>
        <w:spacing w:after="120" w:line="276"/>
        <w:jc w:val="both"/>
      </w:pPr>
      <w:r>
        <w:rPr>
          <w:rFonts w:ascii="Barlow Semi Condensed" w:cs="Barlow Semi Condensed" w:eastAsia="Barlow Semi Condensed" w:hAnsi="Barlow Semi Condensed"/>
          <w:sz w:val="24"/>
          <w:szCs w:val="24"/>
        </w:rPr>
        <w:t xml:space="preserve">  e non coincidevano.</w:t>
      </w:r>
    </w:p>
    <w:p>
      <w:pPr>
        <w:spacing w:after="120" w:line="276"/>
        <w:jc w:val="both"/>
      </w:pPr>
      <w:r>
        <w:rPr>
          <w:rFonts w:ascii="Barlow Semi Condensed" w:cs="Barlow Semi Condensed" w:eastAsia="Barlow Semi Condensed" w:hAnsi="Barlow Semi Condensed"/>
          <w:b/>
          <w:bCs/>
          <w:sz w:val="24"/>
          <w:szCs w:val="24"/>
        </w:rPr>
        <w:t xml:space="preserve">Otto casi in cui il controllo automatico ha sbagliato</w:t>
      </w:r>
      <w:r>
        <w:rPr>
          <w:rFonts w:ascii="Barlow Semi Condensed" w:cs="Barlow Semi Condensed" w:eastAsia="Barlow Semi Condensed" w:hAnsi="Barlow Semi Condensed"/>
          <w:sz w:val="24"/>
          <w:szCs w:val="24"/>
        </w:rPr>
        <w:t xml:space="preserve">, e tutti dello stesso</w:t>
      </w:r>
    </w:p>
    <w:p>
      <w:pPr>
        <w:spacing w:after="120" w:line="276"/>
        <w:jc w:val="both"/>
      </w:pPr>
      <w:r>
        <w:rPr>
          <w:rFonts w:ascii="Barlow Semi Condensed" w:cs="Barlow Semi Condensed" w:eastAsia="Barlow Semi Condensed" w:hAnsi="Barlow Semi Condensed"/>
          <w:sz w:val="24"/>
          <w:szCs w:val="24"/>
        </w:rPr>
        <w:t xml:space="preserve">tipo. Il rilevatore delle fonti vietate segnalava i passaggi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w:t>
      </w:r>
    </w:p>
    <w:p>
      <w:pPr>
        <w:spacing w:after="120" w:line="276"/>
        <w:jc w:val="both"/>
      </w:pPr>
      <w:r>
        <w:rPr>
          <w:rFonts w:ascii="Barlow Semi Condensed" w:cs="Barlow Semi Condensed" w:eastAsia="Barlow Semi Condensed" w:hAnsi="Barlow Semi Condensed"/>
          <w:sz w:val="24"/>
          <w:szCs w:val="24"/>
        </w:rPr>
        <w:t xml:space="preserve">citarle, perché per vietare una formula bisogna scriverla. Il rilevatore delle</w:t>
      </w:r>
    </w:p>
    <w:p>
      <w:pPr>
        <w:spacing w:after="120" w:line="276"/>
        <w:jc w:val="both"/>
      </w:pPr>
      <w:r>
        <w:rPr>
          <w:rFonts w:ascii="Barlow Semi Condensed" w:cs="Barlow Semi Condensed" w:eastAsia="Barlow Semi Condensed" w:hAnsi="Barlow Semi Condensed"/>
          <w:sz w:val="24"/>
          <w:szCs w:val="24"/>
        </w:rPr>
        <w:t xml:space="preserve">attribuzioni penali leggeva «nessuno è colpevole» come un'accusa. Il profilo</w:t>
      </w:r>
    </w:p>
    <w:p>
      <w:pPr>
        <w:spacing w:after="120" w:line="276"/>
        <w:jc w:val="both"/>
      </w:pPr>
      <w:r>
        <w:rPr>
          <w:rFonts w:ascii="Barlow Semi Condensed" w:cs="Barlow Semi Condensed" w:eastAsia="Barlow Semi Condensed" w:hAnsi="Barlow Semi Condensed"/>
          <w:sz w:val="24"/>
          <w:szCs w:val="24"/>
        </w:rPr>
        <w:t xml:space="preserve">delle fonti contava la sigla della CIA dentro le parole «traccia», «denuncia» ed</w:t>
      </w:r>
    </w:p>
    <w:p>
      <w:pPr>
        <w:spacing w:after="120" w:line="276"/>
        <w:jc w:val="both"/>
      </w:pPr>
      <w:r>
        <w:rPr>
          <w:rFonts w:ascii="Barlow Semi Condensed" w:cs="Barlow Semi Condensed" w:eastAsia="Barlow Semi Condensed" w:hAnsi="Barlow Semi Condensed"/>
          <w:sz w:val="24"/>
          <w:szCs w:val="24"/>
        </w:rPr>
        <w:t xml:space="preserve">«efficacia», e quella della NATO dentro «nato a Fürth»: quaranta menzioni</w:t>
      </w:r>
    </w:p>
    <w:p>
      <w:pPr>
        <w:spacing w:after="120" w:line="276"/>
        <w:jc w:val="both"/>
      </w:pPr>
      <w:r>
        <w:rPr>
          <w:rFonts w:ascii="Barlow Semi Condensed" w:cs="Barlow Semi Condensed" w:eastAsia="Barlow Semi Condensed" w:hAnsi="Barlow Semi Condensed"/>
          <w:sz w:val="24"/>
          <w:szCs w:val="24"/>
        </w:rPr>
        <w:t xml:space="preserve">diventavano millecentoventitré, restituendo l'immagine opposta a quella vera.</w:t>
      </w:r>
    </w:p>
    <w:p>
      <w:pPr>
        <w:spacing w:after="120" w:line="276"/>
        <w:jc w:val="both"/>
      </w:pPr>
      <w:r>
        <w:rPr>
          <w:rFonts w:ascii="Barlow Semi Condensed" w:cs="Barlow Semi Condensed" w:eastAsia="Barlow Semi Condensed" w:hAnsi="Barlow Semi Condensed"/>
          <w:b/>
          <w:bCs/>
          <w:sz w:val="24"/>
          <w:szCs w:val="24"/>
        </w:rPr>
        <w:t xml:space="preserve">In tutti e otto i casi il testo era corretto e lo strumento sbagliato.</w:t>
      </w:r>
      <w:r>
        <w:rPr>
          <w:rFonts w:ascii="Barlow Semi Condensed" w:cs="Barlow Semi Condensed" w:eastAsia="Barlow Semi Condensed" w:hAnsi="Barlow Semi Condensed"/>
          <w:sz w:val="24"/>
          <w:szCs w:val="24"/>
        </w:rPr>
        <w:t xml:space="preserve"> Nessuna</w:t>
      </w:r>
    </w:p>
    <w:p>
      <w:pPr>
        <w:spacing w:after="120" w:line="276"/>
        <w:jc w:val="both"/>
      </w:pPr>
      <w:r>
        <w:rPr>
          <w:rFonts w:ascii="Barlow Semi Condensed" w:cs="Barlow Semi Condensed" w:eastAsia="Barlow Semi Condensed" w:hAnsi="Barlow Semi Condensed"/>
          <w:sz w:val="24"/>
          <w:szCs w:val="24"/>
        </w:rPr>
        <w:t xml:space="preserve">correzione al contenuto è mai discesa da un controllo automatico: le due</w:t>
      </w:r>
    </w:p>
    <w:p>
      <w:pPr>
        <w:spacing w:after="120" w:line="276"/>
        <w:jc w:val="both"/>
      </w:pPr>
      <w:r>
        <w:rPr>
          <w:rFonts w:ascii="Barlow Semi Condensed" w:cs="Barlow Semi Condensed" w:eastAsia="Barlow Semi Condensed" w:hAnsi="Barlow Semi Condensed"/>
          <w:sz w:val="24"/>
          <w:szCs w:val="24"/>
        </w:rPr>
        <w:t xml:space="preserve">correzioni di merito sono venute da fonti esterne, e la terza, l'ortografia, da</w:t>
      </w:r>
    </w:p>
    <w:p>
      <w:pPr>
        <w:spacing w:after="120" w:line="276"/>
        <w:jc w:val="both"/>
      </w:pPr>
      <w:r>
        <w:rPr>
          <w:rFonts w:ascii="Barlow Semi Condensed" w:cs="Barlow Semi Condensed" w:eastAsia="Barlow Semi Condensed" w:hAnsi="Barlow Semi Condensed"/>
          <w:sz w:val="24"/>
          <w:szCs w:val="24"/>
        </w:rPr>
        <w:t xml:space="preserve">una lettura. **Ne ricavo la regola che offro a chiunque riprenda questo metodo:</w:t>
      </w:r>
    </w:p>
    <w:p>
      <w:pPr>
        <w:spacing w:after="120" w:line="276"/>
        <w:jc w:val="both"/>
      </w:pPr>
      <w:r>
        <w:rPr>
          <w:rFonts w:ascii="Barlow Semi Condensed" w:cs="Barlow Semi Condensed" w:eastAsia="Barlow Semi Condensed" w:hAnsi="Barlow Semi Condensed"/>
          <w:sz w:val="24"/>
          <w:szCs w:val="24"/>
        </w:rPr>
        <w:t xml:space="preserve">un controllo meccanico non verifica ciò che si voleva verificare, ma ciò che è</w:t>
      </w:r>
    </w:p>
    <w:p>
      <w:pPr>
        <w:spacing w:after="120" w:line="276"/>
        <w:jc w:val="both"/>
      </w:pPr>
      <w:r>
        <w:rPr>
          <w:rFonts w:ascii="Barlow Semi Condensed" w:cs="Barlow Semi Condensed" w:eastAsia="Barlow Semi Condensed" w:hAnsi="Barlow Semi Condensed"/>
          <w:sz w:val="24"/>
          <w:szCs w:val="24"/>
        </w:rPr>
        <w:t xml:space="preserve">stato scritto nel pattern — e ogni segnalazione va letta, mai contata.**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 Che cosa il progetto non è diventato, e non deve diventare</w:t>
      </w:r>
    </w:p>
    <w:p>
      <w:pPr>
        <w:spacing w:after="120" w:line="276"/>
        <w:jc w:val="both"/>
      </w:pPr>
      <w:r>
        <w:rPr>
          <w:rFonts w:ascii="Barlow Semi Condensed" w:cs="Barlow Semi Condensed" w:eastAsia="Barlow Semi Condensed" w:hAnsi="Barlow Semi Condensed"/>
          <w:sz w:val="24"/>
          <w:szCs w:val="24"/>
        </w:rPr>
        <w:t xml:space="preserve">Va detto con la stessa precisione, perché è ciò che tiene in piedi il resto.</w:t>
      </w:r>
    </w:p>
    <w:p>
      <w:pPr>
        <w:spacing w:after="120" w:line="276"/>
        <w:jc w:val="both"/>
      </w:pPr>
      <w:r>
        <w:rPr>
          <w:rFonts w:ascii="Barlow Semi Condensed" w:cs="Barlow Semi Condensed" w:eastAsia="Barlow Semi Condensed" w:hAnsi="Barlow Semi Condensed"/>
          <w:sz w:val="24"/>
          <w:szCs w:val="24"/>
        </w:rPr>
        <w:t xml:space="preserve">Il corpus, </w:t>
      </w:r>
      <w:r>
        <w:rPr>
          <w:rFonts w:ascii="Barlow Semi Condensed" w:cs="Barlow Semi Condensed" w:eastAsia="Barlow Semi Condensed" w:hAnsi="Barlow Semi Condensed"/>
          <w:b/>
          <w:bCs/>
          <w:sz w:val="24"/>
          <w:szCs w:val="24"/>
        </w:rPr>
        <w:t xml:space="preserve">per tredici dei suoi quattordici Libri</w:t>
      </w:r>
      <w:r>
        <w:rPr>
          <w:rFonts w:ascii="Barlow Semi Condensed" w:cs="Barlow Semi Condensed" w:eastAsia="Barlow Semi Condensed" w:hAnsi="Barlow Semi Condensed"/>
          <w:sz w:val="24"/>
          <w:szCs w:val="24"/>
        </w:rPr>
        <w:t xml:space="preserve">, non propone una tesi sul</w:t>
      </w:r>
    </w:p>
    <w:p>
      <w:pPr>
        <w:spacing w:after="40"/>
        <w:ind w:left="360"/>
        <w:jc w:val="both"/>
      </w:pPr>
      <w:r>
        <w:rPr>
          <w:rFonts w:ascii="Barlow Semi Condensed" w:cs="Barlow Semi Condensed" w:eastAsia="Barlow Semi Condensed" w:hAnsi="Barlow Semi Condensed"/>
          <w:sz w:val="24"/>
          <w:szCs w:val="24"/>
        </w:rPr>
        <w:t xml:space="preserve">1978. Non indica alcuna persona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definitivo. Non compila graduatorie di colpa per persone. Non promuove mai la</w:t>
      </w:r>
    </w:p>
    <w:p>
      <w:pPr>
        <w:spacing w:after="120" w:line="276"/>
        <w:jc w:val="both"/>
      </w:pPr>
      <w:r>
        <w:rPr>
          <w:rFonts w:ascii="Barlow Semi Condensed" w:cs="Barlow Semi Condensed" w:eastAsia="Barlow Semi Condensed" w:hAnsi="Barlow Semi Condensed"/>
          <w:sz w:val="24"/>
          <w:szCs w:val="24"/>
        </w:rPr>
        <w:t xml:space="preserve">contemporaneità a nesso, né l'appartenenza a un'organizzazione a prova di</w:t>
      </w:r>
    </w:p>
    <w:p>
      <w:pPr>
        <w:spacing w:after="120" w:line="276"/>
        <w:jc w:val="both"/>
      </w:pPr>
      <w:r>
        <w:rPr>
          <w:rFonts w:ascii="Barlow Semi Condensed" w:cs="Barlow Semi Condensed" w:eastAsia="Barlow Semi Condensed" w:hAnsi="Barlow Semi Condensed"/>
          <w:sz w:val="24"/>
          <w:szCs w:val="24"/>
        </w:rPr>
        <w:t xml:space="preserve">condotta.</w:t>
      </w:r>
    </w:p>
    <w:p>
      <w:pPr>
        <w:spacing w:after="120" w:line="276"/>
        <w:jc w:val="both"/>
      </w:pPr>
      <w:r>
        <w:rPr>
          <w:rFonts w:ascii="Barlow Semi Condensed" w:cs="Barlow Semi Condensed" w:eastAsia="Barlow Semi Condensed" w:hAnsi="Barlow Semi Condensed"/>
          <w:sz w:val="24"/>
          <w:szCs w:val="24"/>
        </w:rPr>
        <w:t xml:space="preserve">**Il Libro quarto fa eccezione, e la dichiaro qui perché è il punto su cui vi</w:t>
      </w:r>
    </w:p>
    <w:p>
      <w:pPr>
        <w:spacing w:after="120" w:line="276"/>
        <w:jc w:val="both"/>
      </w:pPr>
      <w:r>
        <w:rPr>
          <w:rFonts w:ascii="Barlow Semi Condensed" w:cs="Barlow Semi Condensed" w:eastAsia="Barlow Semi Condensed" w:hAnsi="Barlow Semi Condensed"/>
          <w:sz w:val="24"/>
          <w:szCs w:val="24"/>
        </w:rPr>
        <w:t xml:space="preserve">chiedo di misurare la mia buona fede.** È il Dossier maggiore dell'autore, opera</w:t>
      </w:r>
    </w:p>
    <w:p>
      <w:pPr>
        <w:spacing w:after="120" w:line="276"/>
        <w:jc w:val="both"/>
      </w:pPr>
      <w:r>
        <w:rPr>
          <w:rFonts w:ascii="Barlow Semi Condensed" w:cs="Barlow Semi Condensed" w:eastAsia="Barlow Semi Condensed" w:hAnsi="Barlow Semi Condensed"/>
          <w:sz w:val="24"/>
          <w:szCs w:val="24"/>
        </w:rPr>
        <w:t xml:space="preserve">anteriore al corpus e conservata per intero anziché riscritta: nella seconda</w:t>
      </w:r>
    </w:p>
    <w:p>
      <w:pPr>
        <w:spacing w:after="120" w:line="276"/>
        <w:jc w:val="both"/>
      </w:pPr>
      <w:r>
        <w:rPr>
          <w:rFonts w:ascii="Barlow Semi Condensed" w:cs="Barlow Semi Condensed" w:eastAsia="Barlow Semi Condensed" w:hAnsi="Barlow Semi Condensed"/>
          <w:sz w:val="24"/>
          <w:szCs w:val="24"/>
        </w:rPr>
        <w:t xml:space="preserve">metà congeda la disciplina falsificazionista, adotta una bilancia probabilistica</w:t>
      </w:r>
    </w:p>
    <w:p>
      <w:pPr>
        <w:spacing w:after="120" w:line="276"/>
        <w:jc w:val="both"/>
      </w:pPr>
      <w:r>
        <w:rPr>
          <w:rFonts w:ascii="Barlow Semi Condensed" w:cs="Barlow Semi Condensed" w:eastAsia="Barlow Semi Condensed" w:hAnsi="Barlow Semi Condensed"/>
          <w:sz w:val="24"/>
          <w:szCs w:val="24"/>
        </w:rPr>
        <w:t xml:space="preserve">a dieci metodi e ordina secondo il grado di plausibilità del coinvolgimento —</w:t>
      </w:r>
    </w:p>
    <w:p>
      <w:pPr>
        <w:spacing w:after="120" w:line="276"/>
        <w:jc w:val="both"/>
      </w:pPr>
      <w:r>
        <w:rPr>
          <w:rFonts w:ascii="Barlow Semi Condensed" w:cs="Barlow Semi Condensed" w:eastAsia="Barlow Semi Condensed" w:hAnsi="Barlow Semi Condensed"/>
          <w:b/>
          <w:bCs/>
          <w:sz w:val="24"/>
          <w:szCs w:val="24"/>
        </w:rPr>
        <w:t xml:space="preserve">per categorie di soggetti, non per nomi individuali</w:t>
      </w:r>
      <w:r>
        <w:rPr>
          <w:rFonts w:ascii="Barlow Semi Condensed" w:cs="Barlow Semi Condensed" w:eastAsia="Barlow Semi Condensed" w:hAnsi="Barlow Semi Condensed"/>
          <w:sz w:val="24"/>
          <w:szCs w:val="24"/>
        </w:rPr>
        <w:t xml:space="preserve">: i condannati in via</w:t>
      </w:r>
    </w:p>
    <w:p>
      <w:pPr>
        <w:spacing w:after="120" w:line="276"/>
        <w:jc w:val="both"/>
      </w:pPr>
      <w:r>
        <w:rPr>
          <w:rFonts w:ascii="Barlow Semi Condensed" w:cs="Barlow Semi Condensed" w:eastAsia="Barlow Semi Condensed" w:hAnsi="Barlow Semi Condensed"/>
          <w:sz w:val="24"/>
          <w:szCs w:val="24"/>
        </w:rPr>
        <w:t xml:space="preserve">definitiva, gli apparati dei depistaggi, i portatori d'interesse esterno. La</w:t>
      </w:r>
    </w:p>
    <w:p>
      <w:pPr>
        <w:spacing w:after="120" w:line="276"/>
        <w:jc w:val="both"/>
      </w:pPr>
      <w:r>
        <w:rPr>
          <w:rFonts w:ascii="Barlow Semi Condensed" w:cs="Barlow Semi Condensed" w:eastAsia="Barlow Semi Condensed" w:hAnsi="Barlow Semi Condensed"/>
          <w:sz w:val="24"/>
          <w:szCs w:val="24"/>
        </w:rPr>
        <w:t xml:space="preserve">premessa che apre quelle pagine distingue la plausibilità dalla colpevolezza,</w:t>
      </w:r>
    </w:p>
    <w:p>
      <w:pPr>
        <w:spacing w:after="120" w:line="276"/>
        <w:jc w:val="both"/>
      </w:pPr>
      <w:r>
        <w:rPr>
          <w:rFonts w:ascii="Barlow Semi Condensed" w:cs="Barlow Semi Condensed" w:eastAsia="Barlow Semi Condensed" w:hAnsi="Barlow Semi Condensed"/>
          <w:sz w:val="24"/>
          <w:szCs w:val="24"/>
        </w:rPr>
        <w:t xml:space="preserve">ribadisce la presunzione d'innocenza e si vieta di indicare un mandante esterno</w:t>
      </w:r>
    </w:p>
    <w:p>
      <w:pPr>
        <w:spacing w:after="120" w:line="276"/>
        <w:jc w:val="both"/>
      </w:pPr>
      <w:r>
        <w:rPr>
          <w:rFonts w:ascii="Barlow Semi Condensed" w:cs="Barlow Semi Condensed" w:eastAsia="Barlow Semi Condensed" w:hAnsi="Barlow Semi Condensed"/>
          <w:sz w:val="24"/>
          <w:szCs w:val="24"/>
        </w:rPr>
        <w:t xml:space="preserve">determinato; la disciplina in copertina registra l'eccezione e la limita a quel</w:t>
      </w:r>
    </w:p>
    <w:p>
      <w:pPr>
        <w:spacing w:after="120" w:line="276"/>
        <w:jc w:val="both"/>
      </w:pPr>
      <w:r>
        <w:rPr>
          <w:rFonts w:ascii="Barlow Semi Condensed" w:cs="Barlow Semi Condensed" w:eastAsia="Barlow Semi Condensed" w:hAnsi="Barlow Semi Condensed"/>
          <w:sz w:val="24"/>
          <w:szCs w:val="24"/>
        </w:rPr>
        <w:t xml:space="preserve">solo Libro; il Libro si apre con una nota di raccordo che avverte del cambio di</w:t>
      </w:r>
    </w:p>
    <w:p>
      <w:pPr>
        <w:spacing w:after="120" w:line="276"/>
        <w:jc w:val="both"/>
      </w:pPr>
      <w:r>
        <w:rPr>
          <w:rFonts w:ascii="Barlow Semi Condensed" w:cs="Barlow Semi Condensed" w:eastAsia="Barlow Semi Condensed" w:hAnsi="Barlow Semi Condensed"/>
          <w:sz w:val="24"/>
          <w:szCs w:val="24"/>
        </w:rPr>
        <w:t xml:space="preserve">regime.</w:t>
      </w:r>
    </w:p>
    <w:p>
      <w:pPr>
        <w:spacing w:after="120" w:line="276"/>
        <w:jc w:val="both"/>
      </w:pPr>
      <w:r>
        <w:rPr>
          <w:rFonts w:ascii="Barlow Semi Condensed" w:cs="Barlow Semi Condensed" w:eastAsia="Barlow Semi Condensed" w:hAnsi="Barlow Semi Condensed"/>
          <w:sz w:val="24"/>
          <w:szCs w:val="24"/>
        </w:rPr>
        <w:t xml:space="preserve">Ho scelto di **conservare quel testo com'era, e non di piegarlo alla disciplina</w:t>
      </w:r>
    </w:p>
    <w:p>
      <w:pPr>
        <w:spacing w:after="120" w:line="276"/>
        <w:jc w:val="both"/>
      </w:pPr>
      <w:r>
        <w:rPr>
          <w:rFonts w:ascii="Barlow Semi Condensed" w:cs="Barlow Semi Condensed" w:eastAsia="Barlow Semi Condensed" w:hAnsi="Barlow Semi Condensed"/>
          <w:sz w:val="24"/>
          <w:szCs w:val="24"/>
        </w:rPr>
        <w:t xml:space="preserve">degli altri tredici**: la ragione è la stessa per cui non riscrivo in silenzio</w:t>
      </w:r>
    </w:p>
    <w:p>
      <w:pPr>
        <w:spacing w:after="120" w:line="276"/>
        <w:jc w:val="both"/>
      </w:pPr>
      <w:r>
        <w:rPr>
          <w:rFonts w:ascii="Barlow Semi Condensed" w:cs="Barlow Semi Condensed" w:eastAsia="Barlow Semi Condensed" w:hAnsi="Barlow Semi Condensed"/>
          <w:sz w:val="24"/>
          <w:szCs w:val="24"/>
        </w:rPr>
        <w:t xml:space="preserve">gli errori che trovo. Resta una scelta discutibile, e la sottopongo per prima al</w:t>
      </w:r>
    </w:p>
    <w:p>
      <w:pPr>
        <w:spacing w:after="120" w:line="276"/>
        <w:jc w:val="both"/>
      </w:pPr>
      <w:r>
        <w:rPr>
          <w:rFonts w:ascii="Barlow Semi Condensed" w:cs="Barlow Semi Condensed" w:eastAsia="Barlow Semi Condensed" w:hAnsi="Barlow Semi Condensed"/>
          <w:sz w:val="24"/>
          <w:szCs w:val="24"/>
        </w:rPr>
        <w:t xml:space="preserve">vostro giudizio.</w:t>
      </w:r>
    </w:p>
    <w:p>
      <w:pPr>
        <w:spacing w:after="120" w:line="276"/>
        <w:jc w:val="both"/>
      </w:pPr>
      <w:r>
        <w:rPr>
          <w:rFonts w:ascii="Barlow Semi Condensed" w:cs="Barlow Semi Condensed" w:eastAsia="Barlow Semi Condensed" w:hAnsi="Barlow Semi Condensed"/>
          <w:sz w:val="24"/>
          <w:szCs w:val="24"/>
        </w:rPr>
        <w:t xml:space="preserve">Il materiale che nomina persone viventi con attribuzioni non verificate **non è</w:t>
      </w:r>
    </w:p>
    <w:p>
      <w:pPr>
        <w:spacing w:after="120" w:line="276"/>
        <w:jc w:val="both"/>
      </w:pPr>
      <w:r>
        <w:rPr>
          <w:rFonts w:ascii="Barlow Semi Condensed" w:cs="Barlow Semi Condensed" w:eastAsia="Barlow Semi Condensed" w:hAnsi="Barlow Semi Condensed"/>
          <w:sz w:val="24"/>
          <w:szCs w:val="24"/>
        </w:rPr>
        <w:t xml:space="preserve">sul ramo pubblico**: resta in un deposito separato, non divulgabile, e non è</w:t>
      </w:r>
    </w:p>
    <w:p>
      <w:pPr>
        <w:spacing w:after="120" w:line="276"/>
        <w:jc w:val="both"/>
      </w:pPr>
      <w:r>
        <w:rPr>
          <w:rFonts w:ascii="Barlow Semi Condensed" w:cs="Barlow Semi Condensed" w:eastAsia="Barlow Semi Condensed" w:hAnsi="Barlow Semi Condensed"/>
          <w:sz w:val="24"/>
          <w:szCs w:val="24"/>
        </w:rPr>
        <w:t xml:space="preserve">compreso in nulla di ciò che vi propongo.</w:t>
      </w:r>
    </w:p>
    <w:p>
      <w:pPr>
        <w:spacing w:after="120" w:line="276"/>
        <w:jc w:val="both"/>
      </w:pPr>
      <w:r>
        <w:rPr>
          <w:rFonts w:ascii="Barlow Semi Condensed" w:cs="Barlow Semi Condensed" w:eastAsia="Barlow Semi Condensed" w:hAnsi="Barlow Semi Condensed"/>
          <w:sz w:val="24"/>
          <w:szCs w:val="24"/>
        </w:rPr>
        <w:t xml:space="preserve">E il progetto </w:t>
      </w:r>
      <w:r>
        <w:rPr>
          <w:rFonts w:ascii="Barlow Semi Condensed" w:cs="Barlow Semi Condensed" w:eastAsia="Barlow Semi Condensed" w:hAnsi="Barlow Semi Condensed"/>
          <w:b/>
          <w:bCs/>
          <w:sz w:val="24"/>
          <w:szCs w:val="24"/>
        </w:rPr>
        <w:t xml:space="preserve">non ha letto i documenti primari</w:t>
      </w:r>
      <w:r>
        <w:rPr>
          <w:rFonts w:ascii="Barlow Semi Condensed" w:cs="Barlow Semi Condensed" w:eastAsia="Barlow Semi Condensed" w:hAnsi="Barlow Semi Condensed"/>
          <w:sz w:val="24"/>
          <w:szCs w:val="24"/>
        </w:rPr>
        <w:t xml:space="preserve">. L'accesso diretto è risultato</w:t>
      </w:r>
    </w:p>
    <w:p>
      <w:pPr>
        <w:spacing w:after="120" w:line="276"/>
        <w:jc w:val="both"/>
      </w:pPr>
      <w:r>
        <w:rPr>
          <w:rFonts w:ascii="Barlow Semi Condensed" w:cs="Barlow Semi Condensed" w:eastAsia="Barlow Semi Condensed" w:hAnsi="Barlow Semi Condensed"/>
          <w:sz w:val="24"/>
          <w:szCs w:val="24"/>
        </w:rPr>
        <w:t xml:space="preserve">filtrato, e la verifica poggia su sintesi e fonti secondarie: **non sui resoconti</w:t>
      </w:r>
    </w:p>
    <w:p>
      <w:pPr>
        <w:spacing w:after="120" w:line="276"/>
        <w:jc w:val="both"/>
      </w:pPr>
      <w:r>
        <w:rPr>
          <w:rFonts w:ascii="Barlow Semi Condensed" w:cs="Barlow Semi Condensed" w:eastAsia="Barlow Semi Condensed" w:hAnsi="Barlow Semi Condensed"/>
          <w:sz w:val="24"/>
          <w:szCs w:val="24"/>
        </w:rPr>
        <w:t xml:space="preserve">stenografici</w:t>
      </w:r>
      <w:r>
        <w:rPr>
          <w:rFonts w:ascii="Barlow Semi Condensed" w:cs="Barlow Semi Condensed" w:eastAsia="Barlow Semi Condensed" w:hAnsi="Barlow Semi Condensed"/>
          <w:b/>
          <w:bCs/>
          <w:sz w:val="24"/>
          <w:szCs w:val="24"/>
        </w:rPr>
        <w:t xml:space="preserve"> della Commissione parlamentare d'inchiesta, </w:t>
      </w:r>
      <w:r>
        <w:rPr>
          <w:rFonts w:ascii="Barlow Semi Condensed" w:cs="Barlow Semi Condensed" w:eastAsia="Barlow Semi Condensed" w:hAnsi="Barlow Semi Condensed"/>
          <w:sz w:val="24"/>
          <w:szCs w:val="24"/>
        </w:rPr>
        <w:t xml:space="preserve">non sui verbali</w:t>
      </w:r>
    </w:p>
    <w:p>
      <w:pPr>
        <w:spacing w:after="120" w:line="276"/>
        <w:jc w:val="both"/>
      </w:pPr>
      <w:r>
        <w:rPr>
          <w:rFonts w:ascii="Barlow Semi Condensed" w:cs="Barlow Semi Condensed" w:eastAsia="Barlow Semi Condensed" w:hAnsi="Barlow Semi Condensed"/>
          <w:sz w:val="24"/>
          <w:szCs w:val="24"/>
        </w:rPr>
        <w:t xml:space="preserve">d'udienza** del processo. È il limite più pesante di tutti, ed è scritto in coda</w:t>
      </w:r>
    </w:p>
    <w:p>
      <w:pPr>
        <w:spacing w:after="120" w:line="276"/>
        <w:jc w:val="both"/>
      </w:pPr>
      <w:r>
        <w:rPr>
          <w:rFonts w:ascii="Barlow Semi Condensed" w:cs="Barlow Semi Condensed" w:eastAsia="Barlow Semi Condensed" w:hAnsi="Barlow Semi Condensed"/>
          <w:sz w:val="24"/>
          <w:szCs w:val="24"/>
        </w:rPr>
        <w:t xml:space="preserve">a ogni volume.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 Come potrebbe evolvere</w:t>
      </w:r>
    </w:p>
    <w:p>
      <w:pPr>
        <w:spacing w:after="120" w:line="276"/>
        <w:jc w:val="both"/>
      </w:pPr>
      <w:r>
        <w:rPr>
          <w:rFonts w:ascii="Barlow Semi Condensed" w:cs="Barlow Semi Condensed" w:eastAsia="Barlow Semi Condensed" w:hAnsi="Barlow Semi Condensed"/>
          <w:sz w:val="24"/>
          <w:szCs w:val="24"/>
        </w:rPr>
        <w:t xml:space="preserve">Quattro direzioni, in ordine di utilità decrescente. Nessuna di esse è</w:t>
      </w:r>
    </w:p>
    <w:p>
      <w:pPr>
        <w:spacing w:after="120" w:line="276"/>
        <w:jc w:val="both"/>
      </w:pPr>
      <w:r>
        <w:rPr>
          <w:rFonts w:ascii="Barlow Semi Condensed" w:cs="Barlow Semi Condensed" w:eastAsia="Barlow Semi Condensed" w:hAnsi="Barlow Semi Condensed"/>
          <w:sz w:val="24"/>
          <w:szCs w:val="24"/>
        </w:rPr>
        <w:t xml:space="preserve">«aggiungere altri blocchi»: il corpus ha raggiunto il punto in cui altre domande</w:t>
      </w:r>
    </w:p>
    <w:p>
      <w:pPr>
        <w:spacing w:after="120" w:line="276"/>
        <w:jc w:val="both"/>
      </w:pPr>
      <w:r>
        <w:rPr>
          <w:rFonts w:ascii="Barlow Semi Condensed" w:cs="Barlow Semi Condensed" w:eastAsia="Barlow Semi Condensed" w:hAnsi="Barlow Semi Condensed"/>
          <w:sz w:val="24"/>
          <w:szCs w:val="24"/>
        </w:rPr>
        <w:t xml:space="preserve">non aumentano il sapere, e dirlo fa parte del lavoro.</w:t>
      </w:r>
    </w:p>
    <w:p>
      <w:pPr>
        <w:pStyle w:val="Heading3"/>
        <w:spacing w:after="80" w:before="160"/>
      </w:pPr>
      <w:r>
        <w:rPr>
          <w:rFonts w:ascii="Barlow Semi Condensed" w:cs="Barlow Semi Condensed" w:eastAsia="Barlow Semi Condensed" w:hAnsi="Barlow Semi Condensed"/>
          <w:sz w:val="24"/>
          <w:szCs w:val="24"/>
        </w:rPr>
        <w:t xml:space="preserve">a. Esecuzione — e qui il Centro conta più di chiunque</w:t>
      </w:r>
    </w:p>
    <w:p>
      <w:pPr>
        <w:spacing w:after="120" w:line="276"/>
        <w:jc w:val="both"/>
      </w:pPr>
      <w:r>
        <w:rPr>
          <w:rFonts w:ascii="Barlow Semi Condensed" w:cs="Barlow Semi Condensed" w:eastAsia="Barlow Semi Condensed" w:hAnsi="Barlow Semi Condensed"/>
          <w:sz w:val="24"/>
          <w:szCs w:val="24"/>
        </w:rPr>
        <w:t xml:space="preserve">Il prodotto vero del progetto è un elenco di </w:t>
      </w:r>
      <w:r>
        <w:rPr>
          <w:rFonts w:ascii="Barlow Semi Condensed" w:cs="Barlow Semi Condensed" w:eastAsia="Barlow Semi Condensed" w:hAnsi="Barlow Semi Condensed"/>
          <w:b/>
          <w:bCs/>
          <w:sz w:val="24"/>
          <w:szCs w:val="24"/>
        </w:rPr>
        <w:t xml:space="preserve">atti d'archivio eseguibili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Ciascuno è formulato in una riga, ha una sede, e ha un esito che conta anche se</w:t>
      </w:r>
    </w:p>
    <w:p>
      <w:pPr>
        <w:spacing w:after="120" w:line="276"/>
        <w:jc w:val="both"/>
      </w:pPr>
      <w:r>
        <w:rPr>
          <w:rFonts w:ascii="Barlow Semi Condensed" w:cs="Barlow Semi Condensed" w:eastAsia="Barlow Semi Condensed" w:hAnsi="Barlow Semi Condensed"/>
          <w:sz w:val="24"/>
          <w:szCs w:val="24"/>
        </w:rPr>
        <w:t xml:space="preserve">negativo. Il primo, che vi sottopongo nella proposta, è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Di quel colloquio esiste un solo versante, quello redatto dallo staff americano.</w:t>
      </w:r>
    </w:p>
    <w:p>
      <w:pPr>
        <w:spacing w:after="120" w:line="276"/>
        <w:jc w:val="both"/>
      </w:pPr>
      <w:r>
        <w:rPr>
          <w:rFonts w:ascii="Barlow Semi Condensed" w:cs="Barlow Semi Condensed" w:eastAsia="Barlow Semi Condensed" w:hAnsi="Barlow Semi Condensed"/>
          <w:sz w:val="24"/>
          <w:szCs w:val="24"/>
        </w:rPr>
        <w:t xml:space="preserve">Un ministro degli Esteri che esce da un bilaterale col Presidente degli Stati</w:t>
      </w:r>
    </w:p>
    <w:p>
      <w:pPr>
        <w:spacing w:after="120" w:line="276"/>
        <w:jc w:val="both"/>
      </w:pPr>
      <w:r>
        <w:rPr>
          <w:rFonts w:ascii="Barlow Semi Condensed" w:cs="Barlow Semi Condensed" w:eastAsia="Barlow Semi Condensed" w:hAnsi="Barlow Semi Condensed"/>
          <w:sz w:val="24"/>
          <w:szCs w:val="24"/>
        </w:rPr>
        <w:t xml:space="preserve">Uniti fa stendere un appunto: è prassi ordinaria. Di quell'appunto, per quella</w:t>
      </w:r>
    </w:p>
    <w:p>
      <w:pPr>
        <w:spacing w:after="120" w:line="276"/>
        <w:jc w:val="both"/>
      </w:pPr>
      <w:r>
        <w:rPr>
          <w:rFonts w:ascii="Barlow Semi Condensed" w:cs="Barlow Semi Condensed" w:eastAsia="Barlow Semi Condensed" w:hAnsi="Barlow Semi Condensed"/>
          <w:sz w:val="24"/>
          <w:szCs w:val="24"/>
        </w:rPr>
        <w:t xml:space="preserve">data, </w:t>
      </w:r>
      <w:r>
        <w:rPr>
          <w:rFonts w:ascii="Barlow Semi Condensed" w:cs="Barlow Semi Condensed" w:eastAsia="Barlow Semi Condensed" w:hAnsi="Barlow Semi Condensed"/>
          <w:b/>
          <w:bCs/>
          <w:sz w:val="24"/>
          <w:szCs w:val="24"/>
        </w:rPr>
        <w:t xml:space="preserve">non risulta né un ritrovamento né una ricerca</w:t>
      </w:r>
      <w:r>
        <w:rPr>
          <w:rFonts w:ascii="Barlow Semi Condensed" w:cs="Barlow Semi Condensed" w:eastAsia="Barlow Semi Condensed" w:hAnsi="Barlow Semi Condensed"/>
          <w:sz w:val="24"/>
          <w:szCs w:val="24"/>
        </w:rPr>
        <w:t xml:space="preserve">. Sedi: Archivio storico</w:t>
      </w:r>
    </w:p>
    <w:p>
      <w:pPr>
        <w:spacing w:after="120" w:line="276"/>
        <w:jc w:val="both"/>
      </w:pPr>
      <w:r>
        <w:rPr>
          <w:rFonts w:ascii="Barlow Semi Condensed" w:cs="Barlow Semi Condensed" w:eastAsia="Barlow Semi Condensed" w:hAnsi="Barlow Semi Condensed"/>
          <w:sz w:val="24"/>
          <w:szCs w:val="24"/>
        </w:rPr>
        <w:t xml:space="preserve">diplomatico della Farnesina, gabinetto del ministro, annata 1974; in subordine</w:t>
      </w:r>
    </w:p>
    <w:p>
      <w:pPr>
        <w:spacing w:after="120" w:line="276"/>
        <w:jc w:val="both"/>
      </w:pPr>
      <w:r>
        <w:rPr>
          <w:rFonts w:ascii="Barlow Semi Condensed" w:cs="Barlow Semi Condensed" w:eastAsia="Barlow Semi Condensed" w:hAnsi="Barlow Semi Condensed"/>
          <w:sz w:val="24"/>
          <w:szCs w:val="24"/>
        </w:rPr>
        <w:t xml:space="preserve">l'Archivio centrale dello Stato e il Fondo Moro del Senato; e, se le carte</w:t>
      </w:r>
    </w:p>
    <w:p>
      <w:pPr>
        <w:spacing w:after="120" w:line="276"/>
        <w:jc w:val="both"/>
      </w:pPr>
      <w:r>
        <w:rPr>
          <w:rFonts w:ascii="Barlow Semi Condensed" w:cs="Barlow Semi Condensed" w:eastAsia="Barlow Semi Condensed" w:hAnsi="Barlow Semi Condensed"/>
          <w:sz w:val="24"/>
          <w:szCs w:val="24"/>
        </w:rPr>
        <w:t xml:space="preserve">d'ufficio tacciono, la memorialistica politica datata.</w:t>
      </w:r>
    </w:p>
    <w:p>
      <w:pPr>
        <w:spacing w:after="120" w:line="276"/>
        <w:jc w:val="both"/>
      </w:pPr>
      <w:r>
        <w:rPr>
          <w:rFonts w:ascii="Barlow Semi Condensed" w:cs="Barlow Semi Condensed" w:eastAsia="Barlow Semi Condensed" w:hAnsi="Barlow Semi Condensed"/>
          <w:sz w:val="24"/>
          <w:szCs w:val="24"/>
        </w:rPr>
        <w:t xml:space="preserve">Gli altri quattro riguardano la collazione delle due copie note del verbale</w:t>
      </w:r>
    </w:p>
    <w:p>
      <w:pPr>
        <w:spacing w:after="120" w:line="276"/>
        <w:jc w:val="both"/>
      </w:pPr>
      <w:r>
        <w:rPr>
          <w:rFonts w:ascii="Barlow Semi Condensed" w:cs="Barlow Semi Condensed" w:eastAsia="Barlow Semi Condensed" w:hAnsi="Barlow Semi Condensed"/>
          <w:sz w:val="24"/>
          <w:szCs w:val="24"/>
        </w:rPr>
        <w:t xml:space="preserve">americano, l'accertamento della sua riga di firma, lo spoglio della serie NATO</w:t>
      </w:r>
    </w:p>
    <w:p>
      <w:pPr>
        <w:spacing w:after="120" w:line="276"/>
        <w:jc w:val="both"/>
      </w:pPr>
      <w:r>
        <w:rPr>
          <w:rFonts w:ascii="Barlow Semi Condensed" w:cs="Barlow Semi Condensed" w:eastAsia="Barlow Semi Condensed" w:hAnsi="Barlow Semi Condensed"/>
          <w:sz w:val="24"/>
          <w:szCs w:val="24"/>
        </w:rPr>
        <w:t xml:space="preserve">dell'Archivio storico diplomatico, e la costruzione di un cantiere di ricerca sul</w:t>
      </w:r>
    </w:p>
    <w:p>
      <w:pPr>
        <w:spacing w:after="120" w:line="276"/>
        <w:jc w:val="both"/>
      </w:pPr>
      <w:r>
        <w:rPr>
          <w:rFonts w:ascii="Barlow Semi Condensed" w:cs="Barlow Semi Condensed" w:eastAsia="Barlow Semi Condensed" w:hAnsi="Barlow Semi Condensed"/>
          <w:sz w:val="24"/>
          <w:szCs w:val="24"/>
        </w:rPr>
        <w:t xml:space="preserve">versante statunitense.</w:t>
      </w:r>
    </w:p>
    <w:p>
      <w:pPr>
        <w:spacing w:after="120" w:line="276"/>
        <w:jc w:val="both"/>
      </w:pPr>
      <w:r>
        <w:rPr>
          <w:rFonts w:ascii="Barlow Semi Condensed" w:cs="Barlow Semi Condensed" w:eastAsia="Barlow Semi Condensed" w:hAnsi="Barlow Semi Condensed"/>
          <w:b/>
          <w:bCs/>
          <w:sz w:val="24"/>
          <w:szCs w:val="24"/>
        </w:rPr>
        <w:t xml:space="preserve">Non chiedo che sia il Centro a eseguirli.</w:t>
      </w:r>
      <w:r>
        <w:rPr>
          <w:rFonts w:ascii="Barlow Semi Condensed" w:cs="Barlow Semi Condensed" w:eastAsia="Barlow Semi Condensed" w:hAnsi="Barlow Semi Condensed"/>
          <w:sz w:val="24"/>
          <w:szCs w:val="24"/>
        </w:rPr>
        <w:t xml:space="preserve"> Chiedo che siano messi davanti a</w:t>
      </w:r>
    </w:p>
    <w:p>
      <w:pPr>
        <w:spacing w:after="120" w:line="276"/>
        <w:jc w:val="both"/>
      </w:pPr>
      <w:r>
        <w:rPr>
          <w:rFonts w:ascii="Barlow Semi Condensed" w:cs="Barlow Semi Condensed" w:eastAsia="Barlow Semi Condensed" w:hAnsi="Barlow Semi Condensed"/>
          <w:sz w:val="24"/>
          <w:szCs w:val="24"/>
        </w:rPr>
        <w:t xml:space="preserve">chi ha la competenza per farlo. Un atto d'archivio eseguito da altri, che</w:t>
      </w:r>
    </w:p>
    <w:p>
      <w:pPr>
        <w:spacing w:after="120" w:line="276"/>
        <w:jc w:val="both"/>
      </w:pPr>
      <w:r>
        <w:rPr>
          <w:rFonts w:ascii="Barlow Semi Condensed" w:cs="Barlow Semi Condensed" w:eastAsia="Barlow Semi Condensed" w:hAnsi="Barlow Semi Condensed"/>
          <w:sz w:val="24"/>
          <w:szCs w:val="24"/>
        </w:rPr>
        <w:t xml:space="preserve">smentisca il corpus, è il miglior esito possibile di questo lavoro.</w:t>
      </w:r>
    </w:p>
    <w:p>
      <w:pPr>
        <w:pStyle w:val="Heading3"/>
        <w:spacing w:after="80" w:before="160"/>
      </w:pPr>
      <w:r>
        <w:rPr>
          <w:rFonts w:ascii="Barlow Semi Condensed" w:cs="Barlow Semi Condensed" w:eastAsia="Barlow Semi Condensed" w:hAnsi="Barlow Semi Condensed"/>
          <w:sz w:val="24"/>
          <w:szCs w:val="24"/>
        </w:rPr>
        <w:t xml:space="preserve">b. Chiusura del programma là dove è zoppo</w:t>
      </w:r>
    </w:p>
    <w:p>
      <w:pPr>
        <w:spacing w:after="120" w:line="276"/>
        <w:jc w:val="both"/>
      </w:pPr>
      <w:r>
        <w:rPr>
          <w:rFonts w:ascii="Barlow Semi Condensed" w:cs="Barlow Semi Condensed" w:eastAsia="Barlow Semi Condensed" w:hAnsi="Barlow Semi Condensed"/>
          <w:sz w:val="24"/>
          <w:szCs w:val="24"/>
        </w:rPr>
        <w:t xml:space="preserve">La ricognizione ha misurato una lacuna nel programma di ricerca del corpus</w:t>
      </w:r>
    </w:p>
    <w:p>
      <w:pPr>
        <w:spacing w:after="120" w:line="276"/>
        <w:jc w:val="both"/>
      </w:pPr>
      <w:r>
        <w:rPr>
          <w:rFonts w:ascii="Barlow Semi Condensed" w:cs="Barlow Semi Condensed" w:eastAsia="Barlow Semi Condensed" w:hAnsi="Barlow Semi Condensed"/>
          <w:sz w:val="24"/>
          <w:szCs w:val="24"/>
        </w:rPr>
        <w:t xml:space="preserve">stesso, e la misura è netta. Il versante di ricerca costruisce tre cantieri</w:t>
      </w:r>
    </w:p>
    <w:p>
      <w:pPr>
        <w:spacing w:after="120" w:line="276"/>
        <w:jc w:val="both"/>
      </w:pPr>
      <w:r>
        <w:rPr>
          <w:rFonts w:ascii="Barlow Semi Condensed" w:cs="Barlow Semi Condensed" w:eastAsia="Barlow Semi Condensed" w:hAnsi="Barlow Semi Condensed"/>
          <w:sz w:val="24"/>
          <w:szCs w:val="24"/>
        </w:rPr>
        <w:t xml:space="preserve">d'archivio alleato — Londra, Parigi, Bonn — e non il quarto. Sui milletrecento</w:t>
      </w:r>
    </w:p>
    <w:p>
      <w:pPr>
        <w:spacing w:after="120" w:line="276"/>
        <w:jc w:val="both"/>
      </w:pPr>
      <w:r>
        <w:rPr>
          <w:rFonts w:ascii="Barlow Semi Condensed" w:cs="Barlow Semi Condensed" w:eastAsia="Barlow Semi Condensed" w:hAnsi="Barlow Semi Condensed"/>
          <w:sz w:val="24"/>
          <w:szCs w:val="24"/>
        </w:rPr>
        <w:t xml:space="preserve">blocchi dei due documenti di ricerca: **Parigi ventitré menzioni, Londra</w:t>
      </w:r>
    </w:p>
    <w:p>
      <w:pPr>
        <w:spacing w:after="120" w:line="276"/>
        <w:jc w:val="both"/>
      </w:pPr>
      <w:r>
        <w:rPr>
          <w:rFonts w:ascii="Barlow Semi Condensed" w:cs="Barlow Semi Condensed" w:eastAsia="Barlow Semi Condensed" w:hAnsi="Barlow Semi Condensed"/>
          <w:sz w:val="24"/>
          <w:szCs w:val="24"/>
        </w:rPr>
        <w:t xml:space="preserve">diciassette, Bonn diciassette, Washington sette**. La capitale alleata meno</w:t>
      </w:r>
    </w:p>
    <w:p>
      <w:pPr>
        <w:spacing w:after="120" w:line="276"/>
        <w:jc w:val="both"/>
      </w:pPr>
      <w:r>
        <w:rPr>
          <w:rFonts w:ascii="Barlow Semi Condensed" w:cs="Barlow Semi Condensed" w:eastAsia="Barlow Semi Condensed" w:hAnsi="Barlow Semi Condensed"/>
          <w:sz w:val="24"/>
          <w:szCs w:val="24"/>
        </w:rPr>
        <w:t xml:space="preserve">coperta d'Europa è citata più del doppio di quella atlantica.</w:t>
      </w:r>
    </w:p>
    <w:p>
      <w:pPr>
        <w:spacing w:after="120" w:line="276"/>
        <w:jc w:val="both"/>
      </w:pPr>
      <w:r>
        <w:rPr>
          <w:rFonts w:ascii="Barlow Semi Condensed" w:cs="Barlow Semi Condensed" w:eastAsia="Barlow Semi Condensed" w:hAnsi="Barlow Semi Condensed"/>
          <w:sz w:val="24"/>
          <w:szCs w:val="24"/>
        </w:rPr>
        <w:t xml:space="preserve">Non è una lacuna del territorio: è una lacuna del programma. E cade proprio sul</w:t>
      </w:r>
    </w:p>
    <w:p>
      <w:pPr>
        <w:spacing w:after="120" w:line="276"/>
        <w:jc w:val="both"/>
      </w:pPr>
      <w:r>
        <w:rPr>
          <w:rFonts w:ascii="Barlow Semi Condensed" w:cs="Barlow Semi Condensed" w:eastAsia="Barlow Semi Condensed" w:hAnsi="Barlow Semi Condensed"/>
          <w:sz w:val="24"/>
          <w:szCs w:val="24"/>
        </w:rPr>
        <w:t xml:space="preserve">versante del nodo più contestato che il corpus registra. Finché non esiste un</w:t>
      </w:r>
    </w:p>
    <w:p>
      <w:pPr>
        <w:spacing w:after="120" w:line="276"/>
        <w:jc w:val="both"/>
      </w:pPr>
      <w:r>
        <w:rPr>
          <w:rFonts w:ascii="Barlow Semi Condensed" w:cs="Barlow Semi Condensed" w:eastAsia="Barlow Semi Condensed" w:hAnsi="Barlow Semi Condensed"/>
          <w:sz w:val="24"/>
          <w:szCs w:val="24"/>
        </w:rPr>
        <w:t xml:space="preserve">cantiere atlantico con la stessa griglia degli altri tre, ogni affermazione sul</w:t>
      </w:r>
    </w:p>
    <w:p>
      <w:pPr>
        <w:spacing w:after="120" w:line="276"/>
        <w:jc w:val="both"/>
      </w:pPr>
      <w:r>
        <w:rPr>
          <w:rFonts w:ascii="Barlow Semi Condensed" w:cs="Barlow Semi Condensed" w:eastAsia="Barlow Semi Condensed" w:hAnsi="Barlow Semi Condensed"/>
          <w:sz w:val="24"/>
          <w:szCs w:val="24"/>
        </w:rPr>
        <w:t xml:space="preserve">versante statunitense poggia su una ricerca che non è stata organizzata come le</w:t>
      </w:r>
    </w:p>
    <w:p>
      <w:pPr>
        <w:spacing w:after="120" w:line="276"/>
        <w:jc w:val="both"/>
      </w:pPr>
      <w:r>
        <w:rPr>
          <w:rFonts w:ascii="Barlow Semi Condensed" w:cs="Barlow Semi Condensed" w:eastAsia="Barlow Semi Condensed" w:hAnsi="Barlow Semi Condensed"/>
          <w:sz w:val="24"/>
          <w:szCs w:val="24"/>
        </w:rPr>
        <w:t xml:space="preserve">altre — e questo va scritto accanto a ciascuna.</w:t>
      </w:r>
    </w:p>
    <w:p>
      <w:pPr>
        <w:pStyle w:val="Heading3"/>
        <w:spacing w:after="80" w:before="160"/>
      </w:pPr>
      <w:r>
        <w:rPr>
          <w:rFonts w:ascii="Barlow Semi Condensed" w:cs="Barlow Semi Condensed" w:eastAsia="Barlow Semi Condensed" w:hAnsi="Barlow Semi Condensed"/>
          <w:sz w:val="24"/>
          <w:szCs w:val="24"/>
        </w:rPr>
        <w:t xml:space="preserve">c. Superamento del limite d'accesso</w:t>
      </w:r>
    </w:p>
    <w:p>
      <w:pPr>
        <w:spacing w:after="120" w:line="276"/>
        <w:jc w:val="both"/>
      </w:pPr>
      <w:r>
        <w:rPr>
          <w:rFonts w:ascii="Barlow Semi Condensed" w:cs="Barlow Semi Condensed" w:eastAsia="Barlow Semi Condensed" w:hAnsi="Barlow Semi Condensed"/>
          <w:sz w:val="24"/>
          <w:szCs w:val="24"/>
        </w:rPr>
        <w:t xml:space="preserve">È la direzione che cambierebbe di grado tutto il corpus. Gli atti della</w:t>
      </w:r>
    </w:p>
    <w:p>
      <w:pPr>
        <w:spacing w:after="120" w:line="276"/>
        <w:jc w:val="both"/>
      </w:pPr>
      <w:r>
        <w:rPr>
          <w:rFonts w:ascii="Barlow Semi Condensed" w:cs="Barlow Semi Condensed" w:eastAsia="Barlow Semi Condensed" w:hAnsi="Barlow Semi Condensed"/>
          <w:sz w:val="24"/>
          <w:szCs w:val="24"/>
        </w:rPr>
        <w:t xml:space="preserve">Commissione d'inchiesta e i verbali d'udienza non sono stati letti. Ogni data</w:t>
      </w:r>
    </w:p>
    <w:p>
      <w:pPr>
        <w:spacing w:after="120" w:line="276"/>
        <w:jc w:val="both"/>
      </w:pPr>
      <w:r>
        <w:rPr>
          <w:rFonts w:ascii="Barlow Semi Condensed" w:cs="Barlow Semi Condensed" w:eastAsia="Barlow Semi Condensed" w:hAnsi="Barlow Semi Condensed"/>
          <w:sz w:val="24"/>
          <w:szCs w:val="24"/>
        </w:rPr>
        <w:t xml:space="preserve">qualificata come confermata lo è per convergenza di fonti secondarie, e **resta</w:t>
      </w:r>
    </w:p>
    <w:p>
      <w:pPr>
        <w:spacing w:after="120" w:line="276"/>
        <w:jc w:val="both"/>
      </w:pPr>
      <w:r>
        <w:rPr>
          <w:rFonts w:ascii="Barlow Semi Condensed" w:cs="Barlow Semi Condensed" w:eastAsia="Barlow Semi Condensed" w:hAnsi="Barlow Semi Condensed"/>
          <w:sz w:val="24"/>
          <w:szCs w:val="24"/>
        </w:rPr>
        <w:t xml:space="preserve">da riscontrare sui testi ufficiali**. Chiunque abbia accesso fisico a quei fondi</w:t>
      </w:r>
    </w:p>
    <w:p>
      <w:pPr>
        <w:spacing w:after="120" w:line="276"/>
        <w:jc w:val="both"/>
      </w:pPr>
      <w:r>
        <w:rPr>
          <w:rFonts w:ascii="Barlow Semi Condensed" w:cs="Barlow Semi Condensed" w:eastAsia="Barlow Semi Condensed" w:hAnsi="Barlow Semi Condensed"/>
          <w:sz w:val="24"/>
          <w:szCs w:val="24"/>
        </w:rPr>
        <w:t xml:space="preserve">può, in poche giornate, portare al piano 1 decine di righe che oggi stanno al</w:t>
      </w:r>
    </w:p>
    <w:p>
      <w:pPr>
        <w:spacing w:after="120" w:line="276"/>
        <w:jc w:val="both"/>
      </w:pPr>
      <w:r>
        <w:rPr>
          <w:rFonts w:ascii="Barlow Semi Condensed" w:cs="Barlow Semi Condensed" w:eastAsia="Barlow Semi Condensed" w:hAnsi="Barlow Semi Condensed"/>
          <w:sz w:val="24"/>
          <w:szCs w:val="24"/>
        </w:rPr>
        <w:t xml:space="preserve">piano 2.</w:t>
      </w:r>
    </w:p>
    <w:p>
      <w:pPr>
        <w:pStyle w:val="Heading3"/>
        <w:spacing w:after="80" w:before="160"/>
      </w:pPr>
      <w:r>
        <w:rPr>
          <w:rFonts w:ascii="Barlow Semi Condensed" w:cs="Barlow Semi Condensed" w:eastAsia="Barlow Semi Condensed" w:hAnsi="Barlow Semi Condensed"/>
          <w:sz w:val="24"/>
          <w:szCs w:val="24"/>
        </w:rPr>
        <w:t xml:space="preserve">d. Il metodo come oggetto autonomo</w:t>
      </w:r>
    </w:p>
    <w:p>
      <w:pPr>
        <w:spacing w:after="120" w:line="276"/>
        <w:jc w:val="both"/>
      </w:pPr>
      <w:r>
        <w:rPr>
          <w:rFonts w:ascii="Barlow Semi Condensed" w:cs="Barlow Semi Condensed" w:eastAsia="Barlow Semi Condensed" w:hAnsi="Barlow Semi Condensed"/>
          <w:sz w:val="24"/>
          <w:szCs w:val="24"/>
        </w:rPr>
        <w:t xml:space="preserve">Il progetto ha prodotto, senza volerlo, un protocollo riusabile per la ricerca</w:t>
      </w:r>
    </w:p>
    <w:p>
      <w:pPr>
        <w:spacing w:after="120" w:line="276"/>
        <w:jc w:val="both"/>
      </w:pPr>
      <w:r>
        <w:rPr>
          <w:rFonts w:ascii="Barlow Semi Condensed" w:cs="Barlow Semi Condensed" w:eastAsia="Barlow Semi Condensed" w:hAnsi="Barlow Semi Condensed"/>
          <w:sz w:val="24"/>
          <w:szCs w:val="24"/>
        </w:rPr>
        <w:t xml:space="preserve">storica assistita da sistemi automatici: le sei regole, l'obbligo del grado</w:t>
      </w:r>
    </w:p>
    <w:p>
      <w:pPr>
        <w:spacing w:after="120" w:line="276"/>
        <w:jc w:val="both"/>
      </w:pPr>
      <w:r>
        <w:rPr>
          <w:rFonts w:ascii="Barlow Semi Condensed" w:cs="Barlow Semi Condensed" w:eastAsia="Barlow Semi Condensed" w:hAnsi="Barlow Semi Condensed"/>
          <w:sz w:val="24"/>
          <w:szCs w:val="24"/>
        </w:rPr>
        <w:t xml:space="preserve">dichiarato, il verbale di vuoto, la correzione per nota, e il catalogo dei modi</w:t>
      </w:r>
    </w:p>
    <w:p>
      <w:pPr>
        <w:spacing w:after="120" w:line="276"/>
        <w:jc w:val="both"/>
      </w:pPr>
      <w:r>
        <w:rPr>
          <w:rFonts w:ascii="Barlow Semi Condensed" w:cs="Barlow Semi Condensed" w:eastAsia="Barlow Semi Condensed" w:hAnsi="Barlow Semi Condensed"/>
          <w:sz w:val="24"/>
          <w:szCs w:val="24"/>
        </w:rPr>
        <w:t xml:space="preserve">in cui i controlli automatici falliscono. Ne sto ricavando un saggio breve. **Il</w:t>
      </w:r>
    </w:p>
    <w:p>
      <w:pPr>
        <w:spacing w:after="120" w:line="276"/>
        <w:jc w:val="both"/>
      </w:pPr>
      <w:r>
        <w:rPr>
          <w:rFonts w:ascii="Barlow Semi Condensed" w:cs="Barlow Semi Condensed" w:eastAsia="Barlow Semi Condensed" w:hAnsi="Barlow Semi Condensed"/>
          <w:sz w:val="24"/>
          <w:szCs w:val="24"/>
        </w:rPr>
        <w:t xml:space="preserve">valore di quel protocollo, però, non lo stabilisce chi lo ha scritto**: lo</w:t>
      </w:r>
    </w:p>
    <w:p>
      <w:pPr>
        <w:spacing w:after="120" w:line="276"/>
        <w:jc w:val="both"/>
      </w:pPr>
      <w:r>
        <w:rPr>
          <w:rFonts w:ascii="Barlow Semi Condensed" w:cs="Barlow Semi Condensed" w:eastAsia="Barlow Semi Condensed" w:hAnsi="Barlow Semi Condensed"/>
          <w:sz w:val="24"/>
          <w:szCs w:val="24"/>
        </w:rPr>
        <w:t xml:space="preserve">stabilisce chi prova ad applicarlo a un caso diverso e riferisce dove si rompe.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 Che cosa chiedo, detto in termini di questa evoluzione</w:t>
      </w:r>
    </w:p>
    <w:p>
      <w:pPr>
        <w:spacing w:after="120" w:line="276"/>
        <w:jc w:val="both"/>
      </w:pPr>
      <w:r>
        <w:rPr>
          <w:rFonts w:ascii="Barlow Semi Condensed" w:cs="Barlow Semi Condensed" w:eastAsia="Barlow Semi Condensed" w:hAnsi="Barlow Semi Condensed"/>
          <w:sz w:val="24"/>
          <w:szCs w:val="24"/>
        </w:rPr>
        <w:t xml:space="preserve">Tre cose, e nessuna comporta oneri o impegni pubblici da parte vostra.</w:t>
      </w:r>
    </w:p>
    <w:p>
      <w:pPr>
        <w:spacing w:after="120" w:line="276"/>
        <w:jc w:val="both"/>
      </w:pPr>
      <w:r>
        <w:rPr>
          <w:rFonts w:ascii="Barlow Semi Condensed" w:cs="Barlow Semi Condensed" w:eastAsia="Barlow Semi Condensed" w:hAnsi="Barlow Semi Condensed"/>
          <w:b/>
          <w:bCs/>
          <w:sz w:val="24"/>
          <w:szCs w:val="24"/>
        </w:rPr>
        <w:t xml:space="preserve">La prima è che troviate gli errori.</w:t>
      </w:r>
      <w:r>
        <w:rPr>
          <w:rFonts w:ascii="Barlow Semi Condensed" w:cs="Barlow Semi Condensed" w:eastAsia="Barlow Semi Condensed" w:hAnsi="Barlow Semi Condensed"/>
          <w:sz w:val="24"/>
          <w:szCs w:val="24"/>
        </w:rPr>
        <w:t xml:space="preserve"> Il corpus ha un tasso d'errore dichiarato</w:t>
      </w:r>
    </w:p>
    <w:p>
      <w:pPr>
        <w:spacing w:after="120" w:line="276"/>
        <w:jc w:val="both"/>
      </w:pPr>
      <w:r>
        <w:rPr>
          <w:rFonts w:ascii="Barlow Semi Condensed" w:cs="Barlow Semi Condensed" w:eastAsia="Barlow Semi Condensed" w:hAnsi="Barlow Semi Condensed"/>
          <w:sz w:val="24"/>
          <w:szCs w:val="24"/>
        </w:rPr>
        <w:t xml:space="preserve">perché li ha cercati in casa; ma chi li cerca in casa trova solo quelli che sa</w:t>
      </w:r>
    </w:p>
    <w:p>
      <w:pPr>
        <w:spacing w:after="120" w:line="276"/>
        <w:jc w:val="both"/>
      </w:pPr>
      <w:r>
        <w:rPr>
          <w:rFonts w:ascii="Barlow Semi Condensed" w:cs="Barlow Semi Condensed" w:eastAsia="Barlow Semi Condensed" w:hAnsi="Barlow Semi Condensed"/>
          <w:sz w:val="24"/>
          <w:szCs w:val="24"/>
        </w:rPr>
        <w:t xml:space="preserve">riconoscere. Il Centro conserva le carte di chi ha lavorato su questa materia per</w:t>
      </w:r>
    </w:p>
    <w:p>
      <w:pPr>
        <w:spacing w:after="120" w:line="276"/>
        <w:jc w:val="both"/>
      </w:pPr>
      <w:r>
        <w:rPr>
          <w:rFonts w:ascii="Barlow Semi Condensed" w:cs="Barlow Semi Condensed" w:eastAsia="Barlow Semi Condensed" w:hAnsi="Barlow Semi Condensed"/>
          <w:sz w:val="24"/>
          <w:szCs w:val="24"/>
        </w:rPr>
        <w:t xml:space="preserve">trent'anni: </w:t>
      </w:r>
      <w:r>
        <w:rPr>
          <w:rFonts w:ascii="Barlow Semi Condensed" w:cs="Barlow Semi Condensed" w:eastAsia="Barlow Semi Condensed" w:hAnsi="Barlow Semi Condensed"/>
          <w:b/>
          <w:bCs/>
          <w:sz w:val="24"/>
          <w:szCs w:val="24"/>
        </w:rPr>
        <w:t xml:space="preserve">un'imprecisione che altrove passa, lì non passa.</w:t>
      </w:r>
      <w:r>
        <w:rPr>
          <w:rFonts w:ascii="Barlow Semi Condensed" w:cs="Barlow Semi Condensed" w:eastAsia="Barlow Semi Condensed" w:hAnsi="Barlow Semi Condensed"/>
          <w:sz w:val="24"/>
          <w:szCs w:val="24"/>
        </w:rPr>
        <w:t xml:space="preserve"> Ogni rilievo</w:t>
      </w:r>
    </w:p>
    <w:p>
      <w:pPr>
        <w:spacing w:after="120" w:line="276"/>
        <w:jc w:val="both"/>
      </w:pPr>
      <w:r>
        <w:rPr>
          <w:rFonts w:ascii="Barlow Semi Condensed" w:cs="Barlow Semi Condensed" w:eastAsia="Barlow Semi Condensed" w:hAnsi="Barlow Semi Condensed"/>
          <w:sz w:val="24"/>
          <w:szCs w:val="24"/>
        </w:rPr>
        <w:t xml:space="preserve">verrà recepito per nota, accanto al testo errato e senza cancellarlo — come ho</w:t>
      </w:r>
    </w:p>
    <w:p>
      <w:pPr>
        <w:spacing w:after="120" w:line="276"/>
        <w:jc w:val="both"/>
      </w:pPr>
      <w:r>
        <w:rPr>
          <w:rFonts w:ascii="Barlow Semi Condensed" w:cs="Barlow Semi Condensed" w:eastAsia="Barlow Semi Condensed" w:hAnsi="Barlow Semi Condensed"/>
          <w:sz w:val="24"/>
          <w:szCs w:val="24"/>
        </w:rPr>
        <w:t xml:space="preserve">fatto in questa stessa relazione al paragrafo 3, contro me stesso.</w:t>
      </w:r>
    </w:p>
    <w:p>
      <w:pPr>
        <w:spacing w:after="120" w:line="276"/>
        <w:jc w:val="both"/>
      </w:pPr>
      <w:r>
        <w:rPr>
          <w:rFonts w:ascii="Barlow Semi Condensed" w:cs="Barlow Semi Condensed" w:eastAsia="Barlow Semi Condensed" w:hAnsi="Barlow Semi Condensed"/>
          <w:b/>
          <w:bCs/>
          <w:sz w:val="24"/>
          <w:szCs w:val="24"/>
        </w:rPr>
        <w:t xml:space="preserve">La seconda è che gli atti d'archivio arrivino a chi può eseguirli.</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importa a nome di chi, né con quale attribuzione.</w:t>
      </w:r>
    </w:p>
    <w:p>
      <w:pPr>
        <w:spacing w:after="120" w:line="276"/>
        <w:jc w:val="both"/>
      </w:pPr>
      <w:r>
        <w:rPr>
          <w:rFonts w:ascii="Barlow Semi Condensed" w:cs="Barlow Semi Condensed" w:eastAsia="Barlow Semi Condensed" w:hAnsi="Barlow Semi Condensed"/>
          <w:b/>
          <w:bCs/>
          <w:sz w:val="24"/>
          <w:szCs w:val="24"/>
        </w:rPr>
        <w:t xml:space="preserve">La terza, la meno urgente, è l'eventuale deposito</w:t>
      </w:r>
      <w:r>
        <w:rPr>
          <w:rFonts w:ascii="Barlow Semi Condensed" w:cs="Barlow Semi Condensed" w:eastAsia="Barlow Semi Condensed" w:hAnsi="Barlow Semi Condensed"/>
          <w:sz w:val="24"/>
          <w:szCs w:val="24"/>
        </w:rPr>
        <w:t xml:space="preserve"> nella forma che riterrete</w:t>
      </w:r>
    </w:p>
    <w:p>
      <w:pPr>
        <w:spacing w:after="120" w:line="276"/>
        <w:jc w:val="both"/>
      </w:pPr>
      <w:r>
        <w:rPr>
          <w:rFonts w:ascii="Barlow Semi Condensed" w:cs="Barlow Semi Condensed" w:eastAsia="Barlow Semi Condensed" w:hAnsi="Barlow Semi Condensed"/>
          <w:sz w:val="24"/>
          <w:szCs w:val="24"/>
        </w:rPr>
        <w:t xml:space="preserve">appropriata — e con l'etichetta che gli spetta: materiale di consultazione</w:t>
      </w:r>
    </w:p>
    <w:p>
      <w:pPr>
        <w:spacing w:after="120" w:line="276"/>
        <w:jc w:val="both"/>
      </w:pPr>
      <w:r>
        <w:rPr>
          <w:rFonts w:ascii="Barlow Semi Condensed" w:cs="Barlow Semi Condensed" w:eastAsia="Barlow Semi Condensed" w:hAnsi="Barlow Semi Condensed"/>
          <w:sz w:val="24"/>
          <w:szCs w:val="24"/>
        </w:rPr>
        <w:t xml:space="preserve">generato con sistemi automatici, non studio storiografico. Se riteneste che non</w:t>
      </w:r>
    </w:p>
    <w:p>
      <w:pPr>
        <w:spacing w:after="120" w:line="276"/>
        <w:jc w:val="both"/>
      </w:pPr>
      <w:r>
        <w:rPr>
          <w:rFonts w:ascii="Barlow Semi Condensed" w:cs="Barlow Semi Condensed" w:eastAsia="Barlow Semi Condensed" w:hAnsi="Barlow Semi Condensed"/>
          <w:sz w:val="24"/>
          <w:szCs w:val="24"/>
        </w:rPr>
        <w:t xml:space="preserve">debba essere depositato affatto, quel giudizio sarebbe a sua volta un'informazione</w:t>
      </w:r>
    </w:p>
    <w:p>
      <w:pPr>
        <w:spacing w:after="120" w:line="276"/>
        <w:jc w:val="both"/>
      </w:pPr>
      <w:r>
        <w:rPr>
          <w:rFonts w:ascii="Barlow Semi Condensed" w:cs="Barlow Semi Condensed" w:eastAsia="Barlow Semi Condensed" w:hAnsi="Barlow Semi Condensed"/>
          <w:sz w:val="24"/>
          <w:szCs w:val="24"/>
        </w:rPr>
        <w:t xml:space="preserve">utile, e la accoglierei come tale.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Un'ultima nota, che riguarda il nome sotto cui tutto questo è cresciuto.</w:t>
      </w:r>
    </w:p>
    <w:p>
      <w:pPr>
        <w:spacing w:after="120" w:line="276"/>
        <w:jc w:val="both"/>
      </w:pPr>
      <w:r>
        <w:rPr>
          <w:rFonts w:ascii="Barlow Semi Condensed" w:cs="Barlow Semi Condensed" w:eastAsia="Barlow Semi Condensed" w:hAnsi="Barlow Semi Condensed"/>
          <w:sz w:val="24"/>
          <w:szCs w:val="24"/>
        </w:rPr>
        <w:t xml:space="preserve">Il ramo si chiama ancora come il primo file: gli amnistiati del Tribunale</w:t>
      </w:r>
    </w:p>
    <w:p>
      <w:pPr>
        <w:spacing w:after="120" w:line="276"/>
        <w:jc w:val="both"/>
      </w:pPr>
      <w:r>
        <w:rPr>
          <w:rFonts w:ascii="Barlow Semi Condensed" w:cs="Barlow Semi Condensed" w:eastAsia="Barlow Semi Condensed" w:hAnsi="Barlow Semi Condensed"/>
          <w:sz w:val="24"/>
          <w:szCs w:val="24"/>
        </w:rPr>
        <w:t xml:space="preserve">Speciale. Cinquantasette persone condannate da un tribunale politico fra il 1926</w:t>
      </w:r>
    </w:p>
    <w:p>
      <w:pPr>
        <w:spacing w:after="120" w:line="276"/>
        <w:jc w:val="both"/>
      </w:pPr>
      <w:r>
        <w:rPr>
          <w:rFonts w:ascii="Barlow Semi Condensed" w:cs="Barlow Semi Condensed" w:eastAsia="Barlow Semi Condensed" w:hAnsi="Barlow Semi Condensed"/>
          <w:sz w:val="24"/>
          <w:szCs w:val="24"/>
        </w:rPr>
        <w:t xml:space="preserve">e il 1943, e poi rimesse in libertà da un provvedimento di clemenza del regime</w:t>
      </w:r>
    </w:p>
    <w:p>
      <w:pPr>
        <w:spacing w:after="120" w:line="276"/>
        <w:jc w:val="both"/>
      </w:pPr>
      <w:r>
        <w:rPr>
          <w:rFonts w:ascii="Barlow Semi Condensed" w:cs="Barlow Semi Condensed" w:eastAsia="Barlow Semi Condensed" w:hAnsi="Barlow Semi Condensed"/>
          <w:sz w:val="24"/>
          <w:szCs w:val="24"/>
        </w:rPr>
        <w:t xml:space="preserve">che le aveva condannate. Non è un'allegoria che ho costruito: è il punto da cui</w:t>
      </w:r>
    </w:p>
    <w:p>
      <w:pPr>
        <w:spacing w:after="120" w:line="276"/>
        <w:jc w:val="both"/>
      </w:pPr>
      <w:r>
        <w:rPr>
          <w:rFonts w:ascii="Barlow Semi Condensed" w:cs="Barlow Semi Condensed" w:eastAsia="Barlow Semi Condensed" w:hAnsi="Barlow Semi Condensed"/>
          <w:sz w:val="24"/>
          <w:szCs w:val="24"/>
        </w:rPr>
        <w:t xml:space="preserve">il lavoro è materialmente partito, e non l'ho cambiato.</w:t>
      </w:r>
    </w:p>
    <w:p>
      <w:pPr>
        <w:spacing w:after="120" w:line="276"/>
        <w:jc w:val="both"/>
      </w:pPr>
      <w:r>
        <w:rPr>
          <w:rFonts w:ascii="Barlow Semi Condensed" w:cs="Barlow Semi Condensed" w:eastAsia="Barlow Semi Condensed" w:hAnsi="Barlow Semi Condensed"/>
          <w:sz w:val="24"/>
          <w:szCs w:val="24"/>
        </w:rPr>
        <w:t xml:space="preserve">Se c'è una continuità fra quel primo elenco e le milletrecento pagine di oggi,</w:t>
      </w:r>
    </w:p>
    <w:p>
      <w:pPr>
        <w:spacing w:after="120" w:line="276"/>
        <w:jc w:val="both"/>
      </w:pPr>
      <w:r>
        <w:rPr>
          <w:rFonts w:ascii="Barlow Semi Condensed" w:cs="Barlow Semi Condensed" w:eastAsia="Barlow Semi Condensed" w:hAnsi="Barlow Semi Condensed"/>
          <w:sz w:val="24"/>
          <w:szCs w:val="24"/>
        </w:rPr>
        <w:t xml:space="preserve">non è di tema. È che in entrambi i casi si tratta di **rimettere nomi e date</w:t>
      </w:r>
    </w:p>
    <w:p>
      <w:pPr>
        <w:spacing w:after="120" w:line="276"/>
        <w:jc w:val="both"/>
      </w:pPr>
      <w:r>
        <w:rPr>
          <w:rFonts w:ascii="Barlow Semi Condensed" w:cs="Barlow Semi Condensed" w:eastAsia="Barlow Semi Condensed" w:hAnsi="Barlow Semi Condensed"/>
          <w:sz w:val="24"/>
          <w:szCs w:val="24"/>
        </w:rPr>
        <w:t xml:space="preserve">accanto a fatti**, e di dire con esattezza quanto si sa di ciascuno.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p>
      <w:pPr>
        <w:pStyle w:val="Heading3"/>
        <w:spacing w:after="80" w:before="240"/>
      </w:pPr>
      <w:r>
        <w:rPr>
          <w:rFonts w:ascii="Barlow Semi Condensed" w:cs="Barlow Semi Condensed" w:eastAsia="Barlow Semi Condensed" w:hAnsi="Barlow Semi Condensed"/>
          <w:sz w:val="24"/>
          <w:szCs w:val="24"/>
        </w:rPr>
        <w:t xml:space="preserve">Apparato grafico — Appendici · xii. Al Centro Flamigni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 3.102 parole in 9 sezioni; la più ampia è §9 Altre sezioni, con 1.179.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 79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xiii. A Laterza</w:t>
      </w:r>
    </w:p>
    <w:p>
      <w:pPr>
        <w:pStyle w:val="Heading1"/>
        <w:spacing w:after="120" w:before="240"/>
      </w:pPr>
      <w:r>
        <w:rPr>
          <w:rFonts w:ascii="Barlow Semi Condensed" w:cs="Barlow Semi Condensed" w:eastAsia="Barlow Semi Condensed" w:hAnsi="Barlow Semi Condensed"/>
          <w:sz w:val="24"/>
          <w:szCs w:val="24"/>
        </w:rPr>
        <w:t xml:space="preserve">Proposta editoriale — Gius. Laterza &amp; Figli</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preliminare — perché non una PEC, e perché non l'opera intera</w:t>
      </w:r>
    </w:p>
    <w:p>
      <w:pPr>
        <w:spacing w:after="120" w:line="276"/>
        <w:jc w:val="both"/>
      </w:pPr>
      <w:r>
        <w:rPr>
          <w:rFonts w:ascii="Barlow Semi Condensed" w:cs="Barlow Semi Condensed" w:eastAsia="Barlow Semi Condensed" w:hAnsi="Barlow Semi Condensed"/>
          <w:b/>
          <w:bCs/>
          <w:sz w:val="24"/>
          <w:szCs w:val="24"/>
        </w:rPr>
        <w:t xml:space="preserve">La PEC non è il canale.</w:t>
      </w:r>
      <w:r>
        <w:rPr>
          <w:rFonts w:ascii="Barlow Semi Condensed" w:cs="Barlow Semi Condensed" w:eastAsia="Barlow Semi Condensed" w:hAnsi="Barlow Semi Condensed"/>
          <w:sz w:val="24"/>
          <w:szCs w:val="24"/>
        </w:rPr>
        <w:t xml:space="preserve"> Laterza seleziona su base digitale, attraverso una</w:t>
      </w:r>
    </w:p>
    <w:p>
      <w:pPr>
        <w:spacing w:after="120" w:line="276"/>
        <w:jc w:val="both"/>
      </w:pPr>
      <w:r>
        <w:rPr>
          <w:rFonts w:ascii="Barlow Semi Condensed" w:cs="Barlow Semi Condensed" w:eastAsia="Barlow Semi Condensed" w:hAnsi="Barlow Semi Condensed"/>
          <w:sz w:val="24"/>
          <w:szCs w:val="24"/>
        </w:rPr>
        <w:t xml:space="preserve">rete di consulenti scientifici, e dichiara di **non accettare manoscritti a</w:t>
      </w:r>
    </w:p>
    <w:p>
      <w:pPr>
        <w:spacing w:after="120" w:line="276"/>
        <w:jc w:val="both"/>
      </w:pPr>
      <w:r>
        <w:rPr>
          <w:rFonts w:ascii="Barlow Semi Condensed" w:cs="Barlow Semi Condensed" w:eastAsia="Barlow Semi Condensed" w:hAnsi="Barlow Semi Condensed"/>
          <w:sz w:val="24"/>
          <w:szCs w:val="24"/>
        </w:rPr>
        <w:t xml:space="preserve">stampa**: i plichi inviati alle sedi di Bari o Roma vengono smaltiti senza</w:t>
      </w:r>
    </w:p>
    <w:p>
      <w:pPr>
        <w:spacing w:after="120" w:line="276"/>
        <w:jc w:val="both"/>
      </w:pPr>
      <w:r>
        <w:rPr>
          <w:rFonts w:ascii="Barlow Semi Condensed" w:cs="Barlow Semi Condensed" w:eastAsia="Barlow Semi Condensed" w:hAnsi="Barlow Semi Condensed"/>
          <w:sz w:val="24"/>
          <w:szCs w:val="24"/>
        </w:rPr>
        <w:t xml:space="preserve">essere letti. Una PEC con 24 MB allegati non verrebbe letta più di un plico.</w:t>
      </w:r>
    </w:p>
    <w:p>
      <w:pPr>
        <w:spacing w:after="120" w:line="276"/>
        <w:jc w:val="both"/>
      </w:pPr>
      <w:r>
        <w:rPr>
          <w:rFonts w:ascii="Barlow Semi Condensed" w:cs="Barlow Semi Condensed" w:eastAsia="Barlow Semi Condensed" w:hAnsi="Barlow Semi Condensed"/>
          <w:sz w:val="24"/>
          <w:szCs w:val="24"/>
        </w:rPr>
        <w:t xml:space="preserve">Il canale dichiarato per le proposte iniziali è l'indirizzo ordinario</w:t>
      </w:r>
    </w:p>
    <w:p>
      <w:pPr>
        <w:spacing w:after="120" w:line="276"/>
        <w:jc w:val="both"/>
      </w:pPr>
      <w:r>
        <w:rPr>
          <w:rFonts w:ascii="Barlow Semi Condensed" w:cs="Barlow Semi Condensed" w:eastAsia="Barlow Semi Condensed" w:hAnsi="Barlow Semi Condensed"/>
          <w:b/>
          <w:bCs/>
          <w:sz w:val="24"/>
          <w:szCs w:val="24"/>
        </w:rPr>
        <w:t xml:space="preserve">info@laterza.it</w:t>
      </w:r>
      <w:r>
        <w:rPr>
          <w:rFonts w:ascii="Barlow Semi Condensed" w:cs="Barlow Semi Condensed" w:eastAsia="Barlow Semi Condensed" w:hAnsi="Barlow Semi Condensed"/>
          <w:sz w:val="24"/>
          <w:szCs w:val="24"/>
        </w:rPr>
        <w:t xml:space="preserve">; per la manualistica scolastica esiste un canale separato,</w:t>
      </w:r>
    </w:p>
    <w:p>
      <w:pPr>
        <w:spacing w:after="120" w:line="276"/>
        <w:jc w:val="both"/>
      </w:pPr>
      <w:r>
        <w:rPr>
          <w:rFonts w:ascii="Barlow Semi Condensed" w:cs="Barlow Semi Condensed" w:eastAsia="Barlow Semi Condensed" w:hAnsi="Barlow Semi Condensed"/>
          <w:sz w:val="24"/>
          <w:szCs w:val="24"/>
        </w:rPr>
        <w:t xml:space="preserve">che qui non si applica.</w:t>
      </w:r>
    </w:p>
    <w:p>
      <w:pPr>
        <w:spacing w:after="120" w:line="276"/>
        <w:jc w:val="both"/>
      </w:pPr>
      <w:r>
        <w:rPr>
          <w:rFonts w:ascii="Barlow Semi Condensed" w:cs="Barlow Semi Condensed" w:eastAsia="Barlow Semi Condensed" w:hAnsi="Barlow Semi Condensed"/>
          <w:b/>
          <w:bCs/>
          <w:sz w:val="24"/>
          <w:szCs w:val="24"/>
        </w:rPr>
        <w:t xml:space="preserve">E l'opera integrale non è la proposta.</w:t>
      </w:r>
      <w:r>
        <w:rPr>
          <w:rFonts w:ascii="Barlow Semi Condensed" w:cs="Barlow Semi Condensed" w:eastAsia="Barlow Semi Condensed" w:hAnsi="Barlow Semi Condensed"/>
          <w:sz w:val="24"/>
          <w:szCs w:val="24"/>
        </w:rPr>
        <w:t xml:space="preserve"> Millesettecento pagine di apparato</w:t>
      </w:r>
    </w:p>
    <w:p>
      <w:pPr>
        <w:spacing w:after="120" w:line="276"/>
        <w:jc w:val="both"/>
      </w:pPr>
      <w:r>
        <w:rPr>
          <w:rFonts w:ascii="Barlow Semi Condensed" w:cs="Barlow Semi Condensed" w:eastAsia="Barlow Semi Condensed" w:hAnsi="Barlow Semi Condensed"/>
          <w:sz w:val="24"/>
          <w:szCs w:val="24"/>
        </w:rPr>
        <w:t xml:space="preserve">documentale non sono un libro Laterza, e proporle come tali significa ricevere</w:t>
      </w:r>
    </w:p>
    <w:p>
      <w:pPr>
        <w:spacing w:after="120" w:line="276"/>
        <w:jc w:val="both"/>
      </w:pPr>
      <w:r>
        <w:rPr>
          <w:rFonts w:ascii="Barlow Semi Condensed" w:cs="Barlow Semi Condensed" w:eastAsia="Barlow Semi Condensed" w:hAnsi="Barlow Semi Condensed"/>
          <w:sz w:val="24"/>
          <w:szCs w:val="24"/>
        </w:rPr>
        <w:t xml:space="preserve">un no che è anche corretto. Quello che segue propone il libro che dall'opera può</w:t>
      </w:r>
    </w:p>
    <w:p>
      <w:pPr>
        <w:spacing w:after="120" w:line="276"/>
        <w:jc w:val="both"/>
      </w:pPr>
      <w:r>
        <w:rPr>
          <w:rFonts w:ascii="Barlow Semi Condensed" w:cs="Barlow Semi Condensed" w:eastAsia="Barlow Semi Condensed" w:hAnsi="Barlow Semi Condensed"/>
          <w:sz w:val="24"/>
          <w:szCs w:val="24"/>
        </w:rPr>
        <w:t xml:space="preserve">nascere: breve, leggibile, e su un argomento che l'opera possiede per intero</w:t>
      </w:r>
    </w:p>
    <w:p>
      <w:pPr>
        <w:spacing w:after="120" w:line="276"/>
        <w:jc w:val="both"/>
      </w:pPr>
      <w:r>
        <w:rPr>
          <w:rFonts w:ascii="Barlow Semi Condensed" w:cs="Barlow Semi Condensed" w:eastAsia="Barlow Semi Condensed" w:hAnsi="Barlow Semi Condensed"/>
          <w:sz w:val="24"/>
          <w:szCs w:val="24"/>
        </w:rPr>
        <w:t xml:space="preserve">mentre quasi nessuno lo possiede — che cosa una macchina trova e che cosa non</w:t>
      </w:r>
    </w:p>
    <w:p>
      <w:pPr>
        <w:spacing w:after="120" w:line="276"/>
        <w:jc w:val="both"/>
      </w:pPr>
      <w:r>
        <w:rPr>
          <w:rFonts w:ascii="Barlow Semi Condensed" w:cs="Barlow Semi Condensed" w:eastAsia="Barlow Semi Condensed" w:hAnsi="Barlow Semi Condensed"/>
          <w:sz w:val="24"/>
          <w:szCs w:val="24"/>
        </w:rPr>
        <w:t xml:space="preserve">trova, quando la si mette a lavorare su un caso italiano documentatissimo.</w:t>
      </w:r>
    </w:p>
    <w:p>
      <w:pPr>
        <w:spacing w:after="120" w:line="276"/>
        <w:jc w:val="both"/>
      </w:pPr>
      <w:r>
        <w:rPr>
          <w:rFonts w:ascii="Barlow Semi Condensed" w:cs="Barlow Semi Condensed" w:eastAsia="Barlow Semi Condensed" w:hAnsi="Barlow Semi Condensed"/>
          <w:sz w:val="24"/>
          <w:szCs w:val="24"/>
        </w:rPr>
        <w:t xml:space="preserve">Il corpus resta disponibile come apparato di riscontro, non come manoscritto.</w:t>
      </w:r>
    </w:p>
    <w:p>
      <w:pPr>
        <w:spacing w:after="120" w:line="276"/>
        <w:jc w:val="both"/>
      </w:pPr>
      <w:r>
        <w:rPr>
          <w:rFonts w:ascii="Barlow Semi Condensed" w:cs="Barlow Semi Condensed" w:eastAsia="Barlow Semi Condensed" w:hAnsi="Barlow Semi Condensed"/>
          <w:sz w:val="24"/>
          <w:szCs w:val="24"/>
        </w:rPr>
        <w:t xml:space="preserve">Va detto, poiché lo offro: dei suoi quattordici Libri uno solo — un dossier</w:t>
      </w:r>
    </w:p>
    <w:p>
      <w:pPr>
        <w:spacing w:after="120" w:line="276"/>
        <w:jc w:val="both"/>
      </w:pPr>
      <w:r>
        <w:rPr>
          <w:rFonts w:ascii="Barlow Semi Condensed" w:cs="Barlow Semi Condensed" w:eastAsia="Barlow Semi Condensed" w:hAnsi="Barlow Semi Condensed"/>
          <w:sz w:val="24"/>
          <w:szCs w:val="24"/>
        </w:rPr>
        <w:t xml:space="preserve">d'autore anteriore, conservato per intero anziché riscritto — nella seconda metà</w:t>
      </w:r>
    </w:p>
    <w:p>
      <w:pPr>
        <w:spacing w:after="120" w:line="276"/>
        <w:jc w:val="both"/>
      </w:pPr>
      <w:r>
        <w:rPr>
          <w:rFonts w:ascii="Barlow Semi Condensed" w:cs="Barlow Semi Condensed" w:eastAsia="Barlow Semi Condensed" w:hAnsi="Barlow Semi Condensed"/>
          <w:sz w:val="24"/>
          <w:szCs w:val="24"/>
        </w:rPr>
        <w:t xml:space="preserve">ordina secondo la plausibilità del coinvolgimento, per categorie di soggetti e</w:t>
      </w:r>
    </w:p>
    <w:p>
      <w:pPr>
        <w:spacing w:after="120" w:line="276"/>
        <w:jc w:val="both"/>
      </w:pPr>
      <w:r>
        <w:rPr>
          <w:rFonts w:ascii="Barlow Semi Condensed" w:cs="Barlow Semi Condensed" w:eastAsia="Barlow Semi Condensed" w:hAnsi="Barlow Semi Condensed"/>
          <w:sz w:val="24"/>
          <w:szCs w:val="24"/>
        </w:rPr>
        <w:t xml:space="preserve">non per nomi individuali. L'eccezione è dichiarata in copertina, è limitata a</w:t>
      </w:r>
    </w:p>
    <w:p>
      <w:pPr>
        <w:spacing w:after="120" w:line="276"/>
        <w:jc w:val="both"/>
      </w:pPr>
      <w:r>
        <w:rPr>
          <w:rFonts w:ascii="Barlow Semi Condensed" w:cs="Barlow Semi Condensed" w:eastAsia="Barlow Semi Condensed" w:hAnsi="Barlow Semi Condensed"/>
          <w:sz w:val="24"/>
          <w:szCs w:val="24"/>
        </w:rPr>
        <w:t xml:space="preserve">quel Libro, e ordinare per plausibilità non è condannare. Il saggio che propongo</w:t>
      </w:r>
    </w:p>
    <w:p>
      <w:pPr>
        <w:spacing w:after="120" w:line="276"/>
        <w:jc w:val="both"/>
      </w:pPr>
      <w:r>
        <w:rPr>
          <w:rFonts w:ascii="Barlow Semi Condensed" w:cs="Barlow Semi Condensed" w:eastAsia="Barlow Semi Condensed" w:hAnsi="Barlow Semi Condensed"/>
          <w:sz w:val="24"/>
          <w:szCs w:val="24"/>
        </w:rPr>
        <w:t xml:space="preserve">non la riprende.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inviare a: info@laterza.it</w:t>
      </w:r>
    </w:p>
    <w:p>
      <w:pPr>
        <w:spacing w:after="120" w:line="276"/>
        <w:jc w:val="both"/>
      </w:pPr>
      <w:r>
        <w:rPr>
          <w:rFonts w:ascii="Barlow Semi Condensed" w:cs="Barlow Semi Condensed" w:eastAsia="Barlow Semi Condensed" w:hAnsi="Barlow Semi Condensed"/>
          <w:b/>
          <w:bCs/>
          <w:sz w:val="24"/>
          <w:szCs w:val="24"/>
        </w:rPr>
        <w:t xml:space="preserve">Oggetto</w:t>
      </w:r>
      <w:r>
        <w:rPr>
          <w:rFonts w:ascii="Barlow Semi Condensed" w:cs="Barlow Semi Condensed" w:eastAsia="Barlow Semi Condensed" w:hAnsi="Barlow Semi Condensed"/>
          <w:sz w:val="24"/>
          <w:szCs w:val="24"/>
        </w:rPr>
        <w:t xml:space="preserve">: Proposta editoriale — «Il buco misurato». Un esperimento di ricerca</w:t>
      </w:r>
    </w:p>
    <w:p>
      <w:pPr>
        <w:spacing w:after="120" w:line="276"/>
        <w:jc w:val="both"/>
      </w:pPr>
      <w:r>
        <w:rPr>
          <w:rFonts w:ascii="Barlow Semi Condensed" w:cs="Barlow Semi Condensed" w:eastAsia="Barlow Semi Condensed" w:hAnsi="Barlow Semi Condensed"/>
          <w:sz w:val="24"/>
          <w:szCs w:val="24"/>
        </w:rPr>
        <w:t xml:space="preserve">storica assistita da intelligenza artificiale sul caso Moro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alla vostra attenzione una proposta di saggio breve, secondo le</w:t>
      </w:r>
    </w:p>
    <w:p>
      <w:pPr>
        <w:spacing w:after="120" w:line="276"/>
        <w:jc w:val="both"/>
      </w:pPr>
      <w:r>
        <w:rPr>
          <w:rFonts w:ascii="Barlow Semi Condensed" w:cs="Barlow Semi Condensed" w:eastAsia="Barlow Semi Condensed" w:hAnsi="Barlow Semi Condensed"/>
          <w:sz w:val="24"/>
          <w:szCs w:val="24"/>
        </w:rPr>
        <w:t xml:space="preserve">indicazioni pubblicate sul vostro sito.</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w:t>
      </w:r>
    </w:p>
    <w:p>
      <w:pPr>
        <w:spacing w:after="120" w:line="276"/>
        <w:jc w:val="both"/>
      </w:pPr>
      <w:r>
        <w:rPr>
          <w:rFonts w:ascii="Barlow Semi Condensed" w:cs="Barlow Semi Condensed" w:eastAsia="Barlow Semi Condensed" w:hAnsi="Barlow Semi Condensed"/>
          <w:sz w:val="24"/>
          <w:szCs w:val="24"/>
        </w:rPr>
        <w:t xml:space="preserve">prodotto con sistemi di intelligenza artificiale sotto mia direzione. Lo</w:t>
      </w:r>
    </w:p>
    <w:p>
      <w:pPr>
        <w:spacing w:after="120" w:line="276"/>
        <w:jc w:val="both"/>
      </w:pPr>
      <w:r>
        <w:rPr>
          <w:rFonts w:ascii="Barlow Semi Condensed" w:cs="Barlow Semi Condensed" w:eastAsia="Barlow Semi Condensed" w:hAnsi="Barlow Semi Condensed"/>
          <w:sz w:val="24"/>
          <w:szCs w:val="24"/>
        </w:rPr>
        <w:t xml:space="preserve">dichiaro in apertura perché non è un dettaglio produttivo: **è l'oggetto stesso</w:t>
      </w:r>
    </w:p>
    <w:p>
      <w:pPr>
        <w:spacing w:after="120" w:line="276"/>
        <w:jc w:val="both"/>
      </w:pPr>
      <w:r>
        <w:rPr>
          <w:rFonts w:ascii="Barlow Semi Condensed" w:cs="Barlow Semi Condensed" w:eastAsia="Barlow Semi Condensed" w:hAnsi="Barlow Semi Condensed"/>
          <w:sz w:val="24"/>
          <w:szCs w:val="24"/>
        </w:rPr>
        <w:t xml:space="preserve">del libro**.</w:t>
      </w:r>
    </w:p>
    <w:p>
      <w:pPr>
        <w:spacing w:after="120" w:line="276"/>
        <w:jc w:val="both"/>
      </w:pPr>
      <w:r>
        <w:rPr>
          <w:rFonts w:ascii="Barlow Semi Condensed" w:cs="Barlow Semi Condensed" w:eastAsia="Barlow Semi Condensed" w:hAnsi="Barlow Semi Condensed"/>
          <w:b/>
          <w:bCs/>
          <w:sz w:val="24"/>
          <w:szCs w:val="24"/>
        </w:rPr>
        <w:t xml:space="preserve">L'idea fondamentale.</w:t>
      </w:r>
      <w:r>
        <w:rPr>
          <w:rFonts w:ascii="Barlow Semi Condensed" w:cs="Barlow Semi Condensed" w:eastAsia="Barlow Semi Condensed" w:hAnsi="Barlow Semi Condensed"/>
          <w:sz w:val="24"/>
          <w:szCs w:val="24"/>
        </w:rPr>
        <w:t xml:space="preserve"> Nel 2026 ho condotto un esperimento: mettere</w:t>
      </w:r>
    </w:p>
    <w:p>
      <w:pPr>
        <w:spacing w:after="120" w:line="276"/>
        <w:jc w:val="both"/>
      </w:pPr>
      <w:r>
        <w:rPr>
          <w:rFonts w:ascii="Barlow Semi Condensed" w:cs="Barlow Semi Condensed" w:eastAsia="Barlow Semi Condensed" w:hAnsi="Barlow Semi Condensed"/>
          <w:sz w:val="24"/>
          <w:szCs w:val="24"/>
        </w:rPr>
        <w:t xml:space="preserve">sistemi di intelligenza artificiale a lavorare, con una disciplina metodologica</w:t>
      </w:r>
    </w:p>
    <w:p>
      <w:pPr>
        <w:spacing w:after="120" w:line="276"/>
        <w:jc w:val="both"/>
      </w:pPr>
      <w:r>
        <w:rPr>
          <w:rFonts w:ascii="Barlow Semi Condensed" w:cs="Barlow Semi Condensed" w:eastAsia="Barlow Semi Condensed" w:hAnsi="Barlow Semi Condensed"/>
          <w:sz w:val="24"/>
          <w:szCs w:val="24"/>
        </w:rPr>
        <w:t xml:space="preserve">rigida e dichiarata, su uno dei casi più documentati e più infestati dalla</w:t>
      </w:r>
    </w:p>
    <w:p>
      <w:pPr>
        <w:spacing w:after="120" w:line="276"/>
        <w:jc w:val="both"/>
      </w:pPr>
      <w:r>
        <w:rPr>
          <w:rFonts w:ascii="Barlow Semi Condensed" w:cs="Barlow Semi Condensed" w:eastAsia="Barlow Semi Condensed" w:hAnsi="Barlow Semi Condensed"/>
          <w:sz w:val="24"/>
          <w:szCs w:val="24"/>
        </w:rPr>
        <w:t xml:space="preserve">dietrologia della storia repubblicana — il sequestro e l'omicidio di Aldo Moro.</w:t>
      </w:r>
    </w:p>
    <w:p>
      <w:pPr>
        <w:spacing w:after="120" w:line="276"/>
        <w:jc w:val="both"/>
      </w:pPr>
      <w:r>
        <w:rPr>
          <w:rFonts w:ascii="Barlow Semi Condensed" w:cs="Barlow Semi Condensed" w:eastAsia="Barlow Semi Condensed" w:hAnsi="Barlow Semi Condensed"/>
          <w:sz w:val="24"/>
          <w:szCs w:val="24"/>
        </w:rPr>
        <w:t xml:space="preserve">Il risultato è un corpus di circa 1.750 pagine e 7.699 «blocchi mirati», cioè</w:t>
      </w:r>
    </w:p>
    <w:p>
      <w:pPr>
        <w:spacing w:after="120" w:line="276"/>
        <w:jc w:val="both"/>
      </w:pPr>
      <w:r>
        <w:rPr>
          <w:rFonts w:ascii="Barlow Semi Condensed" w:cs="Barlow Semi Condensed" w:eastAsia="Barlow Semi Condensed" w:hAnsi="Barlow Semi Condensed"/>
          <w:sz w:val="24"/>
          <w:szCs w:val="24"/>
        </w:rPr>
        <w:t xml:space="preserve">bersagli di ricerca e non affermazioni. Il libro che propongo non è quel corpus:</w:t>
      </w:r>
    </w:p>
    <w:p>
      <w:pPr>
        <w:spacing w:after="120" w:line="276"/>
        <w:jc w:val="both"/>
      </w:pPr>
      <w:r>
        <w:rPr>
          <w:rFonts w:ascii="Barlow Semi Condensed" w:cs="Barlow Semi Condensed" w:eastAsia="Barlow Semi Condensed" w:hAnsi="Barlow Semi Condensed"/>
          <w:sz w:val="24"/>
          <w:szCs w:val="24"/>
        </w:rPr>
        <w:t xml:space="preserve">è il </w:t>
      </w:r>
      <w:r>
        <w:rPr>
          <w:rFonts w:ascii="Barlow Semi Condensed" w:cs="Barlow Semi Condensed" w:eastAsia="Barlow Semi Condensed" w:hAnsi="Barlow Semi Condensed"/>
          <w:b/>
          <w:bCs/>
          <w:sz w:val="24"/>
          <w:szCs w:val="24"/>
        </w:rPr>
        <w:t xml:space="preserve">resoconto dell'esperimento</w:t>
      </w:r>
      <w:r>
        <w:rPr>
          <w:rFonts w:ascii="Barlow Semi Condensed" w:cs="Barlow Semi Condensed" w:eastAsia="Barlow Semi Condensed" w:hAnsi="Barlow Semi Condensed"/>
          <w:sz w:val="24"/>
          <w:szCs w:val="24"/>
        </w:rPr>
        <w:t xml:space="preserve">, e in particolare di ciò che è andato storto.</w:t>
      </w:r>
    </w:p>
    <w:p>
      <w:pPr>
        <w:spacing w:after="120" w:line="276"/>
        <w:jc w:val="both"/>
      </w:pPr>
      <w:r>
        <w:rPr>
          <w:rFonts w:ascii="Barlow Semi Condensed" w:cs="Barlow Semi Condensed" w:eastAsia="Barlow Semi Condensed" w:hAnsi="Barlow Semi Condensed"/>
          <w:b/>
          <w:bCs/>
          <w:sz w:val="24"/>
          <w:szCs w:val="24"/>
        </w:rPr>
        <w:t xml:space="preserve">La tesi.</w:t>
      </w:r>
      <w:r>
        <w:rPr>
          <w:rFonts w:ascii="Barlow Semi Condensed" w:cs="Barlow Semi Condensed" w:eastAsia="Barlow Semi Condensed" w:hAnsi="Barlow Semi Condensed"/>
          <w:sz w:val="24"/>
          <w:szCs w:val="24"/>
        </w:rPr>
        <w:t xml:space="preserve"> Una macchina messa a cercare connessioni le trova sempre. La sola</w:t>
      </w:r>
    </w:p>
    <w:p>
      <w:pPr>
        <w:spacing w:after="120" w:line="276"/>
        <w:jc w:val="both"/>
      </w:pPr>
      <w:r>
        <w:rPr>
          <w:rFonts w:ascii="Barlow Semi Condensed" w:cs="Barlow Semi Condensed" w:eastAsia="Barlow Semi Condensed" w:hAnsi="Barlow Semi Condensed"/>
          <w:sz w:val="24"/>
          <w:szCs w:val="24"/>
        </w:rPr>
        <w:t xml:space="preserve">cosa che glielo impedisce è una disciplina scritta prima, e la parte interessante</w:t>
      </w:r>
    </w:p>
    <w:p>
      <w:pPr>
        <w:spacing w:after="120" w:line="276"/>
        <w:jc w:val="both"/>
      </w:pPr>
      <w:r>
        <w:rPr>
          <w:rFonts w:ascii="Barlow Semi Condensed" w:cs="Barlow Semi Condensed" w:eastAsia="Barlow Semi Condensed" w:hAnsi="Barlow Semi Condensed"/>
          <w:sz w:val="24"/>
          <w:szCs w:val="24"/>
        </w:rPr>
        <w:t xml:space="preserve">del lavoro non sono i risultati ma **i punti in cui la disciplina ha dovuto</w:t>
      </w:r>
    </w:p>
    <w:p>
      <w:pPr>
        <w:spacing w:after="120" w:line="276"/>
        <w:jc w:val="both"/>
      </w:pPr>
      <w:r>
        <w:rPr>
          <w:rFonts w:ascii="Barlow Semi Condensed" w:cs="Barlow Semi Condensed" w:eastAsia="Barlow Semi Condensed" w:hAnsi="Barlow Semi Condensed"/>
          <w:sz w:val="24"/>
          <w:szCs w:val="24"/>
        </w:rPr>
        <w:t xml:space="preserve">essere corretta in corsa** — quasi sempre perché un errore di metodo si era</w:t>
      </w:r>
    </w:p>
    <w:p>
      <w:pPr>
        <w:spacing w:after="120" w:line="276"/>
        <w:jc w:val="both"/>
      </w:pPr>
      <w:r>
        <w:rPr>
          <w:rFonts w:ascii="Barlow Semi Condensed" w:cs="Barlow Semi Condensed" w:eastAsia="Barlow Semi Condensed" w:hAnsi="Barlow Semi Condensed"/>
          <w:sz w:val="24"/>
          <w:szCs w:val="24"/>
        </w:rPr>
        <w:t xml:space="preserve">travestito da rigore. Il libro racconta sette di questi punti, ciascuno con il</w:t>
      </w:r>
    </w:p>
    <w:p>
      <w:pPr>
        <w:spacing w:after="120" w:line="276"/>
        <w:jc w:val="both"/>
      </w:pPr>
      <w:r>
        <w:rPr>
          <w:rFonts w:ascii="Barlow Semi Condensed" w:cs="Barlow Semi Condensed" w:eastAsia="Barlow Semi Condensed" w:hAnsi="Barlow Semi Condensed"/>
          <w:sz w:val="24"/>
          <w:szCs w:val="24"/>
        </w:rPr>
        <w:t xml:space="preserve">suo caso concreto.</w:t>
      </w:r>
    </w:p>
    <w:p>
      <w:pPr>
        <w:spacing w:after="120" w:line="276"/>
        <w:jc w:val="both"/>
      </w:pPr>
      <w:r>
        <w:rPr>
          <w:rFonts w:ascii="Barlow Semi Condensed" w:cs="Barlow Semi Condensed" w:eastAsia="Barlow Semi Condensed" w:hAnsi="Barlow Semi Condensed"/>
          <w:b/>
          <w:bCs/>
          <w:sz w:val="24"/>
          <w:szCs w:val="24"/>
        </w:rPr>
        <w:t xml:space="preserve">Alcuni esempi di che cosa contiene.</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w:t>
      </w:r>
    </w:p>
    <w:p>
      <w:pPr>
        <w:spacing w:after="120" w:line="276"/>
        <w:jc w:val="both"/>
      </w:pPr>
      <w:r>
        <w:rPr>
          <w:rFonts w:ascii="Barlow Semi Condensed" w:cs="Barlow Semi Condensed" w:eastAsia="Barlow Semi Condensed" w:hAnsi="Barlow Semi Condensed"/>
          <w:sz w:val="24"/>
          <w:szCs w:val="24"/>
        </w:rPr>
        <w:t xml:space="preserve">  Kissinger e ripetuta da decine di siti risulta, a spoglio, discendere da un</w:t>
      </w:r>
    </w:p>
    <w:p>
      <w:pPr>
        <w:spacing w:after="120" w:line="276"/>
        <w:jc w:val="both"/>
      </w:pPr>
      <w:r>
        <w:rPr>
          <w:rFonts w:ascii="Barlow Semi Condensed" w:cs="Barlow Semi Condensed" w:eastAsia="Barlow Semi Condensed" w:hAnsi="Barlow Semi Condensed"/>
          <w:sz w:val="24"/>
          <w:szCs w:val="24"/>
        </w:rPr>
        <w:t xml:space="preserve">  unico lancio d'agenzia del 30 novembre 2023. Cento riprese di una sola origine</w:t>
      </w:r>
    </w:p>
    <w:p>
      <w:pPr>
        <w:spacing w:after="120" w:line="276"/>
        <w:jc w:val="both"/>
      </w:pPr>
      <w:r>
        <w:rPr>
          <w:rFonts w:ascii="Barlow Semi Condensed" w:cs="Barlow Semi Condensed" w:eastAsia="Barlow Semi Condensed" w:hAnsi="Barlow Semi Condensed"/>
          <w:sz w:val="24"/>
          <w:szCs w:val="24"/>
        </w:rPr>
        <w:t xml:space="preserv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w:t>
      </w:r>
    </w:p>
    <w:p>
      <w:pPr>
        <w:spacing w:after="120" w:line="276"/>
        <w:jc w:val="both"/>
      </w:pPr>
      <w:r>
        <w:rPr>
          <w:rFonts w:ascii="Barlow Semi Condensed" w:cs="Barlow Semi Condensed" w:eastAsia="Barlow Semi Condensed" w:hAnsi="Barlow Semi Condensed"/>
          <w:sz w:val="24"/>
          <w:szCs w:val="24"/>
        </w:rPr>
        <w:t xml:space="preserve">  Ovale del 25 settembre 1974, correntemente presentato come la prova</w:t>
      </w:r>
    </w:p>
    <w:p>
      <w:pPr>
        <w:spacing w:after="120" w:line="276"/>
        <w:jc w:val="both"/>
      </w:pPr>
      <w:r>
        <w:rPr>
          <w:rFonts w:ascii="Barlow Semi Condensed" w:cs="Barlow Semi Condensed" w:eastAsia="Barlow Semi Condensed" w:hAnsi="Barlow Semi Condensed"/>
          <w:sz w:val="24"/>
          <w:szCs w:val="24"/>
        </w:rPr>
        <w:t xml:space="preserve">  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w:t>
      </w:r>
    </w:p>
    <w:p>
      <w:pPr>
        <w:spacing w:after="120" w:line="276"/>
        <w:jc w:val="both"/>
      </w:pPr>
      <w:r>
        <w:rPr>
          <w:rFonts w:ascii="Barlow Semi Condensed" w:cs="Barlow Semi Condensed" w:eastAsia="Barlow Semi Condensed" w:hAnsi="Barlow Semi Condensed"/>
          <w:sz w:val="24"/>
          <w:szCs w:val="24"/>
        </w:rPr>
        <w:t xml:space="preserve">  banale e nessuno l'aveva pubblicata in questa forma.</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versante mai cercato.</w:t>
      </w:r>
      <w:r>
        <w:rPr>
          <w:rFonts w:ascii="Barlow Semi Condensed" w:cs="Barlow Semi Condensed" w:eastAsia="Barlow Semi Condensed" w:hAnsi="Barlow Semi Condensed"/>
          <w:sz w:val="24"/>
          <w:szCs w:val="24"/>
        </w:rPr>
        <w:t xml:space="preserve"> Di quel colloquio esiste un solo verbale, quello</w:t>
      </w:r>
    </w:p>
    <w:p>
      <w:pPr>
        <w:spacing w:after="120" w:line="276"/>
        <w:jc w:val="both"/>
      </w:pPr>
      <w:r>
        <w:rPr>
          <w:rFonts w:ascii="Barlow Semi Condensed" w:cs="Barlow Semi Condensed" w:eastAsia="Barlow Semi Condensed" w:hAnsi="Barlow Semi Condensed"/>
          <w:sz w:val="24"/>
          <w:szCs w:val="24"/>
        </w:rPr>
        <w:t xml:space="preserve">  americano. L'appunto italiano dello stesso incontro non risulta essere mai</w:t>
      </w:r>
    </w:p>
    <w:p>
      <w:pPr>
        <w:spacing w:after="120" w:line="276"/>
        <w:jc w:val="both"/>
      </w:pPr>
      <w:r>
        <w:rPr>
          <w:rFonts w:ascii="Barlow Semi Condensed" w:cs="Barlow Semi Condensed" w:eastAsia="Barlow Semi Condensed" w:hAnsi="Barlow Semi Condensed"/>
          <w:sz w:val="24"/>
          <w:szCs w:val="24"/>
        </w:rPr>
        <w:t xml:space="preserve">  stato cercato, e il suo esito sarebbe dirimente in tutte e tre le direzioni</w:t>
      </w:r>
    </w:p>
    <w:p>
      <w:pPr>
        <w:spacing w:after="120" w:line="276"/>
        <w:jc w:val="both"/>
      </w:pPr>
      <w:r>
        <w:rPr>
          <w:rFonts w:ascii="Barlow Semi Condensed" w:cs="Barlow Semi Condensed" w:eastAsia="Barlow Semi Condensed" w:hAnsi="Barlow Semi Condensed"/>
          <w:sz w:val="24"/>
          <w:szCs w:val="24"/>
        </w:rPr>
        <w:t xml:space="preserve">  possibili.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Lo Stato Zero e il silenzio d'oggetto.</w:t>
      </w:r>
      <w:r>
        <w:rPr>
          <w:rFonts w:ascii="Barlow Semi Condensed" w:cs="Barlow Semi Condensed" w:eastAsia="Barlow Semi Condensed" w:hAnsi="Barlow Semi Condensed"/>
          <w:sz w:val="24"/>
          <w:szCs w:val="24"/>
        </w:rPr>
        <w:t xml:space="preserve"> Una distinzione che l'esperimento ha</w:t>
      </w:r>
    </w:p>
    <w:p>
      <w:pPr>
        <w:spacing w:after="120" w:line="276"/>
        <w:jc w:val="both"/>
      </w:pPr>
      <w:r>
        <w:rPr>
          <w:rFonts w:ascii="Barlow Semi Condensed" w:cs="Barlow Semi Condensed" w:eastAsia="Barlow Semi Condensed" w:hAnsi="Barlow Semi Condensed"/>
          <w:sz w:val="24"/>
          <w:szCs w:val="24"/>
        </w:rPr>
        <w:t xml:space="preserve">  dovuto inventare per non trasformare ogni assenza tematica in un indizio: un</w:t>
      </w:r>
    </w:p>
    <w:p>
      <w:pPr>
        <w:spacing w:after="120" w:line="276"/>
        <w:jc w:val="both"/>
      </w:pPr>
      <w:r>
        <w:rPr>
          <w:rFonts w:ascii="Barlow Semi Condensed" w:cs="Barlow Semi Condensed" w:eastAsia="Barlow Semi Condensed" w:hAnsi="Barlow Semi Condensed"/>
          <w:sz w:val="24"/>
          <w:szCs w:val="24"/>
        </w:rPr>
        <w:t xml:space="preserve">  esito negativo vale solo se si può nominare la sede in cui si è cercato.</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L'attesa dichiarata.</w:t>
      </w:r>
      <w:r>
        <w:rPr>
          <w:rFonts w:ascii="Barlow Semi Condensed" w:cs="Barlow Semi Condensed" w:eastAsia="Barlow Semi Condensed" w:hAnsi="Barlow Semi Condensed"/>
          <w:sz w:val="24"/>
          <w:szCs w:val="24"/>
        </w:rPr>
        <w:t xml:space="preserve"> L'antidoto all'errore speculare del precedente: non</w:t>
      </w:r>
    </w:p>
    <w:p>
      <w:pPr>
        <w:spacing w:after="120" w:line="276"/>
        <w:jc w:val="both"/>
      </w:pPr>
      <w:r>
        <w:rPr>
          <w:rFonts w:ascii="Barlow Semi Condensed" w:cs="Barlow Semi Condensed" w:eastAsia="Barlow Semi Condensed" w:hAnsi="Barlow Semi Condensed"/>
          <w:sz w:val="24"/>
          <w:szCs w:val="24"/>
        </w:rPr>
        <w:t xml:space="preserve">  trovare un nome dove nessuno si aspettava di trovarlo non è una scoperta.</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Come falliscono i controlli automatici.</w:t>
      </w:r>
      <w:r>
        <w:rPr>
          <w:rFonts w:ascii="Barlow Semi Condensed" w:cs="Barlow Semi Condensed" w:eastAsia="Barlow Semi Condensed" w:hAnsi="Barlow Semi Condensed"/>
          <w:sz w:val="24"/>
          <w:szCs w:val="24"/>
        </w:rPr>
        <w:t xml:space="preserve"> Otto casi documentati in cui la</w:t>
      </w:r>
    </w:p>
    <w:p>
      <w:pPr>
        <w:spacing w:after="120" w:line="276"/>
        <w:jc w:val="both"/>
      </w:pPr>
      <w:r>
        <w:rPr>
          <w:rFonts w:ascii="Barlow Semi Condensed" w:cs="Barlow Semi Condensed" w:eastAsia="Barlow Semi Condensed" w:hAnsi="Barlow Semi Condensed"/>
          <w:sz w:val="24"/>
          <w:szCs w:val="24"/>
        </w:rPr>
        <w:t xml:space="preserve">  verifica meccanica ha segnalato come violazione proprio i passaggi che</w:t>
      </w:r>
    </w:p>
    <w:p>
      <w:pPr>
        <w:spacing w:after="120" w:line="276"/>
        <w:jc w:val="both"/>
      </w:pPr>
      <w:r>
        <w:rPr>
          <w:rFonts w:ascii="Barlow Semi Condensed" w:cs="Barlow Semi Condensed" w:eastAsia="Barlow Semi Condensed" w:hAnsi="Barlow Semi Condensed"/>
          <w:sz w:val="24"/>
          <w:szCs w:val="24"/>
        </w:rPr>
        <w:t xml:space="preserve">  applicavano la regola — perché per vietare una formula bisogna scriverla.</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w:t>
      </w:r>
    </w:p>
    <w:p>
      <w:pPr>
        <w:spacing w:after="120" w:line="276"/>
        <w:jc w:val="both"/>
      </w:pPr>
      <w:r>
        <w:rPr>
          <w:rFonts w:ascii="Barlow Semi Condensed" w:cs="Barlow Semi Condensed" w:eastAsia="Barlow Semi Condensed" w:hAnsi="Barlow Semi Condensed"/>
          <w:sz w:val="24"/>
          <w:szCs w:val="24"/>
        </w:rPr>
        <w:t xml:space="preserve">nulla, non indica alcuna persona come responsabile oltre il giudicato</w:t>
      </w:r>
    </w:p>
    <w:p>
      <w:pPr>
        <w:spacing w:after="120" w:line="276"/>
        <w:jc w:val="both"/>
      </w:pPr>
      <w:r>
        <w:rPr>
          <w:rFonts w:ascii="Barlow Semi Condensed" w:cs="Barlow Semi Condensed" w:eastAsia="Barlow Semi Condensed" w:hAnsi="Barlow Semi Condensed"/>
          <w:sz w:val="24"/>
          <w:szCs w:val="24"/>
        </w:rPr>
        <w:t xml:space="preserve">definitivo. Il caso Moro vi funziona come </w:t>
      </w:r>
      <w:r>
        <w:rPr>
          <w:rFonts w:ascii="Barlow Semi Condensed" w:cs="Barlow Semi Condensed" w:eastAsia="Barlow Semi Condensed" w:hAnsi="Barlow Semi Condensed"/>
          <w:b/>
          <w:bCs/>
          <w:sz w:val="24"/>
          <w:szCs w:val="24"/>
        </w:rPr>
        <w:t xml:space="preserve">banco di prova</w:t>
      </w:r>
      <w:r>
        <w:rPr>
          <w:rFonts w:ascii="Barlow Semi Condensed" w:cs="Barlow Semi Condensed" w:eastAsia="Barlow Semi Condensed" w:hAnsi="Barlow Semi Condensed"/>
          <w:sz w:val="24"/>
          <w:szCs w:val="24"/>
        </w:rPr>
        <w:t xml:space="preserve">, non come oggetto:</w:t>
      </w:r>
    </w:p>
    <w:p>
      <w:pPr>
        <w:spacing w:after="120" w:line="276"/>
        <w:jc w:val="both"/>
      </w:pPr>
      <w:r>
        <w:rPr>
          <w:rFonts w:ascii="Barlow Semi Condensed" w:cs="Barlow Semi Condensed" w:eastAsia="Barlow Semi Condensed" w:hAnsi="Barlow Semi Condensed"/>
          <w:sz w:val="24"/>
          <w:szCs w:val="24"/>
        </w:rPr>
        <w:t xml:space="preserve">serve perché è documentatissimo, perché la sua letteratura è tossica, e perché</w:t>
      </w:r>
    </w:p>
    <w:p>
      <w:pPr>
        <w:spacing w:after="120" w:line="276"/>
        <w:jc w:val="both"/>
      </w:pPr>
      <w:r>
        <w:rPr>
          <w:rFonts w:ascii="Barlow Semi Condensed" w:cs="Barlow Semi Condensed" w:eastAsia="Barlow Semi Condensed" w:hAnsi="Barlow Semi Condensed"/>
          <w:sz w:val="24"/>
          <w:szCs w:val="24"/>
        </w:rPr>
        <w:t xml:space="preserve">chiunque 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storica e civile; e il pubblico, più</w:t>
      </w:r>
    </w:p>
    <w:p>
      <w:pPr>
        <w:spacing w:after="120" w:line="276"/>
        <w:jc w:val="both"/>
      </w:pPr>
      <w:r>
        <w:rPr>
          <w:rFonts w:ascii="Barlow Semi Condensed" w:cs="Barlow Semi Condensed" w:eastAsia="Barlow Semi Condensed" w:hAnsi="Barlow Semi Condensed"/>
          <w:sz w:val="24"/>
          <w:szCs w:val="24"/>
        </w:rPr>
        <w:t xml:space="preserve">ampio e oggi mal servito, di chi vuole capire che cosa questi sistemi facciano</w:t>
      </w:r>
    </w:p>
    <w:p>
      <w:pPr>
        <w:spacing w:after="120" w:line="276"/>
        <w:jc w:val="both"/>
      </w:pPr>
      <w:r>
        <w:rPr>
          <w:rFonts w:ascii="Barlow Semi Condensed" w:cs="Barlow Semi Condensed" w:eastAsia="Barlow Semi Condensed" w:hAnsi="Barlow Semi Condensed"/>
          <w:sz w:val="24"/>
          <w:szCs w:val="24"/>
        </w:rPr>
        <w:t xml:space="preserve">davvero quando li si mette al lavoro su qualcosa di verificabile — al di là</w:t>
      </w:r>
    </w:p>
    <w:p>
      <w:pPr>
        <w:spacing w:after="120" w:line="276"/>
        <w:jc w:val="both"/>
      </w:pPr>
      <w:r>
        <w:rPr>
          <w:rFonts w:ascii="Barlow Semi Condensed" w:cs="Barlow Semi Condensed" w:eastAsia="Barlow Semi Condensed" w:hAnsi="Barlow Semi Condensed"/>
          <w:sz w:val="24"/>
          <w:szCs w:val="24"/>
        </w:rPr>
        <w:t xml:space="preserve">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w:t>
      </w:r>
      <w:r>
        <w:rPr>
          <w:rFonts w:ascii="Barlow Semi Condensed" w:cs="Barlow Semi Condensed" w:eastAsia="Barlow Semi Condensed" w:hAnsi="Barlow Semi Condensed"/>
          <w:b/>
          <w:bCs/>
          <w:sz w:val="24"/>
          <w:szCs w:val="24"/>
        </w:rPr>
        <w:t xml:space="preserve">140-180 pagine</w:t>
      </w:r>
      <w:r>
        <w:rPr>
          <w:rFonts w:ascii="Barlow Semi Condensed" w:cs="Barlow Semi Condensed" w:eastAsia="Barlow Semi Condensed" w:hAnsi="Barlow Semi Condensed"/>
          <w:sz w:val="24"/>
          <w:szCs w:val="24"/>
        </w:rPr>
        <w:t xml:space="preserve">, senza illustrazioni,</w:t>
      </w:r>
    </w:p>
    <w:p>
      <w:pPr>
        <w:spacing w:after="120" w:line="276"/>
        <w:jc w:val="both"/>
      </w:pPr>
      <w:r>
        <w:rPr>
          <w:rFonts w:ascii="Barlow Semi Condensed" w:cs="Barlow Semi Condensed" w:eastAsia="Barlow Semi Condensed" w:hAnsi="Barlow Semi Condensed"/>
          <w:sz w:val="24"/>
          <w:szCs w:val="24"/>
        </w:rPr>
        <w:t xml:space="preserve">articolato in sette capitoli più un'appendice con i cinque atti d'archivio</w:t>
      </w:r>
    </w:p>
    <w:p>
      <w:pPr>
        <w:spacing w:after="120" w:line="276"/>
        <w:jc w:val="both"/>
      </w:pPr>
      <w:r>
        <w:rPr>
          <w:rFonts w:ascii="Barlow Semi Condensed" w:cs="Barlow Semi Condensed" w:eastAsia="Barlow Semi Condensed" w:hAnsi="Barlow Semi Condensed"/>
          <w:sz w:val="24"/>
          <w:szCs w:val="24"/>
        </w:rPr>
        <w:t xml:space="preserve">eseguibili che l'esperimento ha prodotto. Nessuna nota a piè di pagina: i</w:t>
      </w:r>
    </w:p>
    <w:p>
      <w:pPr>
        <w:spacing w:after="120" w:line="276"/>
        <w:jc w:val="both"/>
      </w:pPr>
      <w:r>
        <w:rPr>
          <w:rFonts w:ascii="Barlow Semi Condensed" w:cs="Barlow Semi Condensed" w:eastAsia="Barlow Semi Condensed" w:hAnsi="Barlow Semi Condensed"/>
          <w:sz w:val="24"/>
          <w:szCs w:val="24"/>
        </w:rPr>
        <w:t xml:space="preserve">riferimenti sono nel corpo, e 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w:t>
      </w:r>
    </w:p>
    <w:p>
      <w:pPr>
        <w:spacing w:after="120" w:line="276"/>
        <w:jc w:val="both"/>
      </w:pPr>
      <w:r>
        <w:rPr>
          <w:rFonts w:ascii="Barlow Semi Condensed" w:cs="Barlow Semi Condensed" w:eastAsia="Barlow Semi Condensed" w:hAnsi="Barlow Semi Condensed"/>
          <w:sz w:val="24"/>
          <w:szCs w:val="24"/>
        </w:rPr>
        <w:t xml:space="preserve">esistono la struttura, i sette casi e tutto il materiale;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 otto pagine, «Il documento che non dice ciò che tutti</w:t>
      </w:r>
    </w:p>
    <w:p>
      <w:pPr>
        <w:spacing w:after="120" w:line="276"/>
        <w:jc w:val="both"/>
      </w:pPr>
      <w:r>
        <w:rPr>
          <w:rFonts w:ascii="Barlow Semi Condensed" w:cs="Barlow Semi Condensed" w:eastAsia="Barlow Semi Condensed" w:hAnsi="Barlow Semi Condensed"/>
          <w:sz w:val="24"/>
          <w:szCs w:val="24"/>
        </w:rPr>
        <w:t xml:space="preserve">citano» — perché è il modo più rapido per giudicare la scrittura senza</w:t>
      </w:r>
    </w:p>
    <w:p>
      <w:pPr>
        <w:spacing w:after="120" w:line="276"/>
        <w:jc w:val="both"/>
      </w:pPr>
      <w:r>
        <w:rPr>
          <w:rFonts w:ascii="Barlow Semi Condensed" w:cs="Barlow Semi Condensed" w:eastAsia="Barlow Semi Condensed" w:hAnsi="Barlow Semi Condensed"/>
          <w:sz w:val="24"/>
          <w:szCs w:val="24"/>
        </w:rPr>
        <w:t xml:space="preserve">credermi sulla parola. Il resto del testo è da scrivere.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Variante PEC — solo se si vuole certificare l'invio</w:t>
      </w:r>
    </w:p>
    <w:p>
      <w:pPr>
        <w:spacing w:after="120" w:line="276"/>
        <w:jc w:val="both"/>
      </w:pPr>
      <w:r>
        <w:rPr>
          <w:rFonts w:ascii="Barlow Semi Condensed" w:cs="Barlow Semi Condensed" w:eastAsia="Barlow Semi Condensed" w:hAnsi="Barlow Semi Condensed"/>
          <w:sz w:val="24"/>
          <w:szCs w:val="24"/>
        </w:rPr>
        <w:t xml:space="preserve">Se si desidera comunque una traccia certificata, la PEC va usata </w:t>
      </w:r>
      <w:r>
        <w:rPr>
          <w:rFonts w:ascii="Barlow Semi Condensed" w:cs="Barlow Semi Condensed" w:eastAsia="Barlow Semi Condensed" w:hAnsi="Barlow Semi Condensed"/>
          <w:b/>
          <w:bCs/>
          <w:sz w:val="24"/>
          <w:szCs w:val="24"/>
        </w:rPr>
        <w:t xml:space="preserve">in aggiunta</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non al posto della proposta ordinaria, con lo stesso testo, allegando la sola</w:t>
      </w:r>
    </w:p>
    <w:p>
      <w:pPr>
        <w:spacing w:after="120" w:line="276"/>
        <w:jc w:val="both"/>
      </w:pPr>
      <w:r>
        <w:rPr>
          <w:rFonts w:ascii="Barlow Semi Condensed" w:cs="Barlow Semi Condensed" w:eastAsia="Barlow Semi Condensed" w:hAnsi="Barlow Semi Condensed"/>
          <w:sz w:val="24"/>
          <w:szCs w:val="24"/>
        </w:rPr>
        <w:t xml:space="preserve">proposta in PDF 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l'opera. L'indirizzo PEC della società — Gius. Laterza</w:t>
      </w:r>
    </w:p>
    <w:p>
      <w:pPr>
        <w:spacing w:after="120" w:line="276"/>
        <w:jc w:val="both"/>
      </w:pPr>
      <w:r>
        <w:rPr>
          <w:rFonts w:ascii="Barlow Semi Condensed" w:cs="Barlow Semi Condensed" w:eastAsia="Barlow Semi Condensed" w:hAnsi="Barlow Semi Condensed"/>
          <w:sz w:val="24"/>
          <w:szCs w:val="24"/>
        </w:rPr>
        <w:t xml:space="preserve">&amp; Figli S.p.A., sede legale Piazza Umberto I 54, 70121 Bari — è reperibile</w:t>
      </w:r>
    </w:p>
    <w:p>
      <w:pPr>
        <w:spacing w:after="120" w:line="276"/>
        <w:jc w:val="both"/>
      </w:pPr>
      <w:r>
        <w:rPr>
          <w:rFonts w:ascii="Barlow Semi Condensed" w:cs="Barlow Semi Condensed" w:eastAsia="Barlow Semi Condensed" w:hAnsi="Barlow Semi Condensed"/>
          <w:sz w:val="24"/>
          <w:szCs w:val="24"/>
        </w:rPr>
        <w:t xml:space="preserve">nell'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il registro dei domicili digitali delle imprese: non è</w:t>
      </w:r>
    </w:p>
    <w:p>
      <w:pPr>
        <w:spacing w:after="120" w:line="276"/>
        <w:jc w:val="both"/>
      </w:pPr>
      <w:r>
        <w:rPr>
          <w:rFonts w:ascii="Barlow Semi Condensed" w:cs="Barlow Semi Condensed" w:eastAsia="Barlow Semi Condensed" w:hAnsi="Barlow Semi Condensed"/>
          <w:sz w:val="24"/>
          <w:szCs w:val="24"/>
        </w:rPr>
        <w:t xml:space="preserve">riportato qui perché non è stato possibile accertarlo, e non va ipotizzato.</w:t>
      </w:r>
    </w:p>
    <w:p>
      <w:pPr>
        <w:spacing w:after="120" w:line="276"/>
        <w:jc w:val="both"/>
      </w:pPr>
      <w:r>
        <w:rPr>
          <w:rFonts w:ascii="Barlow Semi Condensed" w:cs="Barlow Semi Condensed" w:eastAsia="Barlow Semi Condensed" w:hAnsi="Barlow Semi Condensed"/>
          <w:sz w:val="24"/>
          <w:szCs w:val="24"/>
        </w:rPr>
        <w:t xml:space="preserve">Va però detto che la PEC, verso un editore, non aggiunge nulla di utile: certifica</w:t>
      </w:r>
    </w:p>
    <w:p>
      <w:pPr>
        <w:spacing w:after="120" w:line="276"/>
        <w:jc w:val="both"/>
      </w:pPr>
      <w:r>
        <w:rPr>
          <w:rFonts w:ascii="Barlow Semi Condensed" w:cs="Barlow Semi Condensed" w:eastAsia="Barlow Semi Condensed" w:hAnsi="Barlow Semi Condensed"/>
          <w:sz w:val="24"/>
          <w:szCs w:val="24"/>
        </w:rPr>
        <w:t xml:space="preserve">la consegna, non l'attenzione. La proposta viene letta perché è breve e</w:t>
      </w:r>
    </w:p>
    <w:p>
      <w:pPr>
        <w:spacing w:after="120" w:line="276"/>
        <w:jc w:val="both"/>
      </w:pPr>
      <w:r>
        <w:rPr>
          <w:rFonts w:ascii="Barlow Semi Condensed" w:cs="Barlow Semi Condensed" w:eastAsia="Barlow Semi Condensed" w:hAnsi="Barlow Semi Condensed"/>
          <w:sz w:val="24"/>
          <w:szCs w:val="24"/>
        </w:rPr>
        <w:t xml:space="preserve">interessante, o non viene letta affatto.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w:t>
      </w:r>
    </w:p>
    <w:p>
      <w:pPr>
        <w:spacing w:after="120" w:line="276"/>
        <w:jc w:val="both"/>
      </w:pPr>
      <w:r>
        <w:rPr>
          <w:rFonts w:ascii="Barlow Semi Condensed" w:cs="Barlow Semi Condensed" w:eastAsia="Barlow Semi Condensed" w:hAnsi="Barlow Semi Condensed"/>
          <w:sz w:val="24"/>
          <w:szCs w:val="24"/>
        </w:rPr>
        <w:t xml:space="preserve">Prima dell'invio conviene verificare sul sito che le indicazioni per le proposte</w:t>
      </w:r>
    </w:p>
    <w:p>
      <w:pPr>
        <w:spacing w:after="120" w:line="276"/>
        <w:jc w:val="both"/>
      </w:pPr>
      <w:r>
        <w:rPr>
          <w:rFonts w:ascii="Barlow Semi Condensed" w:cs="Barlow Semi Condensed" w:eastAsia="Barlow Semi Condensed" w:hAnsi="Barlow Semi Condensed"/>
          <w:sz w:val="24"/>
          <w:szCs w:val="24"/>
        </w:rPr>
        <w:t xml:space="preserve">non siano cambiate, e leggere qualche titolo recente del catalogo di saggistica</w:t>
      </w:r>
    </w:p>
    <w:p>
      <w:pPr>
        <w:spacing w:after="120" w:line="276"/>
        <w:jc w:val="both"/>
      </w:pPr>
      <w:r>
        <w:rPr>
          <w:rFonts w:ascii="Barlow Semi Condensed" w:cs="Barlow Semi Condensed" w:eastAsia="Barlow Semi Condensed" w:hAnsi="Barlow Semi Condensed"/>
          <w:sz w:val="24"/>
          <w:szCs w:val="24"/>
        </w:rPr>
        <w:t xml:space="preserve">per calibrare il registro. Una proposta che dimostra di conoscere il catalogo a</w:t>
      </w:r>
    </w:p>
    <w:p>
      <w:pPr>
        <w:spacing w:after="120" w:line="276"/>
        <w:jc w:val="both"/>
      </w:pPr>
      <w:r>
        <w:rPr>
          <w:rFonts w:ascii="Barlow Semi Condensed" w:cs="Barlow Semi Condensed" w:eastAsia="Barlow Semi Condensed" w:hAnsi="Barlow Semi Condensed"/>
          <w:sz w:val="24"/>
          <w:szCs w:val="24"/>
        </w:rPr>
        <w:t xml:space="preserve">cui si rivolge ha una probabilità diversa da una che non lo fa.</w:t>
      </w:r>
    </w:p>
    <w:p>
      <w:pPr>
        <w:pStyle w:val="Heading3"/>
        <w:spacing w:after="80" w:before="240"/>
      </w:pPr>
      <w:r>
        <w:rPr>
          <w:rFonts w:ascii="Barlow Semi Condensed" w:cs="Barlow Semi Condensed" w:eastAsia="Barlow Semi Condensed" w:hAnsi="Barlow Semi Condensed"/>
          <w:sz w:val="24"/>
          <w:szCs w:val="24"/>
        </w:rPr>
        <w:t xml:space="preserve">Apparato grafico — Appendici · xiii. A Laterza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IV.xiii: 1.075 parole in 5 sezioni; la più ampia è §3 Corpo del messaggio, con 666.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IV.xiii: 25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xiv. A il Mulino, Carocci, Einaudi</w:t>
      </w:r>
    </w:p>
    <w:p>
      <w:pPr>
        <w:pStyle w:val="Heading1"/>
        <w:spacing w:after="120" w:before="240"/>
      </w:pPr>
      <w:r>
        <w:rPr>
          <w:rFonts w:ascii="Barlow Semi Condensed" w:cs="Barlow Semi Condensed" w:eastAsia="Barlow Semi Condensed" w:hAnsi="Barlow Semi Condensed"/>
          <w:sz w:val="24"/>
          <w:szCs w:val="24"/>
        </w:rPr>
        <w:t xml:space="preserve">Proposte editoriali — il Mulino, Carocci, Einaudi</w:t>
      </w:r>
    </w:p>
    <w:p>
      <w:pPr>
        <w:spacing w:after="120" w:line="276"/>
        <w:jc w:val="both"/>
      </w:pPr>
      <w:r>
        <w:rPr>
          <w:rFonts w:ascii="Barlow Semi Condensed" w:cs="Barlow Semi Condensed" w:eastAsia="Barlow Semi Condensed" w:hAnsi="Barlow Semi Condensed"/>
          <w:sz w:val="24"/>
          <w:szCs w:val="24"/>
        </w:rPr>
        <w:t xml:space="preserve">*Preparate il 26 agosto 2026. Tre editori, tre modalità di invio diverse, tre</w:t>
      </w:r>
    </w:p>
    <w:p>
      <w:pPr>
        <w:spacing w:after="120" w:line="276"/>
        <w:jc w:val="both"/>
      </w:pPr>
      <w:r>
        <w:rPr>
          <w:rFonts w:ascii="Barlow Semi Condensed" w:cs="Barlow Semi Condensed" w:eastAsia="Barlow Semi Condensed" w:hAnsi="Barlow Semi Condensed"/>
          <w:sz w:val="24"/>
          <w:szCs w:val="24"/>
        </w:rPr>
        <w:t xml:space="preserve">angolature diverse dello stesso libro. Verificare le modalità sui siti prima</w:t>
      </w:r>
    </w:p>
    <w:p>
      <w:pPr>
        <w:spacing w:after="120" w:line="276"/>
        <w:jc w:val="both"/>
      </w:pPr>
      <w:r>
        <w:rPr>
          <w:rFonts w:ascii="Barlow Semi Condensed" w:cs="Barlow Semi Condensed" w:eastAsia="Barlow Semi Condensed" w:hAnsi="Barlow Semi Condensed"/>
          <w:sz w:val="24"/>
          <w:szCs w:val="24"/>
        </w:rPr>
        <w:t xml:space="preserve">dell'invio: 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 a tutte e tre</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w:t>
      </w:r>
    </w:p>
    <w:p>
      <w:pPr>
        <w:spacing w:after="120" w:line="276"/>
        <w:jc w:val="both"/>
      </w:pPr>
      <w:r>
        <w:rPr>
          <w:rFonts w:ascii="Barlow Semi Condensed" w:cs="Barlow Semi Condensed" w:eastAsia="Barlow Semi Condensed" w:hAnsi="Barlow Semi Condensed"/>
          <w:sz w:val="24"/>
          <w:szCs w:val="24"/>
        </w:rPr>
        <w:t xml:space="preserve">apparato di consultazione. È il saggio breve che ne nasce: il resoconto di un</w:t>
      </w:r>
    </w:p>
    <w:p>
      <w:pPr>
        <w:spacing w:after="120" w:line="276"/>
        <w:jc w:val="both"/>
      </w:pPr>
      <w:r>
        <w:rPr>
          <w:rFonts w:ascii="Barlow Semi Condensed" w:cs="Barlow Semi Condensed" w:eastAsia="Barlow Semi Condensed" w:hAnsi="Barlow Semi Condensed"/>
          <w:sz w:val="24"/>
          <w:szCs w:val="24"/>
        </w:rPr>
        <w:t xml:space="preserve">esperimento di ricerca storica assistita da intelligenza artificiale condotto sul</w:t>
      </w:r>
    </w:p>
    <w:p>
      <w:pPr>
        <w:spacing w:after="120" w:line="276"/>
        <w:jc w:val="both"/>
      </w:pPr>
      <w:r>
        <w:rPr>
          <w:rFonts w:ascii="Barlow Semi Condensed" w:cs="Barlow Semi Condensed" w:eastAsia="Barlow Semi Condensed" w:hAnsi="Barlow Semi Condensed"/>
          <w:sz w:val="24"/>
          <w:szCs w:val="24"/>
        </w:rPr>
        <w:t xml:space="preserve">caso Moro, e in particolare dei suoi fallimenti metodologici.</w:t>
      </w:r>
    </w:p>
    <w:p>
      <w:pPr>
        <w:spacing w:after="120" w:line="276"/>
        <w:jc w:val="both"/>
      </w:pPr>
      <w:r>
        <w:rPr>
          <w:rFonts w:ascii="Barlow Semi Condensed" w:cs="Barlow Semi Condensed" w:eastAsia="Barlow Semi Condensed" w:hAnsi="Barlow Semi Condensed"/>
          <w:sz w:val="24"/>
          <w:szCs w:val="24"/>
        </w:rPr>
        <w:t xml:space="preserve">**In tutte e tre le proposte la dichiarazione sull'uso dell'intelligenza</w:t>
      </w:r>
    </w:p>
    <w:p>
      <w:pPr>
        <w:spacing w:after="120" w:line="276"/>
        <w:jc w:val="both"/>
      </w:pPr>
      <w:r>
        <w:rPr>
          <w:rFonts w:ascii="Barlow Semi Condensed" w:cs="Barlow Semi Condensed" w:eastAsia="Barlow Semi Condensed" w:hAnsi="Barlow Semi Condensed"/>
          <w:sz w:val="24"/>
          <w:szCs w:val="24"/>
        </w:rPr>
        <w:t xml:space="preserve">artificiale sta in apertura.** Non è cautela: è l'oggetto del libro, e ometterla</w:t>
      </w:r>
    </w:p>
    <w:p>
      <w:pPr>
        <w:spacing w:after="120" w:line="276"/>
        <w:jc w:val="both"/>
      </w:pPr>
      <w:r>
        <w:rPr>
          <w:rFonts w:ascii="Barlow Semi Condensed" w:cs="Barlow Semi Condensed" w:eastAsia="Barlow Semi Condensed" w:hAnsi="Barlow Semi Condensed"/>
          <w:sz w:val="24"/>
          <w:szCs w:val="24"/>
        </w:rPr>
        <w:t xml:space="preserve">significherebbe proporre un altro libro.</w:t>
      </w:r>
    </w:p>
    <w:p>
      <w:pPr>
        <w:spacing w:after="120" w:line="276"/>
        <w:jc w:val="both"/>
      </w:pPr>
      <w:r>
        <w:rPr>
          <w:rFonts w:ascii="Barlow Semi Condensed" w:cs="Barlow Semi Condensed" w:eastAsia="Barlow Semi Condensed" w:hAnsi="Barlow Semi Condensed"/>
          <w:b/>
          <w:bCs/>
          <w:sz w:val="24"/>
          <w:szCs w:val="24"/>
        </w:rPr>
        <w:t xml:space="preserve">Lo stato del lavoro va detto con franchezza</w:t>
      </w:r>
      <w:r>
        <w:rPr>
          <w:rFonts w:ascii="Barlow Semi Condensed" w:cs="Barlow Semi Condensed" w:eastAsia="Barlow Semi Condensed" w:hAnsi="Barlow Semi Condensed"/>
          <w:sz w:val="24"/>
          <w:szCs w:val="24"/>
        </w:rPr>
        <w:t xml:space="preserve">, e con la stessa formula</w:t>
      </w:r>
    </w:p>
    <w:p>
      <w:pPr>
        <w:spacing w:after="120" w:line="276"/>
        <w:jc w:val="both"/>
      </w:pPr>
      <w:r>
        <w:rPr>
          <w:rFonts w:ascii="Barlow Semi Condensed" w:cs="Barlow Semi Condensed" w:eastAsia="Barlow Semi Condensed" w:hAnsi="Barlow Semi Condensed"/>
          <w:sz w:val="24"/>
          <w:szCs w:val="24"/>
        </w:rPr>
        <w:t xml:space="preserve">ovunque: il corpus è completo e verificato, la struttura del saggio esiste, i</w:t>
      </w:r>
    </w:p>
    <w:p>
      <w:pPr>
        <w:spacing w:after="120" w:line="276"/>
        <w:jc w:val="both"/>
      </w:pPr>
      <w:r>
        <w:rPr>
          <w:rFonts w:ascii="Barlow Semi Condensed" w:cs="Barlow Semi Condensed" w:eastAsia="Barlow Semi Condensed" w:hAnsi="Barlow Semi Condensed"/>
          <w:sz w:val="24"/>
          <w:szCs w:val="24"/>
        </w:rPr>
        <w:t xml:space="preserve">sette casi sono 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w:t>
      </w:r>
    </w:p>
    <w:p>
      <w:pPr>
        <w:spacing w:after="120" w:line="276"/>
        <w:jc w:val="both"/>
      </w:pPr>
      <w:r>
        <w:rPr>
          <w:rFonts w:ascii="Barlow Semi Condensed" w:cs="Barlow Semi Condensed" w:eastAsia="Barlow Semi Condensed" w:hAnsi="Barlow Semi Condensed"/>
          <w:i/>
          <w:iCs/>
          <w:sz w:val="24"/>
          <w:szCs w:val="24"/>
        </w:rPr>
        <w:t xml:space="preserve">capitolo-campione.md</w:t>
      </w:r>
      <w:r>
        <w:rPr>
          <w:rFonts w:ascii="Barlow Semi Condensed" w:cs="Barlow Semi Condensed" w:eastAsia="Barlow Semi Condensed" w:hAnsi="Barlow Semi Condensed"/>
          <w:sz w:val="24"/>
          <w:szCs w:val="24"/>
        </w:rPr>
        <w:t xml:space="preserve">, e sta in questa stessa cartella anche in DOCX e in PDF —</w:t>
      </w:r>
    </w:p>
    <w:p>
      <w:pPr>
        <w:spacing w:after="120" w:line="276"/>
        <w:jc w:val="both"/>
      </w:pPr>
      <w:r>
        <w:rPr>
          <w:rFonts w:ascii="Barlow Semi Condensed" w:cs="Barlow Semi Condensed" w:eastAsia="Barlow Semi Condensed" w:hAnsi="Barlow Semi Condensed"/>
          <w:b/>
          <w:bCs/>
          <w:sz w:val="24"/>
          <w:szCs w:val="24"/>
        </w:rPr>
        <w:t xml:space="preserve">il resto del testo è da scrivere</w:t>
      </w:r>
      <w:r>
        <w:rPr>
          <w:rFonts w:ascii="Barlow Semi Condensed" w:cs="Barlow Semi Condensed" w:eastAsia="Barlow Semi Condensed" w:hAnsi="Barlow Semi Condensed"/>
          <w:sz w:val="24"/>
          <w:szCs w:val="24"/>
        </w:rPr>
        <w:t xml:space="preserve">. Questo pesa diversamente presso i tre</w:t>
      </w:r>
    </w:p>
    <w:p>
      <w:pPr>
        <w:spacing w:after="120" w:line="276"/>
        <w:jc w:val="both"/>
      </w:pPr>
      <w:r>
        <w:rPr>
          <w:rFonts w:ascii="Barlow Semi Condensed" w:cs="Barlow Semi Condensed" w:eastAsia="Barlow Semi Condensed" w:hAnsi="Barlow Semi Condensed"/>
          <w:sz w:val="24"/>
          <w:szCs w:val="24"/>
        </w:rPr>
        <w:t xml:space="preserve">editori, e lo si vedrà.</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Società editrice il Mulino</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il Mulino raccoglie le proposte attraverso un </w:t>
      </w:r>
      <w:r>
        <w:rPr>
          <w:rFonts w:ascii="Barlow Semi Condensed" w:cs="Barlow Semi Condensed" w:eastAsia="Barlow Semi Condensed" w:hAnsi="Barlow Semi Condensed"/>
          <w:b/>
          <w:bCs/>
          <w:sz w:val="24"/>
          <w:szCs w:val="24"/>
        </w:rPr>
        <w:t xml:space="preserve">modulo online</w:t>
      </w:r>
      <w:r>
        <w:rPr>
          <w:rFonts w:ascii="Barlow Semi Condensed" w:cs="Barlow Semi Condensed" w:eastAsia="Barlow Semi Condensed" w:hAnsi="Barlow Semi Condensed"/>
          <w:sz w:val="24"/>
          <w:szCs w:val="24"/>
        </w:rPr>
        <w:t xml:space="preserve"> sul proprio sito,</w:t>
      </w:r>
    </w:p>
    <w:p>
      <w:pPr>
        <w:spacing w:after="120" w:line="276"/>
        <w:jc w:val="both"/>
      </w:pPr>
      <w:r>
        <w:rPr>
          <w:rFonts w:ascii="Barlow Semi Condensed" w:cs="Barlow Semi Condensed" w:eastAsia="Barlow Semi Condensed" w:hAnsi="Barlow Semi Condensed"/>
          <w:sz w:val="24"/>
          <w:szCs w:val="24"/>
        </w:rPr>
        <w:t xml:space="preserve">non via email. Richiede registrazione e poi, in campi distinti: </w:t>
      </w:r>
      <w:r>
        <w:rPr>
          <w:rFonts w:ascii="Barlow Semi Condensed" w:cs="Barlow Semi Condensed" w:eastAsia="Barlow Semi Condensed" w:hAnsi="Barlow Semi Condensed"/>
          <w:b/>
          <w:bCs/>
          <w:sz w:val="24"/>
          <w:szCs w:val="24"/>
        </w:rPr>
        <w:t xml:space="preserve">argomento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estratto dell'opera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indice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descrizione estesa</w:t>
      </w:r>
      <w:r>
        <w:rPr>
          <w:rFonts w:ascii="Barlow Semi Condensed" w:cs="Barlow Semi Condensed" w:eastAsia="Barlow Semi Condensed" w:hAnsi="Barlow Semi Condensed"/>
          <w:sz w:val="24"/>
          <w:szCs w:val="24"/>
        </w:rPr>
        <w:t xml:space="preserve">, **pubblico di</w:t>
      </w:r>
    </w:p>
    <w:p>
      <w:pPr>
        <w:spacing w:after="120" w:line="276"/>
        <w:jc w:val="both"/>
      </w:pPr>
      <w:r>
        <w:rPr>
          <w:rFonts w:ascii="Barlow Semi Condensed" w:cs="Barlow Semi Condensed" w:eastAsia="Barlow Semi Condensed" w:hAnsi="Barlow Semi Condensed"/>
          <w:sz w:val="24"/>
          <w:szCs w:val="24"/>
        </w:rPr>
        <w:t xml:space="preserve">riferimento</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biografia dell'autore**. Quanto segue è già organizzato per</w:t>
      </w:r>
    </w:p>
    <w:p>
      <w:pPr>
        <w:spacing w:after="120" w:line="276"/>
        <w:jc w:val="both"/>
      </w:pPr>
      <w:r>
        <w:rPr>
          <w:rFonts w:ascii="Barlow Semi Condensed" w:cs="Barlow Semi Condensed" w:eastAsia="Barlow Semi Condensed" w:hAnsi="Barlow Semi Condensed"/>
          <w:sz w:val="24"/>
          <w:szCs w:val="24"/>
        </w:rPr>
        <w:t xml:space="preserve">quei campi, pronto da incollare.</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il Mulino è l'editore della storia repubblicana e del discorso civile. La</w:t>
      </w:r>
    </w:p>
    <w:p>
      <w:pPr>
        <w:spacing w:after="120" w:line="276"/>
        <w:jc w:val="both"/>
      </w:pPr>
      <w:r>
        <w:rPr>
          <w:rFonts w:ascii="Barlow Semi Condensed" w:cs="Barlow Semi Condensed" w:eastAsia="Barlow Semi Condensed" w:hAnsi="Barlow Semi Condensed"/>
          <w:sz w:val="24"/>
          <w:szCs w:val="24"/>
        </w:rPr>
        <w:t xml:space="preserve">proposta punta perciò sul </w:t>
      </w:r>
      <w:r>
        <w:rPr>
          <w:rFonts w:ascii="Barlow Semi Condensed" w:cs="Barlow Semi Condensed" w:eastAsia="Barlow Semi Condensed" w:hAnsi="Barlow Semi Condensed"/>
          <w:b/>
          <w:bCs/>
          <w:sz w:val="24"/>
          <w:szCs w:val="24"/>
        </w:rPr>
        <w:t xml:space="preserve">problema pubblico</w:t>
      </w:r>
      <w:r>
        <w:rPr>
          <w:rFonts w:ascii="Barlow Semi Condensed" w:cs="Barlow Semi Condensed" w:eastAsia="Barlow Semi Condensed" w:hAnsi="Barlow Semi Condensed"/>
          <w:sz w:val="24"/>
          <w:szCs w:val="24"/>
        </w:rPr>
        <w:t xml:space="preserve">: come si difende un fatto dalla</w:t>
      </w:r>
    </w:p>
    <w:p>
      <w:pPr>
        <w:spacing w:after="120" w:line="276"/>
        <w:jc w:val="both"/>
      </w:pPr>
      <w:r>
        <w:rPr>
          <w:rFonts w:ascii="Barlow Semi Condensed" w:cs="Barlow Semi Condensed" w:eastAsia="Barlow Semi Condensed" w:hAnsi="Barlow Semi Condensed"/>
          <w:sz w:val="24"/>
          <w:szCs w:val="24"/>
        </w:rPr>
        <w:t xml:space="preserve">dietrologia, e che cosa succede quando lo strumento che si usa per difenderlo è</w:t>
      </w:r>
    </w:p>
    <w:p>
      <w:pPr>
        <w:spacing w:after="120" w:line="276"/>
        <w:jc w:val="both"/>
      </w:pPr>
      <w:r>
        <w:rPr>
          <w:rFonts w:ascii="Barlow Semi Condensed" w:cs="Barlow Semi Condensed" w:eastAsia="Barlow Semi Condensed" w:hAnsi="Barlow Semi Condensed"/>
          <w:sz w:val="24"/>
          <w:szCs w:val="24"/>
        </w:rPr>
        <w:t xml:space="preserve">una macchina che, lasciata libera, la dietrologia la produce.</w:t>
      </w:r>
    </w:p>
    <w:p>
      <w:pPr>
        <w:pStyle w:val="Heading3"/>
        <w:spacing w:after="80" w:before="160"/>
      </w:pPr>
      <w:r>
        <w:rPr>
          <w:rFonts w:ascii="Barlow Semi Condensed" w:cs="Barlow Semi Condensed" w:eastAsia="Barlow Semi Condensed" w:hAnsi="Barlow Semi Condensed"/>
          <w:sz w:val="24"/>
          <w:szCs w:val="24"/>
        </w:rPr>
        <w:t xml:space="preserve">Argomento</w:t>
      </w:r>
    </w:p>
    <w:p>
      <w:pPr>
        <w:spacing w:after="120" w:line="276"/>
        <w:jc w:val="both"/>
      </w:pPr>
      <w:r>
        <w:rPr>
          <w:rFonts w:ascii="Barlow Semi Condensed" w:cs="Barlow Semi Condensed" w:eastAsia="Barlow Semi Condensed" w:hAnsi="Barlow Semi Condensed"/>
          <w:sz w:val="24"/>
          <w:szCs w:val="24"/>
        </w:rPr>
        <w:t xml:space="preserve">Storia contemporanea italiana; metodologia della ricerca storica; cultura</w:t>
      </w:r>
    </w:p>
    <w:p>
      <w:pPr>
        <w:spacing w:after="120" w:line="276"/>
        <w:jc w:val="both"/>
      </w:pPr>
      <w:r>
        <w:rPr>
          <w:rFonts w:ascii="Barlow Semi Condensed" w:cs="Barlow Semi Condensed" w:eastAsia="Barlow Semi Condensed" w:hAnsi="Barlow Semi Condensed"/>
          <w:sz w:val="24"/>
          <w:szCs w:val="24"/>
        </w:rPr>
        <w:t xml:space="preserve">digitale.</w:t>
      </w:r>
    </w:p>
    <w:p>
      <w:pPr>
        <w:pStyle w:val="Heading3"/>
        <w:spacing w:after="80" w:before="160"/>
      </w:pPr>
      <w:r>
        <w:rPr>
          <w:rFonts w:ascii="Barlow Semi Condensed" w:cs="Barlow Semi Condensed" w:eastAsia="Barlow Semi Condensed" w:hAnsi="Barlow Semi Condensed"/>
          <w:sz w:val="24"/>
          <w:szCs w:val="24"/>
        </w:rPr>
        <w:t xml:space="preserve">Titolo proposto</w:t>
      </w:r>
    </w:p>
    <w:p>
      <w:pPr>
        <w:spacing w:after="120" w:line="276"/>
        <w:jc w:val="both"/>
      </w:pPr>
      <w:r>
        <w:rPr>
          <w:rFonts w:ascii="Barlow Semi Condensed" w:cs="Barlow Semi Condensed" w:eastAsia="Barlow Semi Condensed" w:hAnsi="Barlow Semi Condensed"/>
          <w:sz w:val="24"/>
          <w:szCs w:val="24"/>
        </w:rPr>
        <w:t xml:space="preserve">**Il buco misurato. Che cosa trova una macchina quando la si mette a cercare</w:t>
      </w:r>
    </w:p>
    <w:p>
      <w:pPr>
        <w:spacing w:after="120" w:line="276"/>
        <w:jc w:val="both"/>
      </w:pPr>
      <w:r>
        <w:rPr>
          <w:rFonts w:ascii="Barlow Semi Condensed" w:cs="Barlow Semi Condensed" w:eastAsia="Barlow Semi Condensed" w:hAnsi="Barlow Semi Condensed"/>
          <w:sz w:val="24"/>
          <w:szCs w:val="24"/>
        </w:rPr>
        <w:t xml:space="preserve">nel caso Moro**</w:t>
      </w:r>
    </w:p>
    <w:p>
      <w:pPr>
        <w:pStyle w:val="Heading3"/>
        <w:spacing w:after="80" w:before="160"/>
      </w:pPr>
      <w:r>
        <w:rPr>
          <w:rFonts w:ascii="Barlow Semi Condensed" w:cs="Barlow Semi Condensed" w:eastAsia="Barlow Semi Condensed" w:hAnsi="Barlow Semi Condensed"/>
          <w:sz w:val="24"/>
          <w:szCs w:val="24"/>
        </w:rPr>
        <w:t xml:space="preserve">Descrizione estesa</w:t>
      </w:r>
    </w:p>
    <w:p>
      <w:pPr>
        <w:spacing w:after="120" w:line="276"/>
        <w:jc w:val="both"/>
      </w:pPr>
      <w:r>
        <w:rPr>
          <w:rFonts w:ascii="Barlow Semi Condensed" w:cs="Barlow Semi Condensed" w:eastAsia="Barlow Semi Condensed" w:hAnsi="Barlow Semi Condensed"/>
          <w:sz w:val="24"/>
          <w:szCs w:val="24"/>
        </w:rPr>
        <w:t xml:space="preserve">Il caso Moro è insieme il caso più documentato e il più infestato dalla</w:t>
      </w:r>
    </w:p>
    <w:p>
      <w:pPr>
        <w:spacing w:after="120" w:line="276"/>
        <w:jc w:val="both"/>
      </w:pPr>
      <w:r>
        <w:rPr>
          <w:rFonts w:ascii="Barlow Semi Condensed" w:cs="Barlow Semi Condensed" w:eastAsia="Barlow Semi Condensed" w:hAnsi="Barlow Semi Condensed"/>
          <w:sz w:val="24"/>
          <w:szCs w:val="24"/>
        </w:rPr>
        <w:t xml:space="preserve">dietrologia della storia repubblicana. Su di esso esiste una biblioteca di atti</w:t>
      </w:r>
    </w:p>
    <w:p>
      <w:pPr>
        <w:spacing w:after="120" w:line="276"/>
        <w:jc w:val="both"/>
      </w:pPr>
      <w:r>
        <w:rPr>
          <w:rFonts w:ascii="Barlow Semi Condensed" w:cs="Barlow Semi Condensed" w:eastAsia="Barlow Semi Condensed" w:hAnsi="Barlow Semi Condensed"/>
          <w:sz w:val="24"/>
          <w:szCs w:val="24"/>
        </w:rPr>
        <w:t xml:space="preserve">giudiziari, relazioni parlamentari e fondi archivistici; e sopra quella</w:t>
      </w:r>
    </w:p>
    <w:p>
      <w:pPr>
        <w:spacing w:after="120" w:line="276"/>
        <w:jc w:val="both"/>
      </w:pPr>
      <w:r>
        <w:rPr>
          <w:rFonts w:ascii="Barlow Semi Condensed" w:cs="Barlow Semi Condensed" w:eastAsia="Barlow Semi Condensed" w:hAnsi="Barlow Semi Condensed"/>
          <w:sz w:val="24"/>
          <w:szCs w:val="24"/>
        </w:rPr>
        <w:t xml:space="preserve">biblioteca è cresciuta una letteratura che prospera esattamente dove la</w:t>
      </w:r>
    </w:p>
    <w:p>
      <w:pPr>
        <w:spacing w:after="120" w:line="276"/>
        <w:jc w:val="both"/>
      </w:pPr>
      <w:r>
        <w:rPr>
          <w:rFonts w:ascii="Barlow Semi Condensed" w:cs="Barlow Semi Condensed" w:eastAsia="Barlow Semi Condensed" w:hAnsi="Barlow Semi Condensed"/>
          <w:sz w:val="24"/>
          <w:szCs w:val="24"/>
        </w:rPr>
        <w:t xml:space="preserve">documentazione tace.</w:t>
      </w:r>
    </w:p>
    <w:p>
      <w:pPr>
        <w:spacing w:after="120" w:line="276"/>
        <w:jc w:val="both"/>
      </w:pPr>
      <w:r>
        <w:rPr>
          <w:rFonts w:ascii="Barlow Semi Condensed" w:cs="Barlow Semi Condensed" w:eastAsia="Barlow Semi Condensed" w:hAnsi="Barlow Semi Condensed"/>
          <w:sz w:val="24"/>
          <w:szCs w:val="24"/>
        </w:rPr>
        <w:t xml:space="preserve">Nel 2026 ho condotto un esperimento: mettere sistemi di intelligenza artificiale</w:t>
      </w:r>
    </w:p>
    <w:p>
      <w:pPr>
        <w:spacing w:after="120" w:line="276"/>
        <w:jc w:val="both"/>
      </w:pPr>
      <w:r>
        <w:rPr>
          <w:rFonts w:ascii="Barlow Semi Condensed" w:cs="Barlow Semi Condensed" w:eastAsia="Barlow Semi Condensed" w:hAnsi="Barlow Semi Condensed"/>
          <w:sz w:val="24"/>
          <w:szCs w:val="24"/>
        </w:rPr>
        <w:t xml:space="preserve">a lavorare su quel materiale, con una disciplina metodologica vincolante, scritta</w:t>
      </w:r>
    </w:p>
    <w:p>
      <w:pPr>
        <w:spacing w:after="120" w:line="276"/>
        <w:jc w:val="both"/>
      </w:pPr>
      <w:r>
        <w:rPr>
          <w:rFonts w:ascii="Barlow Semi Condensed" w:cs="Barlow Semi Condensed" w:eastAsia="Barlow Semi Condensed" w:hAnsi="Barlow Semi Condensed"/>
          <w:sz w:val="24"/>
          <w:szCs w:val="24"/>
        </w:rPr>
        <w:t xml:space="preserve">prima di ciascun lotto e riscritta ogni volta che un lotto la incrinava — un</w:t>
      </w:r>
    </w:p>
    <w:p>
      <w:pPr>
        <w:spacing w:after="120" w:line="276"/>
        <w:jc w:val="both"/>
      </w:pPr>
      <w:r>
        <w:rPr>
          <w:rFonts w:ascii="Barlow Semi Condensed" w:cs="Barlow Semi Condensed" w:eastAsia="Barlow Semi Condensed" w:hAnsi="Barlow Semi Condensed"/>
          <w:sz w:val="24"/>
          <w:szCs w:val="24"/>
        </w:rPr>
        <w:t xml:space="preserve">legame è reale solo se un</w:t>
      </w:r>
    </w:p>
    <w:p>
      <w:pPr>
        <w:spacing w:after="120" w:line="276"/>
        <w:jc w:val="both"/>
      </w:pPr>
      <w:r>
        <w:rPr>
          <w:rFonts w:ascii="Barlow Semi Condensed" w:cs="Barlow Semi Condensed" w:eastAsia="Barlow Semi Condensed" w:hAnsi="Barlow Semi Condensed"/>
          <w:sz w:val="24"/>
          <w:szCs w:val="24"/>
        </w:rPr>
        <w:t xml:space="preserve">documento di provenienza nomina entrambe le parti; la contemporaneità non è prova</w:t>
      </w:r>
    </w:p>
    <w:p>
      <w:pPr>
        <w:spacing w:after="120" w:line="276"/>
        <w:jc w:val="both"/>
      </w:pPr>
      <w:r>
        <w:rPr>
          <w:rFonts w:ascii="Barlow Semi Condensed" w:cs="Barlow Semi Condensed" w:eastAsia="Barlow Semi Condensed" w:hAnsi="Barlow Semi Condensed"/>
          <w:sz w:val="24"/>
          <w:szCs w:val="24"/>
        </w:rPr>
        <w:t xml:space="preserve">di nesso; l'appartenenza a un'organizzazione non è prova di condotta; nessuna</w:t>
      </w:r>
    </w:p>
    <w:p>
      <w:pPr>
        <w:spacing w:after="120" w:line="276"/>
        <w:jc w:val="both"/>
      </w:pPr>
      <w:r>
        <w:rPr>
          <w:rFonts w:ascii="Barlow Semi Condensed" w:cs="Barlow Semi Condensed" w:eastAsia="Barlow Semi Condensed" w:hAnsi="Barlow Semi Condensed"/>
          <w:sz w:val="24"/>
          <w:szCs w:val="24"/>
        </w:rPr>
        <w:t xml:space="preserve">persona è indicata come responsabile oltre il giudicato definitivo. Il risultato</w:t>
      </w:r>
    </w:p>
    <w:p>
      <w:pPr>
        <w:spacing w:after="120" w:line="276"/>
        <w:jc w:val="both"/>
      </w:pPr>
      <w:r>
        <w:rPr>
          <w:rFonts w:ascii="Barlow Semi Condensed" w:cs="Barlow Semi Condensed" w:eastAsia="Barlow Semi Condensed" w:hAnsi="Barlow Semi Condensed"/>
          <w:sz w:val="24"/>
          <w:szCs w:val="24"/>
        </w:rPr>
        <w:t xml:space="preserve">è un corpus di quasi ottomila «blocchi mirati», cioè bersagli di ricerca e non</w:t>
      </w:r>
    </w:p>
    <w:p>
      <w:pPr>
        <w:spacing w:after="120" w:line="276"/>
        <w:jc w:val="both"/>
      </w:pPr>
      <w:r>
        <w:rPr>
          <w:rFonts w:ascii="Barlow Semi Condensed" w:cs="Barlow Semi Condensed" w:eastAsia="Barlow Semi Condensed" w:hAnsi="Barlow Semi Condensed"/>
          <w:sz w:val="24"/>
          <w:szCs w:val="24"/>
        </w:rPr>
        <w:t xml:space="preserve">affermazioni.</w:t>
      </w:r>
    </w:p>
    <w:p>
      <w:pPr>
        <w:spacing w:after="120" w:line="276"/>
        <w:jc w:val="both"/>
      </w:pPr>
      <w:r>
        <w:rPr>
          <w:rFonts w:ascii="Barlow Semi Condensed" w:cs="Barlow Semi Condensed" w:eastAsia="Barlow Semi Condensed" w:hAnsi="Barlow Semi Condensed"/>
          <w:sz w:val="24"/>
          <w:szCs w:val="24"/>
        </w:rPr>
        <w:t xml:space="preserve">Quella disciplina governa tredici dei quattordici Libri del corpus. Il</w:t>
      </w:r>
    </w:p>
    <w:p>
      <w:pPr>
        <w:spacing w:after="120" w:line="276"/>
        <w:jc w:val="both"/>
      </w:pPr>
      <w:r>
        <w:rPr>
          <w:rFonts w:ascii="Barlow Semi Condensed" w:cs="Barlow Semi Condensed" w:eastAsia="Barlow Semi Condensed" w:hAnsi="Barlow Semi Condensed"/>
          <w:sz w:val="24"/>
          <w:szCs w:val="24"/>
        </w:rPr>
        <w:t xml:space="preserve">quattordicesimo — un dossier d'autore anteriore, conservato per intero anziché</w:t>
      </w:r>
    </w:p>
    <w:p>
      <w:pPr>
        <w:spacing w:after="120" w:line="276"/>
        <w:jc w:val="both"/>
      </w:pPr>
      <w:r>
        <w:rPr>
          <w:rFonts w:ascii="Barlow Semi Condensed" w:cs="Barlow Semi Condensed" w:eastAsia="Barlow Semi Condensed" w:hAnsi="Barlow Semi Condensed"/>
          <w:sz w:val="24"/>
          <w:szCs w:val="24"/>
        </w:rPr>
        <w:t xml:space="preserve">riscritto — nella seconda metà la congeda dichiaratamente e ordina secondo la</w:t>
      </w:r>
    </w:p>
    <w:p>
      <w:pPr>
        <w:spacing w:after="120" w:line="276"/>
        <w:jc w:val="both"/>
      </w:pPr>
      <w:r>
        <w:rPr>
          <w:rFonts w:ascii="Barlow Semi Condensed" w:cs="Barlow Semi Condensed" w:eastAsia="Barlow Semi Condensed" w:hAnsi="Barlow Semi Condensed"/>
          <w:sz w:val="24"/>
          <w:szCs w:val="24"/>
        </w:rPr>
        <w:t xml:space="preserve">plausibilità del coinvolgimento, per categorie di soggetti e non per nomi</w:t>
      </w:r>
    </w:p>
    <w:p>
      <w:pPr>
        <w:spacing w:after="120" w:line="276"/>
        <w:jc w:val="both"/>
      </w:pPr>
      <w:r>
        <w:rPr>
          <w:rFonts w:ascii="Barlow Semi Condensed" w:cs="Barlow Semi Condensed" w:eastAsia="Barlow Semi Condensed" w:hAnsi="Barlow Semi Condensed"/>
          <w:sz w:val="24"/>
          <w:szCs w:val="24"/>
        </w:rPr>
        <w:t xml:space="preserve">individuali. È l'unica deroga, è registrata nella disciplina in copertina</w:t>
      </w:r>
    </w:p>
    <w:p>
      <w:pPr>
        <w:spacing w:after="120" w:line="276"/>
        <w:jc w:val="both"/>
      </w:pPr>
      <w:r>
        <w:rPr>
          <w:rFonts w:ascii="Barlow Semi Condensed" w:cs="Barlow Semi Condensed" w:eastAsia="Barlow Semi Condensed" w:hAnsi="Barlow Semi Condensed"/>
          <w:sz w:val="24"/>
          <w:szCs w:val="24"/>
        </w:rPr>
        <w:t xml:space="preserve">dell'opera, e il saggio che propongo non la riprende.</w:t>
      </w:r>
    </w:p>
    <w:p>
      <w:pPr>
        <w:spacing w:after="120" w:line="276"/>
        <w:jc w:val="both"/>
      </w:pPr>
      <w:r>
        <w:rPr>
          <w:rFonts w:ascii="Barlow Semi Condensed" w:cs="Barlow Semi Condensed" w:eastAsia="Barlow Semi Condensed" w:hAnsi="Barlow Semi Condensed"/>
          <w:sz w:val="24"/>
          <w:szCs w:val="24"/>
        </w:rPr>
        <w:t xml:space="preserve">Questo libro non è quel corpus. È il resoconto dell'esperimento, e la sua tesi è</w:t>
      </w:r>
    </w:p>
    <w:p>
      <w:pPr>
        <w:spacing w:after="120" w:line="276"/>
        <w:jc w:val="both"/>
      </w:pPr>
      <w:r>
        <w:rPr>
          <w:rFonts w:ascii="Barlow Semi Condensed" w:cs="Barlow Semi Condensed" w:eastAsia="Barlow Semi Condensed" w:hAnsi="Barlow Semi Condensed"/>
          <w:sz w:val="24"/>
          <w:szCs w:val="24"/>
        </w:rPr>
        <w:t xml:space="preserve">scomoda per entrambi i partiti del dibattito corrente: **una macchina messa a</w:t>
      </w:r>
    </w:p>
    <w:p>
      <w:pPr>
        <w:spacing w:after="120" w:line="276"/>
        <w:jc w:val="both"/>
      </w:pPr>
      <w:r>
        <w:rPr>
          <w:rFonts w:ascii="Barlow Semi Condensed" w:cs="Barlow Semi Condensed" w:eastAsia="Barlow Semi Condensed" w:hAnsi="Barlow Semi Condensed"/>
          <w:sz w:val="24"/>
          <w:szCs w:val="24"/>
        </w:rPr>
        <w:t xml:space="preserve">cercare connessioni le trova sempre**, e la sola cosa che glielo impedisce è una</w:t>
      </w:r>
    </w:p>
    <w:p>
      <w:pPr>
        <w:spacing w:after="120" w:line="276"/>
        <w:jc w:val="both"/>
      </w:pPr>
      <w:r>
        <w:rPr>
          <w:rFonts w:ascii="Barlow Semi Condensed" w:cs="Barlow Semi Condensed" w:eastAsia="Barlow Semi Condensed" w:hAnsi="Barlow Semi Condensed"/>
          <w:sz w:val="24"/>
          <w:szCs w:val="24"/>
        </w:rPr>
        <w:t xml:space="preserve">disciplina scritta prima da un essere umano. Ma — ed è il punto che rende il</w:t>
      </w:r>
    </w:p>
    <w:p>
      <w:pPr>
        <w:spacing w:after="120" w:line="276"/>
        <w:jc w:val="both"/>
      </w:pPr>
      <w:r>
        <w:rPr>
          <w:rFonts w:ascii="Barlow Semi Condensed" w:cs="Barlow Semi Condensed" w:eastAsia="Barlow Semi Condensed" w:hAnsi="Barlow Semi Condensed"/>
          <w:sz w:val="24"/>
          <w:szCs w:val="24"/>
        </w:rPr>
        <w:t xml:space="preserve">libro civile e non tecnico — **quella disciplina è la stessa che serve a un</w:t>
      </w:r>
    </w:p>
    <w:p>
      <w:pPr>
        <w:spacing w:after="120" w:line="276"/>
        <w:jc w:val="both"/>
      </w:pPr>
      <w:r>
        <w:rPr>
          <w:rFonts w:ascii="Barlow Semi Condensed" w:cs="Barlow Semi Condensed" w:eastAsia="Barlow Semi Condensed" w:hAnsi="Barlow Semi Condensed"/>
          <w:sz w:val="24"/>
          <w:szCs w:val="24"/>
        </w:rPr>
        <w:t xml:space="preserve">lettore, a un giornalista o a una commissione parlamentare**. La macchina non</w:t>
      </w:r>
    </w:p>
    <w:p>
      <w:pPr>
        <w:spacing w:after="120" w:line="276"/>
        <w:jc w:val="both"/>
      </w:pPr>
      <w:r>
        <w:rPr>
          <w:rFonts w:ascii="Barlow Semi Condensed" w:cs="Barlow Semi Condensed" w:eastAsia="Barlow Semi Condensed" w:hAnsi="Barlow Semi Condensed"/>
          <w:sz w:val="24"/>
          <w:szCs w:val="24"/>
        </w:rPr>
        <w:t xml:space="preserve">introduce un problema nuovo: rende visibile, ingrandito e misurabile, il</w:t>
      </w:r>
    </w:p>
    <w:p>
      <w:pPr>
        <w:spacing w:after="120" w:line="276"/>
        <w:jc w:val="both"/>
      </w:pPr>
      <w:r>
        <w:rPr>
          <w:rFonts w:ascii="Barlow Semi Condensed" w:cs="Barlow Semi Condensed" w:eastAsia="Barlow Semi Condensed" w:hAnsi="Barlow Semi Condensed"/>
          <w:sz w:val="24"/>
          <w:szCs w:val="24"/>
        </w:rPr>
        <w:t xml:space="preserve">problema che la dietrologia italiana ha sempre avuto.</w:t>
      </w:r>
    </w:p>
    <w:p>
      <w:pPr>
        <w:spacing w:after="120" w:line="276"/>
        <w:jc w:val="both"/>
      </w:pPr>
      <w:r>
        <w:rPr>
          <w:rFonts w:ascii="Barlow Semi Condensed" w:cs="Barlow Semi Condensed" w:eastAsia="Barlow Semi Condensed" w:hAnsi="Barlow Semi Condensed"/>
          <w:sz w:val="24"/>
          <w:szCs w:val="24"/>
        </w:rPr>
        <w:t xml:space="preserve">Il libro procede per sette casi concreti, ciascuno con il suo documento. Fra</w:t>
      </w:r>
    </w:p>
    <w:p>
      <w:pPr>
        <w:spacing w:after="120" w:line="276"/>
        <w:jc w:val="both"/>
      </w:pPr>
      <w:r>
        <w:rPr>
          <w:rFonts w:ascii="Barlow Semi Condensed" w:cs="Barlow Semi Condensed" w:eastAsia="Barlow Semi Condensed" w:hAnsi="Barlow Semi Condensed"/>
          <w:sz w:val="24"/>
          <w:szCs w:val="24"/>
        </w:rPr>
        <w:t xml:space="preserve">questi: una frase attribuita a Henry Kissinger e ripetuta da decine di fonti</w:t>
      </w:r>
    </w:p>
    <w:p>
      <w:pPr>
        <w:spacing w:after="120" w:line="276"/>
        <w:jc w:val="both"/>
      </w:pPr>
      <w:r>
        <w:rPr>
          <w:rFonts w:ascii="Barlow Semi Condensed" w:cs="Barlow Semi Condensed" w:eastAsia="Barlow Semi Condensed" w:hAnsi="Barlow Semi Condensed"/>
          <w:sz w:val="24"/>
          <w:szCs w:val="24"/>
        </w:rPr>
        <w:t xml:space="preserve">risulta, a spoglio, discendere da un unico lancio d'agenzia del 30 novembre 2023</w:t>
      </w:r>
    </w:p>
    <w:p>
      <w:pPr>
        <w:spacing w:after="120" w:line="276"/>
        <w:jc w:val="both"/>
      </w:pPr>
      <w:r>
        <w:rPr>
          <w:rFonts w:ascii="Barlow Semi Condensed" w:cs="Barlow Semi Condensed" w:eastAsia="Barlow Semi Condensed" w:hAnsi="Barlow Semi Condensed"/>
          <w:sz w:val="24"/>
          <w:szCs w:val="24"/>
        </w:rPr>
        <w:t xml:space="preserve">— cento riprese di una sola origine restano una sola fonte. Il verbale dello</w:t>
      </w:r>
    </w:p>
    <w:p>
      <w:pPr>
        <w:spacing w:after="120" w:line="276"/>
        <w:jc w:val="both"/>
      </w:pPr>
      <w:r>
        <w:rPr>
          <w:rFonts w:ascii="Barlow Semi Condensed" w:cs="Barlow Semi Condensed" w:eastAsia="Barlow Semi Condensed" w:hAnsi="Barlow Semi Condensed"/>
          <w:sz w:val="24"/>
          <w:szCs w:val="24"/>
        </w:rPr>
        <w:t xml:space="preserve">Studio Ovale del 25 settembre 1974, correntemente citato come la prova</w:t>
      </w:r>
    </w:p>
    <w:p>
      <w:pPr>
        <w:spacing w:after="120" w:line="276"/>
        <w:jc w:val="both"/>
      </w:pPr>
      <w:r>
        <w:rPr>
          <w:rFonts w:ascii="Barlow Semi Condensed" w:cs="Barlow Semi Condensed" w:eastAsia="Barlow Semi Condensed" w:hAnsi="Barlow Semi Condensed"/>
          <w:sz w:val="24"/>
          <w:szCs w:val="24"/>
        </w:rPr>
        <w:t xml:space="preserve">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w:t>
      </w:r>
    </w:p>
    <w:p>
      <w:pPr>
        <w:spacing w:after="120" w:line="276"/>
        <w:jc w:val="both"/>
      </w:pPr>
      <w:r>
        <w:rPr>
          <w:rFonts w:ascii="Barlow Semi Condensed" w:cs="Barlow Semi Condensed" w:eastAsia="Barlow Semi Condensed" w:hAnsi="Barlow Semi Condensed"/>
          <w:sz w:val="24"/>
          <w:szCs w:val="24"/>
        </w:rPr>
        <w:t xml:space="preserve">banale e non risulta pubblicata in questa forma. E di quel colloquio esiste un</w:t>
      </w:r>
    </w:p>
    <w:p>
      <w:pPr>
        <w:spacing w:after="120" w:line="276"/>
        <w:jc w:val="both"/>
      </w:pPr>
      <w:r>
        <w:rPr>
          <w:rFonts w:ascii="Barlow Semi Condensed" w:cs="Barlow Semi Condensed" w:eastAsia="Barlow Semi Condensed" w:hAnsi="Barlow Semi Condensed"/>
          <w:sz w:val="24"/>
          <w:szCs w:val="24"/>
        </w:rPr>
        <w:t xml:space="preserve">solo versante, quello statunitense: l'appunto italiano dello stesso incontro non</w:t>
      </w:r>
    </w:p>
    <w:p>
      <w:pPr>
        <w:spacing w:after="120" w:line="276"/>
        <w:jc w:val="both"/>
      </w:pPr>
      <w:r>
        <w:rPr>
          <w:rFonts w:ascii="Barlow Semi Condensed" w:cs="Barlow Semi Condensed" w:eastAsia="Barlow Semi Condensed" w:hAnsi="Barlow Semi Condensed"/>
          <w:sz w:val="24"/>
          <w:szCs w:val="24"/>
        </w:rPr>
        <w:t xml:space="preserve">risulta essere mai stato cercato.</w:t>
      </w:r>
    </w:p>
    <w:p>
      <w:pPr>
        <w:spacing w:after="120" w:line="276"/>
        <w:jc w:val="both"/>
      </w:pPr>
      <w:r>
        <w:rPr>
          <w:rFonts w:ascii="Barlow Semi Condensed" w:cs="Barlow Semi Condensed" w:eastAsia="Barlow Semi Condensed" w:hAnsi="Barlow Semi Condensed"/>
          <w:sz w:val="24"/>
          <w:szCs w:val="24"/>
        </w:rPr>
        <w:t xml:space="preserve">Il caso Moro funziona qui come </w:t>
      </w:r>
      <w:r>
        <w:rPr>
          <w:rFonts w:ascii="Barlow Semi Condensed" w:cs="Barlow Semi Condensed" w:eastAsia="Barlow Semi Condensed" w:hAnsi="Barlow Semi Condensed"/>
          <w:b/>
          <w:bCs/>
          <w:sz w:val="24"/>
          <w:szCs w:val="24"/>
        </w:rPr>
        <w:t xml:space="preserve">banco di prova e non come oggetto</w:t>
      </w:r>
      <w:r>
        <w:rPr>
          <w:rFonts w:ascii="Barlow Semi Condensed" w:cs="Barlow Semi Condensed" w:eastAsia="Barlow Semi Condensed" w:hAnsi="Barlow Semi Condensed"/>
          <w:sz w:val="24"/>
          <w:szCs w:val="24"/>
        </w:rPr>
        <w:t xml:space="preserve">. Il libro</w:t>
      </w:r>
    </w:p>
    <w:p>
      <w:pPr>
        <w:spacing w:after="120" w:line="276"/>
        <w:jc w:val="both"/>
      </w:pPr>
      <w:r>
        <w:rPr>
          <w:rFonts w:ascii="Barlow Semi Condensed" w:cs="Barlow Semi Condensed" w:eastAsia="Barlow Semi Condensed" w:hAnsi="Barlow Semi Condensed"/>
          <w:sz w:val="24"/>
          <w:szCs w:val="24"/>
        </w:rPr>
        <w:t xml:space="preserve">non propone alcuna tesi sul 1978, non rivela nulla e non indica alcun</w:t>
      </w:r>
    </w:p>
    <w:p>
      <w:pPr>
        <w:spacing w:after="120" w:line="276"/>
        <w:jc w:val="both"/>
      </w:pPr>
      <w:r>
        <w:rPr>
          <w:rFonts w:ascii="Barlow Semi Condensed" w:cs="Barlow Semi Condensed" w:eastAsia="Barlow Semi Condensed" w:hAnsi="Barlow Semi Condensed"/>
          <w:sz w:val="24"/>
          <w:szCs w:val="24"/>
        </w:rPr>
        <w:t xml:space="preserve">responsabile. Serve perché è documentatissimo, perché la sua letteratura è</w:t>
      </w:r>
    </w:p>
    <w:p>
      <w:pPr>
        <w:spacing w:after="120" w:line="276"/>
        <w:jc w:val="both"/>
      </w:pPr>
      <w:r>
        <w:rPr>
          <w:rFonts w:ascii="Barlow Semi Condensed" w:cs="Barlow Semi Condensed" w:eastAsia="Barlow Semi Condensed" w:hAnsi="Barlow Semi Condensed"/>
          <w:sz w:val="24"/>
          <w:szCs w:val="24"/>
        </w:rPr>
        <w:t xml:space="preserve">tossica, e perché ogni lettore italiano riconosce quando un ragionamento su di</w:t>
      </w:r>
    </w:p>
    <w:p>
      <w:pPr>
        <w:spacing w:after="120" w:line="276"/>
        <w:jc w:val="both"/>
      </w:pPr>
      <w:r>
        <w:rPr>
          <w:rFonts w:ascii="Barlow Semi Condensed" w:cs="Barlow Semi Condensed" w:eastAsia="Barlow Semi Condensed" w:hAnsi="Barlow Semi Condensed"/>
          <w:sz w:val="24"/>
          <w:szCs w:val="24"/>
        </w:rPr>
        <w:t xml:space="preserve">esso sta scivolando.</w:t>
      </w:r>
    </w:p>
    <w:p>
      <w:pPr>
        <w:pStyle w:val="Heading3"/>
        <w:spacing w:after="80" w:before="160"/>
      </w:pPr>
      <w:r>
        <w:rPr>
          <w:rFonts w:ascii="Barlow Semi Condensed" w:cs="Barlow Semi Condensed" w:eastAsia="Barlow Semi Condensed" w:hAnsi="Barlow Semi Condensed"/>
          <w:sz w:val="24"/>
          <w:szCs w:val="24"/>
        </w:rPr>
        <w:t xml:space="preserve">Indice proposto</w:t>
      </w:r>
    </w:p>
    <w:p>
      <w:pPr>
        <w:spacing w:after="40"/>
        <w:ind w:left="360"/>
        <w:jc w:val="both"/>
      </w:pPr>
      <w:r>
        <w:rPr>
          <w:rFonts w:ascii="Barlow Semi Condensed" w:cs="Barlow Semi Condensed" w:eastAsia="Barlow Semi Condensed" w:hAnsi="Barlow Semi Condensed"/>
          <w:sz w:val="24"/>
          <w:szCs w:val="24"/>
        </w:rPr>
        <w:t xml:space="preserve">1. La regola scritta prima — perché una disciplina si fissa quando non serve ancora</w:t>
      </w:r>
    </w:p>
    <w:p>
      <w:pPr>
        <w:spacing w:after="40"/>
        <w:ind w:left="360"/>
        <w:jc w:val="both"/>
      </w:pPr>
      <w:r>
        <w:rPr>
          <w:rFonts w:ascii="Barlow Semi Condensed" w:cs="Barlow Semi Condensed" w:eastAsia="Barlow Semi Condensed" w:hAnsi="Barlow Semi Condensed"/>
          <w:sz w:val="24"/>
          <w:szCs w:val="24"/>
        </w:rPr>
        <w:t xml:space="preserve">2. I tre piani — documento, convergenza, diceria: e perché solo il primo è un ponte</w:t>
      </w:r>
    </w:p>
    <w:p>
      <w:pPr>
        <w:spacing w:after="40"/>
        <w:ind w:left="360"/>
        <w:jc w:val="both"/>
      </w:pPr>
      <w:r>
        <w:rPr>
          <w:rFonts w:ascii="Barlow Semi Condensed" w:cs="Barlow Semi Condensed" w:eastAsia="Barlow Semi Condensed" w:hAnsi="Barlow Semi Condensed"/>
          <w:sz w:val="24"/>
          <w:szCs w:val="24"/>
        </w:rPr>
        <w:t xml:space="preserve">3. La moltiplicazione apparente — cento riprese di una sola fonte</w:t>
      </w:r>
    </w:p>
    <w:p>
      <w:pPr>
        <w:spacing w:after="40"/>
        <w:ind w:left="360"/>
        <w:jc w:val="both"/>
      </w:pPr>
      <w:r>
        <w:rPr>
          <w:rFonts w:ascii="Barlow Semi Condensed" w:cs="Barlow Semi Condensed" w:eastAsia="Barlow Semi Condensed" w:hAnsi="Barlow Semi Condensed"/>
          <w:sz w:val="24"/>
          <w:szCs w:val="24"/>
        </w:rPr>
        <w:t xml:space="preserve">4. Il documento che non dice ciò che tutti citano — il verbale del 25 settembre 1974</w:t>
      </w:r>
    </w:p>
    <w:p>
      <w:pPr>
        <w:spacing w:after="40"/>
        <w:ind w:left="360"/>
        <w:jc w:val="both"/>
      </w:pPr>
      <w:r>
        <w:rPr>
          <w:rFonts w:ascii="Barlow Semi Condensed" w:cs="Barlow Semi Condensed" w:eastAsia="Barlow Semi Condensed" w:hAnsi="Barlow Semi Condensed"/>
          <w:sz w:val="24"/>
          <w:szCs w:val="24"/>
        </w:rPr>
        <w:t xml:space="preserve">5. Il buco misurato e il buco narrato — come si dichiara un'assenza</w:t>
      </w:r>
    </w:p>
    <w:p>
      <w:pPr>
        <w:spacing w:after="40"/>
        <w:ind w:left="360"/>
        <w:jc w:val="both"/>
      </w:pPr>
      <w:r>
        <w:rPr>
          <w:rFonts w:ascii="Barlow Semi Condensed" w:cs="Barlow Semi Condensed" w:eastAsia="Barlow Semi Condensed" w:hAnsi="Barlow Semi Condensed"/>
          <w:sz w:val="24"/>
          <w:szCs w:val="24"/>
        </w:rPr>
        <w:t xml:space="preserve">6. L'attesa dichiarata — perché non trovare nulla, a volte, non è una scoperta</w:t>
      </w:r>
    </w:p>
    <w:p>
      <w:pPr>
        <w:spacing w:after="40"/>
        <w:ind w:left="360"/>
        <w:jc w:val="both"/>
      </w:pPr>
      <w:r>
        <w:rPr>
          <w:rFonts w:ascii="Barlow Semi Condensed" w:cs="Barlow Semi Condensed" w:eastAsia="Barlow Semi Condensed" w:hAnsi="Barlow Semi Condensed"/>
          <w:sz w:val="24"/>
          <w:szCs w:val="24"/>
        </w:rPr>
        <w:t xml:space="preserve">7. Quando il controllo sbaglia — otto casi in cui la verifica ha segnalato la regola</w:t>
      </w:r>
    </w:p>
    <w:p>
      <w:pPr>
        <w:spacing w:after="120" w:line="276"/>
        <w:jc w:val="both"/>
      </w:pPr>
      <w:r>
        <w:rPr>
          <w:rFonts w:ascii="Barlow Semi Condensed" w:cs="Barlow Semi Condensed" w:eastAsia="Barlow Semi Condensed" w:hAnsi="Barlow Semi Condensed"/>
          <w:sz w:val="24"/>
          <w:szCs w:val="24"/>
        </w:rPr>
        <w:t xml:space="preserve">   Appendice: cinque atti d'archivio da compiere</w:t>
      </w:r>
    </w:p>
    <w:p>
      <w:pPr>
        <w:pStyle w:val="Heading3"/>
        <w:spacing w:after="80" w:before="160"/>
      </w:pPr>
      <w:r>
        <w:rPr>
          <w:rFonts w:ascii="Barlow Semi Condensed" w:cs="Barlow Semi Condensed" w:eastAsia="Barlow Semi Condensed" w:hAnsi="Barlow Semi Condensed"/>
          <w:sz w:val="24"/>
          <w:szCs w:val="24"/>
        </w:rPr>
        <w:t xml:space="preserve">Pubblico di riferimento</w:t>
      </w:r>
    </w:p>
    <w:p>
      <w:pPr>
        <w:spacing w:after="120" w:line="276"/>
        <w:jc w:val="both"/>
      </w:pPr>
      <w:r>
        <w:rPr>
          <w:rFonts w:ascii="Barlow Semi Condensed" w:cs="Barlow Semi Condensed" w:eastAsia="Barlow Semi Condensed" w:hAnsi="Barlow Semi Condensed"/>
          <w:sz w:val="24"/>
          <w:szCs w:val="24"/>
        </w:rPr>
        <w:t xml:space="preserve">Lettori di saggistica storica e civile — il pubblico che segue la storia</w:t>
      </w:r>
    </w:p>
    <w:p>
      <w:pPr>
        <w:spacing w:after="120" w:line="276"/>
        <w:jc w:val="both"/>
      </w:pPr>
      <w:r>
        <w:rPr>
          <w:rFonts w:ascii="Barlow Semi Condensed" w:cs="Barlow Semi Condensed" w:eastAsia="Barlow Semi Condensed" w:hAnsi="Barlow Semi Condensed"/>
          <w:sz w:val="24"/>
          <w:szCs w:val="24"/>
        </w:rPr>
        <w:t xml:space="preserve">repubblicana e le sue zone grigie. E, in seconda battuta, il pubblico più ampio</w:t>
      </w:r>
    </w:p>
    <w:p>
      <w:pPr>
        <w:spacing w:after="120" w:line="276"/>
        <w:jc w:val="both"/>
      </w:pPr>
      <w:r>
        <w:rPr>
          <w:rFonts w:ascii="Barlow Semi Condensed" w:cs="Barlow Semi Condensed" w:eastAsia="Barlow Semi Condensed" w:hAnsi="Barlow Semi Condensed"/>
          <w:sz w:val="24"/>
          <w:szCs w:val="24"/>
        </w:rPr>
        <w:t xml:space="preserve">di chi vuole capire che cosa questi sistemi facciano davvero su qualcosa di</w:t>
      </w:r>
    </w:p>
    <w:p>
      <w:pPr>
        <w:spacing w:after="120" w:line="276"/>
        <w:jc w:val="both"/>
      </w:pPr>
      <w:r>
        <w:rPr>
          <w:rFonts w:ascii="Barlow Semi Condensed" w:cs="Barlow Semi Condensed" w:eastAsia="Barlow Semi Condensed" w:hAnsi="Barlow Semi Condensed"/>
          <w:sz w:val="24"/>
          <w:szCs w:val="24"/>
        </w:rPr>
        <w:t xml:space="preserve">verificabile, al di là tanto dell'entusiasmo quanto dell'allarme. Il libro è</w:t>
      </w:r>
    </w:p>
    <w:p>
      <w:pPr>
        <w:spacing w:after="120" w:line="276"/>
        <w:jc w:val="both"/>
      </w:pPr>
      <w:r>
        <w:rPr>
          <w:rFonts w:ascii="Barlow Semi Condensed" w:cs="Barlow Semi Condensed" w:eastAsia="Barlow Semi Condensed" w:hAnsi="Barlow Semi Condensed"/>
          <w:sz w:val="24"/>
          <w:szCs w:val="24"/>
        </w:rPr>
        <w:t xml:space="preserve">scritto per essere letto senza competenze tecniche.</w:t>
      </w:r>
    </w:p>
    <w:p>
      <w:pPr>
        <w:pStyle w:val="Heading3"/>
        <w:spacing w:after="80" w:before="160"/>
      </w:pPr>
      <w:r>
        <w:rPr>
          <w:rFonts w:ascii="Barlow Semi Condensed" w:cs="Barlow Semi Condensed" w:eastAsia="Barlow Semi Condensed" w:hAnsi="Barlow Semi Condensed"/>
          <w:sz w:val="24"/>
          <w:szCs w:val="24"/>
        </w:rPr>
        <w:t xml:space="preserve">Estensione</w:t>
      </w:r>
    </w:p>
    <w:p>
      <w:pPr>
        <w:spacing w:after="120" w:line="276"/>
        <w:jc w:val="both"/>
      </w:pPr>
      <w:r>
        <w:rPr>
          <w:rFonts w:ascii="Barlow Semi Condensed" w:cs="Barlow Semi Condensed" w:eastAsia="Barlow Semi Condensed" w:hAnsi="Barlow Semi Condensed"/>
          <w:sz w:val="24"/>
          <w:szCs w:val="24"/>
        </w:rPr>
        <w:t xml:space="preserve">140-180 pagine, senza illustrazioni, senza note a piè di pagina: i riferimenti</w:t>
      </w:r>
    </w:p>
    <w:p>
      <w:pPr>
        <w:spacing w:after="120" w:line="276"/>
        <w:jc w:val="both"/>
      </w:pPr>
      <w:r>
        <w:rPr>
          <w:rFonts w:ascii="Barlow Semi Condensed" w:cs="Barlow Semi Condensed" w:eastAsia="Barlow Semi Condensed" w:hAnsi="Barlow Semi Condensed"/>
          <w:sz w:val="24"/>
          <w:szCs w:val="24"/>
        </w:rPr>
        <w:t xml:space="preserve">sono nel corpo e l'apparato completo resta consultabile a parte.</w:t>
      </w:r>
    </w:p>
    <w:p>
      <w:pPr>
        <w:pStyle w:val="Heading3"/>
        <w:spacing w:after="80" w:before="160"/>
      </w:pPr>
      <w:r>
        <w:rPr>
          <w:rFonts w:ascii="Barlow Semi Condensed" w:cs="Barlow Semi Condensed" w:eastAsia="Barlow Semi Condensed" w:hAnsi="Barlow Semi Condensed"/>
          <w:sz w:val="24"/>
          <w:szCs w:val="24"/>
        </w:rPr>
        <w:t xml:space="preserve">Biografia</w:t>
      </w:r>
    </w:p>
    <w:p>
      <w:pPr>
        <w:spacing w:after="120" w:line="276"/>
        <w:jc w:val="both"/>
      </w:pPr>
      <w:r>
        <w:rPr>
          <w:rFonts w:ascii="Barlow Semi Condensed" w:cs="Barlow Semi Condensed" w:eastAsia="Barlow Semi Condensed" w:hAnsi="Barlow Semi Condensed"/>
          <w:sz w:val="24"/>
          <w:szCs w:val="24"/>
        </w:rPr>
        <w:t xml:space="preserve">[Da compilare: formazione, attività professionale, eventuali pubblicazioni</w:t>
      </w:r>
    </w:p>
    <w:p>
      <w:pPr>
        <w:spacing w:after="120" w:line="276"/>
        <w:jc w:val="both"/>
      </w:pPr>
      <w:r>
        <w:rPr>
          <w:rFonts w:ascii="Barlow Semi Condensed" w:cs="Barlow Semi Condensed" w:eastAsia="Barlow Semi Condensed" w:hAnsi="Barlow Semi Condensed"/>
          <w:sz w:val="24"/>
          <w:szCs w:val="24"/>
        </w:rPr>
        <w:t xml:space="preserve">precedenti. Va indicato con chiarezza se si tratta della prima proposta.]</w:t>
      </w:r>
    </w:p>
    <w:p>
      <w:pPr>
        <w:pStyle w:val="Heading3"/>
        <w:spacing w:after="80" w:before="160"/>
      </w:pPr>
      <w:r>
        <w:rPr>
          <w:rFonts w:ascii="Barlow Semi Condensed" w:cs="Barlow Semi Condensed" w:eastAsia="Barlow Semi Condensed" w:hAnsi="Barlow Semi Condensed"/>
          <w:sz w:val="24"/>
          <w:szCs w:val="24"/>
        </w:rPr>
        <w:t xml:space="preserve">Estratto</w:t>
      </w:r>
    </w:p>
    <w:p>
      <w:pPr>
        <w:spacing w:after="120" w:line="276"/>
        <w:jc w:val="both"/>
      </w:pPr>
      <w:r>
        <w:rPr>
          <w:rFonts w:ascii="Barlow Semi Condensed" w:cs="Barlow Semi Condensed" w:eastAsia="Barlow Semi Condensed" w:hAnsi="Barlow Semi Condensed"/>
          <w:b/>
          <w:bCs/>
          <w:sz w:val="24"/>
          <w:szCs w:val="24"/>
        </w:rPr>
        <w:t xml:space="preserve">Capitolo quarto — «Il documento che non dice ciò che tutti citano»</w:t>
      </w:r>
      <w:r>
        <w:rPr>
          <w:rFonts w:ascii="Barlow Semi Condensed" w:cs="Barlow Semi Condensed" w:eastAsia="Barlow Semi Condensed" w:hAnsi="Barlow Semi Condensed"/>
          <w:sz w:val="24"/>
          <w:szCs w:val="24"/>
        </w:rPr>
        <w:t xml:space="preserve">, scritto</w:t>
      </w:r>
    </w:p>
    <w:p>
      <w:pPr>
        <w:spacing w:after="120" w:line="276"/>
        <w:jc w:val="both"/>
      </w:pPr>
      <w:r>
        <w:rPr>
          <w:rFonts w:ascii="Barlow Semi Condensed" w:cs="Barlow Semi Condensed" w:eastAsia="Barlow Semi Condensed" w:hAnsi="Barlow Semi Condensed"/>
          <w:sz w:val="24"/>
          <w:szCs w:val="24"/>
        </w:rPr>
        <w:t xml:space="preserve">per intero: </w:t>
      </w:r>
      <w:r>
        <w:rPr>
          <w:rFonts w:ascii="Barlow Semi Condensed" w:cs="Barlow Semi Condensed" w:eastAsia="Barlow Semi Condensed" w:hAnsi="Barlow Semi Condensed"/>
          <w:i/>
          <w:iCs/>
          <w:sz w:val="24"/>
          <w:szCs w:val="24"/>
        </w:rPr>
        <w:t xml:space="preserve">ALLEGATO_CAPITOLO_CAMPIONE.pdf</w:t>
      </w:r>
      <w:r>
        <w:rPr>
          <w:rFonts w:ascii="Barlow Semi Condensed" w:cs="Barlow Semi Condensed" w:eastAsia="Barlow Semi Condensed" w:hAnsi="Barlow Semi Condensed"/>
          <w:sz w:val="24"/>
          <w:szCs w:val="24"/>
        </w:rPr>
        <w:t xml:space="preserve">, otto pagine. È stato scelto come</w:t>
      </w:r>
    </w:p>
    <w:p>
      <w:pPr>
        <w:spacing w:after="120" w:line="276"/>
        <w:jc w:val="both"/>
      </w:pPr>
      <w:r>
        <w:rPr>
          <w:rFonts w:ascii="Barlow Semi Condensed" w:cs="Barlow Semi Condensed" w:eastAsia="Barlow Semi Condensed" w:hAnsi="Barlow Semi Condensed"/>
          <w:sz w:val="24"/>
          <w:szCs w:val="24"/>
        </w:rPr>
        <w:t xml:space="preserve">estratto perché è il più verificabile dei sette: ogni sua affermazione può essere</w:t>
      </w:r>
    </w:p>
    <w:p>
      <w:pPr>
        <w:spacing w:after="120" w:line="276"/>
        <w:jc w:val="both"/>
      </w:pPr>
      <w:r>
        <w:rPr>
          <w:rFonts w:ascii="Barlow Semi Condensed" w:cs="Barlow Semi Condensed" w:eastAsia="Barlow Semi Condensed" w:hAnsi="Barlow Semi Condensed"/>
          <w:sz w:val="24"/>
          <w:szCs w:val="24"/>
        </w:rPr>
        <w:t xml:space="preserve">controllata da chi legge, in mezz'ora, senza uscire di casa.</w:t>
      </w:r>
    </w:p>
    <w:p>
      <w:pPr>
        <w:spacing w:after="120" w:line="276"/>
        <w:jc w:val="both"/>
      </w:pPr>
      <w:r>
        <w:rPr>
          <w:rFonts w:ascii="Barlow Semi Condensed" w:cs="Barlow Semi Condensed" w:eastAsia="Barlow Semi Condensed" w:hAnsi="Barlow Semi Condensed"/>
          <w:sz w:val="24"/>
          <w:szCs w:val="24"/>
        </w:rPr>
        <w:t xml:space="preserve">Il modulo chiede un estratto, non un montaggio di frammenti: si carichi il</w:t>
      </w:r>
    </w:p>
    <w:p>
      <w:pPr>
        <w:spacing w:after="120" w:line="276"/>
        <w:jc w:val="both"/>
      </w:pPr>
      <w:r>
        <w:rPr>
          <w:rFonts w:ascii="Barlow Semi Condensed" w:cs="Barlow Semi Condensed" w:eastAsia="Barlow Semi Condensed" w:hAnsi="Barlow Semi Condensed"/>
          <w:sz w:val="24"/>
          <w:szCs w:val="24"/>
        </w:rPr>
        <w:t xml:space="preserve">capitolo intero.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Carocci editore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Carocci raccoglie le proposte attraverso la pagina </w:t>
      </w:r>
      <w:r>
        <w:rPr>
          <w:rFonts w:ascii="Barlow Semi Condensed" w:cs="Barlow Semi Condensed" w:eastAsia="Barlow Semi Condensed" w:hAnsi="Barlow Semi Condensed"/>
          <w:b/>
          <w:bCs/>
          <w:sz w:val="24"/>
          <w:szCs w:val="24"/>
        </w:rPr>
        <w:t xml:space="preserve">«Proposte editoriali»</w:t>
      </w:r>
      <w:r>
        <w:rPr>
          <w:rFonts w:ascii="Barlow Semi Condensed" w:cs="Barlow Semi Condensed" w:eastAsia="Barlow Semi Condensed" w:hAnsi="Barlow Semi Condensed"/>
          <w:sz w:val="24"/>
          <w:szCs w:val="24"/>
        </w:rPr>
        <w:t xml:space="preserve"> del</w:t>
      </w:r>
    </w:p>
    <w:p>
      <w:pPr>
        <w:spacing w:after="120" w:line="276"/>
        <w:jc w:val="both"/>
      </w:pPr>
      <w:r>
        <w:rPr>
          <w:rFonts w:ascii="Barlow Semi Condensed" w:cs="Barlow Semi Condensed" w:eastAsia="Barlow Semi Condensed" w:hAnsi="Barlow Semi Condensed"/>
          <w:sz w:val="24"/>
          <w:szCs w:val="24"/>
        </w:rPr>
        <w:t xml:space="preserve">proprio sito, con modalità da verificare lì prima dell'invio.</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Carocci è editore accademico e di manualistica: il suo catalogo vive di libri</w:t>
      </w:r>
    </w:p>
    <w:p>
      <w:pPr>
        <w:spacing w:after="120" w:line="276"/>
        <w:jc w:val="both"/>
      </w:pPr>
      <w:r>
        <w:rPr>
          <w:rFonts w:ascii="Barlow Semi Condensed" w:cs="Barlow Semi Condensed" w:eastAsia="Barlow Semi Condensed" w:hAnsi="Barlow Semi Condensed"/>
          <w:b/>
          <w:bCs/>
          <w:sz w:val="24"/>
          <w:szCs w:val="24"/>
        </w:rPr>
        <w:t xml:space="preserve">adottabili in un corso</w:t>
      </w:r>
      <w:r>
        <w:rPr>
          <w:rFonts w:ascii="Barlow Semi Condensed" w:cs="Barlow Semi Condensed" w:eastAsia="Barlow Semi Condensed" w:hAnsi="Barlow Semi Condensed"/>
          <w:sz w:val="24"/>
          <w:szCs w:val="24"/>
        </w:rPr>
        <w:t xml:space="preserve">. La proposta punta perciò sul lato che il Mulino</w:t>
      </w:r>
    </w:p>
    <w:p>
      <w:pPr>
        <w:spacing w:after="120" w:line="276"/>
        <w:jc w:val="both"/>
      </w:pPr>
      <w:r>
        <w:rPr>
          <w:rFonts w:ascii="Barlow Semi Condensed" w:cs="Barlow Semi Condensed" w:eastAsia="Barlow Semi Condensed" w:hAnsi="Barlow Semi Condensed"/>
          <w:sz w:val="24"/>
          <w:szCs w:val="24"/>
        </w:rPr>
        <w:t xml:space="preserve">tiene in secondo piano — il libro come </w:t>
      </w:r>
      <w:r>
        <w:rPr>
          <w:rFonts w:ascii="Barlow Semi Condensed" w:cs="Barlow Semi Condensed" w:eastAsia="Barlow Semi Condensed" w:hAnsi="Barlow Semi Condensed"/>
          <w:b/>
          <w:bCs/>
          <w:sz w:val="24"/>
          <w:szCs w:val="24"/>
        </w:rPr>
        <w:t xml:space="preserve">caso di studio didattico</w:t>
      </w:r>
      <w:r>
        <w:rPr>
          <w:rFonts w:ascii="Barlow Semi Condensed" w:cs="Barlow Semi Condensed" w:eastAsia="Barlow Semi Condensed" w:hAnsi="Barlow Semi Condensed"/>
          <w:sz w:val="24"/>
          <w:szCs w:val="24"/>
        </w:rPr>
        <w:t xml:space="preserve"> sulla critica</w:t>
      </w:r>
    </w:p>
    <w:p>
      <w:pPr>
        <w:spacing w:after="120" w:line="276"/>
        <w:jc w:val="both"/>
      </w:pPr>
      <w:r>
        <w:rPr>
          <w:rFonts w:ascii="Barlow Semi Condensed" w:cs="Barlow Semi Condensed" w:eastAsia="Barlow Semi Condensed" w:hAnsi="Barlow Semi Condensed"/>
          <w:sz w:val="24"/>
          <w:szCs w:val="24"/>
        </w:rPr>
        <w:t xml:space="preserve">delle fonti in presenza di strumenti automatici.</w:t>
      </w:r>
    </w:p>
    <w:p>
      <w:pPr>
        <w:pStyle w:val="Heading2"/>
        <w:spacing w:after="100" w:before="200"/>
      </w:pPr>
      <w:r>
        <w:rPr>
          <w:rFonts w:ascii="Barlow Semi Condensed" w:cs="Barlow Semi Condensed" w:eastAsia="Barlow Semi Condensed" w:hAnsi="Barlow Semi Condensed"/>
          <w:sz w:val="24"/>
          <w:szCs w:val="24"/>
        </w:rPr>
        <w:t xml:space="preserve">Testo della proposta</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per un volume breve di metodologia, secondo le modalità</w:t>
      </w:r>
    </w:p>
    <w:p>
      <w:pPr>
        <w:spacing w:after="120" w:line="276"/>
        <w:jc w:val="both"/>
      </w:pPr>
      <w:r>
        <w:rPr>
          <w:rFonts w:ascii="Barlow Semi Condensed" w:cs="Barlow Semi Condensed" w:eastAsia="Barlow Semi Condensed" w:hAnsi="Barlow Semi Condensed"/>
          <w:sz w:val="24"/>
          <w:szCs w:val="24"/>
        </w:rPr>
        <w:t xml:space="preserve">indicate sul vostro sito.</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w:t>
      </w:r>
    </w:p>
    <w:p>
      <w:pPr>
        <w:spacing w:after="120" w:line="276"/>
        <w:jc w:val="both"/>
      </w:pPr>
      <w:r>
        <w:rPr>
          <w:rFonts w:ascii="Barlow Semi Condensed" w:cs="Barlow Semi Condensed" w:eastAsia="Barlow Semi Condensed" w:hAnsi="Barlow Semi Condensed"/>
          <w:sz w:val="24"/>
          <w:szCs w:val="24"/>
        </w:rPr>
        <w:t xml:space="preserve">prodotto con sistemi di intelligenza artificiale sotto mia direzione. Lo dichiaro</w:t>
      </w:r>
    </w:p>
    <w:p>
      <w:pPr>
        <w:spacing w:after="120" w:line="276"/>
        <w:jc w:val="both"/>
      </w:pPr>
      <w:r>
        <w:rPr>
          <w:rFonts w:ascii="Barlow Semi Condensed" w:cs="Barlow Semi Condensed" w:eastAsia="Barlow Semi Condensed" w:hAnsi="Barlow Semi Condensed"/>
          <w:sz w:val="24"/>
          <w:szCs w:val="24"/>
        </w:rPr>
        <w:t xml:space="preserve">in apertura perché è l'oggetto stesso del 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*La critica delle fonti alla prova della macchina. Un caso</w:t>
      </w:r>
    </w:p>
    <w:p>
      <w:pPr>
        <w:spacing w:after="120" w:line="276"/>
        <w:jc w:val="both"/>
      </w:pPr>
      <w:r>
        <w:rPr>
          <w:rFonts w:ascii="Barlow Semi Condensed" w:cs="Barlow Semi Condensed" w:eastAsia="Barlow Semi Condensed" w:hAnsi="Barlow Semi Condensed"/>
          <w:sz w:val="24"/>
          <w:szCs w:val="24"/>
        </w:rPr>
        <w:t xml:space="preserve">di studio sul caso Moro*</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I corsi di metodologia della ricerca storica insegnano la critica</w:t>
      </w:r>
    </w:p>
    <w:p>
      <w:pPr>
        <w:spacing w:after="120" w:line="276"/>
        <w:jc w:val="both"/>
      </w:pPr>
      <w:r>
        <w:rPr>
          <w:rFonts w:ascii="Barlow Semi Condensed" w:cs="Barlow Semi Condensed" w:eastAsia="Barlow Semi Condensed" w:hAnsi="Barlow Semi Condensed"/>
          <w:sz w:val="24"/>
          <w:szCs w:val="24"/>
        </w:rPr>
        <w:t xml:space="preserve">delle fonti su esempi classici, quasi sempre lontani nel tempo. Gli studenti che</w:t>
      </w:r>
    </w:p>
    <w:p>
      <w:pPr>
        <w:spacing w:after="120" w:line="276"/>
        <w:jc w:val="both"/>
      </w:pPr>
      <w:r>
        <w:rPr>
          <w:rFonts w:ascii="Barlow Semi Condensed" w:cs="Barlow Semi Condensed" w:eastAsia="Barlow Semi Condensed" w:hAnsi="Barlow Semi Condensed"/>
          <w:sz w:val="24"/>
          <w:szCs w:val="24"/>
        </w:rPr>
        <w:t xml:space="preserve">li seguono, però, lavoreranno con strumenti che producono testo plausibile a</w:t>
      </w:r>
    </w:p>
    <w:p>
      <w:pPr>
        <w:spacing w:after="120" w:line="276"/>
        <w:jc w:val="both"/>
      </w:pPr>
      <w:r>
        <w:rPr>
          <w:rFonts w:ascii="Barlow Semi Condensed" w:cs="Barlow Semi Condensed" w:eastAsia="Barlow Semi Condensed" w:hAnsi="Barlow Semi Condensed"/>
          <w:sz w:val="24"/>
          <w:szCs w:val="24"/>
        </w:rPr>
        <w:t xml:space="preserve">richiesta, e il problema che si troveranno davanti non è nuovo nella sostanza ma</w:t>
      </w:r>
    </w:p>
    <w:p>
      <w:pPr>
        <w:spacing w:after="120" w:line="276"/>
        <w:jc w:val="both"/>
      </w:pPr>
      <w:r>
        <w:rPr>
          <w:rFonts w:ascii="Barlow Semi Condensed" w:cs="Barlow Semi Condensed" w:eastAsia="Barlow Semi Condensed" w:hAnsi="Barlow Semi Condensed"/>
          <w:sz w:val="24"/>
          <w:szCs w:val="24"/>
        </w:rPr>
        <w:t xml:space="preserve">è nuovo nella scala. Manca un manuale breve che mostri **su un caso italiano,</w:t>
      </w:r>
    </w:p>
    <w:p>
      <w:pPr>
        <w:spacing w:after="120" w:line="276"/>
        <w:jc w:val="both"/>
      </w:pPr>
      <w:r>
        <w:rPr>
          <w:rFonts w:ascii="Barlow Semi Condensed" w:cs="Barlow Semi Condensed" w:eastAsia="Barlow Semi Condensed" w:hAnsi="Barlow Semi Condensed"/>
          <w:sz w:val="24"/>
          <w:szCs w:val="24"/>
        </w:rPr>
        <w:t xml:space="preserve">recente e documentatissimo** che cosa accade quando si applicano gli strumenti</w:t>
      </w:r>
    </w:p>
    <w:p>
      <w:pPr>
        <w:spacing w:after="120" w:line="276"/>
        <w:jc w:val="both"/>
      </w:pPr>
      <w:r>
        <w:rPr>
          <w:rFonts w:ascii="Barlow Semi Condensed" w:cs="Barlow Semi Condensed" w:eastAsia="Barlow Semi Condensed" w:hAnsi="Barlow Semi Condensed"/>
          <w:sz w:val="24"/>
          <w:szCs w:val="24"/>
        </w:rPr>
        <w:t xml:space="preserve">classici della critica delle fonti a materiale prodotto o mediato da sistemi</w:t>
      </w:r>
    </w:p>
    <w:p>
      <w:pPr>
        <w:spacing w:after="120" w:line="276"/>
        <w:jc w:val="both"/>
      </w:pPr>
      <w:r>
        <w:rPr>
          <w:rFonts w:ascii="Barlow Semi Condensed" w:cs="Barlow Semi Condensed" w:eastAsia="Barlow Semi Condensed" w:hAnsi="Barlow Semi Condensed"/>
          <w:sz w:val="24"/>
          <w:szCs w:val="24"/>
        </w:rPr>
        <w:t xml:space="preserve">automatici.</w:t>
      </w:r>
    </w:p>
    <w:p>
      <w:pPr>
        <w:spacing w:after="120" w:line="276"/>
        <w:jc w:val="both"/>
      </w:pPr>
      <w:r>
        <w:rPr>
          <w:rFonts w:ascii="Barlow Semi Condensed" w:cs="Barlow Semi Condensed" w:eastAsia="Barlow Semi Condensed" w:hAnsi="Barlow Semi Condensed"/>
          <w:sz w:val="24"/>
          <w:szCs w:val="24"/>
        </w:rPr>
        <w:t xml:space="preserve">Questo volume lo fa. Nasce da un esperimento condotto sul caso Moro con una</w:t>
      </w:r>
    </w:p>
    <w:p>
      <w:pPr>
        <w:spacing w:after="120" w:line="276"/>
        <w:jc w:val="both"/>
      </w:pPr>
      <w:r>
        <w:rPr>
          <w:rFonts w:ascii="Barlow Semi Condensed" w:cs="Barlow Semi Condensed" w:eastAsia="Barlow Semi Condensed" w:hAnsi="Barlow Semi Condensed"/>
          <w:sz w:val="24"/>
          <w:szCs w:val="24"/>
        </w:rPr>
        <w:t xml:space="preserve">disciplina metodologica dichiarata e vincolante, e ne ricava sette lezioni,</w:t>
      </w:r>
    </w:p>
    <w:p>
      <w:pPr>
        <w:spacing w:after="120" w:line="276"/>
        <w:jc w:val="both"/>
      </w:pPr>
      <w:r>
        <w:rPr>
          <w:rFonts w:ascii="Barlow Semi Condensed" w:cs="Barlow Semi Condensed" w:eastAsia="Barlow Semi Condensed" w:hAnsi="Barlow Semi Condensed"/>
          <w:sz w:val="24"/>
          <w:szCs w:val="24"/>
        </w:rPr>
        <w:t xml:space="preserve">ciascuna ancorata a un documento verificabile dallo studente in autonomia.</w:t>
      </w:r>
    </w:p>
    <w:p>
      <w:pPr>
        <w:spacing w:after="120" w:line="276"/>
        <w:jc w:val="both"/>
      </w:pPr>
      <w:r>
        <w:rPr>
          <w:rFonts w:ascii="Barlow Semi Condensed" w:cs="Barlow Semi Condensed" w:eastAsia="Barlow Semi Condensed" w:hAnsi="Barlow Semi Condensed"/>
          <w:b/>
          <w:bCs/>
          <w:sz w:val="24"/>
          <w:szCs w:val="24"/>
        </w:rPr>
        <w:t xml:space="preserve">Perché è adottabile.</w:t>
      </w:r>
      <w:r>
        <w:rPr>
          <w:rFonts w:ascii="Barlow Semi Condensed" w:cs="Barlow Semi Condensed" w:eastAsia="Barlow Semi Condensed" w:hAnsi="Barlow Semi Condensed"/>
          <w:sz w:val="24"/>
          <w:szCs w:val="24"/>
        </w:rPr>
        <w:t xml:space="preserve"> Ogni capitolo ha la stessa struttura: il problema, il</w:t>
      </w:r>
    </w:p>
    <w:p>
      <w:pPr>
        <w:spacing w:after="120" w:line="276"/>
        <w:jc w:val="both"/>
      </w:pPr>
      <w:r>
        <w:rPr>
          <w:rFonts w:ascii="Barlow Semi Condensed" w:cs="Barlow Semi Condensed" w:eastAsia="Barlow Semi Condensed" w:hAnsi="Barlow Semi Condensed"/>
          <w:sz w:val="24"/>
          <w:szCs w:val="24"/>
        </w:rPr>
        <w:t xml:space="preserve">caso concreto, la regola che se ne ricava, e </w:t>
      </w:r>
      <w:r>
        <w:rPr>
          <w:rFonts w:ascii="Barlow Semi Condensed" w:cs="Barlow Semi Condensed" w:eastAsia="Barlow Semi Condensed" w:hAnsi="Barlow Semi Condensed"/>
          <w:b/>
          <w:bCs/>
          <w:sz w:val="24"/>
          <w:szCs w:val="24"/>
        </w:rPr>
        <w:t xml:space="preserve">un esercizio eseguibile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un documento da aprire, una stringa da cercare, un conteggio da rifare. Il</w:t>
      </w:r>
    </w:p>
    <w:p>
      <w:pPr>
        <w:spacing w:after="120" w:line="276"/>
        <w:jc w:val="both"/>
      </w:pPr>
      <w:r>
        <w:rPr>
          <w:rFonts w:ascii="Barlow Semi Condensed" w:cs="Barlow Semi Condensed" w:eastAsia="Barlow Semi Condensed" w:hAnsi="Barlow Semi Condensed"/>
          <w:sz w:val="24"/>
          <w:szCs w:val="24"/>
        </w:rPr>
        <w:t xml:space="preserve">capitolo sulla moltiplicazione apparente delle fonti, per esempio, si chiude con</w:t>
      </w:r>
    </w:p>
    <w:p>
      <w:pPr>
        <w:spacing w:after="120" w:line="276"/>
        <w:jc w:val="both"/>
      </w:pPr>
      <w:r>
        <w:rPr>
          <w:rFonts w:ascii="Barlow Semi Condensed" w:cs="Barlow Semi Condensed" w:eastAsia="Barlow Semi Condensed" w:hAnsi="Barlow Semi Condensed"/>
          <w:sz w:val="24"/>
          <w:szCs w:val="24"/>
        </w:rPr>
        <w:t xml:space="preserve">la richiesta di risalire a mano all'origine di una frase circolante e di datarla:</w:t>
      </w:r>
    </w:p>
    <w:p>
      <w:pPr>
        <w:spacing w:after="120" w:line="276"/>
        <w:jc w:val="both"/>
      </w:pPr>
      <w:r>
        <w:rPr>
          <w:rFonts w:ascii="Barlow Semi Condensed" w:cs="Barlow Semi Condensed" w:eastAsia="Barlow Semi Condensed" w:hAnsi="Barlow Semi Condensed"/>
          <w:sz w:val="24"/>
          <w:szCs w:val="24"/>
        </w:rPr>
        <w:t xml:space="preserve">è un esercizio di due ore che insegna più di venti pagine di teoria.</w:t>
      </w:r>
    </w:p>
    <w:p>
      <w:pPr>
        <w:spacing w:after="120" w:line="276"/>
        <w:jc w:val="both"/>
      </w:pPr>
      <w:r>
        <w:rPr>
          <w:rFonts w:ascii="Barlow Semi Condensed" w:cs="Barlow Semi Condensed" w:eastAsia="Barlow Semi Condensed" w:hAnsi="Barlow Semi Condensed"/>
          <w:b/>
          <w:bCs/>
          <w:sz w:val="24"/>
          <w:szCs w:val="24"/>
        </w:rPr>
        <w:t xml:space="preserve">Le sette lezioni.</w:t>
      </w:r>
      <w:r>
        <w:rPr>
          <w:rFonts w:ascii="Barlow Semi Condensed" w:cs="Barlow Semi Condensed" w:eastAsia="Barlow Semi Condensed" w:hAnsi="Barlow Semi Condensed"/>
          <w:sz w:val="24"/>
          <w:szCs w:val="24"/>
        </w:rPr>
        <w:t xml:space="preserve"> La regola scritta prima; la scala dei gradi fra documento,</w:t>
      </w:r>
    </w:p>
    <w:p>
      <w:pPr>
        <w:spacing w:after="120" w:line="276"/>
        <w:jc w:val="both"/>
      </w:pPr>
      <w:r>
        <w:rPr>
          <w:rFonts w:ascii="Barlow Semi Condensed" w:cs="Barlow Semi Condensed" w:eastAsia="Barlow Semi Condensed" w:hAnsi="Barlow Semi Condensed"/>
          <w:sz w:val="24"/>
          <w:szCs w:val="24"/>
        </w:rPr>
        <w:t xml:space="preserve">convergenza e diceria; la moltiplicazione apparente delle fonti; il documento</w:t>
      </w:r>
    </w:p>
    <w:p>
      <w:pPr>
        <w:spacing w:after="120" w:line="276"/>
        <w:jc w:val="both"/>
      </w:pPr>
      <w:r>
        <w:rPr>
          <w:rFonts w:ascii="Barlow Semi Condensed" w:cs="Barlow Semi Condensed" w:eastAsia="Barlow Semi Condensed" w:hAnsi="Barlow Semi Condensed"/>
          <w:sz w:val="24"/>
          <w:szCs w:val="24"/>
        </w:rPr>
        <w:t xml:space="preserve">che non contiene ciò che gli si attribuisce; la differenza fra un'assenza</w:t>
      </w:r>
    </w:p>
    <w:p>
      <w:pPr>
        <w:spacing w:after="120" w:line="276"/>
        <w:jc w:val="both"/>
      </w:pPr>
      <w:r>
        <w:rPr>
          <w:rFonts w:ascii="Barlow Semi Condensed" w:cs="Barlow Semi Condensed" w:eastAsia="Barlow Semi Condensed" w:hAnsi="Barlow Semi Condensed"/>
          <w:sz w:val="24"/>
          <w:szCs w:val="24"/>
        </w:rPr>
        <w:t xml:space="preserve">misurata e un'assenza narrata; l'attesa dichiarata prima della ricerca; e i modi</w:t>
      </w:r>
    </w:p>
    <w:p>
      <w:pPr>
        <w:spacing w:after="120" w:line="276"/>
        <w:jc w:val="both"/>
      </w:pPr>
      <w:r>
        <w:rPr>
          <w:rFonts w:ascii="Barlow Semi Condensed" w:cs="Barlow Semi Condensed" w:eastAsia="Barlow Semi Condensed" w:hAnsi="Barlow Semi Condensed"/>
          <w:sz w:val="24"/>
          <w:szCs w:val="24"/>
        </w:rPr>
        <w:t xml:space="preserve">tipici in cui una verifica automatica fallisce — con otto casi in cui il</w:t>
      </w:r>
    </w:p>
    <w:p>
      <w:pPr>
        <w:spacing w:after="120" w:line="276"/>
        <w:jc w:val="both"/>
      </w:pPr>
      <w:r>
        <w:rPr>
          <w:rFonts w:ascii="Barlow Semi Condensed" w:cs="Barlow Semi Condensed" w:eastAsia="Barlow Semi Condensed" w:hAnsi="Barlow Semi Condensed"/>
          <w:sz w:val="24"/>
          <w:szCs w:val="24"/>
        </w:rPr>
        <w:t xml:space="preserve">controllo ha segnalato come violazione proprio i passaggi che applicavano la</w:t>
      </w:r>
    </w:p>
    <w:p>
      <w:pPr>
        <w:spacing w:after="120" w:line="276"/>
        <w:jc w:val="both"/>
      </w:pPr>
      <w:r>
        <w:rPr>
          <w:rFonts w:ascii="Barlow Semi Condensed" w:cs="Barlow Semi Condensed" w:eastAsia="Barlow Semi Condensed" w:hAnsi="Barlow Semi Condensed"/>
          <w:sz w:val="24"/>
          <w:szCs w:val="24"/>
        </w:rPr>
        <w:t xml:space="preserve">regola.</w:t>
      </w:r>
    </w:p>
    <w:p>
      <w:pPr>
        <w:spacing w:after="120" w:line="276"/>
        <w:jc w:val="both"/>
      </w:pPr>
      <w:r>
        <w:rPr>
          <w:rFonts w:ascii="Barlow Semi Condensed" w:cs="Barlow Semi Condensed" w:eastAsia="Barlow Semi Condensed" w:hAnsi="Barlow Semi Condensed"/>
          <w:b/>
          <w:bCs/>
          <w:sz w:val="24"/>
          <w:szCs w:val="24"/>
        </w:rPr>
        <w:t xml:space="preserve">Contiene anche due accertamenti originali</w:t>
      </w:r>
      <w:r>
        <w:rPr>
          <w:rFonts w:ascii="Barlow Semi Condensed" w:cs="Barlow Semi Condensed" w:eastAsia="Barlow Semi Condensed" w:hAnsi="Barlow Semi Condensed"/>
          <w:sz w:val="24"/>
          <w:szCs w:val="24"/>
        </w:rPr>
        <w:t xml:space="preserve">, che valgono come esempi vivi: che</w:t>
      </w:r>
    </w:p>
    <w:p>
      <w:pPr>
        <w:spacing w:after="120" w:line="276"/>
        <w:jc w:val="both"/>
      </w:pPr>
      <w:r>
        <w:rPr>
          <w:rFonts w:ascii="Barlow Semi Condensed" w:cs="Barlow Semi Condensed" w:eastAsia="Barlow Semi Condensed" w:hAnsi="Barlow Semi Condensed"/>
          <w:sz w:val="24"/>
          <w:szCs w:val="24"/>
        </w:rPr>
        <w:t xml:space="preserve">il verbale dello Studio Ovale del 25 settembre 1974 non contiene la frase che gli</w:t>
      </w:r>
    </w:p>
    <w:p>
      <w:pPr>
        <w:spacing w:after="120" w:line="276"/>
        <w:jc w:val="both"/>
      </w:pPr>
      <w:r>
        <w:rPr>
          <w:rFonts w:ascii="Barlow Semi Condensed" w:cs="Barlow Semi Condensed" w:eastAsia="Barlow Semi Condensed" w:hAnsi="Barlow Semi Condensed"/>
          <w:sz w:val="24"/>
          <w:szCs w:val="24"/>
        </w:rPr>
        <w:t xml:space="preserve">si attribuisce correntemente, e che di quel colloquio non risulta mai cercato il</w:t>
      </w:r>
    </w:p>
    <w:p>
      <w:pPr>
        <w:spacing w:after="120" w:line="276"/>
        <w:jc w:val="both"/>
      </w:pPr>
      <w:r>
        <w:rPr>
          <w:rFonts w:ascii="Barlow Semi Condensed" w:cs="Barlow Semi Condensed" w:eastAsia="Barlow Semi Condensed" w:hAnsi="Barlow Semi Condensed"/>
          <w:sz w:val="24"/>
          <w:szCs w:val="24"/>
        </w:rPr>
        <w:t xml:space="preserve">versante italiano.</w:t>
      </w:r>
    </w:p>
    <w:p>
      <w:pPr>
        <w:spacing w:after="120" w:line="276"/>
        <w:jc w:val="both"/>
      </w:pPr>
      <w:r>
        <w:rPr>
          <w:rFonts w:ascii="Barlow Semi Condensed" w:cs="Barlow Semi Condensed" w:eastAsia="Barlow Semi Condensed" w:hAnsi="Barlow Semi Condensed"/>
          <w:b/>
          <w:bCs/>
          <w:sz w:val="24"/>
          <w:szCs w:val="24"/>
        </w:rPr>
        <w:t xml:space="preserve">Estensione e collocazione</w:t>
      </w:r>
      <w:r>
        <w:rPr>
          <w:rFonts w:ascii="Barlow Semi Condensed" w:cs="Barlow Semi Condensed" w:eastAsia="Barlow Semi Condensed" w:hAnsi="Barlow Semi Condensed"/>
          <w:sz w:val="24"/>
          <w:szCs w:val="24"/>
        </w:rPr>
        <w:t xml:space="preserve">: 150-190 pagine. Adatto a un corso di metodologia</w:t>
      </w:r>
    </w:p>
    <w:p>
      <w:pPr>
        <w:spacing w:after="120" w:line="276"/>
        <w:jc w:val="both"/>
      </w:pPr>
      <w:r>
        <w:rPr>
          <w:rFonts w:ascii="Barlow Semi Condensed" w:cs="Barlow Semi Condensed" w:eastAsia="Barlow Semi Condensed" w:hAnsi="Barlow Semi Condensed"/>
          <w:sz w:val="24"/>
          <w:szCs w:val="24"/>
        </w:rPr>
        <w:t xml:space="preserve">della ricerca storica, di storia contemporanea o di </w:t>
      </w:r>
      <w:r>
        <w:rPr>
          <w:rFonts w:ascii="Barlow Semi Condensed" w:cs="Barlow Semi Condensed" w:eastAsia="Barlow Semi Condensed" w:hAnsi="Barlow Semi Condensed"/>
          <w:i/>
          <w:iCs/>
          <w:sz w:val="24"/>
          <w:szCs w:val="24"/>
        </w:rPr>
        <w:t xml:space="preserve">digital humanities</w:t>
      </w:r>
      <w:r>
        <w:rPr>
          <w:rFonts w:ascii="Barlow Semi Condensed" w:cs="Barlow Semi Condensed" w:eastAsia="Barlow Semi Condensed" w:hAnsi="Barlow Semi Condensed"/>
          <w:sz w:val="24"/>
          <w:szCs w:val="24"/>
        </w:rPr>
        <w:t xml:space="preserve">, come</w:t>
      </w:r>
    </w:p>
    <w:p>
      <w:pPr>
        <w:spacing w:after="120" w:line="276"/>
        <w:jc w:val="both"/>
      </w:pPr>
      <w:r>
        <w:rPr>
          <w:rFonts w:ascii="Barlow Semi Condensed" w:cs="Barlow Semi Condensed" w:eastAsia="Barlow Semi Condensed" w:hAnsi="Barlow Semi Condensed"/>
          <w:sz w:val="24"/>
          <w:szCs w:val="24"/>
        </w:rPr>
        <w:t xml:space="preserve">testo di supporto; leggibile anche fuori dall'aula.</w:t>
      </w:r>
    </w:p>
    <w:p>
      <w:pPr>
        <w:spacing w:after="120" w:line="276"/>
        <w:jc w:val="both"/>
      </w:pPr>
      <w:r>
        <w:rPr>
          <w:rFonts w:ascii="Barlow Semi Condensed" w:cs="Barlow Semi Condensed" w:eastAsia="Barlow Semi Condensed" w:hAnsi="Barlow Semi Condensed"/>
          <w:b/>
          <w:bCs/>
          <w:sz w:val="24"/>
          <w:szCs w:val="24"/>
        </w:rPr>
        <w:t xml:space="preserve">Stato</w:t>
      </w:r>
      <w:r>
        <w:rPr>
          <w:rFonts w:ascii="Barlow Semi Condensed" w:cs="Barlow Semi Condensed" w:eastAsia="Barlow Semi Condensed" w:hAnsi="Barlow Semi Condensed"/>
          <w:sz w:val="24"/>
          <w:szCs w:val="24"/>
        </w:rPr>
        <w:t xml:space="preserve">: struttura completa, materiale documentale integralmente disponibile,</w:t>
      </w:r>
    </w:p>
    <w:p>
      <w:pPr>
        <w:spacing w:after="120" w:line="276"/>
        <w:jc w:val="both"/>
      </w:pPr>
      <w:r>
        <w:rPr>
          <w:rFonts w:ascii="Barlow Semi Condensed" w:cs="Barlow Semi Condensed" w:eastAsia="Barlow Semi Condensed" w:hAnsi="Barlow Semi Condensed"/>
          <w:sz w:val="24"/>
          <w:szCs w:val="24"/>
        </w:rPr>
        <w:t xml:space="preserve">resto del testo da scrivere. </w:t>
      </w:r>
      <w:r>
        <w:rPr>
          <w:rFonts w:ascii="Barlow Semi Condensed" w:cs="Barlow Semi Condensed" w:eastAsia="Barlow Semi Condensed" w:hAnsi="Barlow Semi Condensed"/>
          <w:b/>
          <w:bCs/>
          <w:sz w:val="24"/>
          <w:szCs w:val="24"/>
        </w:rPr>
        <w:t xml:space="preserve">Allego il capitolo campione con il suo esercizio</w:t>
      </w:r>
    </w:p>
    <w:p>
      <w:pPr>
        <w:spacing w:after="120" w:line="276"/>
        <w:jc w:val="both"/>
      </w:pPr>
      <w:r>
        <w:rPr>
          <w:rFonts w:ascii="Barlow Semi Condensed" w:cs="Barlow Semi Condensed" w:eastAsia="Barlow Semi Condensed" w:hAnsi="Barlow Semi Condensed"/>
          <w:sz w:val="24"/>
          <w:szCs w:val="24"/>
        </w:rPr>
        <w:t xml:space="preserve">— il quarto, otto pagine: è il pezzo che dimostra che cosa si intende per</w:t>
      </w:r>
    </w:p>
    <w:p>
      <w:pPr>
        <w:spacing w:after="120" w:line="276"/>
        <w:jc w:val="both"/>
      </w:pPr>
      <w:r>
        <w:rPr>
          <w:rFonts w:ascii="Barlow Semi Condensed" w:cs="Barlow Semi Condensed" w:eastAsia="Barlow Semi Condensed" w:hAnsi="Barlow Semi Condensed"/>
          <w:sz w:val="24"/>
          <w:szCs w:val="24"/>
        </w:rPr>
        <w:t xml:space="preserve">«esercizio eseguibile», e senza di esso questa proposta chiederebbe di credermi</w:t>
      </w:r>
    </w:p>
    <w:p>
      <w:pPr>
        <w:spacing w:after="120" w:line="276"/>
        <w:jc w:val="both"/>
      </w:pPr>
      <w:r>
        <w:rPr>
          <w:rFonts w:ascii="Barlow Semi Condensed" w:cs="Barlow Semi Condensed" w:eastAsia="Barlow Semi Condensed" w:hAnsi="Barlow Semi Condensed"/>
          <w:sz w:val="24"/>
          <w:szCs w:val="24"/>
        </w:rPr>
        <w:t xml:space="preserve">sulla parola.</w:t>
      </w:r>
    </w:p>
    <w:p>
      <w:pPr>
        <w:spacing w:after="120" w:line="276"/>
        <w:jc w:val="both"/>
      </w:pPr>
      <w:r>
        <w:rPr>
          <w:rFonts w:ascii="Barlow Semi Condensed" w:cs="Barlow Semi Condensed" w:eastAsia="Barlow Semi Condensed" w:hAnsi="Barlow Semi Condensed"/>
          <w:sz w:val="24"/>
          <w:szCs w:val="24"/>
        </w:rPr>
        <w:t xml:space="preserve">Resto a disposizione.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3. Giulio Einaudi editore</w:t>
      </w:r>
    </w:p>
    <w:p>
      <w:pPr>
        <w:pStyle w:val="Heading2"/>
        <w:spacing w:after="100" w:before="200"/>
      </w:pPr>
      <w:r>
        <w:rPr>
          <w:rFonts w:ascii="Barlow Semi Condensed" w:cs="Barlow Semi Condensed" w:eastAsia="Barlow Semi Condensed" w:hAnsi="Barlow Semi Condensed"/>
          <w:sz w:val="24"/>
          <w:szCs w:val="24"/>
        </w:rPr>
        <w:t xml:space="preserve">Modalità — e un avvertimento che conta</w:t>
      </w:r>
    </w:p>
    <w:p>
      <w:pPr>
        <w:spacing w:after="120" w:line="276"/>
        <w:jc w:val="both"/>
      </w:pPr>
      <w:r>
        <w:rPr>
          <w:rFonts w:ascii="Barlow Semi Condensed" w:cs="Barlow Semi Condensed" w:eastAsia="Barlow Semi Condensed" w:hAnsi="Barlow Semi Condensed"/>
          <w:sz w:val="24"/>
          <w:szCs w:val="24"/>
        </w:rPr>
        <w:t xml:space="preserve">Einaudi riceve la </w:t>
      </w:r>
      <w:r>
        <w:rPr>
          <w:rFonts w:ascii="Barlow Semi Condensed" w:cs="Barlow Semi Condensed" w:eastAsia="Barlow Semi Condensed" w:hAnsi="Barlow Semi Condensed"/>
          <w:b/>
          <w:bCs/>
          <w:sz w:val="24"/>
          <w:szCs w:val="24"/>
        </w:rPr>
        <w:t xml:space="preserve">saggistica all'indirizzo einaudi@einaudi.it</w:t>
      </w:r>
      <w:r>
        <w:rPr>
          <w:rFonts w:ascii="Barlow Semi Condensed" w:cs="Barlow Semi Condensed" w:eastAsia="Barlow Semi Condensed" w:hAnsi="Barlow Semi Condensed"/>
          <w:sz w:val="24"/>
          <w:szCs w:val="24"/>
        </w:rPr>
        <w:t xml:space="preserve">, chiedendo di</w:t>
      </w:r>
    </w:p>
    <w:p>
      <w:pPr>
        <w:spacing w:after="120" w:line="276"/>
        <w:jc w:val="both"/>
      </w:pPr>
      <w:r>
        <w:rPr>
          <w:rFonts w:ascii="Barlow Semi Condensed" w:cs="Barlow Semi Condensed" w:eastAsia="Barlow Semi Condensed" w:hAnsi="Barlow Semi Condensed"/>
          <w:sz w:val="24"/>
          <w:szCs w:val="24"/>
        </w:rPr>
        <w:t xml:space="preserve">allegare un </w:t>
      </w:r>
      <w:r>
        <w:rPr>
          <w:rFonts w:ascii="Barlow Semi Condensed" w:cs="Barlow Semi Condensed" w:eastAsia="Barlow Semi Condensed" w:hAnsi="Barlow Semi Condensed"/>
          <w:b/>
          <w:bCs/>
          <w:sz w:val="24"/>
          <w:szCs w:val="24"/>
        </w:rPr>
        <w:t xml:space="preserve">curriculum vitae</w:t>
      </w:r>
      <w:r>
        <w:rPr>
          <w:rFonts w:ascii="Barlow Semi Condensed" w:cs="Barlow Semi Condensed" w:eastAsia="Barlow Semi Condensed" w:hAnsi="Barlow Semi Condensed"/>
          <w:sz w:val="24"/>
          <w:szCs w:val="24"/>
        </w:rPr>
        <w:t xml:space="preserve"> e di ripetere i dati anagrafici, la posta</w:t>
      </w:r>
    </w:p>
    <w:p>
      <w:pPr>
        <w:spacing w:after="120" w:line="276"/>
        <w:jc w:val="both"/>
      </w:pPr>
      <w:r>
        <w:rPr>
          <w:rFonts w:ascii="Barlow Semi Condensed" w:cs="Barlow Semi Condensed" w:eastAsia="Barlow Semi Condensed" w:hAnsi="Barlow Semi Condensed"/>
          <w:sz w:val="24"/>
          <w:szCs w:val="24"/>
        </w:rPr>
        <w:t xml:space="preserve">elettronica e il telefono </w:t>
      </w:r>
      <w:r>
        <w:rPr>
          <w:rFonts w:ascii="Barlow Semi Condensed" w:cs="Barlow Semi Condensed" w:eastAsia="Barlow Semi Condensed" w:hAnsi="Barlow Semi Condensed"/>
          <w:b/>
          <w:bCs/>
          <w:sz w:val="24"/>
          <w:szCs w:val="24"/>
        </w:rPr>
        <w:t xml:space="preserve">anche dentro il documento allegato</w:t>
      </w:r>
      <w:r>
        <w:rPr>
          <w:rFonts w:ascii="Barlow Semi Condensed" w:cs="Barlow Semi Condensed" w:eastAsia="Barlow Semi Condensed" w:hAnsi="Barlow Semi Condensed"/>
          <w:sz w:val="24"/>
          <w:szCs w:val="24"/>
        </w:rPr>
        <w:t xml:space="preserve">. La redazione</w:t>
      </w:r>
    </w:p>
    <w:p>
      <w:pPr>
        <w:spacing w:after="120" w:line="276"/>
        <w:jc w:val="both"/>
      </w:pPr>
      <w:r>
        <w:rPr>
          <w:rFonts w:ascii="Barlow Semi Condensed" w:cs="Barlow Semi Condensed" w:eastAsia="Barlow Semi Condensed" w:hAnsi="Barlow Semi Condensed"/>
          <w:sz w:val="24"/>
          <w:szCs w:val="24"/>
        </w:rPr>
        <w:t xml:space="preserve">contatta gli autori </w:t>
      </w:r>
      <w:r>
        <w:rPr>
          <w:rFonts w:ascii="Barlow Semi Condensed" w:cs="Barlow Semi Condensed" w:eastAsia="Barlow Semi Condensed" w:hAnsi="Barlow Semi Condensed"/>
          <w:b/>
          <w:bCs/>
          <w:sz w:val="24"/>
          <w:szCs w:val="24"/>
        </w:rPr>
        <w:t xml:space="preserve">soltanto in caso di interesse</w:t>
      </w:r>
      <w:r>
        <w:rPr>
          <w:rFonts w:ascii="Barlow Semi Condensed" w:cs="Barlow Semi Condensed" w:eastAsia="Barlow Semi Condensed" w:hAnsi="Barlow Semi Condensed"/>
          <w:sz w:val="24"/>
          <w:szCs w:val="24"/>
        </w:rPr>
        <w:t xml:space="preserve">, in un tempo stimabile</w:t>
      </w:r>
    </w:p>
    <w:p>
      <w:pPr>
        <w:spacing w:after="120" w:line="276"/>
        <w:jc w:val="both"/>
      </w:pPr>
      <w:r>
        <w:rPr>
          <w:rFonts w:ascii="Barlow Semi Condensed" w:cs="Barlow Semi Condensed" w:eastAsia="Barlow Semi Condensed" w:hAnsi="Barlow Semi Condensed"/>
          <w:b/>
          <w:bCs/>
          <w:sz w:val="24"/>
          <w:szCs w:val="24"/>
        </w:rPr>
        <w:t xml:space="preserve">intorno ai sei mesi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L'avvertimento.</w:t>
      </w:r>
      <w:r>
        <w:rPr>
          <w:rFonts w:ascii="Barlow Semi Condensed" w:cs="Barlow Semi Condensed" w:eastAsia="Barlow Semi Condensed" w:hAnsi="Barlow Semi Condensed"/>
          <w:sz w:val="24"/>
          <w:szCs w:val="24"/>
        </w:rPr>
        <w:t xml:space="preserve"> Per la saggistica Einaudi valuta l'opera, non l'idea. Una</w:t>
      </w:r>
    </w:p>
    <w:p>
      <w:pPr>
        <w:spacing w:after="120" w:line="276"/>
        <w:jc w:val="both"/>
      </w:pPr>
      <w:r>
        <w:rPr>
          <w:rFonts w:ascii="Barlow Semi Condensed" w:cs="Barlow Semi Condensed" w:eastAsia="Barlow Semi Condensed" w:hAnsi="Barlow Semi Condensed"/>
          <w:sz w:val="24"/>
          <w:szCs w:val="24"/>
        </w:rPr>
        <w:t xml:space="preserve">proposta di due pagine su un libro non ancora scritto, presso questo editore, ha</w:t>
      </w:r>
    </w:p>
    <w:p>
      <w:pPr>
        <w:spacing w:after="120" w:line="276"/>
        <w:jc w:val="both"/>
      </w:pPr>
      <w:r>
        <w:rPr>
          <w:rFonts w:ascii="Barlow Semi Condensed" w:cs="Barlow Semi Condensed" w:eastAsia="Barlow Semi Condensed" w:hAnsi="Barlow Semi Condensed"/>
          <w:sz w:val="24"/>
          <w:szCs w:val="24"/>
        </w:rPr>
        <w:t xml:space="preserve">una probabilità molto bassa — non per severità, ma perché non è ciò che il</w:t>
      </w:r>
    </w:p>
    <w:p>
      <w:pPr>
        <w:spacing w:after="120" w:line="276"/>
        <w:jc w:val="both"/>
      </w:pPr>
      <w:r>
        <w:rPr>
          <w:rFonts w:ascii="Barlow Semi Condensed" w:cs="Barlow Semi Condensed" w:eastAsia="Barlow Semi Condensed" w:hAnsi="Barlow Semi Condensed"/>
          <w:sz w:val="24"/>
          <w:szCs w:val="24"/>
        </w:rPr>
        <w:t xml:space="preserve">canale è fatto per ricevere. **Il mio consiglio è di non inviare a Einaudi finché</w:t>
      </w:r>
    </w:p>
    <w:p>
      <w:pPr>
        <w:spacing w:after="120" w:line="276"/>
        <w:jc w:val="both"/>
      </w:pPr>
      <w:r>
        <w:rPr>
          <w:rFonts w:ascii="Barlow Semi Condensed" w:cs="Barlow Semi Condensed" w:eastAsia="Barlow Semi Condensed" w:hAnsi="Barlow Semi Condensed"/>
          <w:sz w:val="24"/>
          <w:szCs w:val="24"/>
        </w:rPr>
        <w:t xml:space="preserve">il saggio non è scritto**, e di usare nel frattempo il Mulino e Carocci, che</w:t>
      </w:r>
    </w:p>
    <w:p>
      <w:pPr>
        <w:spacing w:after="120" w:line="276"/>
        <w:jc w:val="both"/>
      </w:pPr>
      <w:r>
        <w:rPr>
          <w:rFonts w:ascii="Barlow Semi Condensed" w:cs="Barlow Semi Condensed" w:eastAsia="Barlow Semi Condensed" w:hAnsi="Barlow Semi Condensed"/>
          <w:sz w:val="24"/>
          <w:szCs w:val="24"/>
        </w:rPr>
        <w:t xml:space="preserve">valutano progetti.</w:t>
      </w:r>
    </w:p>
    <w:p>
      <w:pPr>
        <w:spacing w:after="120" w:line="276"/>
        <w:jc w:val="both"/>
      </w:pPr>
      <w:r>
        <w:rPr>
          <w:rFonts w:ascii="Barlow Semi Condensed" w:cs="Barlow Semi Condensed" w:eastAsia="Barlow Semi Condensed" w:hAnsi="Barlow Semi Condensed"/>
          <w:sz w:val="24"/>
          <w:szCs w:val="24"/>
        </w:rPr>
        <w:t xml:space="preserve">Se si vuole comunque inviare ora, quanto segue è la forma migliore possibile —</w:t>
      </w:r>
    </w:p>
    <w:p>
      <w:pPr>
        <w:spacing w:after="120" w:line="276"/>
        <w:jc w:val="both"/>
      </w:pPr>
      <w:r>
        <w:rPr>
          <w:rFonts w:ascii="Barlow Semi Condensed" w:cs="Barlow Semi Condensed" w:eastAsia="Barlow Semi Condensed" w:hAnsi="Barlow Semi Condensed"/>
          <w:sz w:val="24"/>
          <w:szCs w:val="24"/>
        </w:rPr>
        <w:t xml:space="preserve">ma va inviato sapendo che è un tentativo.</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Einaudi, e in particolare le sue collane di non-fiction, chiede una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una tesi metodologica: un arco narrativo con un protagonista, un ostacolo e</w:t>
      </w:r>
    </w:p>
    <w:p>
      <w:pPr>
        <w:spacing w:after="120" w:line="276"/>
        <w:jc w:val="both"/>
      </w:pPr>
      <w:r>
        <w:rPr>
          <w:rFonts w:ascii="Barlow Semi Condensed" w:cs="Barlow Semi Condensed" w:eastAsia="Barlow Semi Condensed" w:hAnsi="Barlow Semi Condensed"/>
          <w:sz w:val="24"/>
          <w:szCs w:val="24"/>
        </w:rPr>
        <w:t xml:space="preserve">un esito. La proposta è quindi scritta come racconto di un'impresa che continua a</w:t>
      </w:r>
    </w:p>
    <w:p>
      <w:pPr>
        <w:spacing w:after="120" w:line="276"/>
        <w:jc w:val="both"/>
      </w:pPr>
      <w:r>
        <w:rPr>
          <w:rFonts w:ascii="Barlow Semi Condensed" w:cs="Barlow Semi Condensed" w:eastAsia="Barlow Semi Condensed" w:hAnsi="Barlow Semi Condensed"/>
          <w:sz w:val="24"/>
          <w:szCs w:val="24"/>
        </w:rPr>
        <w:t xml:space="preserve">fallire nei punti interessanti.</w:t>
      </w:r>
    </w:p>
    <w:p>
      <w:pPr>
        <w:pStyle w:val="Heading2"/>
        <w:spacing w:after="100" w:before="200"/>
      </w:pPr>
      <w:r>
        <w:rPr>
          <w:rFonts w:ascii="Barlow Semi Condensed" w:cs="Barlow Semi Condensed" w:eastAsia="Barlow Semi Condensed" w:hAnsi="Barlow Semi Condensed"/>
          <w:sz w:val="24"/>
          <w:szCs w:val="24"/>
        </w:rPr>
        <w:t xml:space="preserve">Testo della proposta</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w:t>
      </w:r>
    </w:p>
    <w:p>
      <w:pPr>
        <w:spacing w:after="120" w:line="276"/>
        <w:jc w:val="both"/>
      </w:pPr>
      <w:r>
        <w:rPr>
          <w:rFonts w:ascii="Barlow Semi Condensed" w:cs="Barlow Semi Condensed" w:eastAsia="Barlow Semi Condensed" w:hAnsi="Barlow Semi Condensed"/>
          <w:b/>
          <w:bCs/>
          <w:sz w:val="24"/>
          <w:szCs w:val="24"/>
        </w:rPr>
        <w:t xml:space="preserve">Dichiarazione preliminare, che è anche l'attacco del libro.</w:t>
      </w:r>
      <w:r>
        <w:rPr>
          <w:rFonts w:ascii="Barlow Semi Condensed" w:cs="Barlow Semi Condensed" w:eastAsia="Barlow Semi Condensed" w:hAnsi="Barlow Semi Condensed"/>
          <w:sz w:val="24"/>
          <w:szCs w:val="24"/>
        </w:rPr>
        <w:t xml:space="preserve"> Quest'opera è</w:t>
      </w:r>
    </w:p>
    <w:p>
      <w:pPr>
        <w:spacing w:after="120" w:line="276"/>
        <w:jc w:val="both"/>
      </w:pPr>
      <w:r>
        <w:rPr>
          <w:rFonts w:ascii="Barlow Semi Condensed" w:cs="Barlow Semi Condensed" w:eastAsia="Barlow Semi Condensed" w:hAnsi="Barlow Semi Condensed"/>
          <w:sz w:val="24"/>
          <w:szCs w:val="24"/>
        </w:rPr>
        <w:t xml:space="preserve">nata da un esperimento condotto con sistemi di intelligenza artificiale sotto mia</w:t>
      </w:r>
    </w:p>
    <w:p>
      <w:pPr>
        <w:spacing w:after="120" w:line="276"/>
        <w:jc w:val="both"/>
      </w:pPr>
      <w:r>
        <w:rPr>
          <w:rFonts w:ascii="Barlow Semi Condensed" w:cs="Barlow Semi Condensed" w:eastAsia="Barlow Semi Condensed" w:hAnsi="Barlow Semi Condensed"/>
          <w:sz w:val="24"/>
          <w:szCs w:val="24"/>
        </w:rPr>
        <w:t xml:space="preserve">direzione. Lo dichiaro subito perché è il soggetto del racconto, non il suo</w:t>
      </w:r>
    </w:p>
    <w:p>
      <w:pPr>
        <w:spacing w:after="120" w:line="276"/>
        <w:jc w:val="both"/>
      </w:pPr>
      <w:r>
        <w:rPr>
          <w:rFonts w:ascii="Barlow Semi Condensed" w:cs="Barlow Semi Condensed" w:eastAsia="Barlow Semi Condensed" w:hAnsi="Barlow Semi Condensed"/>
          <w:sz w:val="24"/>
          <w:szCs w:val="24"/>
        </w:rPr>
        <w:t xml:space="preserve">metodo di produzione.</w:t>
      </w:r>
    </w:p>
    <w:p>
      <w:pPr>
        <w:spacing w:after="120" w:line="276"/>
        <w:jc w:val="both"/>
      </w:pPr>
      <w:r>
        <w:rPr>
          <w:rFonts w:ascii="Barlow Semi Condensed" w:cs="Barlow Semi Condensed" w:eastAsia="Barlow Semi Condensed" w:hAnsi="Barlow Semi Condensed"/>
          <w:b/>
          <w:bCs/>
          <w:sz w:val="24"/>
          <w:szCs w:val="24"/>
        </w:rPr>
        <w:t xml:space="preserve">La storia.</w:t>
      </w:r>
      <w:r>
        <w:rPr>
          <w:rFonts w:ascii="Barlow Semi Condensed" w:cs="Barlow Semi Condensed" w:eastAsia="Barlow Semi Condensed" w:hAnsi="Barlow Semi Condensed"/>
          <w:sz w:val="24"/>
          <w:szCs w:val="24"/>
        </w:rPr>
        <w:t xml:space="preserve"> Ho preso il caso più documentato e più infestato dalla dietrologia</w:t>
      </w:r>
    </w:p>
    <w:p>
      <w:pPr>
        <w:spacing w:after="120" w:line="276"/>
        <w:jc w:val="both"/>
      </w:pPr>
      <w:r>
        <w:rPr>
          <w:rFonts w:ascii="Barlow Semi Condensed" w:cs="Barlow Semi Condensed" w:eastAsia="Barlow Semi Condensed" w:hAnsi="Barlow Semi Condensed"/>
          <w:sz w:val="24"/>
          <w:szCs w:val="24"/>
        </w:rPr>
        <w:t xml:space="preserve">della storia repubblicana, e ho messo delle macchine a cercarvi dentro. Volevo</w:t>
      </w:r>
    </w:p>
    <w:p>
      <w:pPr>
        <w:spacing w:after="120" w:line="276"/>
        <w:jc w:val="both"/>
      </w:pPr>
      <w:r>
        <w:rPr>
          <w:rFonts w:ascii="Barlow Semi Condensed" w:cs="Barlow Semi Condensed" w:eastAsia="Barlow Semi Condensed" w:hAnsi="Barlow Semi Condensed"/>
          <w:sz w:val="24"/>
          <w:szCs w:val="24"/>
        </w:rPr>
        <w:t xml:space="preserve">sapere una cosa sola: se, date regole abbastanza severe, una macchina possa fare</w:t>
      </w:r>
    </w:p>
    <w:p>
      <w:pPr>
        <w:spacing w:after="120" w:line="276"/>
        <w:jc w:val="both"/>
      </w:pPr>
      <w:r>
        <w:rPr>
          <w:rFonts w:ascii="Barlow Semi Condensed" w:cs="Barlow Semi Condensed" w:eastAsia="Barlow Semi Condensed" w:hAnsi="Barlow Semi Condensed"/>
          <w:sz w:val="24"/>
          <w:szCs w:val="24"/>
        </w:rPr>
        <w:t xml:space="preserve">ricerca storica senza produrre l'unica cosa che sa produrre benissimo — una</w:t>
      </w:r>
    </w:p>
    <w:p>
      <w:pPr>
        <w:spacing w:after="120" w:line="276"/>
        <w:jc w:val="both"/>
      </w:pPr>
      <w:r>
        <w:rPr>
          <w:rFonts w:ascii="Barlow Semi Condensed" w:cs="Barlow Semi Condensed" w:eastAsia="Barlow Semi Condensed" w:hAnsi="Barlow Semi Condensed"/>
          <w:sz w:val="24"/>
          <w:szCs w:val="24"/>
        </w:rPr>
        <w:t xml:space="preserve">trama.</w:t>
      </w:r>
    </w:p>
    <w:p>
      <w:pPr>
        <w:spacing w:after="120" w:line="276"/>
        <w:jc w:val="both"/>
      </w:pPr>
      <w:r>
        <w:rPr>
          <w:rFonts w:ascii="Barlow Semi Condensed" w:cs="Barlow Semi Condensed" w:eastAsia="Barlow Semi Condensed" w:hAnsi="Barlow Semi Condensed"/>
          <w:sz w:val="24"/>
          <w:szCs w:val="24"/>
        </w:rPr>
        <w:t xml:space="preserve">La risposta breve è che no, non può, e che le regole vanno riscritte mentre si</w:t>
      </w:r>
    </w:p>
    <w:p>
      <w:pPr>
        <w:spacing w:after="120" w:line="276"/>
        <w:jc w:val="both"/>
      </w:pPr>
      <w:r>
        <w:rPr>
          <w:rFonts w:ascii="Barlow Semi Condensed" w:cs="Barlow Semi Condensed" w:eastAsia="Barlow Semi Condensed" w:hAnsi="Barlow Semi Condensed"/>
          <w:sz w:val="24"/>
          <w:szCs w:val="24"/>
        </w:rPr>
        <w:t xml:space="preserve">lavora. Il libro è il diario di quelle riscritture, e ognuna nasce da un</w:t>
      </w:r>
    </w:p>
    <w:p>
      <w:pPr>
        <w:spacing w:after="120" w:line="276"/>
        <w:jc w:val="both"/>
      </w:pPr>
      <w:r>
        <w:rPr>
          <w:rFonts w:ascii="Barlow Semi Condensed" w:cs="Barlow Semi Condensed" w:eastAsia="Barlow Semi Condensed" w:hAnsi="Barlow Semi Condensed"/>
          <w:sz w:val="24"/>
          <w:szCs w:val="24"/>
        </w:rPr>
        <w:t xml:space="preserve">fallimento specifico.</w:t>
      </w:r>
    </w:p>
    <w:p>
      <w:pPr>
        <w:spacing w:after="120" w:line="276"/>
        <w:jc w:val="both"/>
      </w:pPr>
      <w:r>
        <w:rPr>
          <w:rFonts w:ascii="Barlow Semi Condensed" w:cs="Barlow Semi Condensed" w:eastAsia="Barlow Semi Condensed" w:hAnsi="Barlow Semi Condensed"/>
          <w:sz w:val="24"/>
          <w:szCs w:val="24"/>
        </w:rPr>
        <w:t xml:space="preserve">C'è il momento in cui una macchina, incaricata di censire ciò che gli archivi</w:t>
      </w:r>
    </w:p>
    <w:p>
      <w:pPr>
        <w:spacing w:after="120" w:line="276"/>
        <w:jc w:val="both"/>
      </w:pPr>
      <w:r>
        <w:rPr>
          <w:rFonts w:ascii="Barlow Semi Condensed" w:cs="Barlow Semi Condensed" w:eastAsia="Barlow Semi Condensed" w:hAnsi="Barlow Semi Condensed"/>
          <w:sz w:val="24"/>
          <w:szCs w:val="24"/>
        </w:rPr>
        <w:t xml:space="preserve">non dicono, si ferma e osserva che stavo confondendo due cose diverse: un</w:t>
      </w:r>
    </w:p>
    <w:p>
      <w:pPr>
        <w:spacing w:after="120" w:line="276"/>
        <w:jc w:val="both"/>
      </w:pPr>
      <w:r>
        <w:rPr>
          <w:rFonts w:ascii="Barlow Semi Condensed" w:cs="Barlow Semi Condensed" w:eastAsia="Barlow Semi Condensed" w:hAnsi="Barlow Semi Condensed"/>
          <w:sz w:val="24"/>
          <w:szCs w:val="24"/>
        </w:rPr>
        <w:t xml:space="preserve">archivio che è stato interrogato e non ha risposto, e un capitolo che parlava</w:t>
      </w:r>
    </w:p>
    <w:p>
      <w:pPr>
        <w:spacing w:after="120" w:line="276"/>
        <w:jc w:val="both"/>
      </w:pPr>
      <w:r>
        <w:rPr>
          <w:rFonts w:ascii="Barlow Semi Condensed" w:cs="Barlow Semi Condensed" w:eastAsia="Barlow Semi Condensed" w:hAnsi="Barlow Semi Condensed"/>
          <w:sz w:val="24"/>
          <w:szCs w:val="24"/>
        </w:rPr>
        <w:t xml:space="preserve">d'altro. Aveva ragione, e la distinzione non era nelle mie istruzioni.</w:t>
      </w:r>
    </w:p>
    <w:p>
      <w:pPr>
        <w:spacing w:after="120" w:line="276"/>
        <w:jc w:val="both"/>
      </w:pPr>
      <w:r>
        <w:rPr>
          <w:rFonts w:ascii="Barlow Semi Condensed" w:cs="Barlow Semi Condensed" w:eastAsia="Barlow Semi Condensed" w:hAnsi="Barlow Semi Condensed"/>
          <w:sz w:val="24"/>
          <w:szCs w:val="24"/>
        </w:rPr>
        <w:t xml:space="preserve">C'è il momento in cui il controllo automatico che avevo scritto per intercettare</w:t>
      </w:r>
    </w:p>
    <w:p>
      <w:pPr>
        <w:spacing w:after="120" w:line="276"/>
        <w:jc w:val="both"/>
      </w:pPr>
      <w:r>
        <w:rPr>
          <w:rFonts w:ascii="Barlow Semi Condensed" w:cs="Barlow Semi Condensed" w:eastAsia="Barlow Semi Condensed" w:hAnsi="Barlow Semi Condensed"/>
          <w:sz w:val="24"/>
          <w:szCs w:val="24"/>
        </w:rPr>
        <w:t xml:space="preserve">le accuse improprie ha segnalato, una dopo l'altra, proprio le pagine che quelle</w:t>
      </w:r>
    </w:p>
    <w:p>
      <w:pPr>
        <w:spacing w:after="120" w:line="276"/>
        <w:jc w:val="both"/>
      </w:pPr>
      <w:r>
        <w:rPr>
          <w:rFonts w:ascii="Barlow Semi Condensed" w:cs="Barlow Semi Condensed" w:eastAsia="Barlow Semi Condensed" w:hAnsi="Barlow Semi Condensed"/>
          <w:sz w:val="24"/>
          <w:szCs w:val="24"/>
        </w:rPr>
        <w:t xml:space="preserve">accuse le vietavano — perché per vietare una formula bisogna scriverla, e nessun</w:t>
      </w:r>
    </w:p>
    <w:p>
      <w:pPr>
        <w:spacing w:after="120" w:line="276"/>
        <w:jc w:val="both"/>
      </w:pPr>
      <w:r>
        <w:rPr>
          <w:rFonts w:ascii="Barlow Semi Condensed" w:cs="Barlow Semi Condensed" w:eastAsia="Barlow Semi Condensed" w:hAnsi="Barlow Semi Condensed"/>
          <w:sz w:val="24"/>
          <w:szCs w:val="24"/>
        </w:rPr>
        <w:t xml:space="preserve">filtro distingue una regola dalla sua trasgressione.</w:t>
      </w:r>
    </w:p>
    <w:p>
      <w:pPr>
        <w:spacing w:after="120" w:line="276"/>
        <w:jc w:val="both"/>
      </w:pPr>
      <w:r>
        <w:rPr>
          <w:rFonts w:ascii="Barlow Semi Condensed" w:cs="Barlow Semi Condensed" w:eastAsia="Barlow Semi Condensed" w:hAnsi="Barlow Semi Condensed"/>
          <w:sz w:val="24"/>
          <w:szCs w:val="24"/>
        </w:rPr>
        <w:t xml:space="preserve">E c'è il momento in cui ho aperto il documento che tutti citano come la prova di</w:t>
      </w:r>
    </w:p>
    <w:p>
      <w:pPr>
        <w:spacing w:after="120" w:line="276"/>
        <w:jc w:val="both"/>
      </w:pPr>
      <w:r>
        <w:rPr>
          <w:rFonts w:ascii="Barlow Semi Condensed" w:cs="Barlow Semi Condensed" w:eastAsia="Barlow Semi Condensed" w:hAnsi="Barlow Semi Condensed"/>
          <w:sz w:val="24"/>
          <w:szCs w:val="24"/>
        </w:rPr>
        <w:t xml:space="preserve">un ultimatum americano ad Aldo Moro — il verbale dello Studio Ovale del 25</w:t>
      </w:r>
    </w:p>
    <w:p>
      <w:pPr>
        <w:spacing w:after="120" w:line="276"/>
        <w:jc w:val="both"/>
      </w:pPr>
      <w:r>
        <w:rPr>
          <w:rFonts w:ascii="Barlow Semi Condensed" w:cs="Barlow Semi Condensed" w:eastAsia="Barlow Semi Condensed" w:hAnsi="Barlow Semi Condensed"/>
          <w:sz w:val="24"/>
          <w:szCs w:val="24"/>
        </w:rPr>
        <w:t xml:space="preserve">settembre 1974 — e ho constatato che </w:t>
      </w: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La verifica</w:t>
      </w:r>
    </w:p>
    <w:p>
      <w:pPr>
        <w:spacing w:after="120" w:line="276"/>
        <w:jc w:val="both"/>
      </w:pPr>
      <w:r>
        <w:rPr>
          <w:rFonts w:ascii="Barlow Semi Condensed" w:cs="Barlow Semi Condensed" w:eastAsia="Barlow Semi Condensed" w:hAnsi="Barlow Semi Condensed"/>
          <w:sz w:val="24"/>
          <w:szCs w:val="24"/>
        </w:rPr>
        <w:t xml:space="preserve">richiede mezz'ora. Nessuno l'aveva pubblicata. E di quel colloquio, ho scoperto</w:t>
      </w:r>
    </w:p>
    <w:p>
      <w:pPr>
        <w:spacing w:after="120" w:line="276"/>
        <w:jc w:val="both"/>
      </w:pPr>
      <w:r>
        <w:rPr>
          <w:rFonts w:ascii="Barlow Semi Condensed" w:cs="Barlow Semi Condensed" w:eastAsia="Barlow Semi Condensed" w:hAnsi="Barlow Semi Condensed"/>
          <w:sz w:val="24"/>
          <w:szCs w:val="24"/>
        </w:rPr>
        <w:t xml:space="preserve">poi, esiste un solo verbale, quello americano: l'appunto italiano dello stesso</w:t>
      </w:r>
    </w:p>
    <w:p>
      <w:pPr>
        <w:spacing w:after="120" w:line="276"/>
        <w:jc w:val="both"/>
      </w:pPr>
      <w:r>
        <w:rPr>
          <w:rFonts w:ascii="Barlow Semi Condensed" w:cs="Barlow Semi Condensed" w:eastAsia="Barlow Semi Condensed" w:hAnsi="Barlow Semi Condensed"/>
          <w:sz w:val="24"/>
          <w:szCs w:val="24"/>
        </w:rPr>
        <w:t xml:space="preserve">incontro </w:t>
      </w:r>
      <w:r>
        <w:rPr>
          <w:rFonts w:ascii="Barlow Semi Condensed" w:cs="Barlow Semi Condensed" w:eastAsia="Barlow Semi Condensed" w:hAnsi="Barlow Semi Condensed"/>
          <w:b/>
          <w:bCs/>
          <w:sz w:val="24"/>
          <w:szCs w:val="24"/>
        </w:rPr>
        <w:t xml:space="preserve">non risulta essere mai stato cercato da nessuno, in cinquant'anni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libro finisce lì dove finiscono le cose oneste: con un elenco di cose da fare</w:t>
      </w:r>
    </w:p>
    <w:p>
      <w:pPr>
        <w:spacing w:after="120" w:line="276"/>
        <w:jc w:val="both"/>
      </w:pPr>
      <w:r>
        <w:rPr>
          <w:rFonts w:ascii="Barlow Semi Condensed" w:cs="Barlow Semi Condensed" w:eastAsia="Barlow Semi Condensed" w:hAnsi="Barlow Semi Condensed"/>
          <w:sz w:val="24"/>
          <w:szCs w:val="24"/>
        </w:rPr>
        <w:t xml:space="preserve">che non ho fatto io, e con un numero. Quattromilanovecentonovantanove domande, e</w:t>
      </w:r>
    </w:p>
    <w:p>
      <w:pPr>
        <w:spacing w:after="120" w:line="276"/>
        <w:jc w:val="both"/>
      </w:pPr>
      <w:r>
        <w:rPr>
          <w:rFonts w:ascii="Barlow Semi Condensed" w:cs="Barlow Semi Condensed" w:eastAsia="Barlow Semi Condensed" w:hAnsi="Barlow Semi Condensed"/>
          <w:sz w:val="24"/>
          <w:szCs w:val="24"/>
        </w:rPr>
        <w:t xml:space="preserve">non cinquemila, perché la cinquemillesima non ero in grado di formularla senza</w:t>
      </w:r>
    </w:p>
    <w:p>
      <w:pPr>
        <w:spacing w:after="120" w:line="276"/>
        <w:jc w:val="both"/>
      </w:pPr>
      <w:r>
        <w:rPr>
          <w:rFonts w:ascii="Barlow Semi Condensed" w:cs="Barlow Semi Condensed" w:eastAsia="Barlow Semi Condensed" w:hAnsi="Barlow Semi Condensed"/>
          <w:sz w:val="24"/>
          <w:szCs w:val="24"/>
        </w:rPr>
        <w:t xml:space="preserve">ripetere una delle precedenti — e ho preferito lasciare la riga bianca.</w:t>
      </w:r>
    </w:p>
    <w:p>
      <w:pPr>
        <w:spacing w:after="120" w:line="276"/>
        <w:jc w:val="both"/>
      </w:pPr>
      <w:r>
        <w:rPr>
          <w:rFonts w:ascii="Barlow Semi Condensed" w:cs="Barlow Semi Condensed" w:eastAsia="Barlow Semi Condensed" w:hAnsi="Barlow Semi Condensed"/>
          <w:b/>
          <w:bCs/>
          <w:sz w:val="24"/>
          <w:szCs w:val="24"/>
        </w:rPr>
        <w:t xml:space="preserve">Che cosa il libro non è.</w:t>
      </w:r>
      <w:r>
        <w:rPr>
          <w:rFonts w:ascii="Barlow Semi Condensed" w:cs="Barlow Semi Condensed" w:eastAsia="Barlow Semi Condensed" w:hAnsi="Barlow Semi Condensed"/>
          <w:sz w:val="24"/>
          <w:szCs w:val="24"/>
        </w:rPr>
        <w:t xml:space="preserve"> Non è un libro sul caso Moro, non ha una tesi sul</w:t>
      </w:r>
    </w:p>
    <w:p>
      <w:pPr>
        <w:spacing w:after="120" w:line="276"/>
        <w:jc w:val="both"/>
      </w:pPr>
      <w:r>
        <w:rPr>
          <w:rFonts w:ascii="Barlow Semi Condensed" w:cs="Barlow Semi Condensed" w:eastAsia="Barlow Semi Condensed" w:hAnsi="Barlow Semi Condensed"/>
          <w:sz w:val="24"/>
          <w:szCs w:val="24"/>
        </w:rPr>
        <w:t xml:space="preserve">1978, non fa nomi oltre le sentenze definitive. Il caso serve come banco di</w:t>
      </w:r>
    </w:p>
    <w:p>
      <w:pPr>
        <w:spacing w:after="120" w:line="276"/>
        <w:jc w:val="both"/>
      </w:pPr>
      <w:r>
        <w:rPr>
          <w:rFonts w:ascii="Barlow Semi Condensed" w:cs="Barlow Semi Condensed" w:eastAsia="Barlow Semi Condensed" w:hAnsi="Barlow Semi Condensed"/>
          <w:sz w:val="24"/>
          <w:szCs w:val="24"/>
        </w:rPr>
        <w:t xml:space="preserve">prova: è documentatissimo, la sua letteratura è tossica, e chiunque riconosce</w:t>
      </w:r>
    </w:p>
    <w:p>
      <w:pPr>
        <w:spacing w:after="120" w:line="276"/>
        <w:jc w:val="both"/>
      </w:pPr>
      <w:r>
        <w:rPr>
          <w:rFonts w:ascii="Barlow Semi Condensed" w:cs="Barlow Semi Condensed" w:eastAsia="Barlow Semi Condensed" w:hAnsi="Barlow Semi Condensed"/>
          <w:sz w:val="24"/>
          <w:szCs w:val="24"/>
        </w:rPr>
        <w:t xml:space="preserve">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Estensione</w:t>
      </w:r>
      <w:r>
        <w:rPr>
          <w:rFonts w:ascii="Barlow Semi Condensed" w:cs="Barlow Semi Condensed" w:eastAsia="Barlow Semi Condensed" w:hAnsi="Barlow Semi Condensed"/>
          <w:sz w:val="24"/>
          <w:szCs w:val="24"/>
        </w:rPr>
        <w:t xml:space="preserve">: 160-200 pagine.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è completo e verificato;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il resto del testo è da scrivere. Lo dico in chiaro perché a</w:t>
      </w:r>
    </w:p>
    <w:p>
      <w:pPr>
        <w:spacing w:after="120" w:line="276"/>
        <w:jc w:val="both"/>
      </w:pPr>
      <w:r>
        <w:rPr>
          <w:rFonts w:ascii="Barlow Semi Condensed" w:cs="Barlow Semi Condensed" w:eastAsia="Barlow Semi Condensed" w:hAnsi="Barlow Semi Condensed"/>
          <w:sz w:val="24"/>
          <w:szCs w:val="24"/>
        </w:rPr>
        <w:t xml:space="preserve">questo editore una reticenza su questo punto si paga più del ritardo che</w:t>
      </w:r>
    </w:p>
    <w:p>
      <w:pPr>
        <w:spacing w:after="120" w:line="276"/>
        <w:jc w:val="both"/>
      </w:pPr>
      <w:r>
        <w:rPr>
          <w:rFonts w:ascii="Barlow Semi Condensed" w:cs="Barlow Semi Condensed" w:eastAsia="Barlow Semi Condensed" w:hAnsi="Barlow Semi Condensed"/>
          <w:sz w:val="24"/>
          <w:szCs w:val="24"/>
        </w:rPr>
        <w:t xml:space="preserve">eviterebbe — e perché, se la risposta arriva in sei mesi, in sei mesi il libro</w:t>
      </w:r>
    </w:p>
    <w:p>
      <w:pPr>
        <w:spacing w:after="120" w:line="276"/>
        <w:jc w:val="both"/>
      </w:pPr>
      <w:r>
        <w:rPr>
          <w:rFonts w:ascii="Barlow Semi Condensed" w:cs="Barlow Semi Condensed" w:eastAsia="Barlow Semi Condensed" w:hAnsi="Barlow Semi Condensed"/>
          <w:sz w:val="24"/>
          <w:szCs w:val="24"/>
        </w:rPr>
        <w:t xml:space="preserve">può esserci.</w:t>
      </w:r>
    </w:p>
    <w:p>
      <w:pPr>
        <w:spacing w:after="120" w:line="276"/>
        <w:jc w:val="both"/>
      </w:pPr>
      <w:r>
        <w:rPr>
          <w:rFonts w:ascii="Barlow Semi Condensed" w:cs="Barlow Semi Condensed" w:eastAsia="Barlow Semi Condensed" w:hAnsi="Barlow Semi Condensed"/>
          <w:sz w:val="24"/>
          <w:szCs w:val="24"/>
        </w:rPr>
        <w:t xml:space="preserve">In allegato il curriculum vitae, come da vostre indicazioni.</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sz w:val="24"/>
          <w:szCs w:val="24"/>
        </w:rPr>
        <w:t xml:space="preserve">[dati anagrafici, email, telefono — da ripetere anche nel documento allegato]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Ordine consigliato fra i tre</w:t>
      </w:r>
    </w:p>
    <w:p>
      <w:pPr>
        <w:spacing w:after="120" w:line="276"/>
        <w:jc w:val="both"/>
      </w:pPr>
      <w:r>
        <w:rPr>
          <w:rFonts w:ascii="Barlow Semi Condensed" w:cs="Barlow Semi Condensed" w:eastAsia="Barlow Semi Condensed" w:hAnsi="Barlow Semi Condensed"/>
          <w:b/>
          <w:bCs/>
          <w:sz w:val="24"/>
          <w:szCs w:val="24"/>
        </w:rPr>
        <w:t xml:space="preserve">il Mulino per primo</w:t>
      </w:r>
      <w:r>
        <w:rPr>
          <w:rFonts w:ascii="Barlow Semi Condensed" w:cs="Barlow Semi Condensed" w:eastAsia="Barlow Semi Condensed" w:hAnsi="Barlow Semi Condensed"/>
          <w:sz w:val="24"/>
          <w:szCs w:val="24"/>
        </w:rPr>
        <w:t xml:space="preserve">: valuta progetti, il modulo è fatto per ricevere</w:t>
      </w:r>
    </w:p>
    <w:p>
      <w:pPr>
        <w:spacing w:after="120" w:line="276"/>
        <w:jc w:val="both"/>
      </w:pPr>
      <w:r>
        <w:rPr>
          <w:rFonts w:ascii="Barlow Semi Condensed" w:cs="Barlow Semi Condensed" w:eastAsia="Barlow Semi Condensed" w:hAnsi="Barlow Semi Condensed"/>
          <w:sz w:val="24"/>
          <w:szCs w:val="24"/>
        </w:rPr>
        <w:t xml:space="preserve">esattamente questo, e l'affinità di catalogo è la più alta. **Carocci in</w:t>
      </w:r>
    </w:p>
    <w:p>
      <w:pPr>
        <w:spacing w:after="120" w:line="276"/>
        <w:jc w:val="both"/>
      </w:pPr>
      <w:r>
        <w:rPr>
          <w:rFonts w:ascii="Barlow Semi Condensed" w:cs="Barlow Semi Condensed" w:eastAsia="Barlow Semi Condensed" w:hAnsi="Barlow Semi Condensed"/>
          <w:sz w:val="24"/>
          <w:szCs w:val="24"/>
        </w:rPr>
        <w:t xml:space="preserve">parallelo**: non è concorrente del Mulino perché il libro proposto è un altro —</w:t>
      </w:r>
    </w:p>
    <w:p>
      <w:pPr>
        <w:spacing w:after="120" w:line="276"/>
        <w:jc w:val="both"/>
      </w:pPr>
      <w:r>
        <w:rPr>
          <w:rFonts w:ascii="Barlow Semi Condensed" w:cs="Barlow Semi Condensed" w:eastAsia="Barlow Semi Condensed" w:hAnsi="Barlow Semi Condensed"/>
          <w:sz w:val="24"/>
          <w:szCs w:val="24"/>
        </w:rPr>
        <w:t xml:space="preserve">lì è un testo adottabile, qui un saggio civile. **Einaudi per ultimo, e solo a</w:t>
      </w:r>
    </w:p>
    <w:p>
      <w:pPr>
        <w:spacing w:after="120" w:line="276"/>
        <w:jc w:val="both"/>
      </w:pPr>
      <w:r>
        <w:rPr>
          <w:rFonts w:ascii="Barlow Semi Condensed" w:cs="Barlow Semi Condensed" w:eastAsia="Barlow Semi Condensed" w:hAnsi="Barlow Semi Condensed"/>
          <w:sz w:val="24"/>
          <w:szCs w:val="24"/>
        </w:rPr>
        <w:t xml:space="preserve">libro scritto.**</w:t>
      </w:r>
    </w:p>
    <w:p>
      <w:pPr>
        <w:spacing w:after="120" w:line="276"/>
        <w:jc w:val="both"/>
      </w:pPr>
      <w:r>
        <w:rPr>
          <w:rFonts w:ascii="Barlow Semi Condensed" w:cs="Barlow Semi Condensed" w:eastAsia="Barlow Semi Condensed" w:hAnsi="Barlow Semi Condensed"/>
          <w:sz w:val="24"/>
          <w:szCs w:val="24"/>
        </w:rPr>
        <w:t xml:space="preserve">Inviare a tutti e tre lo stesso giorno lo stesso testo è l'errore da evitare: se</w:t>
      </w:r>
    </w:p>
    <w:p>
      <w:pPr>
        <w:spacing w:after="120" w:line="276"/>
        <w:jc w:val="both"/>
      </w:pPr>
      <w:r>
        <w:rPr>
          <w:rFonts w:ascii="Barlow Semi Condensed" w:cs="Barlow Semi Condensed" w:eastAsia="Barlow Semi Condensed" w:hAnsi="Barlow Semi Condensed"/>
          <w:sz w:val="24"/>
          <w:szCs w:val="24"/>
        </w:rPr>
        <w:t xml:space="preserve">due rispondessero, ci si troverebbe ad aver promesso due libri diversi con lo</w:t>
      </w:r>
    </w:p>
    <w:p>
      <w:pPr>
        <w:spacing w:after="120" w:line="276"/>
        <w:jc w:val="both"/>
      </w:pPr>
      <w:r>
        <w:rPr>
          <w:rFonts w:ascii="Barlow Semi Condensed" w:cs="Barlow Semi Condensed" w:eastAsia="Barlow Semi Condensed" w:hAnsi="Barlow Semi Condensed"/>
          <w:sz w:val="24"/>
          <w:szCs w:val="24"/>
        </w:rPr>
        <w:t xml:space="preserve">stesso titolo.</w:t>
      </w:r>
    </w:p>
    <w:p>
      <w:pPr>
        <w:pStyle w:val="Heading3"/>
        <w:spacing w:after="80" w:before="240"/>
      </w:pPr>
      <w:r>
        <w:rPr>
          <w:rFonts w:ascii="Barlow Semi Condensed" w:cs="Barlow Semi Condensed" w:eastAsia="Barlow Semi Condensed" w:hAnsi="Barlow Semi Condensed"/>
          <w:sz w:val="24"/>
          <w:szCs w:val="24"/>
        </w:rPr>
        <w:t xml:space="preserve">Apparato grafico — Appendici · xiv. A il Mulino, Carocci, Einaudi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IV.xiv: 2.315 parole in 9 sezioni; la più ampia è §3 Angolatura scelta, con 827.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IV.xiv: 65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 A Chiarelettere e Bompiani</w:t>
      </w:r>
    </w:p>
    <w:p>
      <w:pPr>
        <w:pStyle w:val="Heading1"/>
        <w:spacing w:after="120" w:before="240"/>
      </w:pPr>
      <w:r>
        <w:rPr>
          <w:rFonts w:ascii="Barlow Semi Condensed" w:cs="Barlow Semi Condensed" w:eastAsia="Barlow Semi Condensed" w:hAnsi="Barlow Semi Condensed"/>
          <w:sz w:val="24"/>
          <w:szCs w:val="24"/>
        </w:rPr>
        <w:t xml:space="preserve">Proposte editoriali — Chiarelettere, Bompiani</w:t>
      </w:r>
    </w:p>
    <w:p>
      <w:pPr>
        <w:spacing w:after="120" w:line="276"/>
        <w:jc w:val="both"/>
      </w:pPr>
      <w:r>
        <w:rPr>
          <w:rFonts w:ascii="Barlow Semi Condensed" w:cs="Barlow Semi Condensed" w:eastAsia="Barlow Semi Condensed" w:hAnsi="Barlow Semi Condensed"/>
          <w:sz w:val="24"/>
          <w:szCs w:val="24"/>
        </w:rPr>
        <w:t xml:space="preserve">*Preparate il 26 agosto 2026. Due editori, due canali diversi, due angolature</w:t>
      </w:r>
    </w:p>
    <w:p>
      <w:pPr>
        <w:spacing w:after="120" w:line="276"/>
        <w:jc w:val="both"/>
      </w:pPr>
      <w:r>
        <w:rPr>
          <w:rFonts w:ascii="Barlow Semi Condensed" w:cs="Barlow Semi Condensed" w:eastAsia="Barlow Semi Condensed" w:hAnsi="Barlow Semi Condensed"/>
          <w:sz w:val="24"/>
          <w:szCs w:val="24"/>
        </w:rPr>
        <w:t xml:space="preserve">diverse dello stesso libro. Verificare le modalità sui siti prima dell'invio:</w:t>
      </w:r>
    </w:p>
    <w:p>
      <w:pPr>
        <w:spacing w:after="120" w:line="276"/>
        <w:jc w:val="both"/>
      </w:pPr>
      <w:r>
        <w:rPr>
          <w:rFonts w:ascii="Barlow Semi Condensed" w:cs="Barlow Semi Condensed" w:eastAsia="Barlow Semi Condensed" w:hAnsi="Barlow Semi Condensed"/>
          <w:sz w:val="24"/>
          <w:szCs w:val="24"/>
        </w:rPr>
        <w:t xml:space="preserve">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w:t>
      </w:r>
    </w:p>
    <w:p>
      <w:pPr>
        <w:spacing w:after="120" w:line="276"/>
        <w:jc w:val="both"/>
      </w:pPr>
      <w:r>
        <w:rPr>
          <w:rFonts w:ascii="Barlow Semi Condensed" w:cs="Barlow Semi Condensed" w:eastAsia="Barlow Semi Condensed" w:hAnsi="Barlow Semi Condensed"/>
          <w:sz w:val="24"/>
          <w:szCs w:val="24"/>
        </w:rPr>
        <w:t xml:space="preserve">Vale qui tutto ciò che vale per le altre proposte, e va ripetuto perché queste</w:t>
      </w:r>
    </w:p>
    <w:p>
      <w:pPr>
        <w:spacing w:after="120" w:line="276"/>
        <w:jc w:val="both"/>
      </w:pPr>
      <w:r>
        <w:rPr>
          <w:rFonts w:ascii="Barlow Semi Condensed" w:cs="Barlow Semi Condensed" w:eastAsia="Barlow Semi Condensed" w:hAnsi="Barlow Semi Condensed"/>
          <w:sz w:val="24"/>
          <w:szCs w:val="24"/>
        </w:rPr>
        <w:t xml:space="preserve">due partono per ultime e la memoria si logora.</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w:t>
      </w:r>
    </w:p>
    <w:p>
      <w:pPr>
        <w:spacing w:after="120" w:line="276"/>
        <w:jc w:val="both"/>
      </w:pPr>
      <w:r>
        <w:rPr>
          <w:rFonts w:ascii="Barlow Semi Condensed" w:cs="Barlow Semi Condensed" w:eastAsia="Barlow Semi Condensed" w:hAnsi="Barlow Semi Condensed"/>
          <w:sz w:val="24"/>
          <w:szCs w:val="24"/>
        </w:rPr>
        <w:t xml:space="preserve">apparato di consultazione. È il saggio breve che ne nasce: il resoconto di un</w:t>
      </w:r>
    </w:p>
    <w:p>
      <w:pPr>
        <w:spacing w:after="120" w:line="276"/>
        <w:jc w:val="both"/>
      </w:pPr>
      <w:r>
        <w:rPr>
          <w:rFonts w:ascii="Barlow Semi Condensed" w:cs="Barlow Semi Condensed" w:eastAsia="Barlow Semi Condensed" w:hAnsi="Barlow Semi Condensed"/>
          <w:sz w:val="24"/>
          <w:szCs w:val="24"/>
        </w:rPr>
        <w:t xml:space="preserve">esperimento di ricerca storica assistita da intelligenza artificiale condotto sul</w:t>
      </w:r>
    </w:p>
    <w:p>
      <w:pPr>
        <w:spacing w:after="120" w:line="276"/>
        <w:jc w:val="both"/>
      </w:pPr>
      <w:r>
        <w:rPr>
          <w:rFonts w:ascii="Barlow Semi Condensed" w:cs="Barlow Semi Condensed" w:eastAsia="Barlow Semi Condensed" w:hAnsi="Barlow Semi Condensed"/>
          <w:sz w:val="24"/>
          <w:szCs w:val="24"/>
        </w:rPr>
        <w:t xml:space="preserve">caso Moro, e in particolare dei suoi fallimenti metodologici.</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entrambe. Non è cautela: è l'oggetto del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con la stessa formula usata ovunque</w:t>
      </w:r>
      <w:r>
        <w:rPr>
          <w:rFonts w:ascii="Barlow Semi Condensed" w:cs="Barlow Semi Condensed" w:eastAsia="Barlow Semi Condensed" w:hAnsi="Barlow Semi Condensed"/>
          <w:sz w:val="24"/>
          <w:szCs w:val="24"/>
        </w:rPr>
        <w:t xml:space="preserve">: il corpus è</w:t>
      </w:r>
    </w:p>
    <w:p>
      <w:pPr>
        <w:spacing w:after="120" w:line="276"/>
        <w:jc w:val="both"/>
      </w:pPr>
      <w:r>
        <w:rPr>
          <w:rFonts w:ascii="Barlow Semi Condensed" w:cs="Barlow Semi Condensed" w:eastAsia="Barlow Semi Condensed" w:hAnsi="Barlow Semi Condensed"/>
          <w:sz w:val="24"/>
          <w:szCs w:val="24"/>
        </w:rPr>
        <w:t xml:space="preserve">completo e verificato, la struttura del saggio esiste, i sette casi sono</w:t>
      </w:r>
    </w:p>
    <w:p>
      <w:pPr>
        <w:spacing w:after="120" w:line="276"/>
        <w:jc w:val="both"/>
      </w:pPr>
      <w:r>
        <w:rPr>
          <w:rFonts w:ascii="Barlow Semi Condensed" w:cs="Barlow Semi Condensed" w:eastAsia="Barlow Semi Condensed" w:hAnsi="Barlow Semi Condensed"/>
          <w:sz w:val="24"/>
          <w:szCs w:val="24"/>
        </w:rPr>
        <w:t xml:space="preserve">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 — **il resto del</w:t>
      </w:r>
    </w:p>
    <w:p>
      <w:pPr>
        <w:spacing w:after="120" w:line="276"/>
        <w:jc w:val="both"/>
      </w:pPr>
      <w:r>
        <w:rPr>
          <w:rFonts w:ascii="Barlow Semi Condensed" w:cs="Barlow Semi Condensed" w:eastAsia="Barlow Semi Condensed" w:hAnsi="Barlow Semi Condensed"/>
          <w:sz w:val="24"/>
          <w:szCs w:val="24"/>
        </w:rPr>
        <w:t xml:space="preserve">testo è da scrivere**.</w:t>
      </w:r>
    </w:p>
    <w:p>
      <w:pPr>
        <w:spacing w:after="120" w:line="276"/>
        <w:jc w:val="both"/>
      </w:pPr>
      <w:r>
        <w:rPr>
          <w:rFonts w:ascii="Barlow Semi Condensed" w:cs="Barlow Semi Condensed" w:eastAsia="Barlow Semi Condensed" w:hAnsi="Barlow Semi Condensed"/>
          <w:b/>
          <w:bCs/>
          <w:sz w:val="24"/>
          <w:szCs w:val="24"/>
        </w:rPr>
        <w:t xml:space="preserve">Dove si offre il corpus si dichiara l'eccezione del Libro quarto.</w:t>
      </w:r>
      <w:r>
        <w:rPr>
          <w:rFonts w:ascii="Barlow Semi Condensed" w:cs="Barlow Semi Condensed" w:eastAsia="Barlow Semi Condensed" w:hAnsi="Barlow Semi Condensed"/>
          <w:sz w:val="24"/>
          <w:szCs w:val="24"/>
        </w:rPr>
        <w:t xml:space="preserve"> Dei</w:t>
      </w:r>
    </w:p>
    <w:p>
      <w:pPr>
        <w:spacing w:after="120" w:line="276"/>
        <w:jc w:val="both"/>
      </w:pPr>
      <w:r>
        <w:rPr>
          <w:rFonts w:ascii="Barlow Semi Condensed" w:cs="Barlow Semi Condensed" w:eastAsia="Barlow Semi Condensed" w:hAnsi="Barlow Semi Condensed"/>
          <w:sz w:val="24"/>
          <w:szCs w:val="24"/>
        </w:rPr>
        <w:t xml:space="preserve">quattordici Libri uno solo, nella seconda metà, ordina per plausibilità del</w:t>
      </w:r>
    </w:p>
    <w:p>
      <w:pPr>
        <w:spacing w:after="120" w:line="276"/>
        <w:jc w:val="both"/>
      </w:pPr>
      <w:r>
        <w:rPr>
          <w:rFonts w:ascii="Barlow Semi Condensed" w:cs="Barlow Semi Condensed" w:eastAsia="Barlow Semi Condensed" w:hAnsi="Barlow Semi Condensed"/>
          <w:sz w:val="24"/>
          <w:szCs w:val="24"/>
        </w:rPr>
        <w:t xml:space="preserve">coinvolgimento — per categorie di soggetti e non per nomi individuali. È</w:t>
      </w:r>
    </w:p>
    <w:p>
      <w:pPr>
        <w:spacing w:after="120" w:line="276"/>
        <w:jc w:val="both"/>
      </w:pPr>
      <w:r>
        <w:rPr>
          <w:rFonts w:ascii="Barlow Semi Condensed" w:cs="Barlow Semi Condensed" w:eastAsia="Barlow Semi Condensed" w:hAnsi="Barlow Semi Condensed"/>
          <w:sz w:val="24"/>
          <w:szCs w:val="24"/>
        </w:rPr>
        <w:t xml:space="preserve">dichiarata in copertina e vale per quel Libro soltanto. Il saggio non la riprende.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Chiarelettere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Proposte a </w:t>
      </w:r>
      <w:r>
        <w:rPr>
          <w:rFonts w:ascii="Barlow Semi Condensed" w:cs="Barlow Semi Condensed" w:eastAsia="Barlow Semi Condensed" w:hAnsi="Barlow Semi Condensed"/>
          <w:b/>
          <w:bCs/>
          <w:sz w:val="24"/>
          <w:szCs w:val="24"/>
        </w:rPr>
        <w:t xml:space="preserve">`proposte.editoriali@chiarelettere.it`</w:t>
      </w:r>
      <w:r>
        <w:rPr>
          <w:rFonts w:ascii="Barlow Semi Condensed" w:cs="Barlow Semi Condensed" w:eastAsia="Barlow Semi Condensed" w:hAnsi="Barlow Semi Condensed"/>
          <w:sz w:val="24"/>
          <w:szCs w:val="24"/>
        </w:rPr>
        <w:t xml:space="preserve">, oppure attraverso il</w:t>
      </w:r>
    </w:p>
    <w:p>
      <w:pPr>
        <w:spacing w:after="120" w:line="276"/>
        <w:jc w:val="both"/>
      </w:pPr>
      <w:r>
        <w:rPr>
          <w:rFonts w:ascii="Barlow Semi Condensed" w:cs="Barlow Semi Condensed" w:eastAsia="Barlow Semi Condensed" w:hAnsi="Barlow Semi Condensed"/>
          <w:sz w:val="24"/>
          <w:szCs w:val="24"/>
        </w:rPr>
        <w:t xml:space="preserve">modulo sul sito — verificare quale sia il canale preferito il giorno dell'invio.</w:t>
      </w:r>
    </w:p>
    <w:p>
      <w:pPr>
        <w:spacing w:after="120" w:line="276"/>
        <w:jc w:val="both"/>
      </w:pPr>
      <w:r>
        <w:rPr>
          <w:rFonts w:ascii="Barlow Semi Condensed" w:cs="Barlow Semi Condensed" w:eastAsia="Barlow Semi Condensed" w:hAnsi="Barlow Semi Condensed"/>
          <w:sz w:val="24"/>
          <w:szCs w:val="24"/>
        </w:rPr>
        <w:t xml:space="preserve">Sede: corso Sempione 2, 20154 Milano.</w:t>
      </w:r>
    </w:p>
    <w:p>
      <w:pPr>
        <w:pStyle w:val="Heading2"/>
        <w:spacing w:after="100" w:before="200"/>
      </w:pPr>
      <w:r>
        <w:rPr>
          <w:rFonts w:ascii="Barlow Semi Condensed" w:cs="Barlow Semi Condensed" w:eastAsia="Barlow Semi Condensed" w:hAnsi="Barlow Semi Condensed"/>
          <w:sz w:val="24"/>
          <w:szCs w:val="24"/>
        </w:rPr>
        <w:t xml:space="preserve">Angolatura scelta, e perché è la più difficile delle sei</w:t>
      </w:r>
    </w:p>
    <w:p>
      <w:pPr>
        <w:spacing w:after="120" w:line="276"/>
        <w:jc w:val="both"/>
      </w:pPr>
      <w:r>
        <w:rPr>
          <w:rFonts w:ascii="Barlow Semi Condensed" w:cs="Barlow Semi Condensed" w:eastAsia="Barlow Semi Condensed" w:hAnsi="Barlow Semi Condensed"/>
          <w:sz w:val="24"/>
          <w:szCs w:val="24"/>
        </w:rPr>
        <w:t xml:space="preserve">Chiarelettere è il catalogo più affine dei nove: saggistica civile e d'inchiesta</w:t>
      </w:r>
    </w:p>
    <w:p>
      <w:pPr>
        <w:spacing w:after="120" w:line="276"/>
        <w:jc w:val="both"/>
      </w:pPr>
      <w:r>
        <w:rPr>
          <w:rFonts w:ascii="Barlow Semi Condensed" w:cs="Barlow Semi Condensed" w:eastAsia="Barlow Semi Condensed" w:hAnsi="Barlow Semi Condensed"/>
          <w:sz w:val="24"/>
          <w:szCs w:val="24"/>
        </w:rPr>
        <w:t xml:space="preserve">italiana, con una tradizione consolidata sulla storia della Repubblica e sui suoi</w:t>
      </w:r>
    </w:p>
    <w:p>
      <w:pPr>
        <w:spacing w:after="120" w:line="276"/>
        <w:jc w:val="both"/>
      </w:pPr>
      <w:r>
        <w:rPr>
          <w:rFonts w:ascii="Barlow Semi Condensed" w:cs="Barlow Semi Condensed" w:eastAsia="Barlow Semi Condensed" w:hAnsi="Barlow Semi Condensed"/>
          <w:sz w:val="24"/>
          <w:szCs w:val="24"/>
        </w:rPr>
        <w:t xml:space="preserve">punti opachi. **Proprio per questo è la porta dove una proposta sbagliata si nota</w:t>
      </w:r>
    </w:p>
    <w:p>
      <w:pPr>
        <w:spacing w:after="120" w:line="276"/>
        <w:jc w:val="both"/>
      </w:pPr>
      <w:r>
        <w:rPr>
          <w:rFonts w:ascii="Barlow Semi Condensed" w:cs="Barlow Semi Condensed" w:eastAsia="Barlow Semi Condensed" w:hAnsi="Barlow Semi Condensed"/>
          <w:sz w:val="24"/>
          <w:szCs w:val="24"/>
        </w:rPr>
        <w:t xml:space="preserve">di più**, e dove l'errore più facile sarebbe promettere ciò che il libro non dà.</w:t>
      </w:r>
    </w:p>
    <w:p>
      <w:pPr>
        <w:spacing w:after="120" w:line="276"/>
        <w:jc w:val="both"/>
      </w:pPr>
      <w:r>
        <w:rPr>
          <w:rFonts w:ascii="Barlow Semi Condensed" w:cs="Barlow Semi Condensed" w:eastAsia="Barlow Semi Condensed" w:hAnsi="Barlow Semi Condensed"/>
          <w:sz w:val="24"/>
          <w:szCs w:val="24"/>
        </w:rPr>
        <w:t xml:space="preserve">Il lettore di Chiarelettere si aspetta un'inchiesta che riveli. Questo libro</w:t>
      </w:r>
    </w:p>
    <w:p>
      <w:pPr>
        <w:spacing w:after="120" w:line="276"/>
        <w:jc w:val="both"/>
      </w:pPr>
      <w:r>
        <w:rPr>
          <w:rFonts w:ascii="Barlow Semi Condensed" w:cs="Barlow Semi Condensed" w:eastAsia="Barlow Semi Condensed" w:hAnsi="Barlow Semi Condensed"/>
          <w:sz w:val="24"/>
          <w:szCs w:val="24"/>
        </w:rPr>
        <w:t xml:space="preserve">dichiara di non rivelare nulla. Fingere il contrario per farsi leggere sarebbe</w:t>
      </w:r>
    </w:p>
    <w:p>
      <w:pPr>
        <w:spacing w:after="120" w:line="276"/>
        <w:jc w:val="both"/>
      </w:pPr>
      <w:r>
        <w:rPr>
          <w:rFonts w:ascii="Barlow Semi Condensed" w:cs="Barlow Semi Condensed" w:eastAsia="Barlow Semi Condensed" w:hAnsi="Barlow Semi Condensed"/>
          <w:sz w:val="24"/>
          <w:szCs w:val="24"/>
        </w:rPr>
        <w:t xml:space="preserve">disonesto verso l'editore e fatale al primo controllo.</w:t>
      </w:r>
    </w:p>
    <w:p>
      <w:pPr>
        <w:spacing w:after="120" w:line="276"/>
        <w:jc w:val="both"/>
      </w:pPr>
      <w:r>
        <w:rPr>
          <w:rFonts w:ascii="Barlow Semi Condensed" w:cs="Barlow Semi Condensed" w:eastAsia="Barlow Semi Condensed" w:hAnsi="Barlow Semi Condensed"/>
          <w:sz w:val="24"/>
          <w:szCs w:val="24"/>
        </w:rPr>
        <w:t xml:space="preserve">L'angolatura giusta è perciò l'opposta, ed è più forte: **il libro non porta una</w:t>
      </w:r>
    </w:p>
    <w:p>
      <w:pPr>
        <w:spacing w:after="120" w:line="276"/>
        <w:jc w:val="both"/>
      </w:pPr>
      <w:r>
        <w:rPr>
          <w:rFonts w:ascii="Barlow Semi Condensed" w:cs="Barlow Semi Condensed" w:eastAsia="Barlow Semi Condensed" w:hAnsi="Barlow Semi Condensed"/>
          <w:sz w:val="24"/>
          <w:szCs w:val="24"/>
        </w:rPr>
        <w:t xml:space="preserve">rivelazione, porta lo strumento per giudicarle**. A un pubblico che ha letto per</w:t>
      </w:r>
    </w:p>
    <w:p>
      <w:pPr>
        <w:spacing w:after="120" w:line="276"/>
        <w:jc w:val="both"/>
      </w:pPr>
      <w:r>
        <w:rPr>
          <w:rFonts w:ascii="Barlow Semi Condensed" w:cs="Barlow Semi Condensed" w:eastAsia="Barlow Semi Condensed" w:hAnsi="Barlow Semi Condensed"/>
          <w:sz w:val="24"/>
          <w:szCs w:val="24"/>
        </w:rPr>
        <w:t xml:space="preserve">quarant'anni ricostruzioni contrastanti dello stesso caso, offre il criterio per</w:t>
      </w:r>
    </w:p>
    <w:p>
      <w:pPr>
        <w:spacing w:after="120" w:line="276"/>
        <w:jc w:val="both"/>
      </w:pPr>
      <w:r>
        <w:rPr>
          <w:rFonts w:ascii="Barlow Semi Condensed" w:cs="Barlow Semi Condensed" w:eastAsia="Barlow Semi Condensed" w:hAnsi="Barlow Semi Condensed"/>
          <w:sz w:val="24"/>
          <w:szCs w:val="24"/>
        </w:rPr>
        <w:t xml:space="preserve">distinguere ciò che è provato da ciò che è soltanto ripetuto — e lo fa</w:t>
      </w:r>
    </w:p>
    <w:p>
      <w:pPr>
        <w:spacing w:after="120" w:line="276"/>
        <w:jc w:val="both"/>
      </w:pPr>
      <w:r>
        <w:rPr>
          <w:rFonts w:ascii="Barlow Semi Condensed" w:cs="Barlow Semi Condensed" w:eastAsia="Barlow Semi Condensed" w:hAnsi="Barlow Semi Condensed"/>
          <w:sz w:val="24"/>
          <w:szCs w:val="24"/>
        </w:rPr>
        <w:t xml:space="preserve">mostrandolo al lavoro, non predicandolo.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 per la vostra saggistica civile.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 prodotto</w:t>
      </w:r>
    </w:p>
    <w:p>
      <w:pPr>
        <w:spacing w:after="120" w:line="276"/>
        <w:jc w:val="both"/>
      </w:pPr>
      <w:r>
        <w:rPr>
          <w:rFonts w:ascii="Barlow Semi Condensed" w:cs="Barlow Semi Condensed" w:eastAsia="Barlow Semi Condensed" w:hAnsi="Barlow Semi Condensed"/>
          <w:sz w:val="24"/>
          <w:szCs w:val="24"/>
        </w:rPr>
        <w:t xml:space="preserve">con sistemi di intelligenza artificiale sotto la mia direzione e responsabilità.</w:t>
      </w:r>
    </w:p>
    <w:p>
      <w:pPr>
        <w:spacing w:after="120" w:line="276"/>
        <w:jc w:val="both"/>
      </w:pPr>
      <w:r>
        <w:rPr>
          <w:rFonts w:ascii="Barlow Semi Condensed" w:cs="Barlow Semi Condensed" w:eastAsia="Barlow Semi Condensed" w:hAnsi="Barlow Semi Condensed"/>
          <w:sz w:val="24"/>
          <w:szCs w:val="24"/>
        </w:rPr>
        <w:t xml:space="preserve">Lo dichiaro in apertura perché non è un dettaglio produttivo: è l'oggetto del</w:t>
      </w:r>
    </w:p>
    <w:p>
      <w:pPr>
        <w:spacing w:after="120" w:line="276"/>
        <w:jc w:val="both"/>
      </w:pPr>
      <w:r>
        <w:rPr>
          <w:rFonts w:ascii="Barlow Semi Condensed" w:cs="Barlow Semi Condensed" w:eastAsia="Barlow Semi Condensed" w:hAnsi="Barlow Semi Condensed"/>
          <w:sz w:val="24"/>
          <w:szCs w:val="24"/>
        </w:rPr>
        <w:t xml:space="preserve">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*Il buco misurato. Come si distingue un fatto da una voce,</w:t>
      </w:r>
    </w:p>
    <w:p>
      <w:pPr>
        <w:spacing w:after="120" w:line="276"/>
        <w:jc w:val="both"/>
      </w:pPr>
      <w:r>
        <w:rPr>
          <w:rFonts w:ascii="Barlow Semi Condensed" w:cs="Barlow Semi Condensed" w:eastAsia="Barlow Semi Condensed" w:hAnsi="Barlow Semi Condensed"/>
          <w:sz w:val="24"/>
          <w:szCs w:val="24"/>
        </w:rPr>
        <w:t xml:space="preserve">nel caso più raccontato d'Italia.*</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Nel 2026 ho messo sistemi di intelligenza artificiale a lavorare sul</w:t>
      </w:r>
    </w:p>
    <w:p>
      <w:pPr>
        <w:spacing w:after="120" w:line="276"/>
        <w:jc w:val="both"/>
      </w:pPr>
      <w:r>
        <w:rPr>
          <w:rFonts w:ascii="Barlow Semi Condensed" w:cs="Barlow Semi Condensed" w:eastAsia="Barlow Semi Condensed" w:hAnsi="Barlow Semi Condensed"/>
          <w:sz w:val="24"/>
          <w:szCs w:val="24"/>
        </w:rPr>
        <w:t xml:space="preserve">caso Moro sotto una disciplina metodologica scritta prima di ciascun lotto e</w:t>
      </w:r>
    </w:p>
    <w:p>
      <w:pPr>
        <w:spacing w:after="120" w:line="276"/>
        <w:jc w:val="both"/>
      </w:pPr>
      <w:r>
        <w:rPr>
          <w:rFonts w:ascii="Barlow Semi Condensed" w:cs="Barlow Semi Condensed" w:eastAsia="Barlow Semi Condensed" w:hAnsi="Barlow Semi Condensed"/>
          <w:sz w:val="24"/>
          <w:szCs w:val="24"/>
        </w:rPr>
        <w:t xml:space="preserve">riscritta ogni volta che un lotto la incrinava. Il caso Moro serviva come banco di</w:t>
      </w:r>
    </w:p>
    <w:p>
      <w:pPr>
        <w:spacing w:after="120" w:line="276"/>
        <w:jc w:val="both"/>
      </w:pPr>
      <w:r>
        <w:rPr>
          <w:rFonts w:ascii="Barlow Semi Condensed" w:cs="Barlow Semi Condensed" w:eastAsia="Barlow Semi Condensed" w:hAnsi="Barlow Semi Condensed"/>
          <w:sz w:val="24"/>
          <w:szCs w:val="24"/>
        </w:rPr>
        <w:t xml:space="preserve">prova: è il più documentato della storia repubblicana e il più infestato dalla</w:t>
      </w:r>
    </w:p>
    <w:p>
      <w:pPr>
        <w:spacing w:after="120" w:line="276"/>
        <w:jc w:val="both"/>
      </w:pPr>
      <w:r>
        <w:rPr>
          <w:rFonts w:ascii="Barlow Semi Condensed" w:cs="Barlow Semi Condensed" w:eastAsia="Barlow Semi Condensed" w:hAnsi="Barlow Semi Condensed"/>
          <w:sz w:val="24"/>
          <w:szCs w:val="24"/>
        </w:rPr>
        <w:t xml:space="preserve">dietrologia, e chiunque riconosce quando un ragionamento su di esso sta</w:t>
      </w:r>
    </w:p>
    <w:p>
      <w:pPr>
        <w:spacing w:after="120" w:line="276"/>
        <w:jc w:val="both"/>
      </w:pPr>
      <w:r>
        <w:rPr>
          <w:rFonts w:ascii="Barlow Semi Condensed" w:cs="Barlow Semi Condensed" w:eastAsia="Barlow Semi Condensed" w:hAnsi="Barlow Semi Condensed"/>
          <w:sz w:val="24"/>
          <w:szCs w:val="24"/>
        </w:rPr>
        <w:t xml:space="preserve">scivolando. Il libro non è il corpus che ne è uscito: è **il resoconto</w:t>
      </w:r>
    </w:p>
    <w:p>
      <w:pPr>
        <w:spacing w:after="120" w:line="276"/>
        <w:jc w:val="both"/>
      </w:pPr>
      <w:r>
        <w:rPr>
          <w:rFonts w:ascii="Barlow Semi Condensed" w:cs="Barlow Semi Condensed" w:eastAsia="Barlow Semi Condensed" w:hAnsi="Barlow Semi Condensed"/>
          <w:sz w:val="24"/>
          <w:szCs w:val="24"/>
        </w:rPr>
        <w:t xml:space="preserve">dell'esperimento, e in particolare di ciò che è andato storto**.</w:t>
      </w:r>
    </w:p>
    <w:p>
      <w:pPr>
        <w:spacing w:after="120" w:line="276"/>
        <w:jc w:val="both"/>
      </w:pPr>
      <w:r>
        <w:rPr>
          <w:rFonts w:ascii="Barlow Semi Condensed" w:cs="Barlow Semi Condensed" w:eastAsia="Barlow Semi Condensed" w:hAnsi="Barlow Semi Condensed"/>
          <w:b/>
          <w:bCs/>
          <w:sz w:val="24"/>
          <w:szCs w:val="24"/>
        </w:rPr>
        <w:t xml:space="preserve">Perché credo interessi il vostro catalogo.</w:t>
      </w:r>
      <w:r>
        <w:rPr>
          <w:rFonts w:ascii="Barlow Semi Condensed" w:cs="Barlow Semi Condensed" w:eastAsia="Barlow Semi Condensed" w:hAnsi="Barlow Semi Condensed"/>
          <w:sz w:val="24"/>
          <w:szCs w:val="24"/>
        </w:rPr>
        <w:t xml:space="preserve"> Una macchina messa a cercare</w:t>
      </w:r>
    </w:p>
    <w:p>
      <w:pPr>
        <w:spacing w:after="120" w:line="276"/>
        <w:jc w:val="both"/>
      </w:pPr>
      <w:r>
        <w:rPr>
          <w:rFonts w:ascii="Barlow Semi Condensed" w:cs="Barlow Semi Condensed" w:eastAsia="Barlow Semi Condensed" w:hAnsi="Barlow Semi Condensed"/>
          <w:sz w:val="24"/>
          <w:szCs w:val="24"/>
        </w:rPr>
        <w:t xml:space="preserve">connessioni le trova sempre — e le trova anche dove non ci sono. È la stessa cosa</w:t>
      </w:r>
    </w:p>
    <w:p>
      <w:pPr>
        <w:spacing w:after="120" w:line="276"/>
        <w:jc w:val="both"/>
      </w:pPr>
      <w:r>
        <w:rPr>
          <w:rFonts w:ascii="Barlow Semi Condensed" w:cs="Barlow Semi Condensed" w:eastAsia="Barlow Semi Condensed" w:hAnsi="Barlow Semi Condensed"/>
          <w:sz w:val="24"/>
          <w:szCs w:val="24"/>
        </w:rPr>
        <w:t xml:space="preserve">che fa la cattiva pubblicistica, ma a velocità industriale e senza malafede, il</w:t>
      </w:r>
    </w:p>
    <w:p>
      <w:pPr>
        <w:spacing w:after="120" w:line="276"/>
        <w:jc w:val="both"/>
      </w:pPr>
      <w:r>
        <w:rPr>
          <w:rFonts w:ascii="Barlow Semi Condensed" w:cs="Barlow Semi Condensed" w:eastAsia="Barlow Semi Condensed" w:hAnsi="Barlow Semi Condensed"/>
          <w:sz w:val="24"/>
          <w:szCs w:val="24"/>
        </w:rPr>
        <w:t xml:space="preserve">che la rende un modello di laboratorio perfetto: si vede in vitro come nasce una</w:t>
      </w:r>
    </w:p>
    <w:p>
      <w:pPr>
        <w:spacing w:after="120" w:line="276"/>
        <w:jc w:val="both"/>
      </w:pPr>
      <w:r>
        <w:rPr>
          <w:rFonts w:ascii="Barlow Semi Condensed" w:cs="Barlow Semi Condensed" w:eastAsia="Barlow Semi Condensed" w:hAnsi="Barlow Semi Condensed"/>
          <w:sz w:val="24"/>
          <w:szCs w:val="24"/>
        </w:rPr>
        <w:t xml:space="preserve">falsa connessione. Il libro racconta sette punti in cui la disciplina ha dovuto</w:t>
      </w:r>
    </w:p>
    <w:p>
      <w:pPr>
        <w:spacing w:after="120" w:line="276"/>
        <w:jc w:val="both"/>
      </w:pPr>
      <w:r>
        <w:rPr>
          <w:rFonts w:ascii="Barlow Semi Condensed" w:cs="Barlow Semi Condensed" w:eastAsia="Barlow Semi Condensed" w:hAnsi="Barlow Semi Condensed"/>
          <w:sz w:val="24"/>
          <w:szCs w:val="24"/>
        </w:rPr>
        <w:t xml:space="preserve">essere corretta in corsa, quasi sempre perché un errore di metodo si era</w:t>
      </w:r>
    </w:p>
    <w:p>
      <w:pPr>
        <w:spacing w:after="120" w:line="276"/>
        <w:jc w:val="both"/>
      </w:pPr>
      <w:r>
        <w:rPr>
          <w:rFonts w:ascii="Barlow Semi Condensed" w:cs="Barlow Semi Condensed" w:eastAsia="Barlow Semi Condensed" w:hAnsi="Barlow Semi Condensed"/>
          <w:sz w:val="24"/>
          <w:szCs w:val="24"/>
        </w:rPr>
        <w:t xml:space="preserve">travestito da rigore.</w:t>
      </w:r>
    </w:p>
    <w:p>
      <w:pPr>
        <w:spacing w:after="120" w:line="276"/>
        <w:jc w:val="both"/>
      </w:pPr>
      <w:r>
        <w:rPr>
          <w:rFonts w:ascii="Barlow Semi Condensed" w:cs="Barlow Semi Condensed" w:eastAsia="Barlow Semi Condensed" w:hAnsi="Barlow Semi Condensed"/>
          <w:sz w:val="24"/>
          <w:szCs w:val="24"/>
        </w:rPr>
        <w:t xml:space="preserve">Due esempi, che sono anche accertamenti nuovi: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w:t>
      </w:r>
    </w:p>
    <w:p>
      <w:pPr>
        <w:spacing w:after="120" w:line="276"/>
        <w:jc w:val="both"/>
      </w:pPr>
      <w:r>
        <w:rPr>
          <w:rFonts w:ascii="Barlow Semi Condensed" w:cs="Barlow Semi Condensed" w:eastAsia="Barlow Semi Condensed" w:hAnsi="Barlow Semi Condensed"/>
          <w:sz w:val="24"/>
          <w:szCs w:val="24"/>
        </w:rPr>
        <w:t xml:space="preserve">  Kissinger e ripetuta da decine di siti risulta, a spoglio, discendere da un</w:t>
      </w:r>
    </w:p>
    <w:p>
      <w:pPr>
        <w:spacing w:after="120" w:line="276"/>
        <w:jc w:val="both"/>
      </w:pPr>
      <w:r>
        <w:rPr>
          <w:rFonts w:ascii="Barlow Semi Condensed" w:cs="Barlow Semi Condensed" w:eastAsia="Barlow Semi Condensed" w:hAnsi="Barlow Semi Condensed"/>
          <w:sz w:val="24"/>
          <w:szCs w:val="24"/>
        </w:rPr>
        <w:t xml:space="preserve">  unico lancio d'agenzia del 30 novembre 2023. Cento riprese di una sola origine</w:t>
      </w:r>
    </w:p>
    <w:p>
      <w:pPr>
        <w:spacing w:after="120" w:line="276"/>
        <w:jc w:val="both"/>
      </w:pPr>
      <w:r>
        <w:rPr>
          <w:rFonts w:ascii="Barlow Semi Condensed" w:cs="Barlow Semi Condensed" w:eastAsia="Barlow Semi Condensed" w:hAnsi="Barlow Semi Condensed"/>
          <w:sz w:val="24"/>
          <w:szCs w:val="24"/>
        </w:rPr>
        <w:t xml:space="preserv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w:t>
      </w:r>
    </w:p>
    <w:p>
      <w:pPr>
        <w:spacing w:after="120" w:line="276"/>
        <w:jc w:val="both"/>
      </w:pPr>
      <w:r>
        <w:rPr>
          <w:rFonts w:ascii="Barlow Semi Condensed" w:cs="Barlow Semi Condensed" w:eastAsia="Barlow Semi Condensed" w:hAnsi="Barlow Semi Condensed"/>
          <w:sz w:val="24"/>
          <w:szCs w:val="24"/>
        </w:rPr>
        <w:t xml:space="preserve">  Ovale del 25 settembre 1974, correntemente presentato come prova documentale di</w:t>
      </w:r>
    </w:p>
    <w:p>
      <w:pPr>
        <w:spacing w:after="120" w:line="276"/>
        <w:jc w:val="both"/>
      </w:pPr>
      <w:r>
        <w:rPr>
          <w:rFonts w:ascii="Barlow Semi Condensed" w:cs="Barlow Semi Condensed" w:eastAsia="Barlow Semi Condensed" w:hAnsi="Barlow Semi Condensed"/>
          <w:sz w:val="24"/>
          <w:szCs w:val="24"/>
        </w:rPr>
        <w:t xml:space="preserve">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 alla portata di</w:t>
      </w:r>
    </w:p>
    <w:p>
      <w:pPr>
        <w:spacing w:after="120" w:line="276"/>
        <w:jc w:val="both"/>
      </w:pPr>
      <w:r>
        <w:rPr>
          <w:rFonts w:ascii="Barlow Semi Condensed" w:cs="Barlow Semi Condensed" w:eastAsia="Barlow Semi Condensed" w:hAnsi="Barlow Semi Condensed"/>
          <w:sz w:val="24"/>
          <w:szCs w:val="24"/>
        </w:rPr>
        <w:t xml:space="preserve">  chiunque e nessuno l'aveva pubblicata in questa forma. Di quello stesso</w:t>
      </w:r>
    </w:p>
    <w:p>
      <w:pPr>
        <w:spacing w:after="120" w:line="276"/>
        <w:jc w:val="both"/>
      </w:pPr>
      <w:r>
        <w:rPr>
          <w:rFonts w:ascii="Barlow Semi Condensed" w:cs="Barlow Semi Condensed" w:eastAsia="Barlow Semi Condensed" w:hAnsi="Barlow Semi Condensed"/>
          <w:sz w:val="24"/>
          <w:szCs w:val="24"/>
        </w:rPr>
        <w:t xml:space="preserve">  colloquio esiste un solo verbale, l'americano: l'appunto italiano non risulta</w:t>
      </w:r>
    </w:p>
    <w:p>
      <w:pPr>
        <w:spacing w:after="120" w:line="276"/>
        <w:jc w:val="both"/>
      </w:pPr>
      <w:r>
        <w:rPr>
          <w:rFonts w:ascii="Barlow Semi Condensed" w:cs="Barlow Semi Condensed" w:eastAsia="Barlow Semi Condensed" w:hAnsi="Barlow Semi Condensed"/>
          <w:sz w:val="24"/>
          <w:szCs w:val="24"/>
        </w:rPr>
        <w:t xml:space="preserve">  mai essere stato cercato.</w:t>
      </w:r>
    </w:p>
    <w:p>
      <w:pPr>
        <w:spacing w:after="120" w:line="276"/>
        <w:jc w:val="both"/>
      </w:pPr>
      <w:r>
        <w:rPr>
          <w:rFonts w:ascii="Barlow Semi Condensed" w:cs="Barlow Semi Condensed" w:eastAsia="Barlow Semi Condensed" w:hAnsi="Barlow Semi Condensed"/>
          <w:b/>
          <w:bCs/>
          <w:sz w:val="24"/>
          <w:szCs w:val="24"/>
        </w:rPr>
        <w:t xml:space="preserve">Che cosa il libro non fa, detto subito.</w:t>
      </w:r>
      <w:r>
        <w:rPr>
          <w:rFonts w:ascii="Barlow Semi Condensed" w:cs="Barlow Semi Condensed" w:eastAsia="Barlow Semi Condensed" w:hAnsi="Barlow Semi Condensed"/>
          <w:sz w:val="24"/>
          <w:szCs w:val="24"/>
        </w:rPr>
        <w:t xml:space="preserve"> Non propone una tesi sul caso Moro,</w:t>
      </w:r>
    </w:p>
    <w:p>
      <w:pPr>
        <w:spacing w:after="120" w:line="276"/>
        <w:jc w:val="both"/>
      </w:pPr>
      <w:r>
        <w:rPr>
          <w:rFonts w:ascii="Barlow Semi Condensed" w:cs="Barlow Semi Condensed" w:eastAsia="Barlow Semi Condensed" w:hAnsi="Barlow Semi Condensed"/>
          <w:sz w:val="24"/>
          <w:szCs w:val="24"/>
        </w:rPr>
        <w:t xml:space="preserve">non rivela nulla, non indica alcuna persona come responsabile oltre il giudicato</w:t>
      </w:r>
    </w:p>
    <w:p>
      <w:pPr>
        <w:spacing w:after="120" w:line="276"/>
        <w:jc w:val="both"/>
      </w:pPr>
      <w:r>
        <w:rPr>
          <w:rFonts w:ascii="Barlow Semi Condensed" w:cs="Barlow Semi Condensed" w:eastAsia="Barlow Semi Condensed" w:hAnsi="Barlow Semi Condensed"/>
          <w:sz w:val="24"/>
          <w:szCs w:val="24"/>
        </w:rPr>
        <w:t xml:space="preserve">definitivo. So che questo lo colloca di traverso rispetto a una parte del vostro</w:t>
      </w:r>
    </w:p>
    <w:p>
      <w:pPr>
        <w:spacing w:after="120" w:line="276"/>
        <w:jc w:val="both"/>
      </w:pPr>
      <w:r>
        <w:rPr>
          <w:rFonts w:ascii="Barlow Semi Condensed" w:cs="Barlow Semi Condensed" w:eastAsia="Barlow Semi Condensed" w:hAnsi="Barlow Semi Condensed"/>
          <w:sz w:val="24"/>
          <w:szCs w:val="24"/>
        </w:rPr>
        <w:t xml:space="preserve">catalogo, e lo dico in apertura anziché lasciarlo scoprire: **il libro non porta</w:t>
      </w:r>
    </w:p>
    <w:p>
      <w:pPr>
        <w:spacing w:after="120" w:line="276"/>
        <w:jc w:val="both"/>
      </w:pPr>
      <w:r>
        <w:rPr>
          <w:rFonts w:ascii="Barlow Semi Condensed" w:cs="Barlow Semi Condensed" w:eastAsia="Barlow Semi Condensed" w:hAnsi="Barlow Semi Condensed"/>
          <w:sz w:val="24"/>
          <w:szCs w:val="24"/>
        </w:rPr>
        <w:t xml:space="preserve">una rivelazione, porta il criterio con cui giudicarle**. È il libro che vorrei</w:t>
      </w:r>
    </w:p>
    <w:p>
      <w:pPr>
        <w:spacing w:after="120" w:line="276"/>
        <w:jc w:val="both"/>
      </w:pPr>
      <w:r>
        <w:rPr>
          <w:rFonts w:ascii="Barlow Semi Condensed" w:cs="Barlow Semi Condensed" w:eastAsia="Barlow Semi Condensed" w:hAnsi="Barlow Semi Condensed"/>
          <w:sz w:val="24"/>
          <w:szCs w:val="24"/>
        </w:rPr>
        <w:t xml:space="preserve">avere avuto prima di leggere le altre quaranta ricostruzioni.</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civile e d'inchiesta — e, dentro quel</w:t>
      </w:r>
    </w:p>
    <w:p>
      <w:pPr>
        <w:spacing w:after="120" w:line="276"/>
        <w:jc w:val="both"/>
      </w:pPr>
      <w:r>
        <w:rPr>
          <w:rFonts w:ascii="Barlow Semi Condensed" w:cs="Barlow Semi Condensed" w:eastAsia="Barlow Semi Condensed" w:hAnsi="Barlow Semi Condensed"/>
          <w:sz w:val="24"/>
          <w:szCs w:val="24"/>
        </w:rPr>
        <w:t xml:space="preserve">pubblico, chi è stanco di dover scegliere fra la versione ufficiale e la</w:t>
      </w:r>
    </w:p>
    <w:p>
      <w:pPr>
        <w:spacing w:after="120" w:line="276"/>
        <w:jc w:val="both"/>
      </w:pPr>
      <w:r>
        <w:rPr>
          <w:rFonts w:ascii="Barlow Semi Condensed" w:cs="Barlow Semi Condensed" w:eastAsia="Barlow Semi Condensed" w:hAnsi="Barlow Semi Condensed"/>
          <w:sz w:val="24"/>
          <w:szCs w:val="24"/>
        </w:rPr>
        <w:t xml:space="preserve">controversia, e vorrebbe invece gli strumenti per valutarle. Più il pubblico,</w:t>
      </w:r>
    </w:p>
    <w:p>
      <w:pPr>
        <w:spacing w:after="120" w:line="276"/>
        <w:jc w:val="both"/>
      </w:pPr>
      <w:r>
        <w:rPr>
          <w:rFonts w:ascii="Barlow Semi Condensed" w:cs="Barlow Semi Condensed" w:eastAsia="Barlow Semi Condensed" w:hAnsi="Barlow Semi Condensed"/>
          <w:sz w:val="24"/>
          <w:szCs w:val="24"/>
        </w:rPr>
        <w:t xml:space="preserve">oggi mal servito, di chi vuole capire che cosa questi sistemi facciano davvero</w:t>
      </w:r>
    </w:p>
    <w:p>
      <w:pPr>
        <w:spacing w:after="120" w:line="276"/>
        <w:jc w:val="both"/>
      </w:pPr>
      <w:r>
        <w:rPr>
          <w:rFonts w:ascii="Barlow Semi Condensed" w:cs="Barlow Semi Condensed" w:eastAsia="Barlow Semi Condensed" w:hAnsi="Barlow Semi Condensed"/>
          <w:sz w:val="24"/>
          <w:szCs w:val="24"/>
        </w:rPr>
        <w:t xml:space="preserve">quando li si mette al lavoro su qualcosa di verificabile.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w:t>
      </w:r>
    </w:p>
    <w:p>
      <w:pPr>
        <w:spacing w:after="120" w:line="276"/>
        <w:jc w:val="both"/>
      </w:pPr>
      <w:r>
        <w:rPr>
          <w:rFonts w:ascii="Barlow Semi Condensed" w:cs="Barlow Semi Condensed" w:eastAsia="Barlow Semi Condensed" w:hAnsi="Barlow Semi Condensed"/>
          <w:sz w:val="24"/>
          <w:szCs w:val="24"/>
        </w:rPr>
        <w:t xml:space="preserve">un'appendice con i cinque atti d'archivio eseguibili che l'esperimento ha</w:t>
      </w:r>
    </w:p>
    <w:p>
      <w:pPr>
        <w:spacing w:after="120" w:line="276"/>
        <w:jc w:val="both"/>
      </w:pPr>
      <w:r>
        <w:rPr>
          <w:rFonts w:ascii="Barlow Semi Condensed" w:cs="Barlow Semi Condensed" w:eastAsia="Barlow Semi Condensed" w:hAnsi="Barlow Semi Condensed"/>
          <w:sz w:val="24"/>
          <w:szCs w:val="24"/>
        </w:rPr>
        <w:t xml:space="preserve">prodotto. Nessuna nota a piè di pagina: i riferimenti stanno nel corpo, e</w:t>
      </w:r>
    </w:p>
    <w:p>
      <w:pPr>
        <w:spacing w:after="120" w:line="276"/>
        <w:jc w:val="both"/>
      </w:pPr>
      <w:r>
        <w:rPr>
          <w:rFonts w:ascii="Barlow Semi Condensed" w:cs="Barlow Semi Condensed" w:eastAsia="Barlow Semi Condensed" w:hAnsi="Barlow Semi Condensed"/>
          <w:sz w:val="24"/>
          <w:szCs w:val="24"/>
        </w:rPr>
        <w:t xml:space="preserve">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w:t>
      </w:r>
    </w:p>
    <w:p>
      <w:pPr>
        <w:spacing w:after="120" w:line="276"/>
        <w:jc w:val="both"/>
      </w:pPr>
      <w:r>
        <w:rPr>
          <w:rFonts w:ascii="Barlow Semi Condensed" w:cs="Barlow Semi Condensed" w:eastAsia="Barlow Semi Condensed" w:hAnsi="Barlow Semi Condensed"/>
          <w:sz w:val="24"/>
          <w:szCs w:val="24"/>
        </w:rPr>
        <w:t xml:space="preserve">esistono la struttura, i sette casi e tutto il materiale;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 «Il documento che non dice ciò che tutti citano» — perché</w:t>
      </w:r>
    </w:p>
    <w:p>
      <w:pPr>
        <w:spacing w:after="120" w:line="276"/>
        <w:jc w:val="both"/>
      </w:pPr>
      <w:r>
        <w:rPr>
          <w:rFonts w:ascii="Barlow Semi Condensed" w:cs="Barlow Semi Condensed" w:eastAsia="Barlow Semi Condensed" w:hAnsi="Barlow Semi Condensed"/>
          <w:sz w:val="24"/>
          <w:szCs w:val="24"/>
        </w:rPr>
        <w:t xml:space="preserve">è il modo più rapido per giudicare la scrittura senza credermi sulla parola. Il</w:t>
      </w:r>
    </w:p>
    <w:p>
      <w:pPr>
        <w:spacing w:after="120" w:line="276"/>
        <w:jc w:val="both"/>
      </w:pPr>
      <w:r>
        <w:rPr>
          <w:rFonts w:ascii="Barlow Semi Condensed" w:cs="Barlow Semi Condensed" w:eastAsia="Barlow Semi Condensed" w:hAnsi="Barlow Semi Condensed"/>
          <w:sz w:val="24"/>
          <w:szCs w:val="24"/>
        </w:rPr>
        <w:t xml:space="preserve">resto è da scrivere.</w:t>
      </w:r>
    </w:p>
    <w:p>
      <w:pPr>
        <w:spacing w:after="120" w:line="276"/>
        <w:jc w:val="both"/>
      </w:pPr>
      <w:r>
        <w:rPr>
          <w:rFonts w:ascii="Barlow Semi Condensed" w:cs="Barlow Semi Condensed" w:eastAsia="Barlow Semi Condensed" w:hAnsi="Barlow Semi Condensed"/>
          <w:sz w:val="24"/>
          <w:szCs w:val="24"/>
        </w:rPr>
        <w:t xml:space="preserve">Il corpus documentale resta disponibile come apparato di riscontro, non come</w:t>
      </w:r>
    </w:p>
    <w:p>
      <w:pPr>
        <w:spacing w:after="120" w:line="276"/>
        <w:jc w:val="both"/>
      </w:pPr>
      <w:r>
        <w:rPr>
          <w:rFonts w:ascii="Barlow Semi Condensed" w:cs="Barlow Semi Condensed" w:eastAsia="Barlow Semi Condensed" w:hAnsi="Barlow Semi Condensed"/>
          <w:sz w:val="24"/>
          <w:szCs w:val="24"/>
        </w:rPr>
        <w:t xml:space="preserve">manoscritto. Va detto, poiché lo offro: dei suoi quattordici Libri uno solo — un</w:t>
      </w:r>
    </w:p>
    <w:p>
      <w:pPr>
        <w:spacing w:after="120" w:line="276"/>
        <w:jc w:val="both"/>
      </w:pPr>
      <w:r>
        <w:rPr>
          <w:rFonts w:ascii="Barlow Semi Condensed" w:cs="Barlow Semi Condensed" w:eastAsia="Barlow Semi Condensed" w:hAnsi="Barlow Semi Condensed"/>
          <w:sz w:val="24"/>
          <w:szCs w:val="24"/>
        </w:rPr>
        <w:t xml:space="preserve">dossier d'autore anteriore, conservato per intero anziché riscritto — nella</w:t>
      </w:r>
    </w:p>
    <w:p>
      <w:pPr>
        <w:spacing w:after="120" w:line="276"/>
        <w:jc w:val="both"/>
      </w:pPr>
      <w:r>
        <w:rPr>
          <w:rFonts w:ascii="Barlow Semi Condensed" w:cs="Barlow Semi Condensed" w:eastAsia="Barlow Semi Condensed" w:hAnsi="Barlow Semi Condensed"/>
          <w:sz w:val="24"/>
          <w:szCs w:val="24"/>
        </w:rPr>
        <w:t xml:space="preserve">seconda metà ordina secondo la plausibilità del coinvolgimento, per categorie di</w:t>
      </w:r>
    </w:p>
    <w:p>
      <w:pPr>
        <w:spacing w:after="120" w:line="276"/>
        <w:jc w:val="both"/>
      </w:pPr>
      <w:r>
        <w:rPr>
          <w:rFonts w:ascii="Barlow Semi Condensed" w:cs="Barlow Semi Condensed" w:eastAsia="Barlow Semi Condensed" w:hAnsi="Barlow Semi Condensed"/>
          <w:sz w:val="24"/>
          <w:szCs w:val="24"/>
        </w:rPr>
        <w:t xml:space="preserve">soggetti e non per nomi individuali. L'eccezione è dichiarata in copertina, vale</w:t>
      </w:r>
    </w:p>
    <w:p>
      <w:pPr>
        <w:spacing w:after="120" w:line="276"/>
        <w:jc w:val="both"/>
      </w:pPr>
      <w:r>
        <w:rPr>
          <w:rFonts w:ascii="Barlow Semi Condensed" w:cs="Barlow Semi Condensed" w:eastAsia="Barlow Semi Condensed" w:hAnsi="Barlow Semi Condensed"/>
          <w:sz w:val="24"/>
          <w:szCs w:val="24"/>
        </w:rPr>
        <w:t xml:space="preserve">per quel Libro soltanto, e ordinare per plausibilità non è condannare. Il saggio</w:t>
      </w:r>
    </w:p>
    <w:p>
      <w:pPr>
        <w:spacing w:after="120" w:line="276"/>
        <w:jc w:val="both"/>
      </w:pPr>
      <w:r>
        <w:rPr>
          <w:rFonts w:ascii="Barlow Semi Condensed" w:cs="Barlow Semi Condensed" w:eastAsia="Barlow Semi Condensed" w:hAnsi="Barlow Semi Condensed"/>
          <w:sz w:val="24"/>
          <w:szCs w:val="24"/>
        </w:rPr>
        <w:t xml:space="preserve">che propongo non la riprende.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ALLEGATO_CAPITOLO_CAMPIONE.pdf</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Bompiani</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b/>
          <w:bCs/>
          <w:sz w:val="24"/>
          <w:szCs w:val="24"/>
        </w:rPr>
        <w:t xml:space="preserve">Modulo online, `manoscritti.bompiani.it`</w:t>
      </w:r>
      <w:r>
        <w:rPr>
          <w:rFonts w:ascii="Barlow Semi Condensed" w:cs="Barlow Semi Condensed" w:eastAsia="Barlow Semi Condensed" w:hAnsi="Barlow Semi Condensed"/>
          <w:sz w:val="24"/>
          <w:szCs w:val="24"/>
        </w:rPr>
        <w:t xml:space="preserve"> (gruppo Giunti). **PDF sotto i 5</w:t>
      </w:r>
    </w:p>
    <w:p>
      <w:pPr>
        <w:spacing w:after="120" w:line="276"/>
        <w:jc w:val="both"/>
      </w:pPr>
      <w:r>
        <w:rPr>
          <w:rFonts w:ascii="Barlow Semi Condensed" w:cs="Barlow Semi Condensed" w:eastAsia="Barlow Semi Condensed" w:hAnsi="Barlow Semi Condensed"/>
          <w:sz w:val="24"/>
          <w:szCs w:val="24"/>
        </w:rPr>
        <w:t xml:space="preserve">MB.** Non si accettano bozze, testi incompleti, tesi di laurea, collegamenti o</w:t>
      </w:r>
    </w:p>
    <w:p>
      <w:pPr>
        <w:spacing w:after="120" w:line="276"/>
        <w:jc w:val="both"/>
      </w:pPr>
      <w:r>
        <w:rPr>
          <w:rFonts w:ascii="Barlow Semi Condensed" w:cs="Barlow Semi Condensed" w:eastAsia="Barlow Semi Condensed" w:hAnsi="Barlow Semi Condensed"/>
          <w:sz w:val="24"/>
          <w:szCs w:val="24"/>
        </w:rPr>
        <w:t xml:space="preserve">file su servizi cloud. Risposta soltanto in caso d'interesse; la segreteria</w:t>
      </w:r>
    </w:p>
    <w:p>
      <w:pPr>
        <w:spacing w:after="120" w:line="276"/>
        <w:jc w:val="both"/>
      </w:pPr>
      <w:r>
        <w:rPr>
          <w:rFonts w:ascii="Barlow Semi Condensed" w:cs="Barlow Semi Condensed" w:eastAsia="Barlow Semi Condensed" w:hAnsi="Barlow Semi Condensed"/>
          <w:sz w:val="24"/>
          <w:szCs w:val="24"/>
        </w:rPr>
        <w:t xml:space="preserve">editoriale non riceve telefonate e i testi non si restituiscono.</w:t>
      </w:r>
    </w:p>
    <w:p>
      <w:pPr>
        <w:pStyle w:val="Heading2"/>
        <w:spacing w:after="100" w:before="200"/>
      </w:pPr>
      <w:r>
        <w:rPr>
          <w:rFonts w:ascii="Barlow Semi Condensed" w:cs="Barlow Semi Condensed" w:eastAsia="Barlow Semi Condensed" w:hAnsi="Barlow Semi Condensed"/>
          <w:sz w:val="24"/>
          <w:szCs w:val="24"/>
        </w:rPr>
        <w:t xml:space="preserve">La regola che decide tutto</w:t>
      </w:r>
    </w:p>
    <w:p>
      <w:pPr>
        <w:spacing w:after="120" w:line="276"/>
        <w:jc w:val="both"/>
      </w:pPr>
      <w:r>
        <w:rPr>
          <w:rFonts w:ascii="Barlow Semi Condensed" w:cs="Barlow Semi Condensed" w:eastAsia="Barlow Semi Condensed" w:hAnsi="Barlow Semi Condensed"/>
          <w:b/>
          <w:bCs/>
          <w:sz w:val="24"/>
          <w:szCs w:val="24"/>
        </w:rPr>
        <w:t xml:space="preserve">Non si può riproporre la stessa proposta entro dodici mesi.</w:t>
      </w:r>
      <w:r>
        <w:rPr>
          <w:rFonts w:ascii="Barlow Semi Condensed" w:cs="Barlow Semi Condensed" w:eastAsia="Barlow Semi Condensed" w:hAnsi="Barlow Semi Condensed"/>
          <w:sz w:val="24"/>
          <w:szCs w:val="24"/>
        </w:rPr>
        <w:t xml:space="preserve"> Si ha un colpo</w:t>
      </w:r>
    </w:p>
    <w:p>
      <w:pPr>
        <w:spacing w:after="120" w:line="276"/>
        <w:jc w:val="both"/>
      </w:pPr>
      <w:r>
        <w:rPr>
          <w:rFonts w:ascii="Barlow Semi Condensed" w:cs="Barlow Semi Condensed" w:eastAsia="Barlow Semi Condensed" w:hAnsi="Barlow Semi Condensed"/>
          <w:sz w:val="24"/>
          <w:szCs w:val="24"/>
        </w:rPr>
        <w:t xml:space="preserve">solo all'anno. Per questo Bompiani sta in terza ondata e **non va bussata prima</w:t>
      </w:r>
    </w:p>
    <w:p>
      <w:pPr>
        <w:spacing w:after="120" w:line="276"/>
        <w:jc w:val="both"/>
      </w:pPr>
      <w:r>
        <w:rPr>
          <w:rFonts w:ascii="Barlow Semi Condensed" w:cs="Barlow Semi Condensed" w:eastAsia="Barlow Semi Condensed" w:hAnsi="Barlow Semi Condensed"/>
          <w:sz w:val="24"/>
          <w:szCs w:val="24"/>
        </w:rPr>
        <w:t xml:space="preserve">che il saggio sia scritto**: spendere l'unico tentativo su un libro che esiste</w:t>
      </w:r>
    </w:p>
    <w:p>
      <w:pPr>
        <w:spacing w:after="120" w:line="276"/>
        <w:jc w:val="both"/>
      </w:pPr>
      <w:r>
        <w:rPr>
          <w:rFonts w:ascii="Barlow Semi Condensed" w:cs="Barlow Semi Condensed" w:eastAsia="Barlow Semi Condensed" w:hAnsi="Barlow Semi Condensed"/>
          <w:sz w:val="24"/>
          <w:szCs w:val="24"/>
        </w:rPr>
        <w:t xml:space="preserve">per un settimo è sprecarlo.</w:t>
      </w:r>
    </w:p>
    <w:p>
      <w:pPr>
        <w:spacing w:after="120" w:line="276"/>
        <w:jc w:val="both"/>
      </w:pPr>
      <w:r>
        <w:rPr>
          <w:rFonts w:ascii="Barlow Semi Condensed" w:cs="Barlow Semi Condensed" w:eastAsia="Barlow Semi Condensed" w:hAnsi="Barlow Semi Condensed"/>
          <w:sz w:val="24"/>
          <w:szCs w:val="24"/>
        </w:rPr>
        <w:t xml:space="preserve">Quanto segue è dunque </w:t>
      </w:r>
      <w:r>
        <w:rPr>
          <w:rFonts w:ascii="Barlow Semi Condensed" w:cs="Barlow Semi Condensed" w:eastAsia="Barlow Semi Condensed" w:hAnsi="Barlow Semi Condensed"/>
          <w:b/>
          <w:bCs/>
          <w:sz w:val="24"/>
          <w:szCs w:val="24"/>
        </w:rPr>
        <w:t xml:space="preserve">pronto ma in attesa</w:t>
      </w:r>
      <w:r>
        <w:rPr>
          <w:rFonts w:ascii="Barlow Semi Condensed" w:cs="Barlow Semi Condensed" w:eastAsia="Barlow Semi Condensed" w:hAnsi="Barlow Semi Condensed"/>
          <w:sz w:val="24"/>
          <w:szCs w:val="24"/>
        </w:rPr>
        <w:t xml:space="preserve">. La casella in fondo si spunta solo</w:t>
      </w:r>
    </w:p>
    <w:p>
      <w:pPr>
        <w:spacing w:after="120" w:line="276"/>
        <w:jc w:val="both"/>
      </w:pPr>
      <w:r>
        <w:rPr>
          <w:rFonts w:ascii="Barlow Semi Condensed" w:cs="Barlow Semi Condensed" w:eastAsia="Barlow Semi Condensed" w:hAnsi="Barlow Semi Condensed"/>
          <w:sz w:val="24"/>
          <w:szCs w:val="24"/>
        </w:rPr>
        <w:t xml:space="preserve">quando il testo c'è.</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Bompiani è un catalogo generalista di qualità: il suo lettore non è</w:t>
      </w:r>
    </w:p>
    <w:p>
      <w:pPr>
        <w:spacing w:after="120" w:line="276"/>
        <w:jc w:val="both"/>
      </w:pPr>
      <w:r>
        <w:rPr>
          <w:rFonts w:ascii="Barlow Semi Condensed" w:cs="Barlow Semi Condensed" w:eastAsia="Barlow Semi Condensed" w:hAnsi="Barlow Semi Condensed"/>
          <w:sz w:val="24"/>
          <w:szCs w:val="24"/>
        </w:rPr>
        <w:t xml:space="preserve">necessariamente uno specialista di storia repubblicana, e la proposta che</w:t>
      </w:r>
    </w:p>
    <w:p>
      <w:pPr>
        <w:spacing w:after="120" w:line="276"/>
        <w:jc w:val="both"/>
      </w:pPr>
      <w:r>
        <w:rPr>
          <w:rFonts w:ascii="Barlow Semi Condensed" w:cs="Barlow Semi Condensed" w:eastAsia="Barlow Semi Condensed" w:hAnsi="Barlow Semi Condensed"/>
          <w:sz w:val="24"/>
          <w:szCs w:val="24"/>
        </w:rPr>
        <w:t xml:space="preserve">funziona è quella che </w:t>
      </w:r>
      <w:r>
        <w:rPr>
          <w:rFonts w:ascii="Barlow Semi Condensed" w:cs="Barlow Semi Condensed" w:eastAsia="Barlow Semi Condensed" w:hAnsi="Barlow Semi Condensed"/>
          <w:b/>
          <w:bCs/>
          <w:sz w:val="24"/>
          <w:szCs w:val="24"/>
        </w:rPr>
        <w:t xml:space="preserve">racconta l'esperimento come storia</w:t>
      </w:r>
      <w:r>
        <w:rPr>
          <w:rFonts w:ascii="Barlow Semi Condensed" w:cs="Barlow Semi Condensed" w:eastAsia="Barlow Semi Condensed" w:hAnsi="Barlow Semi Condensed"/>
          <w:sz w:val="24"/>
          <w:szCs w:val="24"/>
        </w:rPr>
        <w:t xml:space="preserve">, non come metodo.</w:t>
      </w:r>
    </w:p>
    <w:p>
      <w:pPr>
        <w:spacing w:after="120" w:line="276"/>
        <w:jc w:val="both"/>
      </w:pPr>
      <w:r>
        <w:rPr>
          <w:rFonts w:ascii="Barlow Semi Condensed" w:cs="Barlow Semi Condensed" w:eastAsia="Barlow Semi Condensed" w:hAnsi="Barlow Semi Condensed"/>
          <w:sz w:val="24"/>
          <w:szCs w:val="24"/>
        </w:rPr>
        <w:t xml:space="preserve">Il metodo resta il contenuto, ma l'esca è un'altra: che cosa succede se al caso</w:t>
      </w:r>
    </w:p>
    <w:p>
      <w:pPr>
        <w:spacing w:after="120" w:line="276"/>
        <w:jc w:val="both"/>
      </w:pPr>
      <w:r>
        <w:rPr>
          <w:rFonts w:ascii="Barlow Semi Condensed" w:cs="Barlow Semi Condensed" w:eastAsia="Barlow Semi Condensed" w:hAnsi="Barlow Semi Condensed"/>
          <w:sz w:val="24"/>
          <w:szCs w:val="24"/>
        </w:rPr>
        <w:t xml:space="preserve">più raccontato d'Italia si mette davanti una macchina che non ha letto nessuno</w:t>
      </w:r>
    </w:p>
    <w:p>
      <w:pPr>
        <w:spacing w:after="120" w:line="276"/>
        <w:jc w:val="both"/>
      </w:pPr>
      <w:r>
        <w:rPr>
          <w:rFonts w:ascii="Barlow Semi Condensed" w:cs="Barlow Semi Condensed" w:eastAsia="Barlow Semi Condensed" w:hAnsi="Barlow Semi Condensed"/>
          <w:sz w:val="24"/>
          <w:szCs w:val="24"/>
        </w:rPr>
        <w:t xml:space="preserve">dei libri che lo raccontano.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L'opera è stata prodotta con sistemi di</w:t>
      </w:r>
    </w:p>
    <w:p>
      <w:pPr>
        <w:spacing w:after="120" w:line="276"/>
        <w:jc w:val="both"/>
      </w:pPr>
      <w:r>
        <w:rPr>
          <w:rFonts w:ascii="Barlow Semi Condensed" w:cs="Barlow Semi Condensed" w:eastAsia="Barlow Semi Condensed" w:hAnsi="Barlow Semi Condensed"/>
          <w:sz w:val="24"/>
          <w:szCs w:val="24"/>
        </w:rPr>
        <w:t xml:space="preserve">intelligenza artificiale sotto la mia direzione e responsabilità. Lo dichiaro</w:t>
      </w:r>
    </w:p>
    <w:p>
      <w:pPr>
        <w:spacing w:after="120" w:line="276"/>
        <w:jc w:val="both"/>
      </w:pPr>
      <w:r>
        <w:rPr>
          <w:rFonts w:ascii="Barlow Semi Condensed" w:cs="Barlow Semi Condensed" w:eastAsia="Barlow Semi Condensed" w:hAnsi="Barlow Semi Condensed"/>
          <w:sz w:val="24"/>
          <w:szCs w:val="24"/>
        </w:rPr>
        <w:t xml:space="preserve">subito perché è l'oggetto stesso del libro, non una nota tecnica.</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*Il buco misurato. Una macchina, il caso Moro, e ciò che</w:t>
      </w:r>
    </w:p>
    <w:p>
      <w:pPr>
        <w:spacing w:after="120" w:line="276"/>
        <w:jc w:val="both"/>
      </w:pPr>
      <w:r>
        <w:rPr>
          <w:rFonts w:ascii="Barlow Semi Condensed" w:cs="Barlow Semi Condensed" w:eastAsia="Barlow Semi Condensed" w:hAnsi="Barlow Semi Condensed"/>
          <w:sz w:val="24"/>
          <w:szCs w:val="24"/>
        </w:rPr>
        <w:t xml:space="preserve">non c'era.*</w:t>
      </w:r>
    </w:p>
    <w:p>
      <w:pPr>
        <w:spacing w:after="120" w:line="276"/>
        <w:jc w:val="both"/>
      </w:pPr>
      <w:r>
        <w:rPr>
          <w:rFonts w:ascii="Barlow Semi Condensed" w:cs="Barlow Semi Condensed" w:eastAsia="Barlow Semi Condensed" w:hAnsi="Barlow Semi Condensed"/>
          <w:b/>
          <w:bCs/>
          <w:sz w:val="24"/>
          <w:szCs w:val="24"/>
        </w:rPr>
        <w:t xml:space="preserve">L'idea, in una riga.</w:t>
      </w:r>
      <w:r>
        <w:rPr>
          <w:rFonts w:ascii="Barlow Semi Condensed" w:cs="Barlow Semi Condensed" w:eastAsia="Barlow Semi Condensed" w:hAnsi="Barlow Semi Condensed"/>
          <w:sz w:val="24"/>
          <w:szCs w:val="24"/>
        </w:rPr>
        <w:t xml:space="preserve"> Ho dato a una macchina il caso più raccontato d'Italia e</w:t>
      </w:r>
    </w:p>
    <w:p>
      <w:pPr>
        <w:spacing w:after="120" w:line="276"/>
        <w:jc w:val="both"/>
      </w:pPr>
      <w:r>
        <w:rPr>
          <w:rFonts w:ascii="Barlow Semi Condensed" w:cs="Barlow Semi Condensed" w:eastAsia="Barlow Semi Condensed" w:hAnsi="Barlow Semi Condensed"/>
          <w:sz w:val="24"/>
          <w:szCs w:val="24"/>
        </w:rPr>
        <w:t xml:space="preserve">le ho vietato di raccontarlo — e il libro è ciò che è successo.</w:t>
      </w:r>
    </w:p>
    <w:p>
      <w:pPr>
        <w:spacing w:after="120" w:line="276"/>
        <w:jc w:val="both"/>
      </w:pPr>
      <w:r>
        <w:rPr>
          <w:rFonts w:ascii="Barlow Semi Condensed" w:cs="Barlow Semi Condensed" w:eastAsia="Barlow Semi Condensed" w:hAnsi="Barlow Semi Condensed"/>
          <w:b/>
          <w:bCs/>
          <w:sz w:val="24"/>
          <w:szCs w:val="24"/>
        </w:rPr>
        <w:t xml:space="preserve">Che cosa è successo.</w:t>
      </w:r>
      <w:r>
        <w:rPr>
          <w:rFonts w:ascii="Barlow Semi Condensed" w:cs="Barlow Semi Condensed" w:eastAsia="Barlow Semi Condensed" w:hAnsi="Barlow Semi Condensed"/>
          <w:sz w:val="24"/>
          <w:szCs w:val="24"/>
        </w:rPr>
        <w:t xml:space="preserve"> Nel 2026 ho messo sistemi di intelligenza artificiale a</w:t>
      </w:r>
    </w:p>
    <w:p>
      <w:pPr>
        <w:spacing w:after="120" w:line="276"/>
        <w:jc w:val="both"/>
      </w:pPr>
      <w:r>
        <w:rPr>
          <w:rFonts w:ascii="Barlow Semi Condensed" w:cs="Barlow Semi Condensed" w:eastAsia="Barlow Semi Condensed" w:hAnsi="Barlow Semi Condensed"/>
          <w:sz w:val="24"/>
          <w:szCs w:val="24"/>
        </w:rPr>
        <w:t xml:space="preserve">lavorare sul sequestro e l'omicidio di Aldo Moro sotto una disciplina scritta</w:t>
      </w:r>
    </w:p>
    <w:p>
      <w:pPr>
        <w:spacing w:after="120" w:line="276"/>
        <w:jc w:val="both"/>
      </w:pPr>
      <w:r>
        <w:rPr>
          <w:rFonts w:ascii="Barlow Semi Condensed" w:cs="Barlow Semi Condensed" w:eastAsia="Barlow Semi Condensed" w:hAnsi="Barlow Semi Condensed"/>
          <w:sz w:val="24"/>
          <w:szCs w:val="24"/>
        </w:rPr>
        <w:t xml:space="preserve">prima di cominciare: un legame vale solo se un documento nomina entrambe le parti;</w:t>
      </w:r>
    </w:p>
    <w:p>
      <w:pPr>
        <w:spacing w:after="120" w:line="276"/>
        <w:jc w:val="both"/>
      </w:pPr>
      <w:r>
        <w:rPr>
          <w:rFonts w:ascii="Barlow Semi Condensed" w:cs="Barlow Semi Condensed" w:eastAsia="Barlow Semi Condensed" w:hAnsi="Barlow Semi Condensed"/>
          <w:sz w:val="24"/>
          <w:szCs w:val="24"/>
        </w:rPr>
        <w:t xml:space="preserve">la contemporaneità non è prova; nessuno è responsabile oltre il giudicato. La</w:t>
      </w:r>
    </w:p>
    <w:p>
      <w:pPr>
        <w:spacing w:after="120" w:line="276"/>
        <w:jc w:val="both"/>
      </w:pPr>
      <w:r>
        <w:rPr>
          <w:rFonts w:ascii="Barlow Semi Condensed" w:cs="Barlow Semi Condensed" w:eastAsia="Barlow Semi Condensed" w:hAnsi="Barlow Semi Condensed"/>
          <w:sz w:val="24"/>
          <w:szCs w:val="24"/>
        </w:rPr>
        <w:t xml:space="preserve">disciplina si è incrinata sette volte, e ogni volta per la stessa ragione: **un</w:t>
      </w:r>
    </w:p>
    <w:p>
      <w:pPr>
        <w:spacing w:after="120" w:line="276"/>
        <w:jc w:val="both"/>
      </w:pPr>
      <w:r>
        <w:rPr>
          <w:rFonts w:ascii="Barlow Semi Condensed" w:cs="Barlow Semi Condensed" w:eastAsia="Barlow Semi Condensed" w:hAnsi="Barlow Semi Condensed"/>
          <w:sz w:val="24"/>
          <w:szCs w:val="24"/>
        </w:rPr>
        <w:t xml:space="preserve">errore di metodo si era travestito da rigore**. Il libro racconta quelle sette</w:t>
      </w:r>
    </w:p>
    <w:p>
      <w:pPr>
        <w:spacing w:after="120" w:line="276"/>
        <w:jc w:val="both"/>
      </w:pPr>
      <w:r>
        <w:rPr>
          <w:rFonts w:ascii="Barlow Semi Condensed" w:cs="Barlow Semi Condensed" w:eastAsia="Barlow Semi Condensed" w:hAnsi="Barlow Semi Condensed"/>
          <w:sz w:val="24"/>
          <w:szCs w:val="24"/>
        </w:rPr>
        <w:t xml:space="preserve">volte.</w:t>
      </w:r>
    </w:p>
    <w:p>
      <w:pPr>
        <w:spacing w:after="120" w:line="276"/>
        <w:jc w:val="both"/>
      </w:pPr>
      <w:r>
        <w:rPr>
          <w:rFonts w:ascii="Barlow Semi Condensed" w:cs="Barlow Semi Condensed" w:eastAsia="Barlow Semi Condensed" w:hAnsi="Barlow Semi Condensed"/>
          <w:sz w:val="24"/>
          <w:szCs w:val="24"/>
        </w:rPr>
        <w:t xml:space="preserve">Lungo la strada l'esperimento ha prodotto due accertamenti che nessuno aveva</w:t>
      </w:r>
    </w:p>
    <w:p>
      <w:pPr>
        <w:spacing w:after="120" w:line="276"/>
        <w:jc w:val="both"/>
      </w:pPr>
      <w:r>
        <w:rPr>
          <w:rFonts w:ascii="Barlow Semi Condensed" w:cs="Barlow Semi Condensed" w:eastAsia="Barlow Semi Condensed" w:hAnsi="Barlow Semi Condensed"/>
          <w:sz w:val="24"/>
          <w:szCs w:val="24"/>
        </w:rPr>
        <w:t xml:space="preserve">pubblicato in questa forma. Il primo: una frase attribuita a Henry Kissinger e</w:t>
      </w:r>
    </w:p>
    <w:p>
      <w:pPr>
        <w:spacing w:after="120" w:line="276"/>
        <w:jc w:val="both"/>
      </w:pPr>
      <w:r>
        <w:rPr>
          <w:rFonts w:ascii="Barlow Semi Condensed" w:cs="Barlow Semi Condensed" w:eastAsia="Barlow Semi Condensed" w:hAnsi="Barlow Semi Condensed"/>
          <w:sz w:val="24"/>
          <w:szCs w:val="24"/>
        </w:rPr>
        <w:t xml:space="preserve">ripetuta da decine di siti discende tutta da un unico lancio d'agenzia del</w:t>
      </w:r>
    </w:p>
    <w:p>
      <w:pPr>
        <w:spacing w:after="120" w:line="276"/>
        <w:jc w:val="both"/>
      </w:pPr>
      <w:r>
        <w:rPr>
          <w:rFonts w:ascii="Barlow Semi Condensed" w:cs="Barlow Semi Condensed" w:eastAsia="Barlow Semi Condensed" w:hAnsi="Barlow Semi Condensed"/>
          <w:sz w:val="24"/>
          <w:szCs w:val="24"/>
        </w:rPr>
        <w:t xml:space="preserve">novembre 2023 — cento riprese di una sola origine restano una sola fonte. Il</w:t>
      </w:r>
    </w:p>
    <w:p>
      <w:pPr>
        <w:spacing w:after="120" w:line="276"/>
        <w:jc w:val="both"/>
      </w:pPr>
      <w:r>
        <w:rPr>
          <w:rFonts w:ascii="Barlow Semi Condensed" w:cs="Barlow Semi Condensed" w:eastAsia="Barlow Semi Condensed" w:hAnsi="Barlow Semi Condensed"/>
          <w:sz w:val="24"/>
          <w:szCs w:val="24"/>
        </w:rPr>
        <w:t xml:space="preserve">secondo, più netto: il verbale dello Studio Ovale del 25 settembre 1974, che</w:t>
      </w:r>
    </w:p>
    <w:p>
      <w:pPr>
        <w:spacing w:after="120" w:line="276"/>
        <w:jc w:val="both"/>
      </w:pPr>
      <w:r>
        <w:rPr>
          <w:rFonts w:ascii="Barlow Semi Condensed" w:cs="Barlow Semi Condensed" w:eastAsia="Barlow Semi Condensed" w:hAnsi="Barlow Semi Condensed"/>
          <w:sz w:val="24"/>
          <w:szCs w:val="24"/>
        </w:rPr>
        <w:t xml:space="preserve">viene correntemente citato come la prova documentale di un ultimatum a Moro,</w:t>
      </w:r>
    </w:p>
    <w:p>
      <w:pPr>
        <w:spacing w:after="120" w:line="276"/>
        <w:jc w:val="both"/>
      </w:pP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Chiunque può verificarlo in mezz'ora, e in</w:t>
      </w:r>
    </w:p>
    <w:p>
      <w:pPr>
        <w:spacing w:after="120" w:line="276"/>
        <w:jc w:val="both"/>
      </w:pPr>
      <w:r>
        <w:rPr>
          <w:rFonts w:ascii="Barlow Semi Condensed" w:cs="Barlow Semi Condensed" w:eastAsia="Barlow Semi Condensed" w:hAnsi="Barlow Semi Condensed"/>
          <w:sz w:val="24"/>
          <w:szCs w:val="24"/>
        </w:rPr>
        <w:t xml:space="preserve">quarant'anni non risulta che qualcuno l'abbia fatto.</w:t>
      </w:r>
    </w:p>
    <w:p>
      <w:pPr>
        <w:spacing w:after="120" w:line="276"/>
        <w:jc w:val="both"/>
      </w:pPr>
      <w:r>
        <w:rPr>
          <w:rFonts w:ascii="Barlow Semi Condensed" w:cs="Barlow Semi Condensed" w:eastAsia="Barlow Semi Condensed" w:hAnsi="Barlow Semi Condensed"/>
          <w:b/>
          <w:bCs/>
          <w:sz w:val="24"/>
          <w:szCs w:val="24"/>
        </w:rPr>
        <w:t xml:space="preserve">Perché è un libro e non un articolo.</w:t>
      </w:r>
      <w:r>
        <w:rPr>
          <w:rFonts w:ascii="Barlow Semi Condensed" w:cs="Barlow Semi Condensed" w:eastAsia="Barlow Semi Condensed" w:hAnsi="Barlow Semi Condensed"/>
          <w:sz w:val="24"/>
          <w:szCs w:val="24"/>
        </w:rPr>
        <w:t xml:space="preserve"> Perché la cosa interessante non è il</w:t>
      </w:r>
    </w:p>
    <w:p>
      <w:pPr>
        <w:spacing w:after="120" w:line="276"/>
        <w:jc w:val="both"/>
      </w:pPr>
      <w:r>
        <w:rPr>
          <w:rFonts w:ascii="Barlow Semi Condensed" w:cs="Barlow Semi Condensed" w:eastAsia="Barlow Semi Condensed" w:hAnsi="Barlow Semi Condensed"/>
          <w:sz w:val="24"/>
          <w:szCs w:val="24"/>
        </w:rPr>
        <w:t xml:space="preserve">buco: è </w:t>
      </w:r>
      <w:r>
        <w:rPr>
          <w:rFonts w:ascii="Barlow Semi Condensed" w:cs="Barlow Semi Condensed" w:eastAsia="Barlow Semi Condensed" w:hAnsi="Barlow Semi Condensed"/>
          <w:b/>
          <w:bCs/>
          <w:sz w:val="24"/>
          <w:szCs w:val="24"/>
        </w:rPr>
        <w:t xml:space="preserve">come si misura un buco</w:t>
      </w:r>
      <w:r>
        <w:rPr>
          <w:rFonts w:ascii="Barlow Semi Condensed" w:cs="Barlow Semi Condensed" w:eastAsia="Barlow Semi Condensed" w:hAnsi="Barlow Semi Condensed"/>
          <w:sz w:val="24"/>
          <w:szCs w:val="24"/>
        </w:rPr>
        <w:t xml:space="preserve">. Un'assenza in archivio può voler dire che una</w:t>
      </w:r>
    </w:p>
    <w:p>
      <w:pPr>
        <w:spacing w:after="120" w:line="276"/>
        <w:jc w:val="both"/>
      </w:pPr>
      <w:r>
        <w:rPr>
          <w:rFonts w:ascii="Barlow Semi Condensed" w:cs="Barlow Semi Condensed" w:eastAsia="Barlow Semi Condensed" w:hAnsi="Barlow Semi Condensed"/>
          <w:sz w:val="24"/>
          <w:szCs w:val="24"/>
        </w:rPr>
        <w:t xml:space="preserve">carta non è mai esistita, che è stata distrutta, o che nessuno l'ha cercata — e</w:t>
      </w:r>
    </w:p>
    <w:p>
      <w:pPr>
        <w:spacing w:after="120" w:line="276"/>
        <w:jc w:val="both"/>
      </w:pPr>
      <w:r>
        <w:rPr>
          <w:rFonts w:ascii="Barlow Semi Condensed" w:cs="Barlow Semi Condensed" w:eastAsia="Barlow Semi Condensed" w:hAnsi="Barlow Semi Condensed"/>
          <w:sz w:val="24"/>
          <w:szCs w:val="24"/>
        </w:rPr>
        <w:t xml:space="preserve">distinguere fra i tre casi è una disciplina, non un'intuizione. Il libro la</w:t>
      </w:r>
    </w:p>
    <w:p>
      <w:pPr>
        <w:spacing w:after="120" w:line="276"/>
        <w:jc w:val="both"/>
      </w:pPr>
      <w:r>
        <w:rPr>
          <w:rFonts w:ascii="Barlow Semi Condensed" w:cs="Barlow Semi Condensed" w:eastAsia="Barlow Semi Condensed" w:hAnsi="Barlow Semi Condensed"/>
          <w:sz w:val="24"/>
          <w:szCs w:val="24"/>
        </w:rPr>
        <w:t xml:space="preserve">insegna mostrandola fallire.</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w:t>
      </w:r>
    </w:p>
    <w:p>
      <w:pPr>
        <w:spacing w:after="120" w:line="276"/>
        <w:jc w:val="both"/>
      </w:pPr>
      <w:r>
        <w:rPr>
          <w:rFonts w:ascii="Barlow Semi Condensed" w:cs="Barlow Semi Condensed" w:eastAsia="Barlow Semi Condensed" w:hAnsi="Barlow Semi Condensed"/>
          <w:sz w:val="24"/>
          <w:szCs w:val="24"/>
        </w:rPr>
        <w:t xml:space="preserve">nulla, non indica alcuna persona come responsabile oltre il giudicato definitivo.</w:t>
      </w:r>
    </w:p>
    <w:p>
      <w:pPr>
        <w:spacing w:after="120" w:line="276"/>
        <w:jc w:val="both"/>
      </w:pPr>
      <w:r>
        <w:rPr>
          <w:rFonts w:ascii="Barlow Semi Condensed" w:cs="Barlow Semi Condensed" w:eastAsia="Barlow Semi Condensed" w:hAnsi="Barlow Semi Condensed"/>
          <w:sz w:val="24"/>
          <w:szCs w:val="24"/>
        </w:rPr>
        <w:t xml:space="preserve">Il caso Moro vi funziona come banco di prova, non come oggetto: serve perché è</w:t>
      </w:r>
    </w:p>
    <w:p>
      <w:pPr>
        <w:spacing w:after="120" w:line="276"/>
        <w:jc w:val="both"/>
      </w:pPr>
      <w:r>
        <w:rPr>
          <w:rFonts w:ascii="Barlow Semi Condensed" w:cs="Barlow Semi Condensed" w:eastAsia="Barlow Semi Condensed" w:hAnsi="Barlow Semi Condensed"/>
          <w:sz w:val="24"/>
          <w:szCs w:val="24"/>
        </w:rPr>
        <w:t xml:space="preserve">documentatissimo, perché la sua letteratura è tossica, e perché chiunque</w:t>
      </w:r>
    </w:p>
    <w:p>
      <w:pPr>
        <w:spacing w:after="120" w:line="276"/>
        <w:jc w:val="both"/>
      </w:pPr>
      <w:r>
        <w:rPr>
          <w:rFonts w:ascii="Barlow Semi Condensed" w:cs="Barlow Semi Condensed" w:eastAsia="Barlow Semi Condensed" w:hAnsi="Barlow Semi Condensed"/>
          <w:sz w:val="24"/>
          <w:szCs w:val="24"/>
        </w:rPr>
        <w:t xml:space="preserve">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di ampia circolazione; e chi vuole capire</w:t>
      </w:r>
    </w:p>
    <w:p>
      <w:pPr>
        <w:spacing w:after="120" w:line="276"/>
        <w:jc w:val="both"/>
      </w:pPr>
      <w:r>
        <w:rPr>
          <w:rFonts w:ascii="Barlow Semi Condensed" w:cs="Barlow Semi Condensed" w:eastAsia="Barlow Semi Condensed" w:hAnsi="Barlow Semi Condensed"/>
          <w:sz w:val="24"/>
          <w:szCs w:val="24"/>
        </w:rPr>
        <w:t xml:space="preserve">che cosa questi sistemi facciano davvero quando li si mette al lavoro su qualcosa</w:t>
      </w:r>
    </w:p>
    <w:p>
      <w:pPr>
        <w:spacing w:after="120" w:line="276"/>
        <w:jc w:val="both"/>
      </w:pPr>
      <w:r>
        <w:rPr>
          <w:rFonts w:ascii="Barlow Semi Condensed" w:cs="Barlow Semi Condensed" w:eastAsia="Barlow Semi Condensed" w:hAnsi="Barlow Semi Condensed"/>
          <w:sz w:val="24"/>
          <w:szCs w:val="24"/>
        </w:rPr>
        <w:t xml:space="preserve">di verificabile — al di là 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w:t>
      </w:r>
    </w:p>
    <w:p>
      <w:pPr>
        <w:spacing w:after="120" w:line="276"/>
        <w:jc w:val="both"/>
      </w:pPr>
      <w:r>
        <w:rPr>
          <w:rFonts w:ascii="Barlow Semi Condensed" w:cs="Barlow Semi Condensed" w:eastAsia="Barlow Semi Condensed" w:hAnsi="Barlow Semi Condensed"/>
          <w:sz w:val="24"/>
          <w:szCs w:val="24"/>
        </w:rPr>
        <w:t xml:space="preserve">un'appendice. Nessuna nota a piè di pagina.</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[**Da compilare al momento dell'invio, e solo a testo</w:t>
      </w:r>
    </w:p>
    <w:p>
      <w:pPr>
        <w:spacing w:after="120" w:line="276"/>
        <w:jc w:val="both"/>
      </w:pPr>
      <w:r>
        <w:rPr>
          <w:rFonts w:ascii="Barlow Semi Condensed" w:cs="Barlow Semi Condensed" w:eastAsia="Barlow Semi Condensed" w:hAnsi="Barlow Semi Condensed"/>
          <w:sz w:val="24"/>
          <w:szCs w:val="24"/>
        </w:rPr>
        <w:t xml:space="preserve">scritto.** Se il saggio non è finito, questa proposta non parte: la regola dei</w:t>
      </w:r>
    </w:p>
    <w:p>
      <w:pPr>
        <w:spacing w:after="120" w:line="276"/>
        <w:jc w:val="both"/>
      </w:pPr>
      <w:r>
        <w:rPr>
          <w:rFonts w:ascii="Barlow Semi Condensed" w:cs="Barlow Semi Condensed" w:eastAsia="Barlow Semi Condensed" w:hAnsi="Barlow Semi Condensed"/>
          <w:sz w:val="24"/>
          <w:szCs w:val="24"/>
        </w:rPr>
        <w:t xml:space="preserve">dodici mesi rende l'attesa meno costosa del tentativo.]</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Allegato</w:t>
      </w:r>
    </w:p>
    <w:p>
      <w:pPr>
        <w:spacing w:after="120" w:line="276"/>
        <w:jc w:val="both"/>
      </w:pP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in PDF sotto i 5 MB: il testo del saggio. Non il corpus, non i</w:t>
      </w:r>
    </w:p>
    <w:p>
      <w:pPr>
        <w:spacing w:after="120" w:line="276"/>
        <w:jc w:val="both"/>
      </w:pPr>
      <w:r>
        <w:rPr>
          <w:rFonts w:ascii="Barlow Semi Condensed" w:cs="Barlow Semi Condensed" w:eastAsia="Barlow Semi Condensed" w:hAnsi="Barlow Semi Condensed"/>
          <w:sz w:val="24"/>
          <w:szCs w:val="24"/>
        </w:rPr>
        <w:t xml:space="preserve">collegamenti al deposito — il modulo li rifiuta esplicitamente.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saggio completato il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chiusura, valida per entrambe</w:t>
      </w:r>
    </w:p>
    <w:p>
      <w:pPr>
        <w:spacing w:after="120" w:line="276"/>
        <w:jc w:val="both"/>
      </w:pPr>
      <w:r>
        <w:rPr>
          <w:rFonts w:ascii="Barlow Semi Condensed" w:cs="Barlow Semi Condensed" w:eastAsia="Barlow Semi Condensed" w:hAnsi="Barlow Semi Condensed"/>
          <w:sz w:val="24"/>
          <w:szCs w:val="24"/>
        </w:rPr>
        <w:t xml:space="preserve">Se una delle due risponde, prima di dire sì valgono le quattro domande della</w:t>
      </w:r>
    </w:p>
    <w:p>
      <w:pPr>
        <w:spacing w:after="120" w:line="276"/>
        <w:jc w:val="both"/>
      </w:pPr>
      <w:r>
        <w:rPr>
          <w:rFonts w:ascii="Barlow Semi Condensed" w:cs="Barlow Semi Condensed" w:eastAsia="Barlow Semi Condensed" w:hAnsi="Barlow Semi Condensed"/>
          <w:sz w:val="24"/>
          <w:szCs w:val="24"/>
        </w:rPr>
        <w:t xml:space="preserve">checklist: quale collana, quali tempi, avvertire gli altri destinatari in attesa,</w:t>
      </w:r>
    </w:p>
    <w:p>
      <w:pPr>
        <w:spacing w:after="120" w:line="276"/>
        <w:jc w:val="both"/>
      </w:pPr>
      <w:r>
        <w:rPr>
          <w:rFonts w:ascii="Barlow Semi Condensed" w:cs="Barlow Semi Condensed" w:eastAsia="Barlow Semi Condensed" w:hAnsi="Barlow Semi Condensed"/>
          <w:sz w:val="24"/>
          <w:szCs w:val="24"/>
        </w:rPr>
        <w:t xml:space="preserve">e verificare che **la dichiarazione sull'intelligenza artificiale resti in</w:t>
      </w:r>
    </w:p>
    <w:p>
      <w:pPr>
        <w:spacing w:after="120" w:line="276"/>
        <w:jc w:val="both"/>
      </w:pPr>
      <w:r>
        <w:rPr>
          <w:rFonts w:ascii="Barlow Semi Condensed" w:cs="Barlow Semi Condensed" w:eastAsia="Barlow Semi Condensed" w:hAnsi="Barlow Semi Condensed"/>
          <w:sz w:val="24"/>
          <w:szCs w:val="24"/>
        </w:rPr>
        <w:t xml:space="preserve">apertura del libro**. Se un editore chiedesse di spostarla in fondo o di</w:t>
      </w:r>
    </w:p>
    <w:p>
      <w:pPr>
        <w:spacing w:after="120" w:line="276"/>
        <w:jc w:val="both"/>
      </w:pPr>
      <w:r>
        <w:rPr>
          <w:rFonts w:ascii="Barlow Semi Condensed" w:cs="Barlow Semi Condensed" w:eastAsia="Barlow Semi Condensed" w:hAnsi="Barlow Semi Condensed"/>
          <w:sz w:val="24"/>
          <w:szCs w:val="24"/>
        </w:rPr>
        <w:t xml:space="preserve">attenuarla, quella non è una richiesta redazionale: è la richiesta di pubblicare</w:t>
      </w:r>
    </w:p>
    <w:p>
      <w:pPr>
        <w:spacing w:after="120" w:line="276"/>
        <w:jc w:val="both"/>
      </w:pPr>
      <w:r>
        <w:rPr>
          <w:rFonts w:ascii="Barlow Semi Condensed" w:cs="Barlow Semi Condensed" w:eastAsia="Barlow Semi Condensed" w:hAnsi="Barlow Semi Condensed"/>
          <w:sz w:val="24"/>
          <w:szCs w:val="24"/>
        </w:rPr>
        <w:t xml:space="preserve">un altro libro.</w:t>
      </w:r>
    </w:p>
    <w:p>
      <w:pPr>
        <w:pStyle w:val="Heading3"/>
        <w:spacing w:after="80" w:before="240"/>
      </w:pPr>
      <w:r>
        <w:rPr>
          <w:rFonts w:ascii="Barlow Semi Condensed" w:cs="Barlow Semi Condensed" w:eastAsia="Barlow Semi Condensed" w:hAnsi="Barlow Semi Condensed"/>
          <w:sz w:val="24"/>
          <w:szCs w:val="24"/>
        </w:rPr>
        <w:t xml:space="preserve">Apparato grafico — Appendici · xv. A Chiarelettere e Bompiani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 1.799 parole in 9 sezioni; la più ampia è §4 Corpo del messaggio, con 683.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 53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xvi. Il deposito Zenodo, foglio operativo</w:t>
      </w:r>
    </w:p>
    <w:p>
      <w:pPr>
        <w:pStyle w:val="Heading1"/>
        <w:spacing w:after="120" w:before="240"/>
      </w:pPr>
      <w:r>
        <w:rPr>
          <w:rFonts w:ascii="Barlow Semi Condensed" w:cs="Barlow Semi Condensed" w:eastAsia="Barlow Semi Condensed" w:hAnsi="Barlow Semi Condensed"/>
          <w:sz w:val="24"/>
          <w:szCs w:val="24"/>
        </w:rPr>
        <w:t xml:space="preserve">Il deposito Zenodo — foglio operativo</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Questo foglio serve a fare una cosa sola e a farla oggi: </w:t>
      </w:r>
      <w:r>
        <w:rPr>
          <w:rFonts w:ascii="Barlow Semi Condensed" w:cs="Barlow Semi Condensed" w:eastAsia="Barlow Semi Condensed" w:hAnsi="Barlow Semi Condensed"/>
          <w:b/>
          <w:bCs/>
          <w:sz w:val="24"/>
          <w:szCs w:val="24"/>
        </w:rPr>
        <w:t xml:space="preserve">ottenere il DOI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Finché non c'è, nessuna delle dodici lettere può partire, perché tutte lo citano.</w:t>
      </w:r>
    </w:p>
    <w:p>
      <w:pPr>
        <w:spacing w:after="120" w:line="276"/>
        <w:jc w:val="both"/>
      </w:pPr>
      <w:r>
        <w:rPr>
          <w:rFonts w:ascii="Barlow Semi Condensed" w:cs="Barlow Semi Condensed" w:eastAsia="Barlow Semi Condensed" w:hAnsi="Barlow Semi Condensed"/>
          <w:sz w:val="24"/>
          <w:szCs w:val="24"/>
        </w:rPr>
        <w:t xml:space="preserve">È l'unico anello che blocca dodici destinatari insieme, e si scioglie in un'ora.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prima di tutto il resto</w:t>
      </w:r>
    </w:p>
    <w:p>
      <w:pPr>
        <w:spacing w:after="120" w:line="276"/>
        <w:jc w:val="both"/>
      </w:pPr>
      <w:r>
        <w:rPr>
          <w:rFonts w:ascii="Barlow Semi Condensed" w:cs="Barlow Semi Condensed" w:eastAsia="Barlow Semi Condensed" w:hAnsi="Barlow Semi Condensed"/>
          <w:sz w:val="24"/>
          <w:szCs w:val="24"/>
        </w:rPr>
        <w:t xml:space="preserve">Il DOI fa tre cose che nessun altro canale fa. </w:t>
      </w:r>
      <w:r>
        <w:rPr>
          <w:rFonts w:ascii="Barlow Semi Condensed" w:cs="Barlow Semi Condensed" w:eastAsia="Barlow Semi Condensed" w:hAnsi="Barlow Semi Condensed"/>
          <w:b/>
          <w:bCs/>
          <w:sz w:val="24"/>
          <w:szCs w:val="24"/>
        </w:rPr>
        <w:t xml:space="preserve">Data</w:t>
      </w:r>
      <w:r>
        <w:rPr>
          <w:rFonts w:ascii="Barlow Semi Condensed" w:cs="Barlow Semi Condensed" w:eastAsia="Barlow Semi Condensed" w:hAnsi="Barlow Semi Condensed"/>
          <w:sz w:val="24"/>
          <w:szCs w:val="24"/>
        </w:rPr>
        <w:t xml:space="preserve"> il deposito in modo</w:t>
      </w:r>
    </w:p>
    <w:p>
      <w:pPr>
        <w:spacing w:after="120" w:line="276"/>
        <w:jc w:val="both"/>
      </w:pPr>
      <w:r>
        <w:rPr>
          <w:rFonts w:ascii="Barlow Semi Condensed" w:cs="Barlow Semi Condensed" w:eastAsia="Barlow Semi Condensed" w:hAnsi="Barlow Semi Condensed"/>
          <w:sz w:val="24"/>
          <w:szCs w:val="24"/>
        </w:rPr>
        <w:t xml:space="preserve">opponibile a terzi. </w:t>
      </w:r>
      <w:r>
        <w:rPr>
          <w:rFonts w:ascii="Barlow Semi Condensed" w:cs="Barlow Semi Condensed" w:eastAsia="Barlow Semi Condensed" w:hAnsi="Barlow Semi Condensed"/>
          <w:b/>
          <w:bCs/>
          <w:sz w:val="24"/>
          <w:szCs w:val="24"/>
        </w:rPr>
        <w:t xml:space="preserve">Rende citabile</w:t>
      </w:r>
      <w:r>
        <w:rPr>
          <w:rFonts w:ascii="Barlow Semi Condensed" w:cs="Barlow Semi Condensed" w:eastAsia="Barlow Semi Condensed" w:hAnsi="Barlow Semi Condensed"/>
          <w:sz w:val="24"/>
          <w:szCs w:val="24"/>
        </w:rPr>
        <w:t xml:space="preserve"> l'opera prima che un editore la</w:t>
      </w:r>
    </w:p>
    <w:p>
      <w:pPr>
        <w:spacing w:after="120" w:line="276"/>
        <w:jc w:val="both"/>
      </w:pPr>
      <w:r>
        <w:rPr>
          <w:rFonts w:ascii="Barlow Semi Condensed" w:cs="Barlow Semi Condensed" w:eastAsia="Barlow Semi Condensed" w:hAnsi="Barlow Semi Condensed"/>
          <w:sz w:val="24"/>
          <w:szCs w:val="24"/>
        </w:rPr>
        <w:t xml:space="preserve">pubblichi, il che cambia il tono di ogni proposta: non si offre un manoscritto,</w:t>
      </w:r>
    </w:p>
    <w:p>
      <w:pPr>
        <w:spacing w:after="120" w:line="276"/>
        <w:jc w:val="both"/>
      </w:pPr>
      <w:r>
        <w:rPr>
          <w:rFonts w:ascii="Barlow Semi Condensed" w:cs="Barlow Semi Condensed" w:eastAsia="Barlow Semi Condensed" w:hAnsi="Barlow Semi Condensed"/>
          <w:sz w:val="24"/>
          <w:szCs w:val="24"/>
        </w:rPr>
        <w:t xml:space="preserve">si segnala un lavoro già depositato. E </w:t>
      </w:r>
      <w:r>
        <w:rPr>
          <w:rFonts w:ascii="Barlow Semi Condensed" w:cs="Barlow Semi Condensed" w:eastAsia="Barlow Semi Condensed" w:hAnsi="Barlow Semi Condensed"/>
          <w:b/>
          <w:bCs/>
          <w:sz w:val="24"/>
          <w:szCs w:val="24"/>
        </w:rPr>
        <w:t xml:space="preserve">stacca l'opera dal repository</w:t>
      </w:r>
      <w:r>
        <w:rPr>
          <w:rFonts w:ascii="Barlow Semi Condensed" w:cs="Barlow Semi Condensed" w:eastAsia="Barlow Semi Condensed" w:hAnsi="Barlow Semi Condensed"/>
          <w:sz w:val="24"/>
          <w:szCs w:val="24"/>
        </w:rPr>
        <w:t xml:space="preserve">: un</w:t>
      </w:r>
    </w:p>
    <w:p>
      <w:pPr>
        <w:spacing w:after="120" w:line="276"/>
        <w:jc w:val="both"/>
      </w:pPr>
      <w:r>
        <w:rPr>
          <w:rFonts w:ascii="Barlow Semi Condensed" w:cs="Barlow Semi Condensed" w:eastAsia="Barlow Semi Condensed" w:hAnsi="Barlow Semi Condensed"/>
          <w:sz w:val="24"/>
          <w:szCs w:val="24"/>
        </w:rPr>
        <w:t xml:space="preserve">file su Zenodo sopravvive alla cancellazione di un ramo Git, e questa opera</w:t>
      </w:r>
    </w:p>
    <w:p>
      <w:pPr>
        <w:spacing w:after="120" w:line="276"/>
        <w:jc w:val="both"/>
      </w:pPr>
      <w:r>
        <w:rPr>
          <w:rFonts w:ascii="Barlow Semi Condensed" w:cs="Barlow Semi Condensed" w:eastAsia="Barlow Semi Condensed" w:hAnsi="Barlow Semi Condensed"/>
          <w:sz w:val="24"/>
          <w:szCs w:val="24"/>
        </w:rPr>
        <w:t xml:space="preserve">esiste solo in un ramo Git.</w:t>
      </w:r>
    </w:p>
    <w:p>
      <w:pPr>
        <w:spacing w:after="120" w:line="276"/>
        <w:jc w:val="both"/>
      </w:pPr>
      <w:r>
        <w:rPr>
          <w:rFonts w:ascii="Barlow Semi Condensed" w:cs="Barlow Semi Condensed" w:eastAsia="Barlow Semi Condensed" w:hAnsi="Barlow Semi Condensed"/>
          <w:sz w:val="24"/>
          <w:szCs w:val="24"/>
        </w:rPr>
        <w:t xml:space="preserve">Va fatto prima delle lettere perché il numero entra nel corpo delle lettere.</w:t>
      </w:r>
    </w:p>
    <w:p>
      <w:pPr>
        <w:spacing w:after="120" w:line="276"/>
        <w:jc w:val="both"/>
      </w:pPr>
      <w:r>
        <w:rPr>
          <w:rFonts w:ascii="Barlow Semi Condensed" w:cs="Barlow Semi Condensed" w:eastAsia="Barlow Semi Condensed" w:hAnsi="Barlow Semi Condensed"/>
          <w:sz w:val="24"/>
          <w:szCs w:val="24"/>
        </w:rPr>
        <w:t xml:space="preserve">Farlo dopo significa riscriverle tutte.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caricare</w:t>
      </w:r>
    </w:p>
    <w:p>
      <w:pPr>
        <w:spacing w:after="120" w:line="276"/>
        <w:jc w:val="both"/>
      </w:pPr>
      <w:r>
        <w:rPr>
          <w:rFonts w:ascii="Barlow Semi Condensed" w:cs="Barlow Semi Condensed" w:eastAsia="Barlow Semi Condensed" w:hAnsi="Barlow Semi Condensed"/>
          <w:sz w:val="24"/>
          <w:szCs w:val="24"/>
        </w:rPr>
        <w:t xml:space="preserve">Tre file, non uno. Il volume intero pesa 37,5 MiB e Zenodo lo accetterebbe, ma</w:t>
      </w:r>
    </w:p>
    <w:p>
      <w:pPr>
        <w:spacing w:after="120" w:line="276"/>
        <w:jc w:val="both"/>
      </w:pPr>
      <w:r>
        <w:rPr>
          <w:rFonts w:ascii="Barlow Semi Condensed" w:cs="Barlow Semi Condensed" w:eastAsia="Barlow Semi Condensed" w:hAnsi="Barlow Semi Condensed"/>
          <w:sz w:val="24"/>
          <w:szCs w:val="24"/>
        </w:rPr>
        <w:t xml:space="preserve">un revisore non apre un PDF da 2.426 pagine: apre la parte che lo riguarda.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Peso</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OPERA_INTEGRALE_1-di-3_LIBRI_I-XII.pdf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 MiB</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OPERA_INTEGRALE_2-di-3_LIBRI_XIII-XIV.pdf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 MiB</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OPERA_INTEGRALE_3-di-3_LIBRO_XV_E_APPENDICI.pdf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 MiB</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impronte SHA-256 delle tre parti non sono ricopiate qui, ed è una scelta, non</w:t>
      </w:r>
    </w:p>
    <w:p>
      <w:pPr>
        <w:spacing w:after="120" w:line="276"/>
        <w:jc w:val="both"/>
      </w:pPr>
      <w:r>
        <w:rPr>
          <w:rFonts w:ascii="Barlow Semi Condensed" w:cs="Barlow Semi Condensed" w:eastAsia="Barlow Semi Condensed" w:hAnsi="Barlow Semi Condensed"/>
          <w:sz w:val="24"/>
          <w:szCs w:val="24"/>
        </w:rPr>
        <w:t xml:space="preserve">una dimenticanza: </w:t>
      </w:r>
      <w:r>
        <w:rPr>
          <w:rFonts w:ascii="Barlow Semi Condensed" w:cs="Barlow Semi Condensed" w:eastAsia="Barlow Semi Condensed" w:hAnsi="Barlow Semi Condensed"/>
          <w:b/>
          <w:bCs/>
          <w:sz w:val="24"/>
          <w:szCs w:val="24"/>
        </w:rPr>
        <w:t xml:space="preserve">questo foglio è rilegato dentro il volume</w:t>
      </w:r>
      <w:r>
        <w:rPr>
          <w:rFonts w:ascii="Barlow Semi Condensed" w:cs="Barlow Semi Condensed" w:eastAsia="Barlow Semi Condensed" w:hAnsi="Barlow Semi Condensed"/>
          <w:sz w:val="24"/>
          <w:szCs w:val="24"/>
        </w:rPr>
        <w:t xml:space="preserve"> come Appendice</w:t>
      </w:r>
    </w:p>
    <w:p>
      <w:pPr>
        <w:spacing w:after="120" w:line="276"/>
        <w:jc w:val="both"/>
      </w:pPr>
      <w:r>
        <w:rPr>
          <w:rFonts w:ascii="Barlow Semi Condensed" w:cs="Barlow Semi Condensed" w:eastAsia="Barlow Semi Condensed" w:hAnsi="Barlow Semi Condensed"/>
          <w:sz w:val="24"/>
          <w:szCs w:val="24"/>
        </w:rPr>
        <w:t xml:space="preserve">IV.xvi, e un'impronta scritta dentro il file che essa misura è falsa nell'istante</w:t>
      </w:r>
    </w:p>
    <w:p>
      <w:pPr>
        <w:spacing w:after="120" w:line="276"/>
        <w:jc w:val="both"/>
      </w:pPr>
      <w:r>
        <w:rPr>
          <w:rFonts w:ascii="Barlow Semi Condensed" w:cs="Barlow Semi Condensed" w:eastAsia="Barlow Semi Condensed" w:hAnsi="Barlow Semi Condensed"/>
          <w:sz w:val="24"/>
          <w:szCs w:val="24"/>
        </w:rPr>
        <w:t xml:space="preserve">in cui viene scritta. Vale la stessa regola per cui il registro delle impronte</w:t>
      </w:r>
    </w:p>
    <w:p>
      <w:pPr>
        <w:spacing w:after="120" w:line="276"/>
        <w:jc w:val="both"/>
      </w:pPr>
      <w:r>
        <w:rPr>
          <w:rFonts w:ascii="Barlow Semi Condensed" w:cs="Barlow Semi Condensed" w:eastAsia="Barlow Semi Condensed" w:hAnsi="Barlow Semi Condensed"/>
          <w:sz w:val="24"/>
          <w:szCs w:val="24"/>
        </w:rPr>
        <w:t xml:space="preserve">non certifica sé stesso. Le impronte correnti si leggono in</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../IMPRONTE-SHA256.md</w:t>
      </w:r>
      <w:r>
        <w:rPr>
          <w:rFonts w:ascii="Barlow Semi Condensed" w:cs="Barlow Semi Condensed" w:eastAsia="Barlow Semi Condensed" w:hAnsi="Barlow Semi Condensed"/>
          <w:sz w:val="24"/>
          <w:szCs w:val="24"/>
        </w:rPr>
        <w:t xml:space="preserve">`, sezione «Il volume diviso in</w:t>
      </w:r>
    </w:p>
    <w:p>
      <w:pPr>
        <w:spacing w:after="120" w:line="276"/>
        <w:jc w:val="both"/>
      </w:pPr>
      <w:r>
        <w:rPr>
          <w:rFonts w:ascii="Barlow Semi Condensed" w:cs="Barlow Semi Condensed" w:eastAsia="Barlow Semi Condensed" w:hAnsi="Barlow Semi Condensed"/>
          <w:sz w:val="24"/>
          <w:szCs w:val="24"/>
        </w:rPr>
        <w:t xml:space="preserve">tre parti», e si ricopiano di lì al momento del deposito.*</w:t>
      </w:r>
    </w:p>
    <w:p>
      <w:pPr>
        <w:spacing w:after="120" w:line="276"/>
        <w:jc w:val="both"/>
      </w:pPr>
      <w:r>
        <w:rPr>
          <w:rFonts w:ascii="Barlow Semi Condensed" w:cs="Barlow Semi Condensed" w:eastAsia="Barlow Semi Condensed" w:hAnsi="Barlow Semi Condensed"/>
          <w:sz w:val="24"/>
          <w:szCs w:val="24"/>
        </w:rPr>
        <w:t xml:space="preserve">E due file piccoli che valgono più del loro peso: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IMPRONTE-OPERA-MORO.txt</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manifesto: 173 righe, una per file, verificabile con un comando</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IMPRONTE-SHA256.md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registro leggibile, che spiega che cosa l'impronta certifica e che cosa no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Non caricare</w:t>
      </w:r>
      <w:r>
        <w:rPr>
          <w:rFonts w:ascii="Barlow Semi Condensed" w:cs="Barlow Semi Condensed" w:eastAsia="Barlow Semi Condensed" w:hAnsi="Barlow Semi Condensed"/>
          <w:sz w:val="24"/>
          <w:szCs w:val="24"/>
        </w:rPr>
        <w:t xml:space="preserve"> il volume intero da 37,5 MiB: duplica le tre parti e raddoppia</w:t>
      </w:r>
    </w:p>
    <w:p>
      <w:pPr>
        <w:spacing w:after="120" w:line="276"/>
        <w:jc w:val="both"/>
      </w:pPr>
      <w:r>
        <w:rPr>
          <w:rFonts w:ascii="Barlow Semi Condensed" w:cs="Barlow Semi Condensed" w:eastAsia="Barlow Semi Condensed" w:hAnsi="Barlow Semi Condensed"/>
          <w:sz w:val="24"/>
          <w:szCs w:val="24"/>
        </w:rPr>
        <w:t xml:space="preserve">il peso del record senza aggiungere nulla. </w:t>
      </w:r>
      <w:r>
        <w:rPr>
          <w:rFonts w:ascii="Barlow Semi Condensed" w:cs="Barlow Semi Condensed" w:eastAsia="Barlow Semi Condensed" w:hAnsi="Barlow Semi Condensed"/>
          <w:b/>
          <w:bCs/>
          <w:sz w:val="24"/>
          <w:szCs w:val="24"/>
        </w:rPr>
        <w:t xml:space="preserve">Non caricare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italia-nera/</w:t>
      </w:r>
      <w:r>
        <w:rPr>
          <w:rFonts w:ascii="Barlow Semi Condensed" w:cs="Barlow Semi Condensed" w:eastAsia="Barlow Semi Condensed" w:hAnsi="Barlow Semi Condensed"/>
          <w:sz w:val="24"/>
          <w:szCs w:val="24"/>
        </w:rPr>
        <w:t xml:space="preserve">: è</w:t>
      </w:r>
    </w:p>
    <w:p>
      <w:pPr>
        <w:spacing w:after="120" w:line="276"/>
        <w:jc w:val="both"/>
      </w:pPr>
      <w:r>
        <w:rPr>
          <w:rFonts w:ascii="Barlow Semi Condensed" w:cs="Barlow Semi Condensed" w:eastAsia="Barlow Semi Condensed" w:hAnsi="Barlow Semi Condensed"/>
          <w:sz w:val="24"/>
          <w:szCs w:val="24"/>
        </w:rPr>
        <w:t xml:space="preserve">un'opera distinta, e se un giorno va depositata avrà un DOI proprio.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metadati, pronti da incollare</w:t>
      </w:r>
    </w:p>
    <w:p>
      <w:pPr>
        <w:spacing w:after="120" w:line="276"/>
        <w:jc w:val="both"/>
      </w:pPr>
      <w:r>
        <w:rPr>
          <w:rFonts w:ascii="Barlow Semi Condensed" w:cs="Barlow Semi Condensed" w:eastAsia="Barlow Semi Condensed" w:hAnsi="Barlow Semi Condensed"/>
          <w:b/>
          <w:bCs/>
          <w:sz w:val="24"/>
          <w:szCs w:val="24"/>
        </w:rPr>
        <w:t xml:space="preserve">Upload type</w:t>
      </w:r>
      <w:r>
        <w:rPr>
          <w:rFonts w:ascii="Barlow Semi Condensed" w:cs="Barlow Semi Condensed" w:eastAsia="Barlow Semi Condensed" w:hAnsi="Barlow Semi Condensed"/>
          <w:sz w:val="24"/>
          <w:szCs w:val="24"/>
        </w:rPr>
        <w:t xml:space="preserve"> — Publication → Book</w:t>
      </w:r>
    </w:p>
    <w:p>
      <w:pPr>
        <w:spacing w:after="120" w:line="276"/>
        <w:jc w:val="both"/>
      </w:pPr>
      <w:r>
        <w:rPr>
          <w:rFonts w:ascii="Barlow Semi Condensed" w:cs="Barlow Semi Condensed" w:eastAsia="Barlow Semi Condensed" w:hAnsi="Barlow Semi Condensed"/>
          <w:b/>
          <w:bCs/>
          <w:sz w:val="24"/>
          <w:szCs w:val="24"/>
        </w:rPr>
        <w:t xml:space="preserve">Title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Aldo Moro. Ottanta anni di Pace: una guerra senza fine — opera integrale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Authors</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De Michele, Luigi</w:t>
      </w:r>
      <w:r>
        <w:rPr>
          <w:rFonts w:ascii="Barlow Semi Condensed" w:cs="Barlow Semi Condensed" w:eastAsia="Barlow Semi Condensed" w:hAnsi="Barlow Semi Condensed"/>
          <w:sz w:val="24"/>
          <w:szCs w:val="24"/>
        </w:rPr>
        <w:t xml:space="preserve">. Se hai un ORCID, mettilo: è la differenza fra</w:t>
      </w:r>
    </w:p>
    <w:p>
      <w:pPr>
        <w:spacing w:after="120" w:line="276"/>
        <w:jc w:val="both"/>
      </w:pPr>
      <w:r>
        <w:rPr>
          <w:rFonts w:ascii="Barlow Semi Condensed" w:cs="Barlow Semi Condensed" w:eastAsia="Barlow Semi Condensed" w:hAnsi="Barlow Semi Condensed"/>
          <w:sz w:val="24"/>
          <w:szCs w:val="24"/>
        </w:rPr>
        <w:t xml:space="preserve">un deposito anonimo e un deposito attribuibile. Se non ce l'hai, si apre in</w:t>
      </w:r>
    </w:p>
    <w:p>
      <w:pPr>
        <w:spacing w:after="120" w:line="276"/>
        <w:jc w:val="both"/>
      </w:pPr>
      <w:r>
        <w:rPr>
          <w:rFonts w:ascii="Barlow Semi Condensed" w:cs="Barlow Semi Condensed" w:eastAsia="Barlow Semi Condensed" w:hAnsi="Barlow Semi Condensed"/>
          <w:sz w:val="24"/>
          <w:szCs w:val="24"/>
        </w:rPr>
        <w:t xml:space="preserve">cinque minuti su orcid.org ed è gratuito.</w:t>
      </w:r>
    </w:p>
    <w:p>
      <w:pPr>
        <w:spacing w:after="120" w:line="276"/>
        <w:jc w:val="both"/>
      </w:pPr>
      <w:r>
        <w:rPr>
          <w:rFonts w:ascii="Barlow Semi Condensed" w:cs="Barlow Semi Condensed" w:eastAsia="Barlow Semi Condensed" w:hAnsi="Barlow Semi Condensed"/>
          <w:b/>
          <w:bCs/>
          <w:sz w:val="24"/>
          <w:szCs w:val="24"/>
        </w:rPr>
        <w:t xml:space="preserve">Description</w:t>
      </w:r>
      <w:r>
        <w:rPr>
          <w:rFonts w:ascii="Barlow Semi Condensed" w:cs="Barlow Semi Condensed" w:eastAsia="Barlow Semi Condensed" w:hAnsi="Barlow Semi Condensed"/>
          <w:sz w:val="24"/>
          <w:szCs w:val="24"/>
        </w:rPr>
        <w:t xml:space="preserve"> (incolla così com'è)</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Corpus di ricerca storica sul caso Moro e sul suo contesto internazionale, prodotto fra il 2025 e il 2026 con sistemi di intelligenza artificiale sotto direzione umana e sotto una disciplina metodologica scritta prima del lavoro e resa vincolante. La dichiarazione di generazione assistita apre ogni documento dell'opera, non ne chiude nessuno.  L'opera non ricostruisce i fatti del 1978 e non propone una tesi sul sequestro. Non indica responsabili: nessuna persona vi è indicata come responsabile di un reato al di fuori di un giudicato definitivo, e la regola che governa l'intero corpus è che l'appartenenza a un'organizzazione non è prova di condotta. Ciò che l'opera produce sono bersagli di ricerca: domande formulate in modo che un terzo possa andare in archivio a rispondervi, ciascuna col grado di ciò che si sa già e con la sede in cui si cercherebbe.  Ogni proposizione porta un grado dichiarato — A giudicato, B accertamento, C congettura, F fatto pubblico — e le ricerche condotte senza esito sono registrate come Stati Zero, validi soltanto se la sede consultata è nominata. Le correzioni sono annotate accanto all'errore e non applicate in silenzio; le divergenze fra fonti sono riportate e non risolte d'autorità.  Quinta edizione integrale, 27 agosto 2026: oltre 2.400 pagine in 103 documenti, quindici Libri e quattro Appendici, 239 grafici su 104 capitoli, 1.044 citazioni a 688 indirizzi distinti su 358 domini. Depositata in tre parti tagliate su confini di Libro; le parti non si sovrappongono e insieme fanno il volume. Ogni file porta la propria impronta SHA-256 nel manifesto allegato: l'impronta certifica l'integrità del contenitore, non la verità del contenuto, e la distinzione è dichiarata nel registro.</w:t>
      </w:r>
    </w:p>
    <w:p>
      <w:pPr>
        <w:spacing w:after="120" w:line="276"/>
        <w:jc w:val="both"/>
      </w:pPr>
      <w:r>
        <w:rPr>
          <w:rFonts w:ascii="Barlow Semi Condensed" w:cs="Barlow Semi Condensed" w:eastAsia="Barlow Semi Condensed" w:hAnsi="Barlow Semi Condensed"/>
          <w:b/>
          <w:bCs/>
          <w:sz w:val="24"/>
          <w:szCs w:val="24"/>
        </w:rPr>
        <w:t xml:space="preserve">Version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Publication date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2026-08-27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Language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i/>
          <w:iCs/>
          <w:sz w:val="24"/>
          <w:szCs w:val="24"/>
        </w:rPr>
        <w:t xml:space="preserve">Italian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License</w:t>
      </w:r>
      <w:r>
        <w:rPr>
          <w:rFonts w:ascii="Barlow Semi Condensed" w:cs="Barlow Semi Condensed" w:eastAsia="Barlow Semi Condensed" w:hAnsi="Barlow Semi Condensed"/>
          <w:sz w:val="24"/>
          <w:szCs w:val="24"/>
        </w:rPr>
        <w:t xml:space="preserve"> — Creative Commons Attribution 4.0 (CC BY 4.0)</w:t>
      </w:r>
    </w:p>
    <w:p>
      <w:pPr>
        <w:spacing w:after="120" w:line="276"/>
        <w:jc w:val="both"/>
      </w:pPr>
      <w:r>
        <w:rPr>
          <w:rFonts w:ascii="Barlow Semi Condensed" w:cs="Barlow Semi Condensed" w:eastAsia="Barlow Semi Condensed" w:hAnsi="Barlow Semi Condensed"/>
          <w:i/>
          <w:iCs/>
          <w:sz w:val="24"/>
          <w:szCs w:val="24"/>
        </w:rPr>
        <w:t xml:space="preserve">Sulla licenza.</w:t>
      </w:r>
      <w:r>
        <w:rPr>
          <w:rFonts w:ascii="Barlow Semi Condensed" w:cs="Barlow Semi Condensed" w:eastAsia="Barlow Semi Condensed" w:hAnsi="Barlow Semi Condensed"/>
          <w:sz w:val="24"/>
          <w:szCs w:val="24"/>
        </w:rPr>
        <w:t xml:space="preserve"> CC BY è la scelta consigliata: chiunque può citare e</w:t>
      </w:r>
    </w:p>
    <w:p>
      <w:pPr>
        <w:spacing w:after="120" w:line="276"/>
        <w:jc w:val="both"/>
      </w:pPr>
      <w:r>
        <w:rPr>
          <w:rFonts w:ascii="Barlow Semi Condensed" w:cs="Barlow Semi Condensed" w:eastAsia="Barlow Semi Condensed" w:hAnsi="Barlow Semi Condensed"/>
          <w:sz w:val="24"/>
          <w:szCs w:val="24"/>
        </w:rPr>
        <w:t xml:space="preserve">ridistribuire purché attribuisca, il che è esattamente ciò che serve a un'opera</w:t>
      </w:r>
    </w:p>
    <w:p>
      <w:pPr>
        <w:spacing w:after="120" w:line="276"/>
        <w:jc w:val="both"/>
      </w:pPr>
      <w:r>
        <w:rPr>
          <w:rFonts w:ascii="Barlow Semi Condensed" w:cs="Barlow Semi Condensed" w:eastAsia="Barlow Semi Condensed" w:hAnsi="Barlow Semi Condensed"/>
          <w:sz w:val="24"/>
          <w:szCs w:val="24"/>
        </w:rPr>
        <w:t xml:space="preserve">che vuole essere verificata. Se preferisci vietare gli usi commerciali (CC</w:t>
      </w:r>
    </w:p>
    <w:p>
      <w:pPr>
        <w:spacing w:after="120" w:line="276"/>
        <w:jc w:val="both"/>
      </w:pPr>
      <w:r>
        <w:rPr>
          <w:rFonts w:ascii="Barlow Semi Condensed" w:cs="Barlow Semi Condensed" w:eastAsia="Barlow Semi Condensed" w:hAnsi="Barlow Semi Condensed"/>
          <w:sz w:val="24"/>
          <w:szCs w:val="24"/>
        </w:rPr>
        <w:t xml:space="preserve">BY-NC) sappi che molte riviste e archivi non ridistribuiscono materiale NC, e</w:t>
      </w:r>
    </w:p>
    <w:p>
      <w:pPr>
        <w:spacing w:after="120" w:line="276"/>
        <w:jc w:val="both"/>
      </w:pPr>
      <w:r>
        <w:rPr>
          <w:rFonts w:ascii="Barlow Semi Condensed" w:cs="Barlow Semi Condensed" w:eastAsia="Barlow Semi Condensed" w:hAnsi="Barlow Semi Condensed"/>
          <w:sz w:val="24"/>
          <w:szCs w:val="24"/>
        </w:rPr>
        <w:t xml:space="preserve">perderesti proprio i canali che ti interessano.</w:t>
      </w:r>
    </w:p>
    <w:p>
      <w:pPr>
        <w:spacing w:after="120" w:line="276"/>
        <w:jc w:val="both"/>
      </w:pPr>
      <w:r>
        <w:rPr>
          <w:rFonts w:ascii="Barlow Semi Condensed" w:cs="Barlow Semi Condensed" w:eastAsia="Barlow Semi Condensed" w:hAnsi="Barlow Semi Condensed"/>
          <w:b/>
          <w:bCs/>
          <w:sz w:val="24"/>
          <w:szCs w:val="24"/>
        </w:rPr>
        <w:t xml:space="preserve">Keywords</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Aldo Moro; Brigate Rosse; caso Moro; storia contemporanea italiana; strategia della tensione; Loggia P2; Gladio; Commissione Moro; fonti parlamentari; metodo storiografico; gradi probatori; ricerca assistita da intelligenza artificiale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Additional notes</w:t>
      </w:r>
      <w:r>
        <w:rPr>
          <w:rFonts w:ascii="Barlow Semi Condensed" w:cs="Barlow Semi Condensed" w:eastAsia="Barlow Semi Condensed" w:hAnsi="Barlow Semi Condensed"/>
          <w:sz w:val="24"/>
          <w:szCs w:val="24"/>
        </w:rPr>
        <w:t xml:space="preserve"> — l'impronta va copiata dal registro al momento del</w:t>
      </w:r>
    </w:p>
    <w:p>
      <w:pPr>
        <w:spacing w:after="120" w:line="276"/>
        <w:jc w:val="both"/>
      </w:pPr>
      <w:r>
        <w:rPr>
          <w:rFonts w:ascii="Barlow Semi Condensed" w:cs="Barlow Semi Condensed" w:eastAsia="Barlow Semi Condensed" w:hAnsi="Barlow Semi Condensed"/>
          <w:sz w:val="24"/>
          <w:szCs w:val="24"/>
        </w:rPr>
        <w:t xml:space="preserve">deposito, per la ragione detta sopra: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Opera prodotta con sistemi di intelligenza artificiale sotto direzione e responsabilità umana. Impronta SHA-256 del manifesto dell'opera: </w:t>
      </w:r>
      <w:r>
        <w:rPr>
          <w:rFonts w:ascii="Barlow Semi Condensed" w:cs="Barlow Semi Condensed" w:eastAsia="Barlow Semi Condensed" w:hAnsi="Barlow Semi Condensed"/>
          <w:i w:val="false"/>
          <w:iCs w:val="false"/>
          <w:sz w:val="24"/>
          <w:szCs w:val="24"/>
        </w:rPr>
        <w:t xml:space="preserve">«copiare da IMPRONTE-SHA256.md, sezione "L'impronta dell'opera"»</w:t>
      </w:r>
      <w:r>
        <w:rPr>
          <w:rFonts w:ascii="Barlow Semi Condensed" w:cs="Barlow Semi Condensed" w:eastAsia="Barlow Semi Condensed" w:hAnsi="Barlow Semi Condensed"/>
          <w:i w:val="false"/>
          <w:iCs w:val="false"/>
          <w:sz w:val="24"/>
          <w:szCs w:val="24"/>
        </w:rPr>
        <w:t xml:space="preserve">. Il manifesto elenca i file versionati che compongono l'opera e si verifica con </w:t>
      </w:r>
      <w:r>
        <w:rPr>
          <w:rFonts w:ascii="Barlow Semi Condensed" w:cs="Barlow Semi Condensed" w:eastAsia="Barlow Semi Condensed" w:hAnsi="Barlow Semi Condensed"/>
          <w:i w:val="false"/>
          <w:iCs w:val="false"/>
          <w:sz w:val="24"/>
          <w:szCs w:val="24"/>
        </w:rPr>
        <w:t xml:space="preserve">sha256sum --check IMPRONTE-OPERA-MORO.txt</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conteggio esatto delle pagine è volutamente lasciato in tondo — «oltre</w:t>
      </w:r>
    </w:p>
    <w:p>
      <w:pPr>
        <w:spacing w:after="120" w:line="276"/>
        <w:jc w:val="both"/>
      </w:pPr>
      <w:r>
        <w:rPr>
          <w:rFonts w:ascii="Barlow Semi Condensed" w:cs="Barlow Semi Condensed" w:eastAsia="Barlow Semi Condensed" w:hAnsi="Barlow Semi Condensed"/>
          <w:sz w:val="24"/>
          <w:szCs w:val="24"/>
        </w:rPr>
        <w:t xml:space="preserve">2.400» — e va sostituito con la cifra che si legge sulla copertina del volume al</w:t>
      </w:r>
    </w:p>
    <w:p>
      <w:pPr>
        <w:spacing w:after="120" w:line="276"/>
        <w:jc w:val="both"/>
      </w:pPr>
      <w:r>
        <w:rPr>
          <w:rFonts w:ascii="Barlow Semi Condensed" w:cs="Barlow Semi Condensed" w:eastAsia="Barlow Semi Condensed" w:hAnsi="Barlow Semi Condensed"/>
          <w:sz w:val="24"/>
          <w:szCs w:val="24"/>
        </w:rPr>
        <w:t xml:space="preserve">momento del deposito. La ragione è la stessa dell'impronta: **questo foglio è</w:t>
      </w:r>
    </w:p>
    <w:p>
      <w:pPr>
        <w:spacing w:after="120" w:line="276"/>
        <w:jc w:val="both"/>
      </w:pPr>
      <w:r>
        <w:rPr>
          <w:rFonts w:ascii="Barlow Semi Condensed" w:cs="Barlow Semi Condensed" w:eastAsia="Barlow Semi Condensed" w:hAnsi="Barlow Semi Condensed"/>
          <w:sz w:val="24"/>
          <w:szCs w:val="24"/>
        </w:rPr>
        <w:t xml:space="preserve">rilegato dentro il volume che conta**, e ogni volta che si scrive qui il numero</w:t>
      </w:r>
    </w:p>
    <w:p>
      <w:pPr>
        <w:spacing w:after="120" w:line="276"/>
        <w:jc w:val="both"/>
      </w:pPr>
      <w:r>
        <w:rPr>
          <w:rFonts w:ascii="Barlow Semi Condensed" w:cs="Barlow Semi Condensed" w:eastAsia="Barlow Semi Condensed" w:hAnsi="Barlow Semi Condensed"/>
          <w:sz w:val="24"/>
          <w:szCs w:val="24"/>
        </w:rPr>
        <w:t xml:space="preserve">esatto il foglio si allunga e il numero cambia. Un documento non può misurare</w:t>
      </w:r>
    </w:p>
    <w:p>
      <w:pPr>
        <w:spacing w:after="120" w:line="276"/>
        <w:jc w:val="both"/>
      </w:pPr>
      <w:r>
        <w:rPr>
          <w:rFonts w:ascii="Barlow Semi Condensed" w:cs="Barlow Semi Condensed" w:eastAsia="Barlow Semi Condensed" w:hAnsi="Barlow Semi Condensed"/>
          <w:sz w:val="24"/>
          <w:szCs w:val="24"/>
        </w:rPr>
        <w:t xml:space="preserve">sé stesso dall'interno; può però dire dove il numero si legge, ed è ciò che fa.</w:t>
      </w:r>
    </w:p>
    <w:p>
      <w:pPr>
        <w:spacing w:after="120" w:line="276"/>
        <w:jc w:val="both"/>
      </w:pPr>
      <w:r>
        <w:rPr>
          <w:rFonts w:ascii="Barlow Semi Condensed" w:cs="Barlow Semi Condensed" w:eastAsia="Barlow Semi Condensed" w:hAnsi="Barlow Semi Condensed"/>
          <w:sz w:val="24"/>
          <w:szCs w:val="24"/>
        </w:rPr>
        <w:t xml:space="preserve">Gli altri numeri — documenti, grafici, citazioni, domini — non hanno questo</w:t>
      </w:r>
    </w:p>
    <w:p>
      <w:pPr>
        <w:spacing w:after="120" w:line="276"/>
        <w:jc w:val="both"/>
      </w:pPr>
      <w:r>
        <w:rPr>
          <w:rFonts w:ascii="Barlow Semi Condensed" w:cs="Barlow Semi Condensed" w:eastAsia="Barlow Semi Condensed" w:hAnsi="Barlow Semi Condensed"/>
          <w:sz w:val="24"/>
          <w:szCs w:val="24"/>
        </w:rPr>
        <w:t xml:space="preserve">problema e sono esatti: si rileggono comunque sul registro prima di incollarli.*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L'ordine delle operazioni</w:t>
      </w:r>
    </w:p>
    <w:p>
      <w:pPr>
        <w:spacing w:after="40"/>
        <w:ind w:left="360"/>
        <w:jc w:val="both"/>
      </w:pPr>
      <w:r>
        <w:rPr>
          <w:rFonts w:ascii="Barlow Semi Condensed" w:cs="Barlow Semi Condensed" w:eastAsia="Barlow Semi Condensed" w:hAnsi="Barlow Semi Condensed"/>
          <w:sz w:val="24"/>
          <w:szCs w:val="24"/>
        </w:rPr>
        <w:t xml:space="preserve">1. Apri l'account Zenodo (o accedi). Se non hai un ORCID, aprilo prima e</w:t>
      </w:r>
    </w:p>
    <w:p>
      <w:pPr>
        <w:spacing w:after="120" w:line="276"/>
        <w:jc w:val="both"/>
      </w:pPr>
      <w:r>
        <w:rPr>
          <w:rFonts w:ascii="Barlow Semi Condensed" w:cs="Barlow Semi Condensed" w:eastAsia="Barlow Semi Condensed" w:hAnsi="Barlow Semi Condensed"/>
          <w:sz w:val="24"/>
          <w:szCs w:val="24"/>
        </w:rPr>
        <w:t xml:space="preserve">   collegalo.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New upload</w:t>
      </w:r>
      <w:r>
        <w:rPr>
          <w:rFonts w:ascii="Barlow Semi Condensed" w:cs="Barlow Semi Condensed" w:eastAsia="Barlow Semi Condensed" w:hAnsi="Barlow Semi Condensed"/>
          <w:sz w:val="24"/>
          <w:szCs w:val="24"/>
        </w:rPr>
        <w:t xml:space="preserve"> → trascina i cinque file → compila i metadati qui sopra.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Save</w:t>
      </w:r>
      <w:r>
        <w:rPr>
          <w:rFonts w:ascii="Barlow Semi Condensed" w:cs="Barlow Semi Condensed" w:eastAsia="Barlow Semi Condensed" w:hAnsi="Barlow Semi Condensed"/>
          <w:sz w:val="24"/>
          <w:szCs w:val="24"/>
        </w:rPr>
        <w:t xml:space="preserve"> senza pubblicare. Rileggi la description sullo schermo: è il testo</w:t>
      </w:r>
    </w:p>
    <w:p>
      <w:pPr>
        <w:spacing w:after="120" w:line="276"/>
        <w:jc w:val="both"/>
      </w:pPr>
      <w:r>
        <w:rPr>
          <w:rFonts w:ascii="Barlow Semi Condensed" w:cs="Barlow Semi Condensed" w:eastAsia="Barlow Semi Condensed" w:hAnsi="Barlow Semi Condensed"/>
          <w:sz w:val="24"/>
          <w:szCs w:val="24"/>
        </w:rPr>
        <w:t xml:space="preserve">   che leggeranno per primo, ed è l'unico che non puoi correggere dopo la</w:t>
      </w:r>
    </w:p>
    <w:p>
      <w:pPr>
        <w:spacing w:after="120" w:line="276"/>
        <w:jc w:val="both"/>
      </w:pPr>
      <w:r>
        <w:rPr>
          <w:rFonts w:ascii="Barlow Semi Condensed" w:cs="Barlow Semi Condensed" w:eastAsia="Barlow Semi Condensed" w:hAnsi="Barlow Semi Condensed"/>
          <w:sz w:val="24"/>
          <w:szCs w:val="24"/>
        </w:rPr>
        <w:t xml:space="preserve">   pubblicazione senza generare una nuova versione.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Publish.</w:t>
      </w:r>
      <w:r>
        <w:rPr>
          <w:rFonts w:ascii="Barlow Semi Condensed" w:cs="Barlow Semi Condensed" w:eastAsia="Barlow Semi Condensed" w:hAnsi="Barlow Semi Condensed"/>
          <w:sz w:val="24"/>
          <w:szCs w:val="24"/>
        </w:rPr>
        <w:t xml:space="preserve"> Il DOI compare subito; l'indicizzazione richiede fino a un'ora.</w:t>
      </w:r>
    </w:p>
    <w:p>
      <w:pPr>
        <w:spacing w:after="40"/>
        <w:ind w:left="360"/>
        <w:jc w:val="both"/>
      </w:pPr>
      <w:r>
        <w:rPr>
          <w:rFonts w:ascii="Barlow Semi Condensed" w:cs="Barlow Semi Condensed" w:eastAsia="Barlow Semi Condensed" w:hAnsi="Barlow Semi Condensed"/>
          <w:sz w:val="24"/>
          <w:szCs w:val="24"/>
        </w:rPr>
        <w:t xml:space="preserve">5. Copia il DOI e </w:t>
      </w:r>
      <w:r>
        <w:rPr>
          <w:rFonts w:ascii="Barlow Semi Condensed" w:cs="Barlow Semi Condensed" w:eastAsia="Barlow Semi Condensed" w:hAnsi="Barlow Semi Condensed"/>
          <w:b/>
          <w:bCs/>
          <w:sz w:val="24"/>
          <w:szCs w:val="24"/>
        </w:rPr>
        <w:t xml:space="preserve">torna qui</w:t>
      </w:r>
      <w:r>
        <w:rPr>
          <w:rFonts w:ascii="Barlow Semi Condensed" w:cs="Barlow Semi Condensed" w:eastAsia="Barlow Semi Condensed" w:hAnsi="Barlow Semi Condensed"/>
          <w:sz w:val="24"/>
          <w:szCs w:val="24"/>
        </w:rPr>
        <w:t xml:space="preserve">: va inserito in undici lettere e nella scheda</w:t>
      </w:r>
    </w:p>
    <w:p>
      <w:pPr>
        <w:spacing w:after="120" w:line="276"/>
        <w:jc w:val="both"/>
      </w:pPr>
      <w:r>
        <w:rPr>
          <w:rFonts w:ascii="Barlow Semi Condensed" w:cs="Barlow Semi Condensed" w:eastAsia="Barlow Semi Condensed" w:hAnsi="Barlow Semi Condensed"/>
          <w:sz w:val="24"/>
          <w:szCs w:val="24"/>
        </w:rPr>
        <w:t xml:space="preserve">   dell'opera. È una sostituzione meccanica, la faccio io in un passaggio.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Dopo il DOI</w:t>
      </w:r>
    </w:p>
    <w:p>
      <w:pPr>
        <w:spacing w:after="120" w:line="276"/>
        <w:jc w:val="both"/>
      </w:pPr>
      <w:r>
        <w:rPr>
          <w:rFonts w:ascii="Barlow Semi Condensed" w:cs="Barlow Semi Condensed" w:eastAsia="Barlow Semi Condensed" w:hAnsi="Barlow Semi Condensed"/>
          <w:sz w:val="24"/>
          <w:szCs w:val="24"/>
        </w:rPr>
        <w:t xml:space="preserve">Il DOI entra in: la scheda dell'opera, la PEC unica formale, la lettera alla</w:t>
      </w:r>
    </w:p>
    <w:p>
      <w:pPr>
        <w:spacing w:after="120" w:line="276"/>
        <w:jc w:val="both"/>
      </w:pPr>
      <w:r>
        <w:rPr>
          <w:rFonts w:ascii="Barlow Semi Condensed" w:cs="Barlow Semi Condensed" w:eastAsia="Barlow Semi Condensed" w:hAnsi="Barlow Semi Condensed"/>
          <w:sz w:val="24"/>
          <w:szCs w:val="24"/>
        </w:rPr>
        <w:t xml:space="preserve">Fondazione Aldo Moro, la PEC all'Archivio Flamigni, la relazione al Centro</w:t>
      </w:r>
    </w:p>
    <w:p>
      <w:pPr>
        <w:spacing w:after="120" w:line="276"/>
        <w:jc w:val="both"/>
      </w:pPr>
      <w:r>
        <w:rPr>
          <w:rFonts w:ascii="Barlow Semi Condensed" w:cs="Barlow Semi Condensed" w:eastAsia="Barlow Semi Condensed" w:hAnsi="Barlow Semi Condensed"/>
          <w:sz w:val="24"/>
          <w:szCs w:val="24"/>
        </w:rPr>
        <w:t xml:space="preserve">Flamigni, e le sei proposte editoriali. Undici documenti, una stringa.</w:t>
      </w:r>
    </w:p>
    <w:p>
      <w:pPr>
        <w:spacing w:after="120" w:line="276"/>
        <w:jc w:val="both"/>
      </w:pPr>
      <w:r>
        <w:rPr>
          <w:rFonts w:ascii="Barlow Semi Condensed" w:cs="Barlow Semi Condensed" w:eastAsia="Barlow Semi Condensed" w:hAnsi="Barlow Semi Condensed"/>
          <w:sz w:val="24"/>
          <w:szCs w:val="24"/>
        </w:rPr>
        <w:t xml:space="preserve">Poi, e solo poi, si spedisce. La checklist di invio dice in che ordine.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Una avvertenza che vale la pena scrivere prima che serva: </w:t>
      </w:r>
      <w:r>
        <w:rPr>
          <w:rFonts w:ascii="Barlow Semi Condensed" w:cs="Barlow Semi Condensed" w:eastAsia="Barlow Semi Condensed" w:hAnsi="Barlow Semi Condensed"/>
          <w:sz w:val="24"/>
          <w:szCs w:val="24"/>
        </w:rPr>
        <w:t xml:space="preserve">*un deposito Zenodo</w:t>
      </w:r>
    </w:p>
    <w:p>
      <w:pPr>
        <w:spacing w:after="120" w:line="276"/>
        <w:jc w:val="both"/>
      </w:pPr>
      <w:r>
        <w:rPr>
          <w:rFonts w:ascii="Barlow Semi Condensed" w:cs="Barlow Semi Condensed" w:eastAsia="Barlow Semi Condensed" w:hAnsi="Barlow Semi Condensed"/>
          <w:sz w:val="24"/>
          <w:szCs w:val="24"/>
        </w:rPr>
        <w:t xml:space="preserve">non si cancella**. Si può ritirare dalla vista pubblica, ma il DOI resta e la</w:t>
      </w:r>
    </w:p>
    <w:p>
      <w:pPr>
        <w:spacing w:after="120" w:line="276"/>
        <w:jc w:val="both"/>
      </w:pPr>
      <w:r>
        <w:rPr>
          <w:rFonts w:ascii="Barlow Semi Condensed" w:cs="Barlow Semi Condensed" w:eastAsia="Barlow Semi Condensed" w:hAnsi="Barlow Semi Condensed"/>
          <w:sz w:val="24"/>
          <w:szCs w:val="24"/>
        </w:rPr>
        <w:t xml:space="preserve">pagina resta, con la dicitura di ritiro. Ciò che si carica oggi è definitivo. È</w:t>
      </w:r>
    </w:p>
    <w:p>
      <w:pPr>
        <w:spacing w:after="120" w:line="276"/>
        <w:jc w:val="both"/>
      </w:pPr>
      <w:r>
        <w:rPr>
          <w:rFonts w:ascii="Barlow Semi Condensed" w:cs="Barlow Semi Condensed" w:eastAsia="Barlow Semi Condensed" w:hAnsi="Barlow Semi Condensed"/>
          <w:sz w:val="24"/>
          <w:szCs w:val="24"/>
        </w:rPr>
        <w:t xml:space="preserve">il motivo per cui questo foglio insiste sul punto 3: rileggere prima di</w:t>
      </w:r>
    </w:p>
    <w:p>
      <w:pPr>
        <w:spacing w:after="120" w:line="276"/>
        <w:jc w:val="both"/>
      </w:pPr>
      <w:r>
        <w:rPr>
          <w:rFonts w:ascii="Barlow Semi Condensed" w:cs="Barlow Semi Condensed" w:eastAsia="Barlow Semi Condensed" w:hAnsi="Barlow Semi Condensed"/>
          <w:sz w:val="24"/>
          <w:szCs w:val="24"/>
        </w:rPr>
        <w:t xml:space="preserve">premere.*</w:t>
      </w:r>
    </w:p>
    <w:p>
      <w:pPr>
        <w:pStyle w:val="Heading3"/>
        <w:spacing w:after="80" w:before="240"/>
      </w:pPr>
      <w:r>
        <w:rPr>
          <w:rFonts w:ascii="Barlow Semi Condensed" w:cs="Barlow Semi Condensed" w:eastAsia="Barlow Semi Condensed" w:hAnsi="Barlow Semi Condensed"/>
          <w:sz w:val="24"/>
          <w:szCs w:val="24"/>
        </w:rPr>
        <w:t xml:space="preserve">Apparato grafico — Appendici · xvi. Il deposito Zenodo, foglio operativo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 1.156 parole in 5 sezioni; la più ampia è §3 I metadati, pronti da incollare, con 641.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 30 paragrafi in 5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xvii. La richiesta all'Archivio storico della Camera</w:t>
      </w:r>
    </w:p>
    <w:p>
      <w:pPr>
        <w:pStyle w:val="Heading1"/>
        <w:spacing w:after="120" w:before="240"/>
      </w:pPr>
      <w:r>
        <w:rPr>
          <w:rFonts w:ascii="Barlow Semi Condensed" w:cs="Barlow Semi Condensed" w:eastAsia="Barlow Semi Condensed" w:hAnsi="Barlow Semi Condensed"/>
          <w:sz w:val="24"/>
          <w:szCs w:val="24"/>
        </w:rPr>
        <w:t xml:space="preserve">Richiesta all'Archivio storico della Camera dei deputati</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Questa è la richiesta più importante che l'opera abbia da fare, ed è lunga una</w:t>
      </w:r>
    </w:p>
    <w:p>
      <w:pPr>
        <w:spacing w:after="120" w:line="276"/>
        <w:jc w:val="both"/>
      </w:pPr>
      <w:r>
        <w:rPr>
          <w:rFonts w:ascii="Barlow Semi Condensed" w:cs="Barlow Semi Condensed" w:eastAsia="Barlow Semi Condensed" w:hAnsi="Barlow Semi Condensed"/>
          <w:sz w:val="24"/>
          <w:szCs w:val="24"/>
        </w:rPr>
        <w:t xml:space="preserve">pagina. Chiede la riproduzione di </w:t>
      </w:r>
      <w:r>
        <w:rPr>
          <w:rFonts w:ascii="Barlow Semi Condensed" w:cs="Barlow Semi Condensed" w:eastAsia="Barlow Semi Condensed" w:hAnsi="Barlow Semi Condensed"/>
          <w:b/>
          <w:bCs/>
          <w:sz w:val="24"/>
          <w:szCs w:val="24"/>
        </w:rPr>
        <w:t xml:space="preserve">due allegati</w:t>
      </w:r>
      <w:r>
        <w:rPr>
          <w:rFonts w:ascii="Barlow Semi Condensed" w:cs="Barlow Semi Condensed" w:eastAsia="Barlow Semi Condensed" w:hAnsi="Barlow Semi Condensed"/>
          <w:sz w:val="24"/>
          <w:szCs w:val="24"/>
        </w:rPr>
        <w:t xml:space="preserve"> di un documento parlamentare</w:t>
      </w:r>
    </w:p>
    <w:p>
      <w:pPr>
        <w:spacing w:after="120" w:line="276"/>
        <w:jc w:val="both"/>
      </w:pPr>
      <w:r>
        <w:rPr>
          <w:rFonts w:ascii="Barlow Semi Condensed" w:cs="Barlow Semi Condensed" w:eastAsia="Barlow Semi Condensed" w:hAnsi="Barlow Semi Condensed"/>
          <w:sz w:val="24"/>
          <w:szCs w:val="24"/>
        </w:rPr>
        <w:t xml:space="preserve">del 1984. Se tornano indietro, una decina di righe del corpus passano dal grado</w:t>
      </w:r>
    </w:p>
    <w:p>
      <w:pPr>
        <w:spacing w:after="120" w:line="276"/>
        <w:jc w:val="both"/>
      </w:pPr>
      <w:r>
        <w:rPr>
          <w:rFonts w:ascii="Barlow Semi Condensed" w:cs="Barlow Semi Condensed" w:eastAsia="Barlow Semi Condensed" w:hAnsi="Barlow Semi Condensed"/>
          <w:sz w:val="24"/>
          <w:szCs w:val="24"/>
        </w:rPr>
        <w:t xml:space="preserve">della congettura a quello dell'accertamento; se non tornano, l'esito negativo si</w:t>
      </w:r>
    </w:p>
    <w:p>
      <w:pPr>
        <w:spacing w:after="120" w:line="276"/>
        <w:jc w:val="both"/>
      </w:pPr>
      <w:r>
        <w:rPr>
          <w:rFonts w:ascii="Barlow Semi Condensed" w:cs="Barlow Semi Condensed" w:eastAsia="Barlow Semi Condensed" w:hAnsi="Barlow Semi Condensed"/>
          <w:sz w:val="24"/>
          <w:szCs w:val="24"/>
        </w:rPr>
        <w:t xml:space="preserve">registra come Stato Zero con la sede nominata, e vale anch'esso.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queste due, e non altre</w:t>
      </w:r>
    </w:p>
    <w:p>
      <w:pPr>
        <w:spacing w:after="120" w:line="276"/>
        <w:jc w:val="both"/>
      </w:pPr>
      <w:r>
        <w:rPr>
          <w:rFonts w:ascii="Barlow Semi Condensed" w:cs="Barlow Semi Condensed" w:eastAsia="Barlow Semi Condensed" w:hAnsi="Barlow Semi Condensed"/>
          <w:sz w:val="24"/>
          <w:szCs w:val="24"/>
        </w:rPr>
        <w:t xml:space="preserve">La certificazione del 27 agosto 2026 sui numeri di tessera e di fascicolo P2</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../_verifiche/certificazione-numeri-p2.md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si chiude con una risposta netta: </w:t>
      </w:r>
      <w:r>
        <w:rPr>
          <w:rFonts w:ascii="Barlow Semi Condensed" w:cs="Barlow Semi Condensed" w:eastAsia="Barlow Semi Condensed" w:hAnsi="Barlow Semi Condensed"/>
          <w:b/>
          <w:bCs/>
          <w:sz w:val="24"/>
          <w:szCs w:val="24"/>
        </w:rPr>
        <w:t xml:space="preserve">nessuno</w:t>
      </w:r>
      <w:r>
        <w:rPr>
          <w:rFonts w:ascii="Barlow Semi Condensed" w:cs="Barlow Semi Condensed" w:eastAsia="Barlow Semi Condensed" w:hAnsi="Barlow Semi Condensed"/>
          <w:sz w:val="24"/>
          <w:szCs w:val="24"/>
        </w:rPr>
        <w:t xml:space="preserve"> dei numeri contenuti nell'elenco</w:t>
      </w:r>
    </w:p>
    <w:p>
      <w:pPr>
        <w:spacing w:after="120" w:line="276"/>
        <w:jc w:val="both"/>
      </w:pPr>
      <w:r>
        <w:rPr>
          <w:rFonts w:ascii="Barlow Semi Condensed" w:cs="Barlow Semi Condensed" w:eastAsia="Barlow Semi Condensed" w:hAnsi="Barlow Semi Condensed"/>
          <w:sz w:val="24"/>
          <w:szCs w:val="24"/>
        </w:rPr>
        <w:t xml:space="preserve">verificato è certificabile allo stato degli atti. La ragione non è che i numeri</w:t>
      </w:r>
    </w:p>
    <w:p>
      <w:pPr>
        <w:spacing w:after="120" w:line="276"/>
        <w:jc w:val="both"/>
      </w:pPr>
      <w:r>
        <w:rPr>
          <w:rFonts w:ascii="Barlow Semi Condensed" w:cs="Barlow Semi Condensed" w:eastAsia="Barlow Semi Condensed" w:hAnsi="Barlow Semi Condensed"/>
          <w:sz w:val="24"/>
          <w:szCs w:val="24"/>
        </w:rPr>
        <w:t xml:space="preserve">siano falsi — è che nessuno li ha letti sulla fonte. Tutto ciò che l'opera ha</w:t>
      </w:r>
    </w:p>
    <w:p>
      <w:pPr>
        <w:spacing w:after="120" w:line="276"/>
        <w:jc w:val="both"/>
      </w:pPr>
      <w:r>
        <w:rPr>
          <w:rFonts w:ascii="Barlow Semi Condensed" w:cs="Barlow Semi Condensed" w:eastAsia="Barlow Semi Condensed" w:hAnsi="Barlow Semi Condensed"/>
          <w:sz w:val="24"/>
          <w:szCs w:val="24"/>
        </w:rPr>
        <w:t xml:space="preserve">sono trascrizioni di terza mano, e su di esse la calibrazione ha mostrato che il</w:t>
      </w:r>
    </w:p>
    <w:p>
      <w:pPr>
        <w:spacing w:after="120" w:line="276"/>
        <w:jc w:val="both"/>
      </w:pPr>
      <w:r>
        <w:rPr>
          <w:rFonts w:ascii="Barlow Semi Condensed" w:cs="Barlow Semi Condensed" w:eastAsia="Barlow Semi Condensed" w:hAnsi="Barlow Semi Condensed"/>
          <w:sz w:val="24"/>
          <w:szCs w:val="24"/>
        </w:rPr>
        <w:t xml:space="preserve">numero fra parentesi non è la tessera ma il </w:t>
      </w:r>
      <w:r>
        <w:rPr>
          <w:rFonts w:ascii="Barlow Semi Condensed" w:cs="Barlow Semi Condensed" w:eastAsia="Barlow Semi Condensed" w:hAnsi="Barlow Semi Condensed"/>
          <w:b/>
          <w:bCs/>
          <w:sz w:val="24"/>
          <w:szCs w:val="24"/>
        </w:rPr>
        <w:t xml:space="preserve">fascicolo</w:t>
      </w:r>
      <w:r>
        <w:rPr>
          <w:rFonts w:ascii="Barlow Semi Condensed" w:cs="Barlow Semi Condensed" w:eastAsia="Barlow Semi Condensed" w:hAnsi="Barlow Semi Condensed"/>
          <w:sz w:val="24"/>
          <w:szCs w:val="24"/>
        </w:rPr>
        <w:t xml:space="preserve">, e l'aritmetica ha</w:t>
      </w:r>
    </w:p>
    <w:p>
      <w:pPr>
        <w:spacing w:after="120" w:line="276"/>
        <w:jc w:val="both"/>
      </w:pPr>
      <w:r>
        <w:rPr>
          <w:rFonts w:ascii="Barlow Semi Condensed" w:cs="Barlow Semi Condensed" w:eastAsia="Barlow Semi Condensed" w:hAnsi="Barlow Semi Condensed"/>
          <w:sz w:val="24"/>
          <w:szCs w:val="24"/>
        </w:rPr>
        <w:t xml:space="preserve">mostrato che otto coppie su ventitré condividono uno scarto congelato di 1088</w:t>
      </w:r>
    </w:p>
    <w:p>
      <w:pPr>
        <w:spacing w:after="120" w:line="276"/>
        <w:jc w:val="both"/>
      </w:pPr>
      <w:r>
        <w:rPr>
          <w:rFonts w:ascii="Barlow Semi Condensed" w:cs="Barlow Semi Condensed" w:eastAsia="Barlow Semi Condensed" w:hAnsi="Barlow Semi Condensed"/>
          <w:sz w:val="24"/>
          <w:szCs w:val="24"/>
        </w:rPr>
        <w:t xml:space="preserve">mentre le due coppie attestate derivano.</w:t>
      </w:r>
    </w:p>
    <w:p>
      <w:pPr>
        <w:spacing w:after="120" w:line="276"/>
        <w:jc w:val="both"/>
      </w:pPr>
      <w:r>
        <w:rPr>
          <w:rFonts w:ascii="Barlow Semi Condensed" w:cs="Barlow Semi Condensed" w:eastAsia="Barlow Semi Condensed" w:hAnsi="Barlow Semi Condensed"/>
          <w:sz w:val="24"/>
          <w:szCs w:val="24"/>
        </w:rPr>
        <w:t xml:space="preserve">Il 27 agosto è arrivato l'inventario del volume che quei numeri li contiene:</w:t>
      </w:r>
    </w:p>
    <w:p>
      <w:pPr>
        <w:spacing w:after="120" w:line="276"/>
        <w:jc w:val="both"/>
      </w:pP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IX legislatura, Roma 1984 — «Allegati alla</w:t>
      </w:r>
    </w:p>
    <w:p>
      <w:pPr>
        <w:spacing w:after="120" w:line="276"/>
        <w:jc w:val="both"/>
      </w:pPr>
      <w:r>
        <w:rPr>
          <w:rFonts w:ascii="Barlow Semi Condensed" w:cs="Barlow Semi Condensed" w:eastAsia="Barlow Semi Condensed" w:hAnsi="Barlow Semi Condensed"/>
          <w:sz w:val="24"/>
          <w:szCs w:val="24"/>
        </w:rPr>
        <w:t xml:space="preserve">Relazione della Commissione parlamentare d'inchiesta sulla Loggia massonica P2,</w:t>
      </w:r>
    </w:p>
    <w:p>
      <w:pPr>
        <w:spacing w:after="120" w:line="276"/>
        <w:jc w:val="both"/>
      </w:pPr>
      <w:r>
        <w:rPr>
          <w:rFonts w:ascii="Barlow Semi Condensed" w:cs="Barlow Semi Condensed" w:eastAsia="Barlow Semi Condensed" w:hAnsi="Barlow Semi Condensed"/>
          <w:sz w:val="24"/>
          <w:szCs w:val="24"/>
        </w:rPr>
        <w:t xml:space="preserve">Serie II: Documentazione raccolta dalla Commissione, *Riscontri</w:t>
      </w:r>
    </w:p>
    <w:p>
      <w:pPr>
        <w:spacing w:after="120" w:line="276"/>
        <w:jc w:val="both"/>
      </w:pPr>
      <w:r>
        <w:rPr>
          <w:rFonts w:ascii="Barlow Semi Condensed" w:cs="Barlow Semi Condensed" w:eastAsia="Barlow Semi Condensed" w:hAnsi="Barlow Semi Condensed"/>
          <w:sz w:val="24"/>
          <w:szCs w:val="24"/>
        </w:rPr>
        <w:t xml:space="preserve">sull'attendibilità delle liste e sulle posizioni di affiliazione*», 638 pagine in</w:t>
      </w:r>
    </w:p>
    <w:p>
      <w:pPr>
        <w:spacing w:after="120" w:line="276"/>
        <w:jc w:val="both"/>
      </w:pPr>
      <w:r>
        <w:rPr>
          <w:rFonts w:ascii="Barlow Semi Condensed" w:cs="Barlow Semi Condensed" w:eastAsia="Barlow Semi Condensed" w:hAnsi="Barlow Semi Condensed"/>
          <w:sz w:val="24"/>
          <w:szCs w:val="24"/>
        </w:rPr>
        <w:t xml:space="preserve">venticinque allegati. Due allegati su venticinque portano numeri di tessera: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contiene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258-280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libro-matricola delle iniziazioni alla Loggia P2, 1952-1970</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474-507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schede personali massoniche sequestrate presso l'anagrafe del Grande Oriente d'Italia a Palazzo Giustiniani, ciascuna con dati anagrafici, loggia di appartenenza, loggia di iniziazione, </w:t>
            </w:r>
            <w:r>
              <w:rPr>
                <w:rFonts w:ascii="Barlow Semi Condensed" w:cs="Barlow Semi Condensed" w:eastAsia="Barlow Semi Condensed" w:hAnsi="Barlow Semi Condensed"/>
                <w:b/>
                <w:bCs/>
                <w:sz w:val="20"/>
                <w:szCs w:val="20"/>
              </w:rPr>
              <w:t xml:space="preserve">numero di tessera e data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L'allegato 21 è il riscontro più diretto che esista fra l'anagrafe ufficiale</w:t>
      </w:r>
    </w:p>
    <w:p>
      <w:pPr>
        <w:spacing w:after="120" w:line="276"/>
        <w:jc w:val="both"/>
      </w:pPr>
      <w:r>
        <w:rPr>
          <w:rFonts w:ascii="Barlow Semi Condensed" w:cs="Barlow Semi Condensed" w:eastAsia="Barlow Semi Condensed" w:hAnsi="Barlow Semi Condensed"/>
          <w:sz w:val="24"/>
          <w:szCs w:val="24"/>
        </w:rPr>
        <w:t xml:space="preserve">della massoneria e gli elenchi sequestrati a Castiglion Fibocchi: le schede sono</w:t>
      </w:r>
    </w:p>
    <w:p>
      <w:pPr>
        <w:spacing w:after="120" w:line="276"/>
        <w:jc w:val="both"/>
      </w:pPr>
      <w:r>
        <w:rPr>
          <w:rFonts w:ascii="Barlow Semi Condensed" w:cs="Barlow Semi Condensed" w:eastAsia="Barlow Semi Condensed" w:hAnsi="Barlow Semi Condensed"/>
          <w:sz w:val="24"/>
          <w:szCs w:val="24"/>
        </w:rPr>
        <w:t xml:space="preserve">intestate a persone destinatarie della raccomandata Battelli e comprese in quegli</w:t>
      </w:r>
    </w:p>
    <w:p>
      <w:pPr>
        <w:spacing w:after="120" w:line="276"/>
        <w:jc w:val="both"/>
      </w:pPr>
      <w:r>
        <w:rPr>
          <w:rFonts w:ascii="Barlow Semi Condensed" w:cs="Barlow Semi Condensed" w:eastAsia="Barlow Semi Condensed" w:hAnsi="Barlow Semi Condensed"/>
          <w:sz w:val="24"/>
          <w:szCs w:val="24"/>
        </w:rPr>
        <w:t xml:space="preserve">elenchi. Sono cinquantadue pagine in tutto, fra i due allegati.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spedire: il volume è probabilmente già in rete</w:t>
      </w:r>
    </w:p>
    <w:p>
      <w:pPr>
        <w:spacing w:after="120" w:line="276"/>
        <w:jc w:val="both"/>
      </w:pPr>
      <w:r>
        <w:rPr>
          <w:rFonts w:ascii="Barlow Semi Condensed" w:cs="Barlow Semi Condensed" w:eastAsia="Barlow Semi Condensed" w:hAnsi="Barlow Semi Condensed"/>
          <w:i/>
          <w:iCs/>
          <w:sz w:val="24"/>
          <w:szCs w:val="24"/>
        </w:rPr>
        <w:t xml:space="preserve">Accertamento del 27 agosto 2026.</w:t>
      </w:r>
      <w:r>
        <w:rPr>
          <w:rFonts w:ascii="Barlow Semi Condensed" w:cs="Barlow Semi Condensed" w:eastAsia="Barlow Semi Condensed" w:hAnsi="Barlow Semi Condensed"/>
          <w:sz w:val="24"/>
          <w:szCs w:val="24"/>
        </w:rPr>
        <w:t xml:space="preserve"> Questa richiesta è stata scritta prima di</w:t>
      </w:r>
    </w:p>
    <w:p>
      <w:pPr>
        <w:spacing w:after="120" w:line="276"/>
        <w:jc w:val="both"/>
      </w:pPr>
      <w:r>
        <w:rPr>
          <w:rFonts w:ascii="Barlow Semi Condensed" w:cs="Barlow Semi Condensed" w:eastAsia="Barlow Semi Condensed" w:hAnsi="Barlow Semi Condensed"/>
          <w:sz w:val="24"/>
          <w:szCs w:val="24"/>
        </w:rPr>
        <w:t xml:space="preserve">cercare, e la ricerca ha cambiato la prima mossa. **I volumi della Commissione P2</w:t>
      </w:r>
    </w:p>
    <w:p>
      <w:pPr>
        <w:spacing w:after="120" w:line="276"/>
        <w:jc w:val="both"/>
      </w:pPr>
      <w:r>
        <w:rPr>
          <w:rFonts w:ascii="Barlow Semi Condensed" w:cs="Barlow Semi Condensed" w:eastAsia="Barlow Semi Condensed" w:hAnsi="Barlow Semi Condensed"/>
          <w:sz w:val="24"/>
          <w:szCs w:val="24"/>
        </w:rPr>
        <w:t xml:space="preserve">risultano digitalizzati e pubblicati**, e ciò che si può aprire da un browser non</w:t>
      </w:r>
    </w:p>
    <w:p>
      <w:pPr>
        <w:spacing w:after="120" w:line="276"/>
        <w:jc w:val="both"/>
      </w:pPr>
      <w:r>
        <w:rPr>
          <w:rFonts w:ascii="Barlow Semi Condensed" w:cs="Barlow Semi Condensed" w:eastAsia="Barlow Semi Condensed" w:hAnsi="Barlow Semi Condensed"/>
          <w:sz w:val="24"/>
          <w:szCs w:val="24"/>
        </w:rPr>
        <w:t xml:space="preserve">si chiede per posta. Tre sedi, in ordine di probabilità: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sede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dovrebbe portare</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inchieste.camera.it/p2/documenti.html?leg=09</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portale delle commissioni d'inchiesta della Camera, alla IX legislatura: i documenti della Commissione P2 con le loro segnature</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archivioantimafia.org/p2/commissione_parlamentare/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 volumi e i tomi in PDF, scaricabili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memoria.san.beniculturali.it</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portale del Ministero della cultura, dove la digitalizzazione dell'Archivio Flamigni è consultabile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ricerca ha anche precisato la segnatura: i «Riscontri sull'attendibilità delle</w:t>
      </w:r>
    </w:p>
    <w:p>
      <w:pPr>
        <w:spacing w:after="120" w:line="276"/>
        <w:jc w:val="both"/>
      </w:pPr>
      <w:r>
        <w:rPr>
          <w:rFonts w:ascii="Barlow Semi Condensed" w:cs="Barlow Semi Condensed" w:eastAsia="Barlow Semi Condensed" w:hAnsi="Barlow Semi Condensed"/>
          <w:sz w:val="24"/>
          <w:szCs w:val="24"/>
        </w:rPr>
        <w:t xml:space="preserve">liste e sulle posizioni di affiliazione» non sono un volume unico ma una **serie</w:t>
      </w:r>
    </w:p>
    <w:p>
      <w:pPr>
        <w:spacing w:after="120" w:line="276"/>
        <w:jc w:val="both"/>
      </w:pPr>
      <w:r>
        <w:rPr>
          <w:rFonts w:ascii="Barlow Semi Condensed" w:cs="Barlow Semi Condensed" w:eastAsia="Barlow Semi Condensed" w:hAnsi="Barlow Semi Condensed"/>
          <w:sz w:val="24"/>
          <w:szCs w:val="24"/>
        </w:rPr>
        <w:t xml:space="preserve">di tomi</w:t>
      </w:r>
      <w:r>
        <w:rPr>
          <w:rFonts w:ascii="Barlow Semi Condensed" w:cs="Barlow Semi Condensed" w:eastAsia="Barlow Semi Condensed" w:hAnsi="Barlow Semi Condensed"/>
          <w:b/>
          <w:bCs/>
          <w:sz w:val="24"/>
          <w:szCs w:val="24"/>
        </w:rPr>
        <w:t xml:space="preserve">, da </w:t>
      </w:r>
      <w:r>
        <w:rPr>
          <w:rFonts w:ascii="Barlow Semi Condensed" w:cs="Barlow Semi Condensed" w:eastAsia="Barlow Semi Condensed" w:hAnsi="Barlow Semi Condensed"/>
          <w:sz w:val="24"/>
          <w:szCs w:val="24"/>
        </w:rPr>
        <w:t xml:space="preserve">Doc. XXIII n. 2-quater/2/I</w:t>
      </w:r>
      <w:r>
        <w:rPr>
          <w:rFonts w:ascii="Barlow Semi Condensed" w:cs="Barlow Semi Condensed" w:eastAsia="Barlow Semi Condensed" w:hAnsi="Barlow Semi Condensed"/>
          <w:b/>
          <w:bCs/>
          <w:sz w:val="24"/>
          <w:szCs w:val="24"/>
        </w:rPr>
        <w:t xml:space="preserve"> ad almeno </w:t>
      </w:r>
      <w:r>
        <w:rPr>
          <w:rFonts w:ascii="Barlow Semi Condensed" w:cs="Barlow Semi Condensed" w:eastAsia="Barlow Semi Condensed" w:hAnsi="Barlow Semi Condensed"/>
          <w:sz w:val="24"/>
          <w:szCs w:val="24"/>
        </w:rPr>
        <w:t xml:space="preserve">/2/V**. Il tomo</w:t>
      </w:r>
    </w:p>
    <w:p>
      <w:pPr>
        <w:spacing w:after="120" w:line="276"/>
        <w:jc w:val="both"/>
      </w:pPr>
      <w:r>
        <w:rPr>
          <w:rFonts w:ascii="Barlow Semi Condensed" w:cs="Barlow Semi Condensed" w:eastAsia="Barlow Semi Condensed" w:hAnsi="Barlow Semi Condensed"/>
          <w:sz w:val="24"/>
          <w:szCs w:val="24"/>
        </w:rPr>
        <w:t xml:space="preserve">inventariato dalla scheda in nostro possesso — 638 pagine, venticinque allegati —</w:t>
      </w:r>
    </w:p>
    <w:p>
      <w:pPr>
        <w:spacing w:after="120" w:line="276"/>
        <w:jc w:val="both"/>
      </w:pPr>
      <w:r>
        <w:rPr>
          <w:rFonts w:ascii="Barlow Semi Condensed" w:cs="Barlow Semi Condensed" w:eastAsia="Barlow Semi Condensed" w:hAnsi="Barlow Semi Condensed"/>
          <w:sz w:val="24"/>
          <w:szCs w:val="24"/>
        </w:rPr>
        <w:t xml:space="preserve">è il </w:t>
      </w:r>
      <w:r>
        <w:rPr>
          <w:rFonts w:ascii="Barlow Semi Condensed" w:cs="Barlow Semi Condensed" w:eastAsia="Barlow Semi Condensed" w:hAnsi="Barlow Semi Condensed"/>
          <w:b/>
          <w:bCs/>
          <w:sz w:val="24"/>
          <w:szCs w:val="24"/>
        </w:rPr>
        <w:t xml:space="preserve">primo dei cinque</w:t>
      </w:r>
      <w:r>
        <w:rPr>
          <w:rFonts w:ascii="Barlow Semi Condensed" w:cs="Barlow Semi Condensed" w:eastAsia="Barlow Semi Condensed" w:hAnsi="Barlow Semi Condensed"/>
          <w:sz w:val="24"/>
          <w:szCs w:val="24"/>
        </w:rPr>
        <w:t xml:space="preserve">. Gli allegati 13 e 21, che portano i numeri di tessera,</w:t>
      </w:r>
    </w:p>
    <w:p>
      <w:pPr>
        <w:spacing w:after="120" w:line="276"/>
        <w:jc w:val="both"/>
      </w:pPr>
      <w:r>
        <w:rPr>
          <w:rFonts w:ascii="Barlow Semi Condensed" w:cs="Barlow Semi Condensed" w:eastAsia="Barlow Semi Condensed" w:hAnsi="Barlow Semi Condensed"/>
          <w:sz w:val="24"/>
          <w:szCs w:val="24"/>
        </w:rPr>
        <w:t xml:space="preserve">stanno in quel primo tomo.</w:t>
      </w:r>
    </w:p>
    <w:p>
      <w:pPr>
        <w:spacing w:after="120" w:line="276"/>
        <w:jc w:val="both"/>
      </w:pPr>
      <w:r>
        <w:rPr>
          <w:rFonts w:ascii="Barlow Semi Condensed" w:cs="Barlow Semi Condensed" w:eastAsia="Barlow Semi Condensed" w:hAnsi="Barlow Semi Condensed"/>
          <w:b/>
          <w:bCs/>
          <w:sz w:val="24"/>
          <w:szCs w:val="24"/>
        </w:rPr>
        <w:t xml:space="preserve">Grado di questo accertamento: B.</w:t>
      </w:r>
      <w:r>
        <w:rPr>
          <w:rFonts w:ascii="Barlow Semi Condensed" w:cs="Barlow Semi Condensed" w:eastAsia="Barlow Semi Condensed" w:hAnsi="Barlow Semi Condensed"/>
          <w:sz w:val="24"/>
          <w:szCs w:val="24"/>
        </w:rPr>
        <w:t xml:space="preserve"> Le pagine istituzionali non sono state lette:</w:t>
      </w:r>
    </w:p>
    <w:p>
      <w:pPr>
        <w:spacing w:after="120" w:line="276"/>
        <w:jc w:val="both"/>
      </w:pPr>
      <w:r>
        <w:rPr>
          <w:rFonts w:ascii="Barlow Semi Condensed" w:cs="Barlow Semi Condensed" w:eastAsia="Barlow Semi Condensed" w:hAnsi="Barlow Semi Condensed"/>
          <w:sz w:val="24"/>
          <w:szCs w:val="24"/>
        </w:rPr>
        <w:t xml:space="preserve">sono state raggiunte per ricerca, e la ricerca riferisce ciò che vi si legge. La</w:t>
      </w:r>
    </w:p>
    <w:p>
      <w:pPr>
        <w:spacing w:after="120" w:line="276"/>
        <w:jc w:val="both"/>
      </w:pPr>
      <w:r>
        <w:rPr>
          <w:rFonts w:ascii="Barlow Semi Condensed" w:cs="Barlow Semi Condensed" w:eastAsia="Barlow Semi Condensed" w:hAnsi="Barlow Semi Condensed"/>
          <w:sz w:val="24"/>
          <w:szCs w:val="24"/>
        </w:rPr>
        <w:t xml:space="preserve">differenza conta, ed è la stessa che la certificazione applica a tutto il resto.</w:t>
      </w:r>
    </w:p>
    <w:p>
      <w:pPr>
        <w:pStyle w:val="Heading3"/>
        <w:spacing w:after="80" w:before="160"/>
      </w:pPr>
      <w:r>
        <w:rPr>
          <w:rFonts w:ascii="Barlow Semi Condensed" w:cs="Barlow Semi Condensed" w:eastAsia="Barlow Semi Condensed" w:hAnsi="Barlow Semi Condensed"/>
          <w:sz w:val="24"/>
          <w:szCs w:val="24"/>
        </w:rPr>
        <w:t xml:space="preserve">Stato Zero d'ambiente, del 27 agosto 2026</w:t>
      </w:r>
    </w:p>
    <w:p>
      <w:pPr>
        <w:spacing w:after="120" w:line="276"/>
        <w:jc w:val="both"/>
      </w:pPr>
      <w:r>
        <w:rPr>
          <w:rFonts w:ascii="Barlow Semi Condensed" w:cs="Barlow Semi Condensed" w:eastAsia="Barlow Semi Condensed" w:hAnsi="Barlow Semi Condensed"/>
          <w:sz w:val="24"/>
          <w:szCs w:val="24"/>
        </w:rPr>
        <w:t xml:space="preserve">Il tentativo di aprire quelle pagine da questa sessione **è fallito, e non per</w:t>
      </w:r>
    </w:p>
    <w:p>
      <w:pPr>
        <w:spacing w:after="120" w:line="276"/>
        <w:jc w:val="both"/>
      </w:pPr>
      <w:r>
        <w:rPr>
          <w:rFonts w:ascii="Barlow Semi Condensed" w:cs="Barlow Semi Condensed" w:eastAsia="Barlow Semi Condensed" w:hAnsi="Barlow Semi Condensed"/>
          <w:sz w:val="24"/>
          <w:szCs w:val="24"/>
        </w:rPr>
        <w:t xml:space="preserve">assenza della fonte**: il proxy di rete blocca l'uscita verso </w:t>
      </w:r>
      <w:r>
        <w:rPr>
          <w:rFonts w:ascii="Barlow Semi Condensed" w:cs="Barlow Semi Condensed" w:eastAsia="Barlow Semi Condensed" w:hAnsi="Barlow Semi Condensed"/>
          <w:i/>
          <w:iCs/>
          <w:sz w:val="24"/>
          <w:szCs w:val="24"/>
        </w:rPr>
        <w:t xml:space="preserve">camera.it</w:t>
      </w:r>
      <w:r>
        <w:rPr>
          <w:rFonts w:ascii="Barlow Semi Condensed" w:cs="Barlow Semi Condensed" w:eastAsia="Barlow Semi Condensed" w:hAnsi="Barlow Semi Condensed"/>
          <w:sz w:val="24"/>
          <w:szCs w:val="24"/>
        </w:rPr>
        <w:t xml:space="preserve"> e i suoi</w:t>
      </w:r>
    </w:p>
    <w:p>
      <w:pPr>
        <w:spacing w:after="120" w:line="276"/>
        <w:jc w:val="both"/>
      </w:pPr>
      <w:r>
        <w:rPr>
          <w:rFonts w:ascii="Barlow Semi Condensed" w:cs="Barlow Semi Condensed" w:eastAsia="Barlow Semi Condensed" w:hAnsi="Barlow Semi Condensed"/>
          <w:sz w:val="24"/>
          <w:szCs w:val="24"/>
        </w:rPr>
        <w:t xml:space="preserve">sottodomini, </w:t>
      </w:r>
      <w:r>
        <w:rPr>
          <w:rFonts w:ascii="Barlow Semi Condensed" w:cs="Barlow Semi Condensed" w:eastAsia="Barlow Semi Condensed" w:hAnsi="Barlow Semi Condensed"/>
          <w:i/>
          <w:iCs/>
          <w:sz w:val="24"/>
          <w:szCs w:val="24"/>
        </w:rPr>
        <w:t xml:space="preserve">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e gli altri mirror provati. Le sedi sono nominate, la data è</w:t>
      </w:r>
    </w:p>
    <w:p>
      <w:pPr>
        <w:spacing w:after="120" w:line="276"/>
        <w:jc w:val="both"/>
      </w:pPr>
      <w:r>
        <w:rPr>
          <w:rFonts w:ascii="Barlow Semi Condensed" w:cs="Barlow Semi Condensed" w:eastAsia="Barlow Semi Condensed" w:hAnsi="Barlow Semi Condensed"/>
          <w:sz w:val="24"/>
          <w:szCs w:val="24"/>
        </w:rPr>
        <w:t xml:space="preserve">questa, e la causa è dichiarata: **è un limite dell'ambiente, non un esito sulla</w:t>
      </w:r>
    </w:p>
    <w:p>
      <w:pPr>
        <w:spacing w:after="120" w:line="276"/>
        <w:jc w:val="both"/>
      </w:pPr>
      <w:r>
        <w:rPr>
          <w:rFonts w:ascii="Barlow Semi Condensed" w:cs="Barlow Semi Condensed" w:eastAsia="Barlow Semi Condensed" w:hAnsi="Barlow Semi Condensed"/>
          <w:sz w:val="24"/>
          <w:szCs w:val="24"/>
        </w:rPr>
        <w:t xml:space="preserve">fonte**. Da un browser ordinario quelle pagine si aprono.</w:t>
      </w:r>
    </w:p>
    <w:p>
      <w:pPr>
        <w:spacing w:after="120" w:line="276"/>
        <w:jc w:val="both"/>
      </w:pPr>
      <w:r>
        <w:rPr>
          <w:rFonts w:ascii="Barlow Semi Condensed" w:cs="Barlow Semi Condensed" w:eastAsia="Barlow Semi Condensed" w:hAnsi="Barlow Semi Condensed"/>
          <w:b/>
          <w:bCs/>
          <w:sz w:val="24"/>
          <w:szCs w:val="24"/>
        </w:rPr>
        <w:t xml:space="preserve">Un indirizzo più corto di tutti gli altri.</w:t>
      </w:r>
      <w:r>
        <w:rPr>
          <w:rFonts w:ascii="Barlow Semi Condensed" w:cs="Barlow Semi Condensed" w:eastAsia="Barlow Semi Condensed" w:hAnsi="Barlow Semi Condensed"/>
          <w:sz w:val="24"/>
          <w:szCs w:val="24"/>
        </w:rPr>
        <w:t xml:space="preserve"> L'indice completo degli atti della</w:t>
      </w:r>
    </w:p>
    <w:p>
      <w:pPr>
        <w:spacing w:after="120" w:line="276"/>
        <w:jc w:val="both"/>
      </w:pPr>
      <w:r>
        <w:rPr>
          <w:rFonts w:ascii="Barlow Semi Condensed" w:cs="Barlow Semi Condensed" w:eastAsia="Barlow Semi Condensed" w:hAnsi="Barlow Semi Condensed"/>
          <w:sz w:val="24"/>
          <w:szCs w:val="24"/>
        </w:rPr>
        <w:t xml:space="preserve">Commissione risulta pubblicato in PDF dal **Centro documentazione Archivio</w:t>
      </w:r>
    </w:p>
    <w:p>
      <w:pPr>
        <w:spacing w:after="120" w:line="276"/>
        <w:jc w:val="both"/>
      </w:pPr>
      <w:r>
        <w:rPr>
          <w:rFonts w:ascii="Barlow Semi Condensed" w:cs="Barlow Semi Condensed" w:eastAsia="Barlow Semi Condensed" w:hAnsi="Barlow Semi Condensed"/>
          <w:sz w:val="24"/>
          <w:szCs w:val="24"/>
        </w:rPr>
        <w:t xml:space="preserve">Flamigni** — </w:t>
      </w:r>
      <w:r>
        <w:rPr>
          <w:rFonts w:ascii="Barlow Semi Condensed" w:cs="Barlow Semi Condensed" w:eastAsia="Barlow Semi Condensed" w:hAnsi="Barlow Semi Condensed"/>
          <w:i/>
          <w:iCs/>
          <w:sz w:val="24"/>
          <w:szCs w:val="24"/>
        </w:rPr>
        <w:t xml:space="preserve">archivioflamigni.org/doc/indice-atti-commissione-p2.pdf</w:t>
      </w:r>
      <w:r>
        <w:rPr>
          <w:rFonts w:ascii="Barlow Semi Condensed" w:cs="Barlow Semi Condensed" w:eastAsia="Barlow Semi Condensed" w:hAnsi="Barlow Semi Condensed"/>
          <w:sz w:val="24"/>
          <w:szCs w:val="24"/>
        </w:rPr>
        <w:t xml:space="preserve"> — e i</w:t>
      </w:r>
    </w:p>
    <w:p>
      <w:pPr>
        <w:spacing w:after="120" w:line="276"/>
        <w:jc w:val="both"/>
      </w:pPr>
      <w:r>
        <w:rPr>
          <w:rFonts w:ascii="Barlow Semi Condensed" w:cs="Barlow Semi Condensed" w:eastAsia="Barlow Semi Condensed" w:hAnsi="Barlow Semi Condensed"/>
          <w:sz w:val="24"/>
          <w:szCs w:val="24"/>
        </w:rPr>
        <w:t xml:space="preserve">volumi risultano digitalizzati dallo stesso Centro. È il </w:t>
      </w:r>
      <w:r>
        <w:rPr>
          <w:rFonts w:ascii="Barlow Semi Condensed" w:cs="Barlow Semi Condensed" w:eastAsia="Barlow Semi Condensed" w:hAnsi="Barlow Semi Condensed"/>
          <w:b/>
          <w:bCs/>
          <w:sz w:val="24"/>
          <w:szCs w:val="24"/>
        </w:rPr>
        <w:t xml:space="preserve">destinatario zero</w:t>
      </w:r>
      <w:r>
        <w:rPr>
          <w:rFonts w:ascii="Barlow Semi Condensed" w:cs="Barlow Semi Condensed" w:eastAsia="Barlow Semi Condensed" w:hAnsi="Barlow Semi Condensed"/>
          <w:sz w:val="24"/>
          <w:szCs w:val="24"/>
        </w:rPr>
        <w:t xml:space="preserve"> di</w:t>
      </w:r>
    </w:p>
    <w:p>
      <w:pPr>
        <w:spacing w:after="120" w:line="276"/>
        <w:jc w:val="both"/>
      </w:pPr>
      <w:r>
        <w:rPr>
          <w:rFonts w:ascii="Barlow Semi Condensed" w:cs="Barlow Semi Condensed" w:eastAsia="Barlow Semi Condensed" w:hAnsi="Barlow Semi Condensed"/>
          <w:sz w:val="24"/>
          <w:szCs w:val="24"/>
        </w:rPr>
        <w:t xml:space="preserve">questo dossier: alla stessa porta a cui va spedita l'opera si può chiedere la</w:t>
      </w:r>
    </w:p>
    <w:p>
      <w:pPr>
        <w:spacing w:after="120" w:line="276"/>
        <w:jc w:val="both"/>
      </w:pPr>
      <w:r>
        <w:rPr>
          <w:rFonts w:ascii="Barlow Semi Condensed" w:cs="Barlow Semi Condensed" w:eastAsia="Barlow Semi Condensed" w:hAnsi="Barlow Semi Condensed"/>
          <w:sz w:val="24"/>
          <w:szCs w:val="24"/>
        </w:rPr>
        <w:t xml:space="preserve">fonte. Conviene unire le due cose in una lettera sola.</w:t>
      </w:r>
    </w:p>
    <w:p>
      <w:pPr>
        <w:spacing w:after="120" w:line="276"/>
        <w:jc w:val="both"/>
      </w:pPr>
      <w:r>
        <w:rPr>
          <w:rFonts w:ascii="Barlow Semi Condensed" w:cs="Barlow Semi Condensed" w:eastAsia="Barlow Semi Condensed" w:hAnsi="Barlow Semi Condensed"/>
          <w:i/>
          <w:iCs/>
          <w:sz w:val="24"/>
          <w:szCs w:val="24"/>
        </w:rPr>
        <w:t xml:space="preserve">Che cosa fare per primo, dunque:</w:t>
      </w:r>
      <w:r>
        <w:rPr>
          <w:rFonts w:ascii="Barlow Semi Condensed" w:cs="Barlow Semi Condensed" w:eastAsia="Barlow Semi Condensed" w:hAnsi="Barlow Semi Condensed"/>
          <w:sz w:val="24"/>
          <w:szCs w:val="24"/>
        </w:rPr>
        <w:t xml:space="preserve"> aprire </w:t>
      </w:r>
      <w:r>
        <w:rPr>
          <w:rFonts w:ascii="Barlow Semi Condensed" w:cs="Barlow Semi Condensed" w:eastAsia="Barlow Semi Condensed" w:hAnsi="Barlow Semi Condensed"/>
          <w:i/>
          <w:iCs/>
          <w:sz w:val="24"/>
          <w:szCs w:val="24"/>
        </w:rPr>
        <w:t xml:space="preserve">inchieste.camera.it/p2/documenti.html?leg=09</w:t>
      </w:r>
    </w:p>
    <w:p>
      <w:pPr>
        <w:spacing w:after="120" w:line="276"/>
        <w:jc w:val="both"/>
      </w:pPr>
      <w:r>
        <w:rPr>
          <w:rFonts w:ascii="Barlow Semi Condensed" w:cs="Barlow Semi Condensed" w:eastAsia="Barlow Semi Condensed" w:hAnsi="Barlow Semi Condensed"/>
          <w:sz w:val="24"/>
          <w:szCs w:val="24"/>
        </w:rPr>
        <w:t xml:space="preserve">e cercare il tomo </w:t>
      </w:r>
      <w:r>
        <w:rPr>
          <w:rFonts w:ascii="Barlow Semi Condensed" w:cs="Barlow Semi Condensed" w:eastAsia="Barlow Semi Condensed" w:hAnsi="Barlow Semi Condensed"/>
          <w:i/>
          <w:iCs/>
          <w:sz w:val="24"/>
          <w:szCs w:val="24"/>
        </w:rPr>
        <w:t xml:space="preserve">2-quater/2/I</w:t>
      </w:r>
      <w:r>
        <w:rPr>
          <w:rFonts w:ascii="Barlow Semi Condensed" w:cs="Barlow Semi Condensed" w:eastAsia="Barlow Semi Condensed" w:hAnsi="Barlow Semi Condensed"/>
          <w:sz w:val="24"/>
          <w:szCs w:val="24"/>
        </w:rPr>
        <w:t xml:space="preserve">. Se il PDF c'è, gli allegati 13 e 21 si leggono</w:t>
      </w:r>
    </w:p>
    <w:p>
      <w:pPr>
        <w:spacing w:after="120" w:line="276"/>
        <w:jc w:val="both"/>
      </w:pPr>
      <w:r>
        <w:rPr>
          <w:rFonts w:ascii="Barlow Semi Condensed" w:cs="Barlow Semi Condensed" w:eastAsia="Barlow Semi Condensed" w:hAnsi="Barlow Semi Condensed"/>
          <w:sz w:val="24"/>
          <w:szCs w:val="24"/>
        </w:rPr>
        <w:t xml:space="preserve">oggi, gratis, senza chiedere niente a nessuno, e questa lettera non serve. Se non</w:t>
      </w:r>
    </w:p>
    <w:p>
      <w:pPr>
        <w:spacing w:after="120" w:line="276"/>
        <w:jc w:val="both"/>
      </w:pPr>
      <w:r>
        <w:rPr>
          <w:rFonts w:ascii="Barlow Semi Condensed" w:cs="Barlow Semi Condensed" w:eastAsia="Barlow Semi Condensed" w:hAnsi="Barlow Semi Condensed"/>
          <w:sz w:val="24"/>
          <w:szCs w:val="24"/>
        </w:rPr>
        <w:t xml:space="preserve">c'è, o se è illeggibile, la lettera resta pronta qui sotto.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canale, se la richiesta serve davvero</w:t>
      </w:r>
    </w:p>
    <w:p>
      <w:pPr>
        <w:spacing w:after="120" w:line="276"/>
        <w:jc w:val="both"/>
      </w:pPr>
      <w:r>
        <w:rPr>
          <w:rFonts w:ascii="Barlow Semi Condensed" w:cs="Barlow Semi Condensed" w:eastAsia="Barlow Semi Condensed" w:hAnsi="Barlow Semi Condensed"/>
          <w:b/>
          <w:bCs/>
          <w:sz w:val="24"/>
          <w:szCs w:val="24"/>
        </w:rPr>
        <w:t xml:space="preserve">Sede:</w:t>
      </w:r>
      <w:r>
        <w:rPr>
          <w:rFonts w:ascii="Barlow Semi Condensed" w:cs="Barlow Semi Condensed" w:eastAsia="Barlow Semi Condensed" w:hAnsi="Barlow Semi Condensed"/>
          <w:sz w:val="24"/>
          <w:szCs w:val="24"/>
        </w:rPr>
        <w:t xml:space="preserve"> Archivio storico della Camera dei deputati, **piazza San Macuto 57,</w:t>
      </w:r>
    </w:p>
    <w:p>
      <w:pPr>
        <w:spacing w:after="120" w:line="276"/>
        <w:jc w:val="both"/>
      </w:pPr>
      <w:r>
        <w:rPr>
          <w:rFonts w:ascii="Barlow Semi Condensed" w:cs="Barlow Semi Condensed" w:eastAsia="Barlow Semi Condensed" w:hAnsi="Barlow Semi Condensed"/>
          <w:sz w:val="24"/>
          <w:szCs w:val="24"/>
        </w:rPr>
        <w:t xml:space="preserve">00186 Roma** — primo piano di Palazzo del Seminario. Aperto dal lunedì al venerdì,</w:t>
      </w:r>
    </w:p>
    <w:p>
      <w:pPr>
        <w:spacing w:after="120" w:line="276"/>
        <w:jc w:val="both"/>
      </w:pPr>
      <w:r>
        <w:rPr>
          <w:rFonts w:ascii="Barlow Semi Condensed" w:cs="Barlow Semi Condensed" w:eastAsia="Barlow Semi Condensed" w:hAnsi="Barlow Semi Condensed"/>
          <w:b/>
          <w:bCs/>
          <w:sz w:val="24"/>
          <w:szCs w:val="24"/>
        </w:rPr>
        <w:t xml:space="preserve">9.30-16.30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Segreteria: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ars_segreteria@camera.it</w:t>
      </w:r>
      <w:r>
        <w:rPr>
          <w:rFonts w:ascii="Barlow Semi Condensed" w:cs="Barlow Semi Condensed" w:eastAsia="Barlow Semi Condensed" w:hAnsi="Barlow Semi Condensed"/>
          <w:sz w:val="24"/>
          <w:szCs w:val="24"/>
        </w:rPr>
        <w:t xml:space="preserve"> · telefono </w:t>
      </w:r>
      <w:r>
        <w:rPr>
          <w:rFonts w:ascii="Barlow Semi Condensed" w:cs="Barlow Semi Condensed" w:eastAsia="Barlow Semi Condensed" w:hAnsi="Barlow Semi Condensed"/>
          <w:b/>
          <w:bCs/>
          <w:sz w:val="24"/>
          <w:szCs w:val="24"/>
        </w:rPr>
        <w:t xml:space="preserve">06 6760 3880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Grado di questi recapiti: B.</w:t>
      </w:r>
      <w:r>
        <w:rPr>
          <w:rFonts w:ascii="Barlow Semi Condensed" w:cs="Barlow Semi Condensed" w:eastAsia="Barlow Semi Condensed" w:hAnsi="Barlow Semi Condensed"/>
          <w:sz w:val="24"/>
          <w:szCs w:val="24"/>
        </w:rPr>
        <w:t xml:space="preserve"> Convergono due ricerche indipendenti che</w:t>
      </w:r>
    </w:p>
    <w:p>
      <w:pPr>
        <w:spacing w:after="120" w:line="276"/>
        <w:jc w:val="both"/>
      </w:pPr>
      <w:r>
        <w:rPr>
          <w:rFonts w:ascii="Barlow Semi Condensed" w:cs="Barlow Semi Condensed" w:eastAsia="Barlow Semi Condensed" w:hAnsi="Barlow Semi Condensed"/>
          <w:sz w:val="24"/>
          <w:szCs w:val="24"/>
        </w:rPr>
        <w:t xml:space="preserve">riferiscono le pagine istituzionali della Camera; quelle pagine non sono state</w:t>
      </w:r>
    </w:p>
    <w:p>
      <w:pPr>
        <w:spacing w:after="120" w:line="276"/>
        <w:jc w:val="both"/>
      </w:pPr>
      <w:r>
        <w:rPr>
          <w:rFonts w:ascii="Barlow Semi Condensed" w:cs="Barlow Semi Condensed" w:eastAsia="Barlow Semi Condensed" w:hAnsi="Barlow Semi Condensed"/>
          <w:sz w:val="24"/>
          <w:szCs w:val="24"/>
        </w:rPr>
        <w:t xml:space="preserve">lette direttamente, per il blocco detto sopra. **Vanno confermati sul sito prima</w:t>
      </w:r>
    </w:p>
    <w:p>
      <w:pPr>
        <w:spacing w:after="120" w:line="276"/>
        <w:jc w:val="both"/>
      </w:pPr>
      <w:r>
        <w:rPr>
          <w:rFonts w:ascii="Barlow Semi Condensed" w:cs="Barlow Semi Condensed" w:eastAsia="Barlow Semi Condensed" w:hAnsi="Barlow Semi Condensed"/>
          <w:sz w:val="24"/>
          <w:szCs w:val="24"/>
        </w:rPr>
        <w:t xml:space="preserve">di spedire.** Il registro dei canali li porta con questo grado e non con un altro.</w:t>
      </w:r>
    </w:p>
    <w:p>
      <w:pPr>
        <w:spacing w:after="120" w:line="276"/>
        <w:jc w:val="both"/>
      </w:pPr>
      <w:r>
        <w:rPr>
          <w:rFonts w:ascii="Barlow Semi Condensed" w:cs="Barlow Semi Condensed" w:eastAsia="Barlow Semi Condensed" w:hAnsi="Barlow Semi Condensed"/>
          <w:b/>
          <w:bCs/>
          <w:sz w:val="24"/>
          <w:szCs w:val="24"/>
        </w:rPr>
        <w:t xml:space="preserve">La procedura è diversa da quella che questa lettera presupponeva.</w:t>
      </w:r>
      <w:r>
        <w:rPr>
          <w:rFonts w:ascii="Barlow Semi Condensed" w:cs="Barlow Semi Condensed" w:eastAsia="Barlow Semi Condensed" w:hAnsi="Barlow Semi Condensed"/>
          <w:sz w:val="24"/>
          <w:szCs w:val="24"/>
        </w:rPr>
        <w:t xml:space="preserve"> L'accesso</w:t>
      </w:r>
    </w:p>
    <w:p>
      <w:pPr>
        <w:spacing w:after="120" w:line="276"/>
        <w:jc w:val="both"/>
      </w:pPr>
      <w:r>
        <w:rPr>
          <w:rFonts w:ascii="Barlow Semi Condensed" w:cs="Barlow Semi Condensed" w:eastAsia="Barlow Semi Condensed" w:hAnsi="Barlow Semi Condensed"/>
          <w:sz w:val="24"/>
          <w:szCs w:val="24"/>
        </w:rPr>
        <w:t xml:space="preserve">alla sala studio si chiede **per posta elettronica alla segreteria, indicando</w:t>
      </w:r>
    </w:p>
    <w:p>
      <w:pPr>
        <w:spacing w:after="120" w:line="276"/>
        <w:jc w:val="both"/>
      </w:pPr>
      <w:r>
        <w:rPr>
          <w:rFonts w:ascii="Barlow Semi Condensed" w:cs="Barlow Semi Condensed" w:eastAsia="Barlow Semi Condensed" w:hAnsi="Barlow Semi Condensed"/>
          <w:sz w:val="24"/>
          <w:szCs w:val="24"/>
        </w:rPr>
        <w:t xml:space="preserve">l'argomento della ricerca e i documenti da consultare** — non con un'istanza</w:t>
      </w:r>
    </w:p>
    <w:p>
      <w:pPr>
        <w:spacing w:after="120" w:line="276"/>
        <w:jc w:val="both"/>
      </w:pPr>
      <w:r>
        <w:rPr>
          <w:rFonts w:ascii="Barlow Semi Condensed" w:cs="Barlow Semi Condensed" w:eastAsia="Barlow Semi Condensed" w:hAnsi="Barlow Semi Condensed"/>
          <w:sz w:val="24"/>
          <w:szCs w:val="24"/>
        </w:rPr>
        <w:t xml:space="preserve">formale. La lettera qui sotto va quindi usata come </w:t>
      </w:r>
      <w:r>
        <w:rPr>
          <w:rFonts w:ascii="Barlow Semi Condensed" w:cs="Barlow Semi Condensed" w:eastAsia="Barlow Semi Condensed" w:hAnsi="Barlow Semi Condensed"/>
          <w:b/>
          <w:bCs/>
          <w:sz w:val="24"/>
          <w:szCs w:val="24"/>
        </w:rPr>
        <w:t xml:space="preserve">corpo di quella email</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come atto a sé: il tono resta giusto, la busta cambia.</w:t>
      </w:r>
    </w:p>
    <w:p>
      <w:pPr>
        <w:spacing w:after="120" w:line="276"/>
        <w:jc w:val="both"/>
      </w:pPr>
      <w:r>
        <w:rPr>
          <w:rFonts w:ascii="Barlow Semi Condensed" w:cs="Barlow Semi Condensed" w:eastAsia="Barlow Semi Condensed" w:hAnsi="Barlow Semi Condensed"/>
          <w:b/>
          <w:bCs/>
          <w:sz w:val="24"/>
          <w:szCs w:val="24"/>
        </w:rPr>
        <w:t xml:space="preserve">Un'avvertenza sulla competenza.</w:t>
      </w:r>
      <w:r>
        <w:rPr>
          <w:rFonts w:ascii="Barlow Semi Condensed" w:cs="Barlow Semi Condensed" w:eastAsia="Barlow Semi Condensed" w:hAnsi="Barlow Semi Condensed"/>
          <w:sz w:val="24"/>
          <w:szCs w:val="24"/>
        </w:rPr>
        <w:t xml:space="preserve"> Doc. XXIII n. 2-quater è un **atto</w:t>
      </w:r>
    </w:p>
    <w:p>
      <w:pPr>
        <w:spacing w:after="120" w:line="276"/>
        <w:jc w:val="both"/>
      </w:pPr>
      <w:r>
        <w:rPr>
          <w:rFonts w:ascii="Barlow Semi Condensed" w:cs="Barlow Semi Condensed" w:eastAsia="Barlow Semi Condensed" w:hAnsi="Barlow Semi Condensed"/>
          <w:sz w:val="24"/>
          <w:szCs w:val="24"/>
        </w:rPr>
        <w:t xml:space="preserve">parlamentare a stampa**, non un documento d'archivio: la sede propria potrebbe</w:t>
      </w:r>
    </w:p>
    <w:p>
      <w:pPr>
        <w:spacing w:after="120" w:line="276"/>
        <w:jc w:val="both"/>
      </w:pPr>
      <w:r>
        <w:rPr>
          <w:rFonts w:ascii="Barlow Semi Condensed" w:cs="Barlow Semi Condensed" w:eastAsia="Barlow Semi Condensed" w:hAnsi="Barlow Semi Condensed"/>
          <w:sz w:val="24"/>
          <w:szCs w:val="24"/>
        </w:rPr>
        <w:t xml:space="preserve">essere la </w:t>
      </w:r>
      <w:r>
        <w:rPr>
          <w:rFonts w:ascii="Barlow Semi Condensed" w:cs="Barlow Semi Condensed" w:eastAsia="Barlow Semi Condensed" w:hAnsi="Barlow Semi Condensed"/>
          <w:b/>
          <w:bCs/>
          <w:sz w:val="24"/>
          <w:szCs w:val="24"/>
        </w:rPr>
        <w:t xml:space="preserve">Biblioteca della Camera</w:t>
      </w:r>
      <w:r>
        <w:rPr>
          <w:rFonts w:ascii="Barlow Semi Condensed" w:cs="Barlow Semi Condensed" w:eastAsia="Barlow Semi Condensed" w:hAnsi="Barlow Semi Condensed"/>
          <w:sz w:val="24"/>
          <w:szCs w:val="24"/>
        </w:rPr>
        <w:t xml:space="preserve"> anziché l'Archivio storico. Non è un</w:t>
      </w:r>
    </w:p>
    <w:p>
      <w:pPr>
        <w:spacing w:after="120" w:line="276"/>
        <w:jc w:val="both"/>
      </w:pPr>
      <w:r>
        <w:rPr>
          <w:rFonts w:ascii="Barlow Semi Condensed" w:cs="Barlow Semi Condensed" w:eastAsia="Barlow Semi Condensed" w:hAnsi="Barlow Semi Condensed"/>
          <w:sz w:val="24"/>
          <w:szCs w:val="24"/>
        </w:rPr>
        <w:t xml:space="preserve">ostacolo — si scrive alla segreteria e sarà lei a indirizzare — ma conviene dirlo</w:t>
      </w:r>
    </w:p>
    <w:p>
      <w:pPr>
        <w:spacing w:after="120" w:line="276"/>
        <w:jc w:val="both"/>
      </w:pPr>
      <w:r>
        <w:rPr>
          <w:rFonts w:ascii="Barlow Semi Condensed" w:cs="Barlow Semi Condensed" w:eastAsia="Barlow Semi Condensed" w:hAnsi="Barlow Semi Condensed"/>
          <w:sz w:val="24"/>
          <w:szCs w:val="24"/>
        </w:rPr>
        <w:t xml:space="preserve">nella prima riga, così che nessuno perda tempo.</w:t>
      </w:r>
    </w:p>
    <w:p>
      <w:pPr>
        <w:spacing w:after="120" w:line="276"/>
        <w:jc w:val="both"/>
      </w:pPr>
      <w:r>
        <w:rPr>
          <w:rFonts w:ascii="Barlow Semi Condensed" w:cs="Barlow Semi Condensed" w:eastAsia="Barlow Semi Condensed" w:hAnsi="Barlow Semi Condensed"/>
          <w:b/>
          <w:bCs/>
          <w:sz w:val="24"/>
          <w:szCs w:val="24"/>
        </w:rPr>
        <w:t xml:space="preserve">In subordine:</w:t>
      </w:r>
      <w:r>
        <w:rPr>
          <w:rFonts w:ascii="Barlow Semi Condensed" w:cs="Barlow Semi Condensed" w:eastAsia="Barlow Semi Condensed" w:hAnsi="Barlow Semi Condensed"/>
          <w:sz w:val="24"/>
          <w:szCs w:val="24"/>
        </w:rPr>
        <w:t xml:space="preserve"> Biblioteca della Camera; Archivio storico del Senato, che</w:t>
      </w:r>
    </w:p>
    <w:p>
      <w:pPr>
        <w:spacing w:after="120" w:line="276"/>
        <w:jc w:val="both"/>
      </w:pPr>
      <w:r>
        <w:rPr>
          <w:rFonts w:ascii="Barlow Semi Condensed" w:cs="Barlow Semi Condensed" w:eastAsia="Barlow Semi Condensed" w:hAnsi="Barlow Semi Condensed"/>
          <w:sz w:val="24"/>
          <w:szCs w:val="24"/>
        </w:rPr>
        <w:t xml:space="preserve">conserva già il Fondo Moro (IT-AFS-048); Biblioteca del Senato «Giovanni</w:t>
      </w:r>
    </w:p>
    <w:p>
      <w:pPr>
        <w:spacing w:after="120" w:line="276"/>
        <w:jc w:val="both"/>
      </w:pPr>
      <w:r>
        <w:rPr>
          <w:rFonts w:ascii="Barlow Semi Condensed" w:cs="Barlow Semi Condensed" w:eastAsia="Barlow Semi Condensed" w:hAnsi="Barlow Semi Condensed"/>
          <w:sz w:val="24"/>
          <w:szCs w:val="24"/>
        </w:rPr>
        <w:t xml:space="preserve">Spadolini». È un atto bicamerale, e più d'una di queste sedi lo possiede.</w:t>
      </w:r>
    </w:p>
    <w:p>
      <w:pPr>
        <w:pStyle w:val="Heading2"/>
        <w:spacing w:after="100" w:before="200"/>
      </w:pPr>
      <w:r>
        <w:rPr>
          <w:rFonts w:ascii="Barlow Semi Condensed" w:cs="Barlow Semi Condensed" w:eastAsia="Barlow Semi Condensed" w:hAnsi="Barlow Semi Condensed"/>
          <w:sz w:val="24"/>
          <w:szCs w:val="24"/>
        </w:rPr>
        <w:t xml:space="preserve">Il testo della richiesta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Oggetto: richiesta di riproduzione di due allegati del Doc. XXIII n. 2-quater/2/I, IX legislatura</w:t>
      </w:r>
      <w:r>
        <w:rPr>
          <w:rFonts w:ascii="Barlow Semi Condensed" w:cs="Barlow Semi Condensed" w:eastAsia="Barlow Semi Condensed" w:hAnsi="Barlow Semi Condensed"/>
          <w:i w:val="false"/>
          <w:iCs w:val="false"/>
          <w:sz w:val="24"/>
          <w:szCs w:val="24"/>
        </w:rPr>
        <w:t xml:space="preserve">  Spett.le Archivio storico della Camera dei deputati,  il sottoscritto Luigi De Michele, autore di una ricerca storico-documentale sul caso Moro e sul suo contesto, chiede di poter consultare, e ove possibile ottenere in riproduzione, due allegati del seguente atto parlamentare a stampa. Ove la competenza spetti alla Biblioteca della Camera anziché a codesto Archivio, sarò grato di esserne indirizzato.  </w:t>
      </w:r>
      <w:r>
        <w:rPr>
          <w:rFonts w:ascii="Barlow Semi Condensed" w:cs="Barlow Semi Condensed" w:eastAsia="Barlow Semi Condensed" w:hAnsi="Barlow Semi Condensed"/>
          <w:b/>
          <w:bCs/>
          <w:i w:val="false"/>
          <w:iCs w:val="false"/>
          <w:sz w:val="24"/>
          <w:szCs w:val="24"/>
        </w:rPr>
        <w:t xml:space="preserve">Doc. XXIII, n. 2-quater/2/I — IX legislatura — Roma, 1984.</w:t>
      </w:r>
      <w:r>
        <w:rPr>
          <w:rFonts w:ascii="Barlow Semi Condensed" w:cs="Barlow Semi Condensed" w:eastAsia="Barlow Semi Condensed" w:hAnsi="Barlow Semi Condensed"/>
          <w:i w:val="false"/>
          <w:iCs w:val="false"/>
          <w:sz w:val="24"/>
          <w:szCs w:val="24"/>
        </w:rPr>
        <w:t xml:space="preserve"> «Allegati alla Relazione della Commissione parlamentare d'inchiesta sulla Loggia massonica P2, Serie II: Documentazione raccolta dalla Commissione — Riscontri sull'attendibilità delle liste e sulle posizioni di affiliazione».  Gli allegati richiesti sono:  — </w:t>
      </w:r>
      <w:r>
        <w:rPr>
          <w:rFonts w:ascii="Barlow Semi Condensed" w:cs="Barlow Semi Condensed" w:eastAsia="Barlow Semi Condensed" w:hAnsi="Barlow Semi Condensed"/>
          <w:b/>
          <w:bCs/>
          <w:i w:val="false"/>
          <w:iCs w:val="false"/>
          <w:sz w:val="24"/>
          <w:szCs w:val="24"/>
        </w:rPr>
        <w:t xml:space="preserve">Allegato 13</w:t>
      </w:r>
      <w:r>
        <w:rPr>
          <w:rFonts w:ascii="Barlow Semi Condensed" w:cs="Barlow Semi Condensed" w:eastAsia="Barlow Semi Condensed" w:hAnsi="Barlow Semi Condensed"/>
          <w:i w:val="false"/>
          <w:iCs w:val="false"/>
          <w:sz w:val="24"/>
          <w:szCs w:val="24"/>
        </w:rPr>
        <w:t xml:space="preserve">, pagine I, 258-280: </w:t>
      </w:r>
      <w:r>
        <w:rPr>
          <w:rFonts w:ascii="Barlow Semi Condensed" w:cs="Barlow Semi Condensed" w:eastAsia="Barlow Semi Condensed" w:hAnsi="Barlow Semi Condensed"/>
          <w:i w:val="false"/>
          <w:iCs w:val="false"/>
          <w:sz w:val="24"/>
          <w:szCs w:val="24"/>
        </w:rPr>
        <w:t xml:space="preserve">Libro-matricola delle iniziazioni alla Loggia P2 (1952-1970)</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Allegato 21</w:t>
      </w:r>
      <w:r>
        <w:rPr>
          <w:rFonts w:ascii="Barlow Semi Condensed" w:cs="Barlow Semi Condensed" w:eastAsia="Barlow Semi Condensed" w:hAnsi="Barlow Semi Condensed"/>
          <w:i w:val="false"/>
          <w:iCs w:val="false"/>
          <w:sz w:val="24"/>
          <w:szCs w:val="24"/>
        </w:rPr>
        <w:t xml:space="preserve">, pagine I, 474-507: </w:t>
      </w:r>
      <w:r>
        <w:rPr>
          <w:rFonts w:ascii="Barlow Semi Condensed" w:cs="Barlow Semi Condensed" w:eastAsia="Barlow Semi Condensed" w:hAnsi="Barlow Semi Condensed"/>
          <w:i w:val="false"/>
          <w:iCs w:val="false"/>
          <w:sz w:val="24"/>
          <w:szCs w:val="24"/>
        </w:rPr>
        <w:t xml:space="preserve">Schede personali massoniche sequestrate presso Palazzo Giustiniani</w:t>
      </w:r>
      <w:r>
        <w:rPr>
          <w:rFonts w:ascii="Barlow Semi Condensed" w:cs="Barlow Semi Condensed" w:eastAsia="Barlow Semi Condensed" w:hAnsi="Barlow Semi Condensed"/>
          <w:i w:val="false"/>
          <w:iCs w:val="false"/>
          <w:sz w:val="24"/>
          <w:szCs w:val="24"/>
        </w:rPr>
        <w:t xml:space="preserve">.  Sono in tutto cinquantadue pagine. La richiesta ha finalità di studio e di verifica documentale, senza scopo di lucro.  Chiedo, ove possibile, che la riproduzione sia </w:t>
      </w:r>
      <w:r>
        <w:rPr>
          <w:rFonts w:ascii="Barlow Semi Condensed" w:cs="Barlow Semi Condensed" w:eastAsia="Barlow Semi Condensed" w:hAnsi="Barlow Semi Condensed"/>
          <w:b/>
          <w:bCs/>
          <w:i w:val="false"/>
          <w:iCs w:val="false"/>
          <w:sz w:val="24"/>
          <w:szCs w:val="24"/>
        </w:rPr>
        <w:t xml:space="preserve">integrale di ciascuna pagina, comprensiva delle intestazioni di colonna e di ogni numerazione presente</w:t>
      </w:r>
      <w:r>
        <w:rPr>
          <w:rFonts w:ascii="Barlow Semi Condensed" w:cs="Barlow Semi Condensed" w:eastAsia="Barlow Semi Condensed" w:hAnsi="Barlow Semi Condensed"/>
          <w:i w:val="false"/>
          <w:iCs w:val="false"/>
          <w:sz w:val="24"/>
          <w:szCs w:val="24"/>
        </w:rPr>
        <w:t xml:space="preserve">: la ricerca verte precisamente sulla distinzione fra il numero di tessera e il numero di fascicolo, e una trascrizione priva delle intestazioni non consente di operarla. Per la medesima ragione non è utile una trascrizione a cura di terzi: occorre la riproduzione dell'originale a stampa.  Sono disponibile a sostenere i costi di riproduzione previsti dal tariffario e a osservare ogni prescrizione codesto Archivio ritenga di impartire quanto all'uso dei materiali, ivi compresa la disciplina sulla protezione dei dati personali dei soggetti nominati negli atti.  Resto in attesa di indicazioni sulla procedura e sui tempi, e ringrazio per l'attenzione.  Luigi De Michele </w:t>
      </w:r>
      <w:r>
        <w:rPr>
          <w:rFonts w:ascii="Barlow Semi Condensed" w:cs="Barlow Semi Condensed" w:eastAsia="Barlow Semi Condensed" w:hAnsi="Barlow Semi Condensed"/>
          <w:i w:val="false"/>
          <w:iCs w:val="false"/>
          <w:sz w:val="24"/>
          <w:szCs w:val="24"/>
        </w:rPr>
        <w:t xml:space="preserve">(recapiti — indirizzo, telefono, posta elettronica ordinaria e certificata)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(luogo e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fare della risposta</w:t>
      </w:r>
    </w:p>
    <w:p>
      <w:pPr>
        <w:spacing w:after="120" w:line="276"/>
        <w:jc w:val="both"/>
      </w:pPr>
      <w:r>
        <w:rPr>
          <w:rFonts w:ascii="Barlow Semi Condensed" w:cs="Barlow Semi Condensed" w:eastAsia="Barlow Semi Condensed" w:hAnsi="Barlow Semi Condensed"/>
          <w:b/>
          <w:bCs/>
          <w:sz w:val="24"/>
          <w:szCs w:val="24"/>
        </w:rPr>
        <w:t xml:space="preserve">Se arrivano le riproduzioni.</w:t>
      </w:r>
      <w:r>
        <w:rPr>
          <w:rFonts w:ascii="Barlow Semi Condensed" w:cs="Barlow Semi Condensed" w:eastAsia="Barlow Semi Condensed" w:hAnsi="Barlow Semi Condensed"/>
          <w:sz w:val="24"/>
          <w:szCs w:val="24"/>
        </w:rPr>
        <w:t xml:space="preserve"> Ogni riga letta sulla fonte va iscritta nella</w:t>
      </w:r>
    </w:p>
    <w:p>
      <w:pPr>
        <w:spacing w:after="120" w:line="276"/>
        <w:jc w:val="both"/>
      </w:pPr>
      <w:r>
        <w:rPr>
          <w:rFonts w:ascii="Barlow Semi Condensed" w:cs="Barlow Semi Condensed" w:eastAsia="Barlow Semi Condensed" w:hAnsi="Barlow Semi Condensed"/>
          <w:sz w:val="24"/>
          <w:szCs w:val="24"/>
        </w:rPr>
        <w:t xml:space="preserve">certificazione con la propria collocazione — allegato, pagina, colonna — e il</w:t>
      </w:r>
    </w:p>
    <w:p>
      <w:pPr>
        <w:spacing w:after="120" w:line="276"/>
        <w:jc w:val="both"/>
      </w:pPr>
      <w:r>
        <w:rPr>
          <w:rFonts w:ascii="Barlow Semi Condensed" w:cs="Barlow Semi Condensed" w:eastAsia="Barlow Semi Condensed" w:hAnsi="Barlow Semi Condensed"/>
          <w:sz w:val="24"/>
          <w:szCs w:val="24"/>
        </w:rPr>
        <w:t xml:space="preserve">grado sale a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non ad A, perché A è il giudicato e qui non ce n'è. La</w:t>
      </w:r>
    </w:p>
    <w:p>
      <w:pPr>
        <w:spacing w:after="120" w:line="276"/>
        <w:jc w:val="both"/>
      </w:pPr>
      <w:r>
        <w:rPr>
          <w:rFonts w:ascii="Barlow Semi Condensed" w:cs="Barlow Semi Condensed" w:eastAsia="Barlow Semi Condensed" w:hAnsi="Barlow Semi Condensed"/>
          <w:sz w:val="24"/>
          <w:szCs w:val="24"/>
        </w:rPr>
        <w:t xml:space="preserve">domanda su cui la lettura decide è una sola e va posta prima di aprire i file,</w:t>
      </w:r>
    </w:p>
    <w:p>
      <w:pPr>
        <w:spacing w:after="120" w:line="276"/>
        <w:jc w:val="both"/>
      </w:pPr>
      <w:r>
        <w:rPr>
          <w:rFonts w:ascii="Barlow Semi Condensed" w:cs="Barlow Semi Condensed" w:eastAsia="Barlow Semi Condensed" w:hAnsi="Barlow Semi Condensed"/>
          <w:sz w:val="24"/>
          <w:szCs w:val="24"/>
        </w:rPr>
        <w:t xml:space="preserve">perché non la si aggiusti a posteriori: *l'intestazione di colonna dice</w:t>
      </w:r>
    </w:p>
    <w:p>
      <w:pPr>
        <w:spacing w:after="120" w:line="276"/>
        <w:jc w:val="both"/>
      </w:pPr>
      <w:r>
        <w:rPr>
          <w:rFonts w:ascii="Barlow Semi Condensed" w:cs="Barlow Semi Condensed" w:eastAsia="Barlow Semi Condensed" w:hAnsi="Barlow Semi Condensed"/>
          <w:sz w:val="24"/>
          <w:szCs w:val="24"/>
        </w:rPr>
        <w:t xml:space="preserve">«tessera» o dice «fascicolo»?* Da quella parola dipende se la calibrazione del</w:t>
      </w:r>
    </w:p>
    <w:p>
      <w:pPr>
        <w:spacing w:after="120" w:line="276"/>
        <w:jc w:val="both"/>
      </w:pPr>
      <w:r>
        <w:rPr>
          <w:rFonts w:ascii="Barlow Semi Condensed" w:cs="Barlow Semi Condensed" w:eastAsia="Barlow Semi Condensed" w:hAnsi="Barlow Semi Condensed"/>
          <w:sz w:val="24"/>
          <w:szCs w:val="24"/>
        </w:rPr>
        <w:t xml:space="preserve">27 agosto regge o cade, ed è giusto che possa cadere.</w:t>
      </w:r>
    </w:p>
    <w:p>
      <w:pPr>
        <w:spacing w:after="120" w:line="276"/>
        <w:jc w:val="both"/>
      </w:pPr>
      <w:r>
        <w:rPr>
          <w:rFonts w:ascii="Barlow Semi Condensed" w:cs="Barlow Semi Condensed" w:eastAsia="Barlow Semi Condensed" w:hAnsi="Barlow Semi Condensed"/>
          <w:b/>
          <w:bCs/>
          <w:sz w:val="24"/>
          <w:szCs w:val="24"/>
        </w:rPr>
        <w:t xml:space="preserve">Se la risposta è un diniego, o non arriva.</w:t>
      </w:r>
      <w:r>
        <w:rPr>
          <w:rFonts w:ascii="Barlow Semi Condensed" w:cs="Barlow Semi Condensed" w:eastAsia="Barlow Semi Condensed" w:hAnsi="Barlow Semi Condensed"/>
          <w:sz w:val="24"/>
          <w:szCs w:val="24"/>
        </w:rPr>
        <w:t xml:space="preserve"> L'esito si registra come **Stato</w:t>
      </w:r>
    </w:p>
    <w:p>
      <w:pPr>
        <w:spacing w:after="120" w:line="276"/>
        <w:jc w:val="both"/>
      </w:pPr>
      <w:r>
        <w:rPr>
          <w:rFonts w:ascii="Barlow Semi Condensed" w:cs="Barlow Semi Condensed" w:eastAsia="Barlow Semi Condensed" w:hAnsi="Barlow Semi Condensed"/>
          <w:sz w:val="24"/>
          <w:szCs w:val="24"/>
        </w:rPr>
        <w:t xml:space="preserve">Zero** con la sede nominata e la data, che è la forma in cui quest'opera</w:t>
      </w:r>
    </w:p>
    <w:p>
      <w:pPr>
        <w:spacing w:after="120" w:line="276"/>
        <w:jc w:val="both"/>
      </w:pPr>
      <w:r>
        <w:rPr>
          <w:rFonts w:ascii="Barlow Semi Condensed" w:cs="Barlow Semi Condensed" w:eastAsia="Barlow Semi Condensed" w:hAnsi="Barlow Semi Condensed"/>
          <w:sz w:val="24"/>
          <w:szCs w:val="24"/>
        </w:rPr>
        <w:t xml:space="preserve">conserva le ricerche fallite. Uno Stato Zero non è un vuoto: dice a chi verrà</w:t>
      </w:r>
    </w:p>
    <w:p>
      <w:pPr>
        <w:spacing w:after="120" w:line="276"/>
        <w:jc w:val="both"/>
      </w:pPr>
      <w:r>
        <w:rPr>
          <w:rFonts w:ascii="Barlow Semi Condensed" w:cs="Barlow Semi Condensed" w:eastAsia="Barlow Semi Condensed" w:hAnsi="Barlow Semi Condensed"/>
          <w:sz w:val="24"/>
          <w:szCs w:val="24"/>
        </w:rPr>
        <w:t xml:space="preserve">dopo dove si è già cercato, e gli risparmia il viaggio.</w:t>
      </w:r>
    </w:p>
    <w:p>
      <w:pPr>
        <w:spacing w:after="120" w:line="276"/>
        <w:jc w:val="both"/>
      </w:pPr>
      <w:r>
        <w:rPr>
          <w:rFonts w:ascii="Barlow Semi Condensed" w:cs="Barlow Semi Condensed" w:eastAsia="Barlow Semi Condensed" w:hAnsi="Barlow Semi Condensed"/>
          <w:b/>
          <w:bCs/>
          <w:sz w:val="24"/>
          <w:szCs w:val="24"/>
        </w:rPr>
        <w:t xml:space="preserve">Che cosa non fare in nessuno dei due casi.</w:t>
      </w:r>
      <w:r>
        <w:rPr>
          <w:rFonts w:ascii="Barlow Semi Condensed" w:cs="Barlow Semi Condensed" w:eastAsia="Barlow Semi Condensed" w:hAnsi="Barlow Semi Condensed"/>
          <w:sz w:val="24"/>
          <w:szCs w:val="24"/>
        </w:rPr>
        <w:t xml:space="preserve"> Non usare le riproduzioni per</w:t>
      </w:r>
    </w:p>
    <w:p>
      <w:pPr>
        <w:spacing w:after="120" w:line="276"/>
        <w:jc w:val="both"/>
      </w:pPr>
      <w:r>
        <w:rPr>
          <w:rFonts w:ascii="Barlow Semi Condensed" w:cs="Barlow Semi Condensed" w:eastAsia="Barlow Semi Condensed" w:hAnsi="Barlow Semi Condensed"/>
          <w:sz w:val="24"/>
          <w:szCs w:val="24"/>
        </w:rPr>
        <w:t xml:space="preserve">attribuire condotte. Un numero di tessera accerta un'iscrizione e nient'altro, e</w:t>
      </w:r>
    </w:p>
    <w:p>
      <w:pPr>
        <w:spacing w:after="120" w:line="276"/>
        <w:jc w:val="both"/>
      </w:pPr>
      <w:r>
        <w:rPr>
          <w:rFonts w:ascii="Barlow Semi Condensed" w:cs="Barlow Semi Condensed" w:eastAsia="Barlow Semi Condensed" w:hAnsi="Barlow Semi Condensed"/>
          <w:sz w:val="24"/>
          <w:szCs w:val="24"/>
        </w:rPr>
        <w:t xml:space="preserve">la regola che apre ogni documento di quest'opera vale intatta anche quando la</w:t>
      </w:r>
    </w:p>
    <w:p>
      <w:pPr>
        <w:spacing w:after="120" w:line="276"/>
        <w:jc w:val="both"/>
      </w:pPr>
      <w:r>
        <w:rPr>
          <w:rFonts w:ascii="Barlow Semi Condensed" w:cs="Barlow Semi Condensed" w:eastAsia="Barlow Semi Condensed" w:hAnsi="Barlow Semi Condensed"/>
          <w:sz w:val="24"/>
          <w:szCs w:val="24"/>
        </w:rPr>
        <w:t xml:space="preserve">fonte è finalmente in mano: **l'appartenenza a un'organizzazione non è prova di</w:t>
      </w:r>
    </w:p>
    <w:p>
      <w:pPr>
        <w:spacing w:after="120" w:line="276"/>
        <w:jc w:val="both"/>
      </w:pPr>
      <w:r>
        <w:rPr>
          <w:rFonts w:ascii="Barlow Semi Condensed" w:cs="Barlow Semi Condensed" w:eastAsia="Barlow Semi Condensed" w:hAnsi="Barlow Semi Condensed"/>
          <w:sz w:val="24"/>
          <w:szCs w:val="24"/>
        </w:rPr>
        <w:t xml:space="preserve">condotta**.</w:t>
      </w:r>
    </w:p>
    <w:p>
      <w:pPr>
        <w:pStyle w:val="Heading3"/>
        <w:spacing w:after="80" w:before="240"/>
      </w:pPr>
      <w:r>
        <w:rPr>
          <w:rFonts w:ascii="Barlow Semi Condensed" w:cs="Barlow Semi Condensed" w:eastAsia="Barlow Semi Condensed" w:hAnsi="Barlow Semi Condensed"/>
          <w:sz w:val="24"/>
          <w:szCs w:val="24"/>
        </w:rPr>
        <w:t xml:space="preserve">Apparato grafico — Appendici · xvii. La richiesta all'Archivio storico della Camera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 1.446 parole in 5 sezioni; la più ampia è §2 Prima di spedire: il volume è probabilmente g…, con 411.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 25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694 indirizzi distinti per 1059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19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secondo — Dal Che a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 — Origini ed esilio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 — Dal Messico all'Avana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III — Da Mosca alla Bolivia</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en.wikipedia.org/wiki/che_guevara (https://en.wikipedia.org/wiki/Che_Guevara)</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Marxists Internet Archive — https://www.marxists.org/archive/guevara/1964/12/11-alt.htm (https://www.marxists.org/archive/guevara/1964/12/11-alt.htm)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Smithsonian Folkways — https://folkways.si.edu/che-guevara/speech-at-the-united-nations-general-assembly-december-11-1964-19th-assembly/caribbean-oral-history-biography-world-history/track/smithsonian (https://folkways.si.edu/che-guevara/speech-at-the-united-nations-general-assembly-december-11-1964-19th-assembly/caribbean-oral-history-biography-world-history/track/smithsonian)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CBS News, «60 anni di Face the Nation» — https://www.cbsnews.com/pictures/60-years-of-face-the-nation/ (https://www.cbsnews.com/pictures/60-years-of-face-the-nation/)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themilitant.com/2010/7407/740750.html (https://www.themilitant.com/2010/7407/740750.html)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thecitizen.in/index.php/en/newsdetail/index/1/1826/the-first-terrorist-… (https://www.thecitizen.in/index.php/en/NewsDetail/index/1/1826/The-First-Terrorist-Attack-on-the-UN-was-Against-Che-Guevera)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Wikipedia — https://it.wikipedia.org/wiki/Che_Guevara (https://it.wikipedia.org/wiki/Che_Guevara)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tandfonline.com/doi/full/10.1080/14747731.2022.2066055 (https://www.tandfonline.com/doi/full/10.1080/14747731.2022.2066055)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Jacobin, «Che Guevara in the Congo» — https://jacobin.com/2017/04/che-guevara-cuba-castro-congo-patrice-lumumba-colonialism (https://jacobin.com/2017/04/che-guevara-cuba-castro-congo-patrice-lumumba-colonialism)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ROAPE — https://roape.net/2017/04/05/che-guevara-congo/ (https://roape.net/2017/04/05/che-guevara-congo/)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revista.drclas.harvard.edu/latin-american-revolutionaries-and-the-arab-… (https://revista.drclas.harvard.edu/latin-american-revolutionaries-and-the-arab-world/)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Marxists Internet Archive — https://www.marxists.org/archive/guevara/1965/02/24.htm (https://www.marxists.org/archive/guevara/1965/02/24.htm)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Marxists Internet Archive — https://www.marxists.org/archive/guevara/1965/04/01.htm (https://www.marxists.org/archive/guevara/1965/04/01.htm)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rebelion.org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Libro terzo · IV — La campagna boliviana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V — Bibliografia critica</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Marxists Internet Archive — https://www.marxists.org/archive/guevara/1965/03/man-socialism.htm (https://www.marxists.org/archive/guevara/1965/03/man-socialism.htm)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uploads.strikinglycdn.com/…golewojobonudo.pdf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es.scribd.com/…Lavretski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academia.edu/…NICOLÁS_MÁRQUEZ_EL_CANALLA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military-history.fandom.com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tempofertile.blogspot.com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mps-ti.ch</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rifondazione.it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spainshobo.net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iacopi.org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storiain.net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avantionline.it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liberatedtexts.com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milenio.com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terzo · VI — Le triangolazioni Guevara-Moro</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NYRB/Womack — https://www.nybooks.com/articles/1971/01/28/el-che-guevara/ (https://www.nybooks.com/articles/1971/01/28/el-che-guevara/)</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El Universal — https://www.eluniversal.com.mx/opinion/mochilazo-en-el-tiempo/los-lugares-que-visito-el-che-en-mexico/ (https://www.eluniversal.com.mx/opinion/mochilazo-en-el-tiempo/los-lugares-que-visito-el-che-en-mexico/)</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nuevarevolucion.es — https://nuevarevolucion.es/alberto-bayo-el-coronel-que-enseno-la-guerra-de-guerrillas-a-fidel-castro-y-al-che-guevara/ (https://nuevarevolucion.es/alberto-bayo-el-coronel-que-enseno-la-guerra-de-guerrillas-a-fidel-castro-y-al-che-guevara/)</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Quadratín — https://guerrero.quadratin.com.mx/chalco-lugar-donde-entreno-la-guerrilla-fidel-alejandro-castro/ (https://guerrero.quadratin.com.mx/chalco-lugar-donde-entreno-la-guerrilla-fidel-alejandro-castro/)</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Hawkins Bay/archivi stampa 1964 — https://hawkinsbay.wordpress.com/2019/04/05/1964-bazooka-fired-at-che-guevara-while-addressing-the-un/ (https://hawkinsbay.wordpress.com/2019/04/05/1964-bazooka-fired-at-che-guevara-while-addressing-the-un/)</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Cubadiplomatica — https://misiones.cubaminrex.cu/en/articulo/day-anti-castro-forces-tried-bomb-un-building (https://misiones.cubaminrex.cu/en/articulo/day-anti-castro-forces-tried-bomb-un-building)</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malcolmxfiles — https://malcolmxfiles.blogspot.com/2013/07/at-audubon-ballroom-dec-13-1964.html (https://malcolmxfiles.blogspot.com/2013/07/at-audubon-ballroom-dec-13-1964.html)</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Feltrinelli Editore — https://www.feltrinellieditore.it/opera/diario-in-bolivia/ (https://www.feltrinellieditore.it/opera/diario-in-bolivia/)</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Librinlinea — https://www.librinlinea.it/titolo/diario-del-che-in-bolivia-castro-fidel/RAV0262028 (https://www.librinlinea.it/titolo/diario-del-che-in-bolivia-castro-fidel/RAV0262028)</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Uozzart su Korda — https://uozzart.com/2020/11/05/ernesto-che-guevara-alberto-korda-fotografia/ (https://uozzart.com/2020/11/05/ernesto-che-guevara-alberto-korda-fotografia/)</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Tassinari su Curcio-Feltrinelli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Wikipedia BR — https://it.wikipedia.org/wiki/Brigate_Rosse (https://it.wikipedia.org/wiki/Brigate_Rosse)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Panorama — https://panorama.it/cultura/agosto-1970-lalba-delle-brigate-rosse (https://panorama.it/cultura/agosto-1970-lalba-delle-brigate-rosse)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Il Bo Live/Unipd — https://ilbolive.unipd.it/it/news/societa/50-anni-dalla-nascita-brigate-rosse (https://ilbolive.unipd.it/it/news/societa/50-anni-dalla-nascita-brigate-rosse)</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nuovAtlantide (testimonianze Moro/Guerzoni) — https://www.nuovatlantide.org/le-testimonianze-di-eleonora-moro-e-di-corrado-guerzoni-su-kissinger-e-loscuro-avvertimento-a-moro/ (https://www.nuovatlantide.org/le-testimonianze-di-eleonora-moro-e-di-corrado-guerzoni-su-kissinger-e-loscuro-avvertimento-a-moro/)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La Notizia su Report/Kissinger — https://www.lanotiziagiornale.it/caso-moro-report-indaga-sul-ruolo-di-kissinger-nellostacolare-lapertura-al-pci/ (https://www.lanotiziagiornale.it/caso-moro-report-indaga-sul-ruolo-di-kissinger-nellostacolare-lapertura-al-pci/)</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Wikipedia EN – Kidnapping and murder of Aldo Moro — https://en.wikipedia.org/wiki/Kidnapping_and_murder_of_Aldo_Moro (https://en.wikipedia.org/wiki/Kidnapping_and_murder_of_Aldo_Moro)</w:t>
      </w:r>
    </w:p>
    <w:p>
      <w:pPr>
        <w:pStyle w:val="Heading3"/>
        <w:spacing w:after="80" w:before="160"/>
      </w:pPr>
      <w:r>
        <w:rPr>
          <w:rFonts w:ascii="Barlow Semi Condensed" w:cs="Barlow Semi Condensed" w:eastAsia="Barlow Semi Condensed" w:hAnsi="Barlow Semi Condensed"/>
          <w:sz w:val="24"/>
          <w:szCs w:val="24"/>
        </w:rPr>
        <w:t xml:space="preserve">Libro quarto — Il Dossier maggiore</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repubblica.it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giornalettismo.com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altreconomia.it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corriere.it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rai.it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fascinazione.info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(https://acs.cultura.gov.it/modalita-di-accesso-e-regolamento/sala-delle-raccolte-speciali-documentazione-desecretata/direttiva-renzi-2014/)</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(https://acs.cultura.gov.it/modalita-di-accesso-e-regolamento/sala-delle-raccolte-speciali-documentazione-desecretata/direttiva-draghi-2021/)</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a4view.archivioflamigni.org (https://a4view.archivioflamigni.org/)</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camera.it (https://www.camera.it/)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documenti.camera.it (https://documenti.camera.it/)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memoria.cultura.gov.it (https://memoria.cultura.gov.it/) </w:t>
      </w:r>
      <w:r>
        <w:rPr>
          <w:rFonts w:ascii="Barlow Semi Condensed" w:cs="Barlow Semi Condensed" w:eastAsia="Barlow Semi Condensed" w:hAnsi="Barlow Semi Condensed"/>
          <w:i/>
          <w:iCs/>
          <w:sz w:val="24"/>
          <w:szCs w:val="24"/>
        </w:rPr>
        <w:t xml:space="preserve">(citato 9 volte)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parlamento.it (https://www.parlamento.it/)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senato.it (https://www.senato.it/)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parlamento.it/parlam/bicam/terror/stenografici/steno9.htm (https://www.parlamento.it/parlam/bicam/terror/stenografici/steno9.htm)</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parlamento.it/parlam/bicam/terror/stenografici/steno25.htm (https://www.parlamento.it/parlam/bicam/terror/stenografici/steno25.htm)</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parlamento.it/parlam/bicam/terror/stenografici/steno58.htm (https://www.parlamento.it/parlam/bicam/terror/stenografici/steno58.htm)</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gnosis.aisi.gov.it (https://gnosis.aisi.gov.it/)</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fondazionemicheletti.eu (https://www.fondazionemicheletti.eu/)</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memoria.cultura.gov.it/it/w/il-tentato-golpe-borghese (https://memoria.cultura.gov.it/it/w/il-tentato-golpe-borghese)</w:t>
      </w:r>
    </w:p>
    <w:p>
      <w:pPr>
        <w:pStyle w:val="Heading3"/>
        <w:spacing w:after="80" w:before="160"/>
      </w:pPr>
      <w:r>
        <w:rPr>
          <w:rFonts w:ascii="Barlow Semi Condensed" w:cs="Barlow Semi Condensed" w:eastAsia="Barlow Semi Condensed" w:hAnsi="Barlow Semi Condensed"/>
          <w:sz w:val="24"/>
          <w:szCs w:val="24"/>
        </w:rPr>
        <w:t xml:space="preserve">Libro quinto · I — Feltrinelli, il vettore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quinto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pStyle w:val="Heading3"/>
        <w:spacing w:after="80" w:before="160"/>
      </w:pPr>
      <w:r>
        <w:rPr>
          <w:rFonts w:ascii="Barlow Semi Condensed" w:cs="Barlow Semi Condensed" w:eastAsia="Barlow Semi Condensed" w:hAnsi="Barlow Semi Condensed"/>
          <w:sz w:val="24"/>
          <w:szCs w:val="24"/>
        </w:rPr>
        <w:t xml:space="preserve">Libro quinto · III — Il nodo Hyperion</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quinto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quinto · V — Il ceppo Simioni</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sesto · I — Il Tribunale Speciale</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sesto · II — Gli otto sottonodi</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sesto · III — Gli amnistiati</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settimo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Il registro giudiziario</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nono · II — Appendice quinta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III — Appendice sesta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IV — Appendice settima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 — Appendice ottava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 — Appendice nona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VII — Appendice decima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VIII — Appendice undicesima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IX — Appendice dodicesima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 — Appendice tredicesima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XI — Appendice quattordicesima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XII — Appendice quindicesima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decimo — Il repertorio del caso</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undicesimo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undicesimo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dodicesimo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La ricognizione-madre: Moro ministro degli Esteri 1969-1974</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Camera dei Deputati — https://storia.camera.it/governi/ii-governo-rumor (https://storia.camera.it/governi/ii-governo-rumor)</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Camera dei Deputati — https://storia.camera.it/governi/iii-governo-rumor/storia/dal:19700327,al:19700401 (https://storia.camera.it/governi/iii-governo-rumor/storia/dal:19700327,al:19700401)</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Esteri — https://www.esteri.it/it/ministero/storia/ministri_esteri/aldo_moro/ (https://www.esteri.it/it/ministero/storia/ministri_esteri/aldo_moro/)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Treccani — https://www.treccani.it/enciclopedia/aldo-moro_(Dizionario-Biografico (https://www.treccani.it/enciclopedia/aldo-moro_(Dizionario-Biografico)</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Camera dei Deputati — https://storia.camera.it/deputato/aldo-moro-19160923/componentiorgani (https://storia.camera.it/deputato/aldo-moro-19160923/componentiorgani)</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asd.esteri.it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Esteri — https://www.esteri.it/it/temi/uap/archivio-storico-e-biblioteca/archivio-storico-diplomatico/servizi-allutenza/ (https://www.esteri.it/it/temi/uap/archivio-storico-e-biblioteca/archivio-storico-diplomatico/servizi-allutenza/)</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Ministerio de Cultura — https://www.cultura.gob.es/cultura/areas/archivos/mc/archivos/aga/fondos-documentales/introduccion.html (https://www.cultura.gob.es/cultura/areas/archivos/mc/archivos/aga/fondos-documentales/introduccion.html)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PARES — https://pares.mcu.es/ParesBusquedas20/catalogo/description/167744 (https://pares.mcu.es/ParesBusquedas20/catalogo/description/167744)</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MPR — https://www.mpr.gob.es/memoriademocratica/archivos-estatales/Paginas/Guias/Gu%C3%ADa%20de%20fuentes%20documentales/Ministerios/Asuntos%20Exteriores/archivo-general-del-ministerio-de-asuntos-exterior.aspx (https://www.mpr.gob.es/memoriademocratica/archivos-estatales/Paginas/Guias/Gu%C3%ADa%20de%20fuentes%20documentales/Ministerios/Asuntos%20Exteriores/archivo-general-del-ministerio-de-asuntos-exterior.aspx)</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Cultura — https://censoarchivos.cultura.gob.es/CensoGuia/fondoDetail.htm?id=1096317 (https://censoarchivos.cultura.gob.es/CensoGuia/fondoDetail.htm?id=1096317)</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Ministerio de Asuntos Exteriores de España — https://www.exteriores.gob.es/es/ServiciosAlCiudadano/Paginas/Archivo-General-y-Biblioteca-Central.aspx (https://www.exteriores.gob.es/es/ServiciosAlCiudadano/Paginas/Archivo-General-y-Biblioteca-Central.aspx)</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Wikipedia — https://es.wikipedia.org/wiki/Caso_A%C3%B1overos (https://es.wikipedia.org/wiki/Caso_A%C3%B1overos)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Internet Archive — https://archive.org/stream/KissingerAldoMoro1552802/Kissinger%20Aldo%20Moro%201552802_djvu.txt (https://archive.org/stream/KissingerAldoMoro1552802/Kissinger%20Aldo%20Moro%201552802_djvu.txt)</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U.S. Department of State — https://history.state.gov/historicaldocuments/frus1969-76ve15p2Ed2/d350 (https://history.state.gov/historicaldocuments/frus1969-76ve15p2Ed2/d350)</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state — https://history.state.gov/historicaldocuments/frus1969-76v41/d180 (https://history.state.gov/historicaldocuments/frus1969-76v41/d180)</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U.S. Department of State — https://history.state.gov/historicaldocuments/frus1969-76v41/d188 (https://history.state.gov/historicaldocuments/frus1969-76v41/d188)</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Taylor &amp; Francis Online — https://www.tandfonline.com/doi/full/10.1080/09592296.2024.2303859 (https://www.tandfonline.com/doi/full/10.1080/09592296.2024.2303859)</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Senato della Repubblica — https://patrimonio.archivio.senato.it/inventario/scheda/aldo-moro/IT-AFS-048-000517/intervento-alla-commissione-affari-esteri-del-senato-sulla-situazione-libia (https://patrimonio.archivio.senato.it/inventario/scheda/aldo-moro/IT-AFS-048-000517/intervento-alla-commissione-affari-esteri-del-senato-sulla-situazione-libia)</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Senato della Repubblica — https://patrimonio.archivio.senato.it/inventario/scheda/aldo-moro/IT-AFS-048-000644/intervento-alla-commissione-%20esteri-della-camera-deputati (https://patrimonio.archivio.senato.it/inventario/scheda/aldo-moro/IT-AFS-048-000644/intervento-alla-commissione-%20esteri-della-camera-deputati)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Progetto Radici — https://www.progetto-radici.it/2022/05/09/aldo-moro-il-dominus-della-politica-estera-italiana/ (https://www.progetto-radici.it/2022/05/09/aldo-moro-il-dominus-della-politica-estera-italiana/)</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Wikipedia — https://it.wikipedia.org/wiki/Relazioni_bilaterali_tra_Italia_e_Repubblica_Popolare_Cinese (https://it.wikipedia.org/wiki/Relazioni_bilaterali_tra_Italia_e_Repubblica_Popolare_Cinese)</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Dizie — https://www.dizie.eu/dizionario/spagna/ (https://www.dizie.eu/dizionario/spagna/)</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L'Incontro — https://www.lincontro.news/il-lodo-moro-non-era-una-fake-news-laccordo-fra-lo-stato-italiano-e-le-organizzazioni-palestinesi-ci-fu-e-produsse-degli-effetti/ (https://www.lincontro.news/il-lodo-moro-non-era-una-fake-news-laccordo-fra-lo-stato-italiano-e-le-organizzazioni-palestinesi-ci-fu-e-produsse-degli-effetti/)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Il Giornale — https://www.ilgiornale.it/news/cultura/lodo-moro-leggenda-e-verit-storica-nel-libro-valentine-2003644.html (https://www.ilgiornale.it/news/cultura/lodo-moro-leggenda-e-verit-storica-nel-libro-valentine-2003644.html)</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Wikipedia — https://it.wikipedia.org/wiki/Lodo_Moro (https://it.wikipedia.org/wiki/Lodo_Moro)</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Ilmemoriale — https://www.ilmemoriale.it/politica/2017/09/04/espulsione-degli-italiani-da-tripoli.html (https://www.ilmemoriale.it/politica/2017/09/04/espulsione-degli-italiani-da-tripoli.html)</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Ponza Racconta — https://www.ponzaracconta.it/2021/03/30/aldo-moro-gheddafi-e-arafat/ (https://www.ponzaracconta.it/2021/03/30/aldo-moro-gheddafi-e-arafat/)</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lavalledeitempli.net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Lavalledeitempli — http://lavalledeitempli.net/2019/04/23/aldo-moro-vero-artefice-della-cooperazione-la-libia-gheddafi/ (http://lavalledeitempli.net/2019/04/23/aldo-moro-vero-artefice-della-cooperazione-la-libia-gheddafi/)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CIE — https://israeled.org/wp-content/uploads/2012/05/FRUS-1969-1976-1973-war.pdf (https://israeled.org/wp-content/uploads/2012/05/FRUS-1969-1976-1973-war.pdf)</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Treccani — https://www.treccani.it/enciclopedia/non-proliferazione-atomica_(Enciclopedia-Italiana (https://www.treccani.it/enciclopedia/non-proliferazione-atomica_(Enciclopedia-Italiana)</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Unica — https://convegni.unica.it/sisi19/i-panel-dellottavo-convegno-sisi-cagliari-2019/panel-3/ (https://convegni.unica.it/sisi19/i-panel-dellottavo-convegno-sisi-cagliari-2019/panel-3/)</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SettimanaNews — https://www.settimananews.it/chiesa/silvestrini-ostpolitik/ (https://www.settimananews.it/chiesa/silvestrini-ostpolitik/)</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Vatican News — https://www.vaticannews.va/it/mondo/news/2022-04/conferenza-helsinki-1975-europa-guerra-fredda-eredita-pace.html (https://www.vaticannews.va/it/mondo/news/2022-04/conferenza-helsinki-1975-europa-guerra-fredda-eredita-pace.html)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University of Padua — https://www.research.unipd.it/handle/11577/3421701 (https://www.research.unipd.it/handle/11577/3421701)</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Chiesacattolica.it — https://www.chiesacattolica.it/documenti-segreteria/accordo-di-revisione-del-concordato-lateranense-tra-la-santa-sede-e-la-repubblica-italiana/ (https://www.chiesacattolica.it/documenti-segreteria/accordo-di-revisione-del-concordato-lateranense-tra-la-santa-sede-e-la-repubblica-italiana/)</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Delibris — https://www.delibris.org/es/lopez-bravo (https://www.delibris.org/es/lopez-bravo)</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El Confidencial Digital — https://www.elconfidencialdigital.com/religion/articulo/de-libros/gregorio-lopez-bravo-miembro-opus-dei-servicio-progreso-espana/20241007004039050434.html (https://www.elconfidencialdigital.com/religion/articulo/de-libros/gregorio-lopez-bravo-miembro-opus-dei-servicio-progreso-espana/20241007004039050434.html)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Omnes — https://www.omnesmag.com/en/news/gabriel-perez-lopez-lopez-bravo-acted-freely/ (https://www.omnesmag.com/en/news/gabriel-perez-lopez-lopez-bravo-acted-freely/)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Treccani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4 volte)</w:t>
      </w:r>
    </w:p>
    <w:p>
      <w:pPr>
        <w:pStyle w:val="Heading3"/>
        <w:spacing w:after="80" w:before="160"/>
      </w:pPr>
      <w:r>
        <w:rPr>
          <w:rFonts w:ascii="Barlow Semi Condensed" w:cs="Barlow Semi Condensed" w:eastAsia="Barlow Semi Condensed" w:hAnsi="Barlow Semi Condensed"/>
          <w:sz w:val="24"/>
          <w:szCs w:val="24"/>
        </w:rPr>
        <w:t xml:space="preserve">Libro dodicesimo · III — Germania e Opus Dei 1952-1985</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bistum-essen.de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katholisch.de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opusdei — https://opusdei.org/de-de/article/kurzdarstellung-der-anfange-des-opus-dei-in-deutschland/ (https://opusdei.org/de-de/article/kurzdarstellung-der-anfange-des-opus-dei-in-deutschland/)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Opus Dei — https://opusdei.org/en-us/article/commemorative-book-in-germany/ (https://opusdei.org/en-us/article/commemorative-book-in-germany/)</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Kath — https://kath.net/print/15147 (https://kath.net/print/15147)</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Blogger — http://hugendubelverdi.blogspot.com/2012/01/gottes-werk-und-des-kardinals-beitrag.html (http://hugendubelverdi.blogspot.com/2012/01/gottes-werk-und-des-kardinals-beitrag.html)</w:t>
      </w:r>
    </w:p>
    <w:p>
      <w:pPr>
        <w:spacing w:after="120" w:line="276"/>
        <w:jc w:val="both"/>
      </w:pPr>
      <w:r>
        <w:rPr>
          <w:rFonts w:ascii="Barlow Semi Condensed" w:cs="Barlow Semi Condensed" w:eastAsia="Barlow Semi Condensed" w:hAnsi="Barlow Semi Condensed"/>
          <w:b/>
          <w:bCs/>
          <w:sz w:val="24"/>
          <w:szCs w:val="24"/>
        </w:rPr>
        <w:t xml:space="preserve">284.</w:t>
      </w:r>
      <w:r>
        <w:rPr>
          <w:rFonts w:ascii="Barlow Semi Condensed" w:cs="Barlow Semi Condensed" w:eastAsia="Barlow Semi Condensed" w:hAnsi="Barlow Semi Condensed"/>
          <w:sz w:val="24"/>
          <w:szCs w:val="24"/>
        </w:rPr>
        <w:t xml:space="preserve"> taz.de — https://taz.de/Der-Mann-der-das-fringsen-erfand-und-alten-Nazis-half/%21664899/ (https://taz.de/Der-Mann-der-das-fringsen-erfand-und-alten-Nazis-half/%21664899/)</w:t>
      </w:r>
    </w:p>
    <w:p>
      <w:pPr>
        <w:spacing w:after="120" w:line="276"/>
        <w:jc w:val="both"/>
      </w:pPr>
      <w:r>
        <w:rPr>
          <w:rFonts w:ascii="Barlow Semi Condensed" w:cs="Barlow Semi Condensed" w:eastAsia="Barlow Semi Condensed" w:hAnsi="Barlow Semi Condensed"/>
          <w:b/>
          <w:bCs/>
          <w:sz w:val="24"/>
          <w:szCs w:val="24"/>
        </w:rPr>
        <w:t xml:space="preserve">285.</w:t>
      </w:r>
      <w:r>
        <w:rPr>
          <w:rFonts w:ascii="Barlow Semi Condensed" w:cs="Barlow Semi Condensed" w:eastAsia="Barlow Semi Condensed" w:hAnsi="Barlow Semi Condensed"/>
          <w:sz w:val="24"/>
          <w:szCs w:val="24"/>
        </w:rPr>
        <w:t xml:space="preserve"> fowid — https://fowid.de/sites/default/files/download/religionszugehoerigkeit_bevoelkerung_1950-2005.pdf (https://fowid.de/sites/default/files/download/religionszugehoerigkeit_bevoelkerung_1950-2005.pdf)</w:t>
      </w:r>
    </w:p>
    <w:p>
      <w:pPr>
        <w:spacing w:after="120" w:line="276"/>
        <w:jc w:val="both"/>
      </w:pPr>
      <w:r>
        <w:rPr>
          <w:rFonts w:ascii="Barlow Semi Condensed" w:cs="Barlow Semi Condensed" w:eastAsia="Barlow Semi Condensed" w:hAnsi="Barlow Semi Condensed"/>
          <w:b/>
          <w:bCs/>
          <w:sz w:val="24"/>
          <w:szCs w:val="24"/>
        </w:rPr>
        <w:t xml:space="preserve">286.</w:t>
      </w:r>
      <w:r>
        <w:rPr>
          <w:rFonts w:ascii="Barlow Semi Condensed" w:cs="Barlow Semi Condensed" w:eastAsia="Barlow Semi Condensed" w:hAnsi="Barlow Semi Condensed"/>
          <w:sz w:val="24"/>
          <w:szCs w:val="24"/>
        </w:rPr>
        <w:t xml:space="preserve"> Clio Online — https://www.europa.clio-online.de/essay/id/fdae-1690 (https://www.europa.clio-online.de/essay/id/fdae-1690)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287.</w:t>
      </w:r>
      <w:r>
        <w:rPr>
          <w:rFonts w:ascii="Barlow Semi Condensed" w:cs="Barlow Semi Condensed" w:eastAsia="Barlow Semi Condensed" w:hAnsi="Barlow Semi Condensed"/>
          <w:sz w:val="24"/>
          <w:szCs w:val="24"/>
        </w:rPr>
        <w:t xml:space="preserve"> fowid — https://fowid.de/meldung/religionszugehoerigkeiten-deutschland-2015 (https://fowid.de/meldung/religionszugehoerigkeiten-deutschland-2015)</w:t>
      </w:r>
    </w:p>
    <w:p>
      <w:pPr>
        <w:spacing w:after="120" w:line="276"/>
        <w:jc w:val="both"/>
      </w:pPr>
      <w:r>
        <w:rPr>
          <w:rFonts w:ascii="Barlow Semi Condensed" w:cs="Barlow Semi Condensed" w:eastAsia="Barlow Semi Condensed" w:hAnsi="Barlow Semi Condensed"/>
          <w:b/>
          <w:bCs/>
          <w:sz w:val="24"/>
          <w:szCs w:val="24"/>
        </w:rPr>
        <w:t xml:space="preserve">288.</w:t>
      </w:r>
      <w:r>
        <w:rPr>
          <w:rFonts w:ascii="Barlow Semi Condensed" w:cs="Barlow Semi Condensed" w:eastAsia="Barlow Semi Condensed" w:hAnsi="Barlow Semi Condensed"/>
          <w:sz w:val="24"/>
          <w:szCs w:val="24"/>
        </w:rPr>
        <w:t xml:space="preserve"> fowid — https://fowid.de/meldung/deutschland-konfessionen (https://fowid.de/meldung/deutschland-konfessionen)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289.</w:t>
      </w:r>
      <w:r>
        <w:rPr>
          <w:rFonts w:ascii="Barlow Semi Condensed" w:cs="Barlow Semi Condensed" w:eastAsia="Barlow Semi Condensed" w:hAnsi="Barlow Semi Condensed"/>
          <w:sz w:val="24"/>
          <w:szCs w:val="24"/>
        </w:rPr>
        <w:t xml:space="preserve"> fowid — https://fowid.de/meldung/deutschland-3-katholische-sueden-und-westen (https://fowid.de/meldung/deutschland-3-katholische-sueden-und-westen)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290.</w:t>
      </w:r>
      <w:r>
        <w:rPr>
          <w:rFonts w:ascii="Barlow Semi Condensed" w:cs="Barlow Semi Condensed" w:eastAsia="Barlow Semi Condensed" w:hAnsi="Barlow Semi Condensed"/>
          <w:sz w:val="24"/>
          <w:szCs w:val="24"/>
        </w:rPr>
        <w:t xml:space="preserve"> Perlentaucher — https://www.perlentaucher.de/buch/michael-hirschfeld/katholisches-milieu-und-vertriebene.html?r=print (https://www.perlentaucher.de/buch/michael-hirschfeld/katholisches-milieu-und-vertriebene.html?r=print)</w:t>
      </w:r>
    </w:p>
    <w:p>
      <w:pPr>
        <w:spacing w:after="120" w:line="276"/>
        <w:jc w:val="both"/>
      </w:pPr>
      <w:r>
        <w:rPr>
          <w:rFonts w:ascii="Barlow Semi Condensed" w:cs="Barlow Semi Condensed" w:eastAsia="Barlow Semi Condensed" w:hAnsi="Barlow Semi Condensed"/>
          <w:b/>
          <w:bCs/>
          <w:sz w:val="24"/>
          <w:szCs w:val="24"/>
        </w:rPr>
        <w:t xml:space="preserve">291.</w:t>
      </w:r>
      <w:r>
        <w:rPr>
          <w:rFonts w:ascii="Barlow Semi Condensed" w:cs="Barlow Semi Condensed" w:eastAsia="Barlow Semi Condensed" w:hAnsi="Barlow Semi Condensed"/>
          <w:sz w:val="24"/>
          <w:szCs w:val="24"/>
        </w:rPr>
        <w:t xml:space="preserve"> Wikipedia — https://en.wikipedia.org/wiki/Josef_Frings (https://en.wikipedia.org/wiki/Josef_Frings)</w:t>
      </w:r>
    </w:p>
    <w:p>
      <w:pPr>
        <w:spacing w:after="120" w:line="276"/>
        <w:jc w:val="both"/>
      </w:pPr>
      <w:r>
        <w:rPr>
          <w:rFonts w:ascii="Barlow Semi Condensed" w:cs="Barlow Semi Condensed" w:eastAsia="Barlow Semi Condensed" w:hAnsi="Barlow Semi Condensed"/>
          <w:b/>
          <w:bCs/>
          <w:sz w:val="24"/>
          <w:szCs w:val="24"/>
        </w:rPr>
        <w:t xml:space="preserve">292.</w:t>
      </w:r>
      <w:r>
        <w:rPr>
          <w:rFonts w:ascii="Barlow Semi Condensed" w:cs="Barlow Semi Condensed" w:eastAsia="Barlow Semi Condensed" w:hAnsi="Barlow Semi Condensed"/>
          <w:sz w:val="24"/>
          <w:szCs w:val="24"/>
        </w:rPr>
        <w:t xml:space="preserve"> Springer — https://link.springer.com/chapter/10.1007/978-3-322-88718-4_27 (https://link.springer.com/chapter/10.1007/978-3-322-88718-4_27)</w:t>
      </w:r>
    </w:p>
    <w:p>
      <w:pPr>
        <w:spacing w:after="120" w:line="276"/>
        <w:jc w:val="both"/>
      </w:pPr>
      <w:r>
        <w:rPr>
          <w:rFonts w:ascii="Barlow Semi Condensed" w:cs="Barlow Semi Condensed" w:eastAsia="Barlow Semi Condensed" w:hAnsi="Barlow Semi Condensed"/>
          <w:b/>
          <w:bCs/>
          <w:sz w:val="24"/>
          <w:szCs w:val="24"/>
        </w:rPr>
        <w:t xml:space="preserve">293.</w:t>
      </w:r>
      <w:r>
        <w:rPr>
          <w:rFonts w:ascii="Barlow Semi Condensed" w:cs="Barlow Semi Condensed" w:eastAsia="Barlow Semi Condensed" w:hAnsi="Barlow Semi Condensed"/>
          <w:sz w:val="24"/>
          <w:szCs w:val="24"/>
        </w:rPr>
        <w:t xml:space="preserve"> Opus Dei — https://opusdei.org/en/article/fragments-of-history-campus-muengersdorf/ (https://opusdei.org/en/article/fragments-of-history-campus-muengersdorf/)</w:t>
      </w:r>
    </w:p>
    <w:p>
      <w:pPr>
        <w:spacing w:after="120" w:line="276"/>
        <w:jc w:val="both"/>
      </w:pPr>
      <w:r>
        <w:rPr>
          <w:rFonts w:ascii="Barlow Semi Condensed" w:cs="Barlow Semi Condensed" w:eastAsia="Barlow Semi Condensed" w:hAnsi="Barlow Semi Condensed"/>
          <w:b/>
          <w:bCs/>
          <w:sz w:val="24"/>
          <w:szCs w:val="24"/>
        </w:rPr>
        <w:t xml:space="preserve">294.</w:t>
      </w:r>
      <w:r>
        <w:rPr>
          <w:rFonts w:ascii="Barlow Semi Condensed" w:cs="Barlow Semi Condensed" w:eastAsia="Barlow Semi Condensed" w:hAnsi="Barlow Semi Condensed"/>
          <w:sz w:val="24"/>
          <w:szCs w:val="24"/>
        </w:rPr>
        <w:t xml:space="preserve"> DeWiki — https://dewiki.de/Lexikon/Opus_Dei (https://dewiki.de/Lexikon/Opus_Dei)</w:t>
      </w:r>
    </w:p>
    <w:p>
      <w:pPr>
        <w:spacing w:after="120" w:line="276"/>
        <w:jc w:val="both"/>
      </w:pPr>
      <w:r>
        <w:rPr>
          <w:rFonts w:ascii="Barlow Semi Condensed" w:cs="Barlow Semi Condensed" w:eastAsia="Barlow Semi Condensed" w:hAnsi="Barlow Semi Condensed"/>
          <w:b/>
          <w:bCs/>
          <w:sz w:val="24"/>
          <w:szCs w:val="24"/>
        </w:rPr>
        <w:t xml:space="preserve">295.</w:t>
      </w:r>
      <w:r>
        <w:rPr>
          <w:rFonts w:ascii="Barlow Semi Condensed" w:cs="Barlow Semi Condensed" w:eastAsia="Barlow Semi Condensed" w:hAnsi="Barlow Semi Condensed"/>
          <w:sz w:val="24"/>
          <w:szCs w:val="24"/>
        </w:rPr>
        <w:t xml:space="preserve"> ISJE — https://www.isje.org/en/history-of-opus-dei/ (https://www.isje.org/en/history-of-opus-dei/)</w:t>
      </w:r>
    </w:p>
    <w:p>
      <w:pPr>
        <w:spacing w:after="120" w:line="276"/>
        <w:jc w:val="both"/>
      </w:pPr>
      <w:r>
        <w:rPr>
          <w:rFonts w:ascii="Barlow Semi Condensed" w:cs="Barlow Semi Condensed" w:eastAsia="Barlow Semi Condensed" w:hAnsi="Barlow Semi Condensed"/>
          <w:b/>
          <w:bCs/>
          <w:sz w:val="24"/>
          <w:szCs w:val="24"/>
        </w:rPr>
        <w:t xml:space="preserve">296.</w:t>
      </w:r>
      <w:r>
        <w:rPr>
          <w:rFonts w:ascii="Barlow Semi Condensed" w:cs="Barlow Semi Condensed" w:eastAsia="Barlow Semi Condensed" w:hAnsi="Barlow Semi Condensed"/>
          <w:sz w:val="24"/>
          <w:szCs w:val="24"/>
        </w:rPr>
        <w:t xml:space="preserve"> Opus Dei — https://opusdei.org/de-de/article/pressemitteilung-die-praelatur-opus-dei-in-mitteleuropa-stellt-sich-neu-auf-de/ (https://opusdei.org/de-de/article/pressemitteilung-die-praelatur-opus-dei-in-mitteleuropa-stellt-sich-neu-auf-de/)</w:t>
      </w:r>
    </w:p>
    <w:p>
      <w:pPr>
        <w:spacing w:after="120" w:line="276"/>
        <w:jc w:val="both"/>
      </w:pPr>
      <w:r>
        <w:rPr>
          <w:rFonts w:ascii="Barlow Semi Condensed" w:cs="Barlow Semi Condensed" w:eastAsia="Barlow Semi Condensed" w:hAnsi="Barlow Semi Condensed"/>
          <w:b/>
          <w:bCs/>
          <w:sz w:val="24"/>
          <w:szCs w:val="24"/>
        </w:rPr>
        <w:t xml:space="preserve">297.</w:t>
      </w:r>
      <w:r>
        <w:rPr>
          <w:rFonts w:ascii="Barlow Semi Condensed" w:cs="Barlow Semi Condensed" w:eastAsia="Barlow Semi Condensed" w:hAnsi="Barlow Semi Condensed"/>
          <w:sz w:val="24"/>
          <w:szCs w:val="24"/>
        </w:rPr>
        <w:t xml:space="preserve"> University of Navarra — https://en.unav.edu/web/josemaria-escriva-study-centre/opus-dei-y-prelados (https://en.unav.edu/web/josemaria-escriva-study-centre/opus-dei-y-prelados)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298.</w:t>
      </w:r>
      <w:r>
        <w:rPr>
          <w:rFonts w:ascii="Barlow Semi Condensed" w:cs="Barlow Semi Condensed" w:eastAsia="Barlow Semi Condensed" w:hAnsi="Barlow Semi Condensed"/>
          <w:sz w:val="24"/>
          <w:szCs w:val="24"/>
        </w:rPr>
        <w:t xml:space="preserve"> Opus Dei — https://opusdei.org/en-uk/article/history-of-opus-dei-in-britain/ (https://opusdei.org/en-uk/article/history-of-opus-dei-in-britain/)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299.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opus-info.org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 Opus-Info — https://www.opus-info.org/index.php/Statistik_der_Mitglieder_des_Opus_Dei (https://www.opus-info.org/index.php/Statistik_der_Mitglieder_des_Opus_Dei)</w:t>
      </w:r>
    </w:p>
    <w:p>
      <w:pPr>
        <w:spacing w:after="120" w:line="276"/>
        <w:jc w:val="both"/>
      </w:pPr>
      <w:r>
        <w:rPr>
          <w:rFonts w:ascii="Barlow Semi Condensed" w:cs="Barlow Semi Condensed" w:eastAsia="Barlow Semi Condensed" w:hAnsi="Barlow Semi Condensed"/>
          <w:b/>
          <w:bCs/>
          <w:sz w:val="24"/>
          <w:szCs w:val="24"/>
        </w:rPr>
        <w:t xml:space="preserve">301.</w:t>
      </w:r>
      <w:r>
        <w:rPr>
          <w:rFonts w:ascii="Barlow Semi Condensed" w:cs="Barlow Semi Condensed" w:eastAsia="Barlow Semi Condensed" w:hAnsi="Barlow Semi Condensed"/>
          <w:sz w:val="24"/>
          <w:szCs w:val="24"/>
        </w:rPr>
        <w:t xml:space="preserve"> Novaradio — https://novaradio.ch/deutsch/opus-dei/ (https://novaradio.ch/deutsch/opus-dei/)</w:t>
      </w:r>
    </w:p>
    <w:p>
      <w:pPr>
        <w:spacing w:after="120" w:line="276"/>
        <w:jc w:val="both"/>
      </w:pPr>
      <w:r>
        <w:rPr>
          <w:rFonts w:ascii="Barlow Semi Condensed" w:cs="Barlow Semi Condensed" w:eastAsia="Barlow Semi Condensed" w:hAnsi="Barlow Semi Condensed"/>
          <w:b/>
          <w:bCs/>
          <w:sz w:val="24"/>
          <w:szCs w:val="24"/>
        </w:rPr>
        <w:t xml:space="preserve">302.</w:t>
      </w:r>
      <w:r>
        <w:rPr>
          <w:rFonts w:ascii="Barlow Semi Condensed" w:cs="Barlow Semi Condensed" w:eastAsia="Barlow Semi Condensed" w:hAnsi="Barlow Semi Condensed"/>
          <w:sz w:val="24"/>
          <w:szCs w:val="24"/>
        </w:rPr>
        <w:t xml:space="preserve"> Antifaschistisches Infoblatt — https://antifainfoblatt.de/aib85/opus-dei-kampftruppe-gottes (https://antifainfoblatt.de/aib85/opus-dei-kampftruppe-gottes)</w:t>
      </w:r>
    </w:p>
    <w:p>
      <w:pPr>
        <w:spacing w:after="120" w:line="276"/>
        <w:jc w:val="both"/>
      </w:pPr>
      <w:r>
        <w:rPr>
          <w:rFonts w:ascii="Barlow Semi Condensed" w:cs="Barlow Semi Condensed" w:eastAsia="Barlow Semi Condensed" w:hAnsi="Barlow Semi Condensed"/>
          <w:b/>
          <w:bCs/>
          <w:sz w:val="24"/>
          <w:szCs w:val="24"/>
        </w:rPr>
        <w:t xml:space="preserve">303.</w:t>
      </w:r>
      <w:r>
        <w:rPr>
          <w:rFonts w:ascii="Barlow Semi Condensed" w:cs="Barlow Semi Condensed" w:eastAsia="Barlow Semi Condensed" w:hAnsi="Barlow Semi Condensed"/>
          <w:sz w:val="24"/>
          <w:szCs w:val="24"/>
        </w:rPr>
        <w:t xml:space="preserve"> Opus Dei — https://opusdei.org/de-de/article/dauerbrenner-opus-dei-verdachtigung/ (https://opusdei.org/de-de/article/dauerbrenner-opus-dei-verdachtigung/)</w:t>
      </w:r>
    </w:p>
    <w:p>
      <w:pPr>
        <w:spacing w:after="120" w:line="276"/>
        <w:jc w:val="both"/>
      </w:pPr>
      <w:r>
        <w:rPr>
          <w:rFonts w:ascii="Barlow Semi Condensed" w:cs="Barlow Semi Condensed" w:eastAsia="Barlow Semi Condensed" w:hAnsi="Barlow Semi Condensed"/>
          <w:b/>
          <w:bCs/>
          <w:sz w:val="24"/>
          <w:szCs w:val="24"/>
        </w:rPr>
        <w:t xml:space="preserve">304.</w:t>
      </w:r>
      <w:r>
        <w:rPr>
          <w:rFonts w:ascii="Barlow Semi Condensed" w:cs="Barlow Semi Condensed" w:eastAsia="Barlow Semi Condensed" w:hAnsi="Barlow Semi Condensed"/>
          <w:sz w:val="24"/>
          <w:szCs w:val="24"/>
        </w:rPr>
        <w:t xml:space="preserve"> Springer — https://link.springer.com/chapter/10.1007/978-3-322-95152-6_2 (https://link.springer.com/chapter/10.1007/978-3-322-95152-6_2)</w:t>
      </w:r>
    </w:p>
    <w:p>
      <w:pPr>
        <w:spacing w:after="120" w:line="276"/>
        <w:jc w:val="both"/>
      </w:pPr>
      <w:r>
        <w:rPr>
          <w:rFonts w:ascii="Barlow Semi Condensed" w:cs="Barlow Semi Condensed" w:eastAsia="Barlow Semi Condensed" w:hAnsi="Barlow Semi Condensed"/>
          <w:b/>
          <w:bCs/>
          <w:sz w:val="24"/>
          <w:szCs w:val="24"/>
        </w:rPr>
        <w:t xml:space="preserve">305.</w:t>
      </w:r>
      <w:r>
        <w:rPr>
          <w:rFonts w:ascii="Barlow Semi Condensed" w:cs="Barlow Semi Condensed" w:eastAsia="Barlow Semi Condensed" w:hAnsi="Barlow Semi Condensed"/>
          <w:sz w:val="24"/>
          <w:szCs w:val="24"/>
        </w:rPr>
        <w:t xml:space="preserve"> IBKA — https://www.ibka.org/artikel/miz86/opusdei.html (https://www.ibka.org/artikel/miz86/opusdei.html)</w:t>
      </w:r>
    </w:p>
    <w:p>
      <w:pPr>
        <w:spacing w:after="120" w:line="276"/>
        <w:jc w:val="both"/>
      </w:pPr>
      <w:r>
        <w:rPr>
          <w:rFonts w:ascii="Barlow Semi Condensed" w:cs="Barlow Semi Condensed" w:eastAsia="Barlow Semi Condensed" w:hAnsi="Barlow Semi Condensed"/>
          <w:b/>
          <w:bCs/>
          <w:sz w:val="24"/>
          <w:szCs w:val="24"/>
        </w:rPr>
        <w:t xml:space="preserve">306.</w:t>
      </w:r>
      <w:r>
        <w:rPr>
          <w:rFonts w:ascii="Barlow Semi Condensed" w:cs="Barlow Semi Condensed" w:eastAsia="Barlow Semi Condensed" w:hAnsi="Barlow Semi Condensed"/>
          <w:sz w:val="24"/>
          <w:szCs w:val="24"/>
        </w:rPr>
        <w:t xml:space="preserve"> Christian Science Monitor — https://www.csmonitor.com/1984/1231/123131.html (https://www.csmonitor.com/1984/1231/123131.html)</w:t>
      </w:r>
    </w:p>
    <w:p>
      <w:pPr>
        <w:spacing w:after="120" w:line="276"/>
        <w:jc w:val="both"/>
      </w:pPr>
      <w:r>
        <w:rPr>
          <w:rFonts w:ascii="Barlow Semi Condensed" w:cs="Barlow Semi Condensed" w:eastAsia="Barlow Semi Condensed" w:hAnsi="Barlow Semi Condensed"/>
          <w:b/>
          <w:bCs/>
          <w:sz w:val="24"/>
          <w:szCs w:val="24"/>
        </w:rPr>
        <w:t xml:space="preserve">307.</w:t>
      </w:r>
      <w:r>
        <w:rPr>
          <w:rFonts w:ascii="Barlow Semi Condensed" w:cs="Barlow Semi Condensed" w:eastAsia="Barlow Semi Condensed" w:hAnsi="Barlow Semi Condensed"/>
          <w:sz w:val="24"/>
          <w:szCs w:val="24"/>
        </w:rPr>
        <w:t xml:space="preserve"> Opus Dei — https://opusdei.org/de/article/die-personalpraelatur-opus-dei-wie-sie-organisiert-ist-und-wie-sie-arbeitet/ (https://opusdei.org/de/article/die-personalpraelatur-opus-dei-wie-sie-organisiert-ist-und-wie-sie-arbeitet/)</w:t>
      </w:r>
    </w:p>
    <w:p>
      <w:pPr>
        <w:spacing w:after="120" w:line="276"/>
        <w:jc w:val="both"/>
      </w:pPr>
      <w:r>
        <w:rPr>
          <w:rFonts w:ascii="Barlow Semi Condensed" w:cs="Barlow Semi Condensed" w:eastAsia="Barlow Semi Condensed" w:hAnsi="Barlow Semi Condensed"/>
          <w:b/>
          <w:bCs/>
          <w:sz w:val="24"/>
          <w:szCs w:val="24"/>
        </w:rPr>
        <w:t xml:space="preserve">308.</w:t>
      </w:r>
      <w:r>
        <w:rPr>
          <w:rFonts w:ascii="Barlow Semi Condensed" w:cs="Barlow Semi Condensed" w:eastAsia="Barlow Semi Condensed" w:hAnsi="Barlow Semi Condensed"/>
          <w:sz w:val="24"/>
          <w:szCs w:val="24"/>
        </w:rPr>
        <w:t xml:space="preserve"> Opus Dei — https://opusdei.org/it-it/article/prelatura-personale/ (https://opusdei.org/it-it/article/prelatura-personale/)</w:t>
      </w:r>
    </w:p>
    <w:p>
      <w:pPr>
        <w:spacing w:after="120" w:line="276"/>
        <w:jc w:val="both"/>
      </w:pPr>
      <w:r>
        <w:rPr>
          <w:rFonts w:ascii="Barlow Semi Condensed" w:cs="Barlow Semi Condensed" w:eastAsia="Barlow Semi Condensed" w:hAnsi="Barlow Semi Condensed"/>
          <w:b/>
          <w:bCs/>
          <w:sz w:val="24"/>
          <w:szCs w:val="24"/>
        </w:rPr>
        <w:t xml:space="preserve">309.</w:t>
      </w:r>
      <w:r>
        <w:rPr>
          <w:rFonts w:ascii="Barlow Semi Condensed" w:cs="Barlow Semi Condensed" w:eastAsia="Barlow Semi Condensed" w:hAnsi="Barlow Semi Condensed"/>
          <w:sz w:val="24"/>
          <w:szCs w:val="24"/>
        </w:rPr>
        <w:t xml:space="preserve"> Opus Dei — https://multimedia.opusdei.org/pdf/de/vorwuerfe.pdf (https://multimedia.opusdei.org/pdf/de/vorwuerfe.pdf)</w:t>
      </w:r>
    </w:p>
    <w:p>
      <w:pPr>
        <w:spacing w:after="120" w:line="276"/>
        <w:jc w:val="both"/>
      </w:pPr>
      <w:r>
        <w:rPr>
          <w:rFonts w:ascii="Barlow Semi Condensed" w:cs="Barlow Semi Condensed" w:eastAsia="Barlow Semi Condensed" w:hAnsi="Barlow Semi Condensed"/>
          <w:b/>
          <w:bCs/>
          <w:sz w:val="24"/>
          <w:szCs w:val="24"/>
        </w:rPr>
        <w:t xml:space="preserve">310.</w:t>
      </w:r>
      <w:r>
        <w:rPr>
          <w:rFonts w:ascii="Barlow Semi Condensed" w:cs="Barlow Semi Condensed" w:eastAsia="Barlow Semi Condensed" w:hAnsi="Barlow Semi Condensed"/>
          <w:sz w:val="24"/>
          <w:szCs w:val="24"/>
        </w:rPr>
        <w:t xml:space="preserve"> Esteri — https://www.esteri.it/it/ministero/storia/ministri_esteri/ (https://www.esteri.it/it/ministero/storia/ministri_esteri/)</w:t>
      </w:r>
    </w:p>
    <w:p>
      <w:pPr>
        <w:spacing w:after="120" w:line="276"/>
        <w:jc w:val="both"/>
      </w:pPr>
      <w:r>
        <w:rPr>
          <w:rFonts w:ascii="Barlow Semi Condensed" w:cs="Barlow Semi Condensed" w:eastAsia="Barlow Semi Condensed" w:hAnsi="Barlow Semi Condensed"/>
          <w:b/>
          <w:bCs/>
          <w:sz w:val="24"/>
          <w:szCs w:val="24"/>
        </w:rPr>
        <w:t xml:space="preserve">311.</w:t>
      </w:r>
      <w:r>
        <w:rPr>
          <w:rFonts w:ascii="Barlow Semi Condensed" w:cs="Barlow Semi Condensed" w:eastAsia="Barlow Semi Condensed" w:hAnsi="Barlow Semi Condensed"/>
          <w:sz w:val="24"/>
          <w:szCs w:val="24"/>
        </w:rPr>
        <w:t xml:space="preserve"> willy-brandt-biography +2 — https://www.willy-brandt-biography.com/travels/1967-1974/ (https://www.willy-brandt-biography.com/travels/1967-1974/)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312.</w:t>
      </w:r>
      <w:r>
        <w:rPr>
          <w:rFonts w:ascii="Barlow Semi Condensed" w:cs="Barlow Semi Condensed" w:eastAsia="Barlow Semi Condensed" w:hAnsi="Barlow Semi Condensed"/>
          <w:sz w:val="24"/>
          <w:szCs w:val="24"/>
        </w:rPr>
        <w:t xml:space="preserve"> Wikipedia — https://en.wikipedia.org/wiki/Kniefall_von_Warschau (https://en.wikipedia.org/wiki/Kniefall_von_Warschau)</w:t>
      </w:r>
    </w:p>
    <w:p>
      <w:pPr>
        <w:spacing w:after="120" w:line="276"/>
        <w:jc w:val="both"/>
      </w:pPr>
      <w:r>
        <w:rPr>
          <w:rFonts w:ascii="Barlow Semi Condensed" w:cs="Barlow Semi Condensed" w:eastAsia="Barlow Semi Condensed" w:hAnsi="Barlow Semi Condensed"/>
          <w:b/>
          <w:bCs/>
          <w:sz w:val="24"/>
          <w:szCs w:val="24"/>
        </w:rPr>
        <w:t xml:space="preserve">313.</w:t>
      </w:r>
      <w:r>
        <w:rPr>
          <w:rFonts w:ascii="Barlow Semi Condensed" w:cs="Barlow Semi Condensed" w:eastAsia="Barlow Semi Condensed" w:hAnsi="Barlow Semi Condensed"/>
          <w:sz w:val="24"/>
          <w:szCs w:val="24"/>
        </w:rPr>
        <w:t xml:space="preserve"> Dizie — https://www.dizie.eu/dizionario/ostpolitik/?print=pdf (https://www.dizie.eu/dizionario/ostpolitik/?print=pdf)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314.</w:t>
      </w:r>
      <w:r>
        <w:rPr>
          <w:rFonts w:ascii="Barlow Semi Condensed" w:cs="Barlow Semi Condensed" w:eastAsia="Barlow Semi Condensed" w:hAnsi="Barlow Semi Condensed"/>
          <w:sz w:val="24"/>
          <w:szCs w:val="24"/>
        </w:rPr>
        <w:t xml:space="preserve"> LuissThesis — https://tesi.luiss.it/34225/1/090762_DI%20NARDO_FRANCESCO.pdf (https://tesi.luiss.it/34225/1/090762_DI%20NARDO_FRANCESCO.pdf)</w:t>
      </w:r>
    </w:p>
    <w:p>
      <w:pPr>
        <w:spacing w:after="120" w:line="276"/>
        <w:jc w:val="both"/>
      </w:pPr>
      <w:r>
        <w:rPr>
          <w:rFonts w:ascii="Barlow Semi Condensed" w:cs="Barlow Semi Condensed" w:eastAsia="Barlow Semi Condensed" w:hAnsi="Barlow Semi Condensed"/>
          <w:b/>
          <w:bCs/>
          <w:sz w:val="24"/>
          <w:szCs w:val="24"/>
        </w:rPr>
        <w:t xml:space="preserve">315.</w:t>
      </w:r>
      <w:r>
        <w:rPr>
          <w:rFonts w:ascii="Barlow Semi Condensed" w:cs="Barlow Semi Condensed" w:eastAsia="Barlow Semi Condensed" w:hAnsi="Barlow Semi Condensed"/>
          <w:sz w:val="24"/>
          <w:szCs w:val="24"/>
        </w:rPr>
        <w:t xml:space="preserve"> Berchet — https://liceoberchet.edu.it/ricerche/geo5d_06/csi/ostpolitik.htm (https://liceoberchet.edu.it/ricerche/geo5d_06/csi/ostpolitik.htm)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316.</w:t>
      </w:r>
      <w:r>
        <w:rPr>
          <w:rFonts w:ascii="Barlow Semi Condensed" w:cs="Barlow Semi Condensed" w:eastAsia="Barlow Semi Condensed" w:hAnsi="Barlow Semi Condensed"/>
          <w:sz w:val="24"/>
          <w:szCs w:val="24"/>
        </w:rPr>
        <w:t xml:space="preserve"> SISSCO — https://www.sissco.it/recensione-annale/la-ddr-e-litalia-politica-commercio-e-ideologia-nelleuropa-del-cambiamento-1973-1985/ (https://www.sissco.it/recensione-annale/la-ddr-e-litalia-politica-commercio-e-ideologia-nelleuropa-del-cambiamento-1973-1985/)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317.</w:t>
      </w:r>
      <w:r>
        <w:rPr>
          <w:rFonts w:ascii="Barlow Semi Condensed" w:cs="Barlow Semi Condensed" w:eastAsia="Barlow Semi Condensed" w:hAnsi="Barlow Semi Condensed"/>
          <w:sz w:val="24"/>
          <w:szCs w:val="24"/>
        </w:rPr>
        <w:t xml:space="preserve"> Fbk — https://aro-isig.fbk.eu/issues/2018/1/la-ddr-e-litalia-teresa-malice/pdf/ (https://aro-isig.fbk.eu/issues/2018/1/la-ddr-e-litalia-teresa-malice/pdf/)</w:t>
      </w:r>
    </w:p>
    <w:p>
      <w:pPr>
        <w:spacing w:after="120" w:line="276"/>
        <w:jc w:val="both"/>
      </w:pPr>
      <w:r>
        <w:rPr>
          <w:rFonts w:ascii="Barlow Semi Condensed" w:cs="Barlow Semi Condensed" w:eastAsia="Barlow Semi Condensed" w:hAnsi="Barlow Semi Condensed"/>
          <w:b/>
          <w:bCs/>
          <w:sz w:val="24"/>
          <w:szCs w:val="24"/>
        </w:rPr>
        <w:t xml:space="preserve">318.</w:t>
      </w:r>
      <w:r>
        <w:rPr>
          <w:rFonts w:ascii="Barlow Semi Condensed" w:cs="Barlow Semi Condensed" w:eastAsia="Barlow Semi Condensed" w:hAnsi="Barlow Semi Condensed"/>
          <w:sz w:val="24"/>
          <w:szCs w:val="24"/>
        </w:rPr>
        <w:t xml:space="preserve"> SEHEPUNKTE — https://www.sehepunkte.de/2018/04/31274.html (https://www.sehepunkte.de/2018/04/31274.html)</w:t>
      </w:r>
    </w:p>
    <w:p>
      <w:pPr>
        <w:spacing w:after="120" w:line="276"/>
        <w:jc w:val="both"/>
      </w:pPr>
      <w:r>
        <w:rPr>
          <w:rFonts w:ascii="Barlow Semi Condensed" w:cs="Barlow Semi Condensed" w:eastAsia="Barlow Semi Condensed" w:hAnsi="Barlow Semi Condensed"/>
          <w:b/>
          <w:bCs/>
          <w:sz w:val="24"/>
          <w:szCs w:val="24"/>
        </w:rPr>
        <w:t xml:space="preserve">319.</w:t>
      </w:r>
      <w:r>
        <w:rPr>
          <w:rFonts w:ascii="Barlow Semi Condensed" w:cs="Barlow Semi Condensed" w:eastAsia="Barlow Semi Condensed" w:hAnsi="Barlow Semi Condensed"/>
          <w:sz w:val="24"/>
          <w:szCs w:val="24"/>
        </w:rPr>
        <w:t xml:space="preserve"> Wordpress — https://diplosor.wordpress.com/documentario-con-i-filmati-dellamb-mario-luciolli-1964-1984/ (https://diplosor.wordpress.com/documentario-con-i-filmati-dellamb-mario-luciolli-1964-1984/)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320.</w:t>
      </w:r>
      <w:r>
        <w:rPr>
          <w:rFonts w:ascii="Barlow Semi Condensed" w:cs="Barlow Semi Condensed" w:eastAsia="Barlow Semi Condensed" w:hAnsi="Barlow Semi Condensed"/>
          <w:sz w:val="24"/>
          <w:szCs w:val="24"/>
        </w:rPr>
        <w:t xml:space="preserve"> Archive of European Integration — https://aei.pitt.edu/1451/1/hague_1969.pdf (https://aei.pitt.edu/1451/1/hague_1969.pdf)</w:t>
      </w:r>
    </w:p>
    <w:p>
      <w:pPr>
        <w:spacing w:after="120" w:line="276"/>
        <w:jc w:val="both"/>
      </w:pPr>
      <w:r>
        <w:rPr>
          <w:rFonts w:ascii="Barlow Semi Condensed" w:cs="Barlow Semi Condensed" w:eastAsia="Barlow Semi Condensed" w:hAnsi="Barlow Semi Condensed"/>
          <w:b/>
          <w:bCs/>
          <w:sz w:val="24"/>
          <w:szCs w:val="24"/>
        </w:rPr>
        <w:t xml:space="preserve">321.</w:t>
      </w:r>
      <w:r>
        <w:rPr>
          <w:rFonts w:ascii="Barlow Semi Condensed" w:cs="Barlow Semi Condensed" w:eastAsia="Barlow Semi Condensed" w:hAnsi="Barlow Semi Condensed"/>
          <w:sz w:val="24"/>
          <w:szCs w:val="24"/>
        </w:rPr>
        <w:t xml:space="preserve"> bpb — https://www.bpb.de/kurz-knapp/hintergrund-aktuell/324552/erstes-anwerbeabkommen-vor-65-jahren/ (https://www.bpb.de/kurz-knapp/hintergrund-aktuell/324552/erstes-anwerbeabkommen-vor-65-jahren/)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322.</w:t>
      </w:r>
      <w:r>
        <w:rPr>
          <w:rFonts w:ascii="Barlow Semi Condensed" w:cs="Barlow Semi Condensed" w:eastAsia="Barlow Semi Condensed" w:hAnsi="Barlow Semi Condensed"/>
          <w:sz w:val="24"/>
          <w:szCs w:val="24"/>
        </w:rPr>
        <w:t xml:space="preserve"> Fondazione Migrantes — https://www.migrantes.it/1955-2015-gastarbeiter-un-viaggio-lungo-60-anni/ (https://www.migrantes.it/1955-2015-gastarbeiter-un-viaggio-lungo-60-anni/)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323.</w:t>
      </w:r>
      <w:r>
        <w:rPr>
          <w:rFonts w:ascii="Barlow Semi Condensed" w:cs="Barlow Semi Condensed" w:eastAsia="Barlow Semi Condensed" w:hAnsi="Barlow Semi Condensed"/>
          <w:sz w:val="24"/>
          <w:szCs w:val="24"/>
        </w:rPr>
        <w:t xml:space="preserve"> Stampa Parlamento — https://www.stampaparlamento.it/2022/03/04/laccordo-italo-tedesco-del-20-dicembre-1955/ (https://www.stampaparlamento.it/2022/03/04/laccordo-italo-tedesco-del-20-dicembre-1955/)</w:t>
      </w:r>
    </w:p>
    <w:p>
      <w:pPr>
        <w:spacing w:after="120" w:line="276"/>
        <w:jc w:val="both"/>
      </w:pPr>
      <w:r>
        <w:rPr>
          <w:rFonts w:ascii="Barlow Semi Condensed" w:cs="Barlow Semi Condensed" w:eastAsia="Barlow Semi Condensed" w:hAnsi="Barlow Semi Condensed"/>
          <w:b/>
          <w:bCs/>
          <w:sz w:val="24"/>
          <w:szCs w:val="24"/>
        </w:rPr>
        <w:t xml:space="preserve">324.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bpb.de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325.</w:t>
      </w:r>
      <w:r>
        <w:rPr>
          <w:rFonts w:ascii="Barlow Semi Condensed" w:cs="Barlow Semi Condensed" w:eastAsia="Barlow Semi Condensed" w:hAnsi="Barlow Semi Condensed"/>
          <w:sz w:val="24"/>
          <w:szCs w:val="24"/>
        </w:rPr>
        <w:t xml:space="preserve"> Wikipedia — https://de.wikipedia.org/wiki/Anwerbeabkommen_zwischen_der_Bundesrepublik_Deutschland_und_Italien (https://de.wikipedia.org/wiki/Anwerbeabkommen_zwischen_der_Bundesrepublik_Deutschland_und_Italien)</w:t>
      </w:r>
    </w:p>
    <w:p>
      <w:pPr>
        <w:spacing w:after="120" w:line="276"/>
        <w:jc w:val="both"/>
      </w:pPr>
      <w:r>
        <w:rPr>
          <w:rFonts w:ascii="Barlow Semi Condensed" w:cs="Barlow Semi Condensed" w:eastAsia="Barlow Semi Condensed" w:hAnsi="Barlow Semi Condensed"/>
          <w:b/>
          <w:bCs/>
          <w:sz w:val="24"/>
          <w:szCs w:val="24"/>
        </w:rPr>
        <w:t xml:space="preserve">326.</w:t>
      </w:r>
      <w:r>
        <w:rPr>
          <w:rFonts w:ascii="Barlow Semi Condensed" w:cs="Barlow Semi Condensed" w:eastAsia="Barlow Semi Condensed" w:hAnsi="Barlow Semi Condensed"/>
          <w:sz w:val="24"/>
          <w:szCs w:val="24"/>
        </w:rPr>
        <w:t xml:space="preserve"> Storicamente — https://storicamente.org/migrazioni-prontera (https://storicamente.org/migrazioni-prontera)</w:t>
      </w:r>
    </w:p>
    <w:p>
      <w:pPr>
        <w:spacing w:after="120" w:line="276"/>
        <w:jc w:val="both"/>
      </w:pPr>
      <w:r>
        <w:rPr>
          <w:rFonts w:ascii="Barlow Semi Condensed" w:cs="Barlow Semi Condensed" w:eastAsia="Barlow Semi Condensed" w:hAnsi="Barlow Semi Condensed"/>
          <w:b/>
          <w:bCs/>
          <w:sz w:val="24"/>
          <w:szCs w:val="24"/>
        </w:rPr>
        <w:t xml:space="preserve">327.</w:t>
      </w:r>
      <w:r>
        <w:rPr>
          <w:rFonts w:ascii="Barlow Semi Condensed" w:cs="Barlow Semi Condensed" w:eastAsia="Barlow Semi Condensed" w:hAnsi="Barlow Semi Condensed"/>
          <w:sz w:val="24"/>
          <w:szCs w:val="24"/>
        </w:rPr>
        <w:t xml:space="preserve"> CVCE — https://www.cvce.eu/en/recherche/unit-content/-/unit/02bb76df-d066-4c08-a58a-d4686a3e68ff/a4b76b9e-9b8b-4752-9657-05e26c5a1f5d (https://www.cvce.eu/en/recherche/unit-content/-/unit/02bb76df-d066-4c08-a58a-d4686a3e68ff/a4b76b9e-9b8b-4752-9657-05e26c5a1f5d)</w:t>
      </w:r>
    </w:p>
    <w:p>
      <w:pPr>
        <w:spacing w:after="120" w:line="276"/>
        <w:jc w:val="both"/>
      </w:pPr>
      <w:r>
        <w:rPr>
          <w:rFonts w:ascii="Barlow Semi Condensed" w:cs="Barlow Semi Condensed" w:eastAsia="Barlow Semi Condensed" w:hAnsi="Barlow Semi Condensed"/>
          <w:b/>
          <w:bCs/>
          <w:sz w:val="24"/>
          <w:szCs w:val="24"/>
        </w:rPr>
        <w:t xml:space="preserve">328.</w:t>
      </w:r>
      <w:r>
        <w:rPr>
          <w:rFonts w:ascii="Barlow Semi Condensed" w:cs="Barlow Semi Condensed" w:eastAsia="Barlow Semi Condensed" w:hAnsi="Barlow Semi Condensed"/>
          <w:sz w:val="24"/>
          <w:szCs w:val="24"/>
        </w:rPr>
        <w:t xml:space="preserve"> Officinadellastoria — https://www.officinadellastoria.eu/it/2018/07/19/leuropa-tra-crisi-e-rilancio-il-vertice-dellaja-del-1969/ (https://www.officinadellastoria.eu/it/2018/07/19/leuropa-tra-crisi-e-rilancio-il-vertice-dellaja-del-1969/)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329.</w:t>
      </w:r>
      <w:r>
        <w:rPr>
          <w:rFonts w:ascii="Barlow Semi Condensed" w:cs="Barlow Semi Condensed" w:eastAsia="Barlow Semi Condensed" w:hAnsi="Barlow Semi Condensed"/>
          <w:sz w:val="24"/>
          <w:szCs w:val="24"/>
        </w:rPr>
        <w:t xml:space="preserve"> vLex — https://eu.vlex.com/vid/werner-istituzioni-governo-monetario-264867494 (https://eu.vlex.com/vid/werner-istituzioni-governo-monetario-264867494)</w:t>
      </w:r>
    </w:p>
    <w:p>
      <w:pPr>
        <w:spacing w:after="120" w:line="276"/>
        <w:jc w:val="both"/>
      </w:pPr>
      <w:r>
        <w:rPr>
          <w:rFonts w:ascii="Barlow Semi Condensed" w:cs="Barlow Semi Condensed" w:eastAsia="Barlow Semi Condensed" w:hAnsi="Barlow Semi Condensed"/>
          <w:b/>
          <w:bCs/>
          <w:sz w:val="24"/>
          <w:szCs w:val="24"/>
        </w:rPr>
        <w:t xml:space="preserve">330.</w:t>
      </w:r>
      <w:r>
        <w:rPr>
          <w:rFonts w:ascii="Barlow Semi Condensed" w:cs="Barlow Semi Condensed" w:eastAsia="Barlow Semi Condensed" w:hAnsi="Barlow Semi Condensed"/>
          <w:sz w:val="24"/>
          <w:szCs w:val="24"/>
        </w:rPr>
        <w:t xml:space="preserve"> Unibo — https://aldomorodigitale.unibo.it/additional_resources/?id=141&amp;type=essay (https://aldomorodigitale.unibo.it/additional_resources/?id=141&amp;type=essay)</w:t>
      </w:r>
    </w:p>
    <w:p>
      <w:pPr>
        <w:spacing w:after="120" w:line="276"/>
        <w:jc w:val="both"/>
      </w:pPr>
      <w:r>
        <w:rPr>
          <w:rFonts w:ascii="Barlow Semi Condensed" w:cs="Barlow Semi Condensed" w:eastAsia="Barlow Semi Condensed" w:hAnsi="Barlow Semi Condensed"/>
          <w:b/>
          <w:bCs/>
          <w:sz w:val="24"/>
          <w:szCs w:val="24"/>
        </w:rPr>
        <w:t xml:space="preserve">331.</w:t>
      </w:r>
      <w:r>
        <w:rPr>
          <w:rFonts w:ascii="Barlow Semi Condensed" w:cs="Barlow Semi Condensed" w:eastAsia="Barlow Semi Condensed" w:hAnsi="Barlow Semi Condensed"/>
          <w:sz w:val="24"/>
          <w:szCs w:val="24"/>
        </w:rPr>
        <w:t xml:space="preserve"> Unipd — https://thesis.unipd.it/retrieve/a718646f-1fb5-445a-9b20-aeb407baaafb/Petrila_Andreea_Roxana.pdf (https://thesis.unipd.it/retrieve/a718646f-1fb5-445a-9b20-aeb407baaafb/Petrila_Andreea_Roxana.pdf)</w:t>
      </w:r>
    </w:p>
    <w:p>
      <w:pPr>
        <w:spacing w:after="120" w:line="276"/>
        <w:jc w:val="both"/>
      </w:pPr>
      <w:r>
        <w:rPr>
          <w:rFonts w:ascii="Barlow Semi Condensed" w:cs="Barlow Semi Condensed" w:eastAsia="Barlow Semi Condensed" w:hAnsi="Barlow Semi Condensed"/>
          <w:b/>
          <w:bCs/>
          <w:sz w:val="24"/>
          <w:szCs w:val="24"/>
        </w:rPr>
        <w:t xml:space="preserve">332.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333.</w:t>
      </w:r>
      <w:r>
        <w:rPr>
          <w:rFonts w:ascii="Barlow Semi Condensed" w:cs="Barlow Semi Condensed" w:eastAsia="Barlow Semi Condensed" w:hAnsi="Barlow Semi Condensed"/>
          <w:sz w:val="24"/>
          <w:szCs w:val="24"/>
        </w:rPr>
        <w:t xml:space="preserve"> Freie Universität Berlin — https://www.geisteswissenschaften.fu-berlin.de/it/italienzentrum/forschung-lehre/Gastdozent_innen/Ex-docenti/Filippo-Triola/index.html (https://www.geisteswissenschaften.fu-berlin.de/it/italienzentrum/forschung-lehre/Gastdozent_innen/Ex-docenti/Filippo-Triola/index.html)</w:t>
      </w:r>
    </w:p>
    <w:p>
      <w:pPr>
        <w:spacing w:after="120" w:line="276"/>
        <w:jc w:val="both"/>
      </w:pPr>
      <w:r>
        <w:rPr>
          <w:rFonts w:ascii="Barlow Semi Condensed" w:cs="Barlow Semi Condensed" w:eastAsia="Barlow Semi Condensed" w:hAnsi="Barlow Semi Condensed"/>
          <w:b/>
          <w:bCs/>
          <w:sz w:val="24"/>
          <w:szCs w:val="24"/>
        </w:rPr>
        <w:t xml:space="preserve">334.</w:t>
      </w:r>
      <w:r>
        <w:rPr>
          <w:rFonts w:ascii="Barlow Semi Condensed" w:cs="Barlow Semi Condensed" w:eastAsia="Barlow Semi Condensed" w:hAnsi="Barlow Semi Condensed"/>
          <w:sz w:val="24"/>
          <w:szCs w:val="24"/>
        </w:rPr>
        <w:t xml:space="preserve"> Unibo — https://amsdottorato.unibo.it/id/eprint/5721/1/Triola_Flippo_Tesi.pdf (https://amsdottorato.unibo.it/id/eprint/5721/1/Triola_Flippo_Tesi.pdf)</w:t>
      </w:r>
    </w:p>
    <w:p>
      <w:pPr>
        <w:pStyle w:val="Heading3"/>
        <w:spacing w:after="80" w:before="160"/>
      </w:pPr>
      <w:r>
        <w:rPr>
          <w:rFonts w:ascii="Barlow Semi Condensed" w:cs="Barlow Semi Condensed" w:eastAsia="Barlow Semi Condensed" w:hAnsi="Barlow Semi Condensed"/>
          <w:sz w:val="24"/>
          <w:szCs w:val="24"/>
        </w:rPr>
        <w:t xml:space="preserve">Libro dodicesimo · IV — La Santa Sede e le due Germanie: la sequenza Oder-Neisse</w:t>
      </w:r>
    </w:p>
    <w:p>
      <w:pPr>
        <w:spacing w:after="120" w:line="276"/>
        <w:jc w:val="both"/>
      </w:pPr>
      <w:r>
        <w:rPr>
          <w:rFonts w:ascii="Barlow Semi Condensed" w:cs="Barlow Semi Condensed" w:eastAsia="Barlow Semi Condensed" w:hAnsi="Barlow Semi Condensed"/>
          <w:b/>
          <w:bCs/>
          <w:sz w:val="24"/>
          <w:szCs w:val="24"/>
        </w:rPr>
        <w:t xml:space="preserve">335.</w:t>
      </w:r>
      <w:r>
        <w:rPr>
          <w:rFonts w:ascii="Barlow Semi Condensed" w:cs="Barlow Semi Condensed" w:eastAsia="Barlow Semi Condensed" w:hAnsi="Barlow Semi Condensed"/>
          <w:sz w:val="24"/>
          <w:szCs w:val="24"/>
        </w:rPr>
        <w:t xml:space="preserve"> Vatican — https://www.vatican.va/content/paul-vi/la/apost_constitutions/documents/hf_p-vi_apc_19720628_vratislaviensis.html (https://www.vatican.va/content/paul-vi/la/apost_constitutions/documents/hf_p-vi_apc_19720628_vratislaviensis.html)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336.</w:t>
      </w:r>
      <w:r>
        <w:rPr>
          <w:rFonts w:ascii="Barlow Semi Condensed" w:cs="Barlow Semi Condensed" w:eastAsia="Barlow Semi Condensed" w:hAnsi="Barlow Semi Condensed"/>
          <w:sz w:val="24"/>
          <w:szCs w:val="24"/>
        </w:rPr>
        <w:t xml:space="preserve"> zapiskihistoryczne — https://www.zapiskihistoryczne.pl/files/issues/3eec121a6dde7c3b4e34b1c06bd7524a_ZH_2017_3_07_ENG_Bialkowski_N.pdf (https://www.zapiskihistoryczne.pl/files/issues/3eec121a6dde7c3b4e34b1c06bd7524a_ZH_2017_3_07_ENG_Bialkowski_N.pdf)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337.</w:t>
      </w:r>
      <w:r>
        <w:rPr>
          <w:rFonts w:ascii="Barlow Semi Condensed" w:cs="Barlow Semi Condensed" w:eastAsia="Barlow Semi Condensed" w:hAnsi="Barlow Semi Condensed"/>
          <w:sz w:val="24"/>
          <w:szCs w:val="24"/>
        </w:rPr>
        <w:t xml:space="preserve"> uni-oldenburg — https://ome-lexikon.uni-oldenburg.de/begriffe/briefwechsel-der-polnischen-und-deutschen-bischoefe (https://ome-lexikon.uni-oldenburg.de/begriffe/briefwechsel-der-polnischen-und-deutschen-bischoefe)</w:t>
      </w:r>
    </w:p>
    <w:p>
      <w:pPr>
        <w:spacing w:after="120" w:line="276"/>
        <w:jc w:val="both"/>
      </w:pPr>
      <w:r>
        <w:rPr>
          <w:rFonts w:ascii="Barlow Semi Condensed" w:cs="Barlow Semi Condensed" w:eastAsia="Barlow Semi Condensed" w:hAnsi="Barlow Semi Condensed"/>
          <w:b/>
          <w:bCs/>
          <w:sz w:val="24"/>
          <w:szCs w:val="24"/>
        </w:rPr>
        <w:t xml:space="preserve">338.</w:t>
      </w:r>
      <w:r>
        <w:rPr>
          <w:rFonts w:ascii="Barlow Semi Condensed" w:cs="Barlow Semi Condensed" w:eastAsia="Barlow Semi Condensed" w:hAnsi="Barlow Semi Condensed"/>
          <w:sz w:val="24"/>
          <w:szCs w:val="24"/>
        </w:rPr>
        <w:t xml:space="preserve"> SettimanaNews — https://www.settimananews.it/vescovi/guerra-fragile-memoria/ (https://www.settimananews.it/vescovi/guerra-fragile-memoria/)</w:t>
      </w:r>
    </w:p>
    <w:p>
      <w:pPr>
        <w:spacing w:after="120" w:line="276"/>
        <w:jc w:val="both"/>
      </w:pPr>
      <w:r>
        <w:rPr>
          <w:rFonts w:ascii="Barlow Semi Condensed" w:cs="Barlow Semi Condensed" w:eastAsia="Barlow Semi Condensed" w:hAnsi="Barlow Semi Condensed"/>
          <w:b/>
          <w:bCs/>
          <w:sz w:val="24"/>
          <w:szCs w:val="24"/>
        </w:rPr>
        <w:t xml:space="preserve">339.</w:t>
      </w:r>
      <w:r>
        <w:rPr>
          <w:rFonts w:ascii="Barlow Semi Condensed" w:cs="Barlow Semi Condensed" w:eastAsia="Barlow Semi Condensed" w:hAnsi="Barlow Semi Condensed"/>
          <w:sz w:val="24"/>
          <w:szCs w:val="24"/>
        </w:rPr>
        <w:t xml:space="preserve"> SettimanaNews — https://www.settimananews.it/chiesa/polonia-il-primate-del-millennio/ (https://www.settimananews.it/chiesa/polonia-il-primate-del-millennio/)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340.</w:t>
      </w:r>
      <w:r>
        <w:rPr>
          <w:rFonts w:ascii="Barlow Semi Condensed" w:cs="Barlow Semi Condensed" w:eastAsia="Barlow Semi Condensed" w:hAnsi="Barlow Semi Condensed"/>
          <w:sz w:val="24"/>
          <w:szCs w:val="24"/>
        </w:rPr>
        <w:t xml:space="preserve"> Zenit — https://it.zenit.org/2015/10/26/un-messaggio-che-fu-un-atto-di-coraggio-dell-episcopato-polacco/ (https://it.zenit.org/2015/10/26/un-messaggio-che-fu-un-atto-di-coraggio-dell-episcopato-polacco/)</w:t>
      </w:r>
    </w:p>
    <w:p>
      <w:pPr>
        <w:spacing w:after="120" w:line="276"/>
        <w:jc w:val="both"/>
      </w:pPr>
      <w:r>
        <w:rPr>
          <w:rFonts w:ascii="Barlow Semi Condensed" w:cs="Barlow Semi Condensed" w:eastAsia="Barlow Semi Condensed" w:hAnsi="Barlow Semi Condensed"/>
          <w:b/>
          <w:bCs/>
          <w:sz w:val="24"/>
          <w:szCs w:val="24"/>
        </w:rPr>
        <w:t xml:space="preserve">341.</w:t>
      </w:r>
      <w:r>
        <w:rPr>
          <w:rFonts w:ascii="Barlow Semi Condensed" w:cs="Barlow Semi Condensed" w:eastAsia="Barlow Semi Condensed" w:hAnsi="Barlow Semi Condensed"/>
          <w:sz w:val="24"/>
          <w:szCs w:val="24"/>
        </w:rPr>
        <w:t xml:space="preserve"> Konrad-Adenauer-Stiftung — https://www.kas.de/en/web/geschichte-der-cdu/calendar-detail/-/content/der-bundestag-ratifiziert-den-moskauer-und-den-warschauer-vertrag-und-stimmt-der-gemeinsamen-entschl (https://www.kas.de/en/web/geschichte-der-cdu/calendar-detail/-/content/der-bundestag-ratifiziert-den-moskauer-und-den-warschauer-vertrag-und-stimmt-der-gemeinsamen-entschl)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342.</w:t>
      </w:r>
      <w:r>
        <w:rPr>
          <w:rFonts w:ascii="Barlow Semi Condensed" w:cs="Barlow Semi Condensed" w:eastAsia="Barlow Semi Condensed" w:hAnsi="Barlow Semi Condensed"/>
          <w:sz w:val="24"/>
          <w:szCs w:val="24"/>
        </w:rPr>
        <w:t xml:space="preserve"> dpa Picture-Alliance — https://www.picture-alliance.com/en/webseries/2022-05-17-50-years-ago-eastern-treaties-with-the-soviet-union-and-poland-passed-in-the-bundestag-w287155 (https://www.picture-alliance.com/en/webseries/2022-05-17-50-years-ago-eastern-treaties-with-the-soviet-union-and-poland-passed-in-the-bundestag-w287155)</w:t>
      </w:r>
    </w:p>
    <w:p>
      <w:pPr>
        <w:spacing w:after="120" w:line="276"/>
        <w:jc w:val="both"/>
      </w:pPr>
      <w:r>
        <w:rPr>
          <w:rFonts w:ascii="Barlow Semi Condensed" w:cs="Barlow Semi Condensed" w:eastAsia="Barlow Semi Condensed" w:hAnsi="Barlow Semi Condensed"/>
          <w:b/>
          <w:bCs/>
          <w:sz w:val="24"/>
          <w:szCs w:val="24"/>
        </w:rPr>
        <w:t xml:space="preserve">343.</w:t>
      </w:r>
      <w:r>
        <w:rPr>
          <w:rFonts w:ascii="Barlow Semi Condensed" w:cs="Barlow Semi Condensed" w:eastAsia="Barlow Semi Condensed" w:hAnsi="Barlow Semi Condensed"/>
          <w:sz w:val="24"/>
          <w:szCs w:val="24"/>
        </w:rPr>
        <w:t xml:space="preserve"> Wikipedia — https://pl.wikipedia.org/wiki/Episcoporum_Poloniae_coetus (https://pl.wikipedia.org/wiki/Episcoporum_Poloniae_coetus)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En Academic — https://en-academic.com/dic.nsf/enwiki/3499690 (https://en-academic.com/dic.nsf/enwiki/3499690)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345.</w:t>
      </w:r>
      <w:r>
        <w:rPr>
          <w:rFonts w:ascii="Barlow Semi Condensed" w:cs="Barlow Semi Condensed" w:eastAsia="Barlow Semi Condensed" w:hAnsi="Barlow Semi Condensed"/>
          <w:sz w:val="24"/>
          <w:szCs w:val="24"/>
        </w:rPr>
        <w:t xml:space="preserve"> diecezjakoszalin — https://www.diecezjakoszalin.pl/bulla-episcoporum-poloniae-coetus (https://www.diecezjakoszalin.pl/bulla-episcoporum-poloniae-coetus)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346.</w:t>
      </w:r>
      <w:r>
        <w:rPr>
          <w:rFonts w:ascii="Barlow Semi Condensed" w:cs="Barlow Semi Condensed" w:eastAsia="Barlow Semi Condensed" w:hAnsi="Barlow Semi Condensed"/>
          <w:sz w:val="24"/>
          <w:szCs w:val="24"/>
        </w:rPr>
        <w:t xml:space="preserve"> Diecezji Zielonogórsko-Gorzowskiej — https://diecezjazg.pl/45-lat-episcoporum-poloniae-coetus/ (https://diecezjazg.pl/45-lat-episcoporum-poloniae-coetus/)</w:t>
      </w:r>
    </w:p>
    <w:p>
      <w:pPr>
        <w:spacing w:after="120" w:line="276"/>
        <w:jc w:val="both"/>
      </w:pPr>
      <w:r>
        <w:rPr>
          <w:rFonts w:ascii="Barlow Semi Condensed" w:cs="Barlow Semi Condensed" w:eastAsia="Barlow Semi Condensed" w:hAnsi="Barlow Semi Condensed"/>
          <w:b/>
          <w:bCs/>
          <w:sz w:val="24"/>
          <w:szCs w:val="24"/>
        </w:rPr>
        <w:t xml:space="preserve">347.</w:t>
      </w:r>
      <w:r>
        <w:rPr>
          <w:rFonts w:ascii="Barlow Semi Condensed" w:cs="Barlow Semi Condensed" w:eastAsia="Barlow Semi Condensed" w:hAnsi="Barlow Semi Condensed"/>
          <w:sz w:val="24"/>
          <w:szCs w:val="24"/>
        </w:rPr>
        <w:t xml:space="preserve"> Cambridge Core — https://www.cambridge.org/core/journals/church-history/article/diplomatic-relations-between-poland-and-the-holy-see-and-the-vaticans-ostpolitik-from-the-perspective-of-cardinal-stefan-wyszynski-primate-of-poland-19481981/FFE51F5CC9F89D956808883C94F59F37 (https://www.cambridge.org/core/journals/church-history/article/diplomatic-relations-between-poland-and-the-holy-see-and-the-vaticans-ostpolitik-from-the-perspective-of-cardinal-stefan-wyszynski-primate-of-poland-19481981/FFE51F5CC9F89D956808883C94F59F37)</w:t>
      </w:r>
    </w:p>
    <w:p>
      <w:pPr>
        <w:spacing w:after="120" w:line="276"/>
        <w:jc w:val="both"/>
      </w:pPr>
      <w:r>
        <w:rPr>
          <w:rFonts w:ascii="Barlow Semi Condensed" w:cs="Barlow Semi Condensed" w:eastAsia="Barlow Semi Condensed" w:hAnsi="Barlow Semi Condensed"/>
          <w:b/>
          <w:bCs/>
          <w:sz w:val="24"/>
          <w:szCs w:val="24"/>
        </w:rPr>
        <w:t xml:space="preserve">348.</w:t>
      </w:r>
      <w:r>
        <w:rPr>
          <w:rFonts w:ascii="Barlow Semi Condensed" w:cs="Barlow Semi Condensed" w:eastAsia="Barlow Semi Condensed" w:hAnsi="Barlow Semi Condensed"/>
          <w:sz w:val="24"/>
          <w:szCs w:val="24"/>
        </w:rPr>
        <w:t xml:space="preserve"> owep — https://www.owep.de/artikel/472-getrennte-vergangenheit-gemeinsame-zukunft-polnische-und-deutsche-katholiken-1945-1978 (https://www.owep.de/artikel/472-getrennte-vergangenheit-gemeinsame-zukunft-polnische-und-deutsche-katholiken-1945-1978)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349.</w:t>
      </w:r>
      <w:r>
        <w:rPr>
          <w:rFonts w:ascii="Barlow Semi Condensed" w:cs="Barlow Semi Condensed" w:eastAsia="Barlow Semi Condensed" w:hAnsi="Barlow Semi Condensed"/>
          <w:sz w:val="24"/>
          <w:szCs w:val="24"/>
        </w:rPr>
        <w:t xml:space="preserve"> DOMRADIO.DE — https://www.domradio.de/artikel/bischoefe-lassen-besondere-vertriebenenseelsorge-auslaufen (https://www.domradio.de/artikel/bischoefe-lassen-besondere-vertriebenenseelsorge-auslaufen)</w:t>
      </w:r>
    </w:p>
    <w:p>
      <w:pPr>
        <w:spacing w:after="120" w:line="276"/>
        <w:jc w:val="both"/>
      </w:pP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Ikamien — https://ikamien.pl/artykuly/14945/ (https://ikamien.pl/artykuly/14945/)</w:t>
      </w:r>
    </w:p>
    <w:p>
      <w:pPr>
        <w:spacing w:after="120" w:line="276"/>
        <w:jc w:val="both"/>
      </w:pPr>
      <w:r>
        <w:rPr>
          <w:rFonts w:ascii="Barlow Semi Condensed" w:cs="Barlow Semi Condensed" w:eastAsia="Barlow Semi Condensed" w:hAnsi="Barlow Semi Condensed"/>
          <w:b/>
          <w:bCs/>
          <w:sz w:val="24"/>
          <w:szCs w:val="24"/>
        </w:rPr>
        <w:t xml:space="preserve">351.</w:t>
      </w:r>
      <w:r>
        <w:rPr>
          <w:rFonts w:ascii="Barlow Semi Condensed" w:cs="Barlow Semi Condensed" w:eastAsia="Barlow Semi Condensed" w:hAnsi="Barlow Semi Condensed"/>
          <w:sz w:val="24"/>
          <w:szCs w:val="24"/>
        </w:rPr>
        <w:t xml:space="preserve"> Cambridge Core — https://www.cambridge.org/core/journals/review-of-politics/article/abs/vaticans-ostpolitik/AC442D87BDF81829CD57653F878EB16A (https://www.cambridge.org/core/journals/review-of-politics/article/abs/vaticans-ostpolitik/AC442D87BDF81829CD57653F878EB16A)</w:t>
      </w:r>
    </w:p>
    <w:p>
      <w:pPr>
        <w:spacing w:after="120" w:line="276"/>
        <w:jc w:val="both"/>
      </w:pPr>
      <w:r>
        <w:rPr>
          <w:rFonts w:ascii="Barlow Semi Condensed" w:cs="Barlow Semi Condensed" w:eastAsia="Barlow Semi Condensed" w:hAnsi="Barlow Semi Condensed"/>
          <w:b/>
          <w:bCs/>
          <w:sz w:val="24"/>
          <w:szCs w:val="24"/>
        </w:rPr>
        <w:t xml:space="preserve">352.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ddr-im-blick.de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353.</w:t>
      </w:r>
      <w:r>
        <w:rPr>
          <w:rFonts w:ascii="Barlow Semi Condensed" w:cs="Barlow Semi Condensed" w:eastAsia="Barlow Semi Condensed" w:hAnsi="Barlow Semi Condensed"/>
          <w:sz w:val="24"/>
          <w:szCs w:val="24"/>
        </w:rPr>
        <w:t xml:space="preserve"> Wikipedia — https://en.wikipedia.org/wiki/Archdiocese_of_Wroc%C5%82aw (https://en.wikipedia.org/wiki/Archdiocese_of_Wroc%C5%82aw)</w:t>
      </w:r>
    </w:p>
    <w:p>
      <w:pPr>
        <w:spacing w:after="120" w:line="276"/>
        <w:jc w:val="both"/>
      </w:pPr>
      <w:r>
        <w:rPr>
          <w:rFonts w:ascii="Barlow Semi Condensed" w:cs="Barlow Semi Condensed" w:eastAsia="Barlow Semi Condensed" w:hAnsi="Barlow Semi Condensed"/>
          <w:b/>
          <w:bCs/>
          <w:sz w:val="24"/>
          <w:szCs w:val="24"/>
        </w:rPr>
        <w:t xml:space="preserve">354.</w:t>
      </w:r>
      <w:r>
        <w:rPr>
          <w:rFonts w:ascii="Barlow Semi Condensed" w:cs="Barlow Semi Condensed" w:eastAsia="Barlow Semi Condensed" w:hAnsi="Barlow Semi Condensed"/>
          <w:sz w:val="24"/>
          <w:szCs w:val="24"/>
        </w:rPr>
        <w:t xml:space="preserve"> Wikipedia — https://en.wikipedia.org/wiki/Aldo_Moro (https://en.wikipedia.org/wiki/Aldo_Moro)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355.</w:t>
      </w:r>
      <w:r>
        <w:rPr>
          <w:rFonts w:ascii="Barlow Semi Condensed" w:cs="Barlow Semi Condensed" w:eastAsia="Barlow Semi Condensed" w:hAnsi="Barlow Semi Condensed"/>
          <w:sz w:val="24"/>
          <w:szCs w:val="24"/>
        </w:rPr>
        <w:t xml:space="preserve"> katholisch.de — https://katholisch.de/artikel/54136-das-reichskonkordat-kontroversen-um-einen-teufelspakt (https://katholisch.de/artikel/54136-das-reichskonkordat-kontroversen-um-einen-teufelspakt)</w:t>
      </w:r>
    </w:p>
    <w:p>
      <w:pPr>
        <w:pStyle w:val="Heading3"/>
        <w:spacing w:after="80" w:before="160"/>
      </w:pPr>
      <w:r>
        <w:rPr>
          <w:rFonts w:ascii="Barlow Semi Condensed" w:cs="Barlow Semi Condensed" w:eastAsia="Barlow Semi Condensed" w:hAnsi="Barlow Semi Condensed"/>
          <w:sz w:val="24"/>
          <w:szCs w:val="24"/>
        </w:rPr>
        <w:t xml:space="preserve">Libro dodicesimo · V — Portogallo e Opus Dei</w:t>
      </w:r>
    </w:p>
    <w:p>
      <w:pPr>
        <w:spacing w:after="120" w:line="276"/>
        <w:jc w:val="both"/>
      </w:pPr>
      <w:r>
        <w:rPr>
          <w:rFonts w:ascii="Barlow Semi Condensed" w:cs="Barlow Semi Condensed" w:eastAsia="Barlow Semi Condensed" w:hAnsi="Barlow Semi Condensed"/>
          <w:b/>
          <w:bCs/>
          <w:sz w:val="24"/>
          <w:szCs w:val="24"/>
        </w:rPr>
        <w:t xml:space="preserve">356.</w:t>
      </w:r>
      <w:r>
        <w:rPr>
          <w:rFonts w:ascii="Barlow Semi Condensed" w:cs="Barlow Semi Condensed" w:eastAsia="Barlow Semi Condensed" w:hAnsi="Barlow Semi Condensed"/>
          <w:sz w:val="24"/>
          <w:szCs w:val="24"/>
        </w:rPr>
        <w:t xml:space="preserve"> CNN Portugal — https://cnnportugal.iol.pt/religiao/igreja-catolica/o-papa-francisco-usou-cilicio-entrevista-rara-do-lider-do-opus-dei-que-assume-acolhimento-de-homossexuais/20220205/61fd3b150cf2cc58e7e10649 (https://cnnportugal.iol.pt/religiao/igreja-catolica/o-papa-francisco-usou-cilicio-entrevista-rara-do-lider-do-opus-dei-que-assume-acolhimento-de-homossexuais/20220205/61fd3b150cf2cc58e7e10649)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357.</w:t>
      </w:r>
      <w:r>
        <w:rPr>
          <w:rFonts w:ascii="Barlow Semi Condensed" w:cs="Barlow Semi Condensed" w:eastAsia="Barlow Semi Condensed" w:hAnsi="Barlow Semi Condensed"/>
          <w:sz w:val="24"/>
          <w:szCs w:val="24"/>
        </w:rPr>
        <w:t xml:space="preserve"> WOOK — https://www.wook.pt/livro/salazar-e-a-conspiracao-do-opus-dei-antonio-jose-vilela/10952303 (https://www.wook.pt/livro/salazar-e-a-conspiracao-do-opus-dei-antonio-jose-vilela/10952303)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359.</w:t>
      </w:r>
      <w:r>
        <w:rPr>
          <w:rFonts w:ascii="Barlow Semi Condensed" w:cs="Barlow Semi Condensed" w:eastAsia="Barlow Semi Condensed" w:hAnsi="Barlow Semi Condensed"/>
          <w:sz w:val="24"/>
          <w:szCs w:val="24"/>
        </w:rPr>
        <w:t xml:space="preserve"> DN — https://www.dn.pt/sociedade/opus-dei-em-portugal-com-um-empurrao-da-irma-lucia--14256887.html (https://www.dn.pt/sociedade/opus-dei-em-portugal-com-um-empurrao-da-irma-lucia--14256887.html)</w:t>
      </w:r>
    </w:p>
    <w:p>
      <w:pPr>
        <w:spacing w:after="120" w:line="276"/>
        <w:jc w:val="both"/>
      </w:pPr>
      <w:r>
        <w:rPr>
          <w:rFonts w:ascii="Barlow Semi Condensed" w:cs="Barlow Semi Condensed" w:eastAsia="Barlow Semi Condensed" w:hAnsi="Barlow Semi Condensed"/>
          <w:b/>
          <w:bCs/>
          <w:sz w:val="24"/>
          <w:szCs w:val="24"/>
        </w:rPr>
        <w:t xml:space="preserve">360.</w:t>
      </w:r>
      <w:r>
        <w:rPr>
          <w:rFonts w:ascii="Barlow Semi Condensed" w:cs="Barlow Semi Condensed" w:eastAsia="Barlow Semi Condensed" w:hAnsi="Barlow Semi Condensed"/>
          <w:sz w:val="24"/>
          <w:szCs w:val="24"/>
        </w:rPr>
        <w:t xml:space="preserve"> Opus Dei — https://opusdei.org/pt-pt/article/historia-opus-dei-portugal/ (https://opusdei.org/pt-pt/article/historia-opus-dei-portugal/)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361.</w:t>
      </w:r>
      <w:r>
        <w:rPr>
          <w:rFonts w:ascii="Barlow Semi Condensed" w:cs="Barlow Semi Condensed" w:eastAsia="Barlow Semi Condensed" w:hAnsi="Barlow Semi Condensed"/>
          <w:sz w:val="24"/>
          <w:szCs w:val="24"/>
        </w:rPr>
        <w:t xml:space="preserve"> ucp — https://journals.ucp.pt/index.php/lusitaniasacra/article/download/11811/11315 (https://journals.ucp.pt/index.php/lusitaniasacra/article/download/11811/11315)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362.</w:t>
      </w:r>
      <w:r>
        <w:rPr>
          <w:rFonts w:ascii="Barlow Semi Condensed" w:cs="Barlow Semi Condensed" w:eastAsia="Barlow Semi Condensed" w:hAnsi="Barlow Semi Condensed"/>
          <w:sz w:val="24"/>
          <w:szCs w:val="24"/>
        </w:rPr>
        <w:t xml:space="preserve"> Sul 21 — https://sul21.com.br/opiniao/2011/07/infiltrados-no-estado-novo/ (https://sul21.com.br/opiniao/2011/07/infiltrados-no-estado-novo/)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363.</w:t>
      </w:r>
      <w:r>
        <w:rPr>
          <w:rFonts w:ascii="Barlow Semi Condensed" w:cs="Barlow Semi Condensed" w:eastAsia="Barlow Semi Condensed" w:hAnsi="Barlow Semi Condensed"/>
          <w:sz w:val="24"/>
          <w:szCs w:val="24"/>
        </w:rPr>
        <w:t xml:space="preserve"> RTP — https://www.rtp.pt/noticias/pais/opus-dei-com-75-anos-em-portugal-e-uma-influencia-maior-do-que-os-1625-membros_n1358555 (https://www.rtp.pt/noticias/pais/opus-dei-com-75-anos-em-portugal-e-uma-influencia-maior-do-que-os-1625-membros_n1358555)</w:t>
      </w:r>
    </w:p>
    <w:p>
      <w:pPr>
        <w:spacing w:after="120" w:line="276"/>
        <w:jc w:val="both"/>
      </w:pPr>
      <w:r>
        <w:rPr>
          <w:rFonts w:ascii="Barlow Semi Condensed" w:cs="Barlow Semi Condensed" w:eastAsia="Barlow Semi Condensed" w:hAnsi="Barlow Semi Condensed"/>
          <w:b/>
          <w:bCs/>
          <w:sz w:val="24"/>
          <w:szCs w:val="24"/>
        </w:rPr>
        <w:t xml:space="preserve">364.</w:t>
      </w:r>
      <w:r>
        <w:rPr>
          <w:rFonts w:ascii="Barlow Semi Condensed" w:cs="Barlow Semi Condensed" w:eastAsia="Barlow Semi Condensed" w:hAnsi="Barlow Semi Condensed"/>
          <w:sz w:val="24"/>
          <w:szCs w:val="24"/>
        </w:rPr>
        <w:t xml:space="preserve"> Fnac — https://www.fnac.pt/Salazar-e-a-Conspiracao-do-Opus-Dei-Pedro-Ramos-Brandao/a361319 (https://www.fnac.pt/Salazar-e-a-Conspiracao-do-Opus-Dei-Pedro-Ramos-Brandao/a361319)</w:t>
      </w:r>
    </w:p>
    <w:p>
      <w:pPr>
        <w:spacing w:after="120" w:line="276"/>
        <w:jc w:val="both"/>
      </w:pPr>
      <w:r>
        <w:rPr>
          <w:rFonts w:ascii="Barlow Semi Condensed" w:cs="Barlow Semi Condensed" w:eastAsia="Barlow Semi Condensed" w:hAnsi="Barlow Semi Condensed"/>
          <w:b/>
          <w:bCs/>
          <w:sz w:val="24"/>
          <w:szCs w:val="24"/>
        </w:rPr>
        <w:t xml:space="preserve">365.</w:t>
      </w:r>
      <w:r>
        <w:rPr>
          <w:rFonts w:ascii="Barlow Semi Condensed" w:cs="Barlow Semi Condensed" w:eastAsia="Barlow Semi Condensed" w:hAnsi="Barlow Semi Condensed"/>
          <w:sz w:val="24"/>
          <w:szCs w:val="24"/>
        </w:rPr>
        <w:t xml:space="preserve"> Livraria Almedina — https://www.almedina.net/salazar-e-a-conspira-o-do-opus-dei-1563875565.html (https://www.almedina.net/salazar-e-a-conspira-o-do-opus-dei-1563875565.html)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366.</w:t>
      </w:r>
      <w:r>
        <w:rPr>
          <w:rFonts w:ascii="Barlow Semi Condensed" w:cs="Barlow Semi Condensed" w:eastAsia="Barlow Semi Condensed" w:hAnsi="Barlow Semi Condensed"/>
          <w:sz w:val="24"/>
          <w:szCs w:val="24"/>
        </w:rPr>
        <w:t xml:space="preserve"> SÁBADO — https://www.sabado.pt/vida/detalhe/a-vigilancia-secreta-de-salazar-ao-opus-dei (https://www.sabado.pt/vida/detalhe/a-vigilancia-secreta-de-salazar-ao-opus-dei)</w:t>
      </w:r>
    </w:p>
    <w:p>
      <w:pPr>
        <w:spacing w:after="120" w:line="276"/>
        <w:jc w:val="both"/>
      </w:pPr>
      <w:r>
        <w:rPr>
          <w:rFonts w:ascii="Barlow Semi Condensed" w:cs="Barlow Semi Condensed" w:eastAsia="Barlow Semi Condensed" w:hAnsi="Barlow Semi Condensed"/>
          <w:b/>
          <w:bCs/>
          <w:sz w:val="24"/>
          <w:szCs w:val="24"/>
        </w:rPr>
        <w:t xml:space="preserve">367.</w:t>
      </w:r>
      <w:r>
        <w:rPr>
          <w:rFonts w:ascii="Barlow Semi Condensed" w:cs="Barlow Semi Condensed" w:eastAsia="Barlow Semi Condensed" w:hAnsi="Barlow Semi Condensed"/>
          <w:sz w:val="24"/>
          <w:szCs w:val="24"/>
        </w:rPr>
        <w:t xml:space="preserve"> Pro Roma Mariana — https://promariana.wordpress.com/2015/12/10/o-opus-dei-na-historia-de-fatima/ (https://promariana.wordpress.com/2015/12/10/o-opus-dei-na-historia-de-fatima/)</w:t>
      </w:r>
    </w:p>
    <w:p>
      <w:pPr>
        <w:spacing w:after="120" w:line="276"/>
        <w:jc w:val="both"/>
      </w:pPr>
      <w:r>
        <w:rPr>
          <w:rFonts w:ascii="Barlow Semi Condensed" w:cs="Barlow Semi Condensed" w:eastAsia="Barlow Semi Condensed" w:hAnsi="Barlow Semi Condensed"/>
          <w:b/>
          <w:bCs/>
          <w:sz w:val="24"/>
          <w:szCs w:val="24"/>
        </w:rPr>
        <w:t xml:space="preserve">368.</w:t>
      </w:r>
      <w:r>
        <w:rPr>
          <w:rFonts w:ascii="Barlow Semi Condensed" w:cs="Barlow Semi Condensed" w:eastAsia="Barlow Semi Condensed" w:hAnsi="Barlow Semi Condensed"/>
          <w:sz w:val="24"/>
          <w:szCs w:val="24"/>
        </w:rPr>
        <w:t xml:space="preserve"> Palrador D'el Rei — https://denunciation.wordpress.com/2011/06/22/%C2%ABsalazar-e-a-conspiracao-do-opus-dei%C2%BB-de-antonio-jose-vilela-e-pedro-ramos-brandao/ (https://denunciation.wordpress.com/2011/06/22/%C2%ABsalazar-e-a-conspiracao-do-opus-dei%C2%BB-de-antonio-jose-vilela-e-pedro-ramos-brandao/)</w:t>
      </w:r>
    </w:p>
    <w:p>
      <w:pPr>
        <w:spacing w:after="120" w:line="276"/>
        <w:jc w:val="both"/>
      </w:pPr>
      <w:r>
        <w:rPr>
          <w:rFonts w:ascii="Barlow Semi Condensed" w:cs="Barlow Semi Condensed" w:eastAsia="Barlow Semi Condensed" w:hAnsi="Barlow Semi Condensed"/>
          <w:b/>
          <w:bCs/>
          <w:sz w:val="24"/>
          <w:szCs w:val="24"/>
        </w:rPr>
        <w:t xml:space="preserve">369.</w:t>
      </w:r>
      <w:r>
        <w:rPr>
          <w:rFonts w:ascii="Barlow Semi Condensed" w:cs="Barlow Semi Condensed" w:eastAsia="Barlow Semi Condensed" w:hAnsi="Barlow Semi Condensed"/>
          <w:sz w:val="24"/>
          <w:szCs w:val="24"/>
        </w:rPr>
        <w:t xml:space="preserve"> Bertrand — https://www.bertrand.pt/livro/salazar-e-a-conspiracao-do-opus-dei-antonio-jose-vilela/10952303 (https://www.bertrand.pt/livro/salazar-e-a-conspiracao-do-opus-dei-antonio-jose-vilela/10952303)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370.</w:t>
      </w:r>
      <w:r>
        <w:rPr>
          <w:rFonts w:ascii="Barlow Semi Condensed" w:cs="Barlow Semi Condensed" w:eastAsia="Barlow Semi Condensed" w:hAnsi="Barlow Semi Condensed"/>
          <w:sz w:val="24"/>
          <w:szCs w:val="24"/>
        </w:rPr>
        <w:t xml:space="preserve"> Recursosacademicos — https://www.recursosacademicos.net/tecnocratas-del-opus-dei/ (https://www.recursosacademicos.net/tecnocratas-del-opus-dei/)</w:t>
      </w:r>
    </w:p>
    <w:p>
      <w:pPr>
        <w:spacing w:after="120" w:line="276"/>
        <w:jc w:val="both"/>
      </w:pPr>
      <w:r>
        <w:rPr>
          <w:rFonts w:ascii="Barlow Semi Condensed" w:cs="Barlow Semi Condensed" w:eastAsia="Barlow Semi Condensed" w:hAnsi="Barlow Semi Condensed"/>
          <w:b/>
          <w:bCs/>
          <w:sz w:val="24"/>
          <w:szCs w:val="24"/>
        </w:rPr>
        <w:t xml:space="preserve">371.</w:t>
      </w:r>
      <w:r>
        <w:rPr>
          <w:rFonts w:ascii="Barlow Semi Condensed" w:cs="Barlow Semi Condensed" w:eastAsia="Barlow Semi Condensed" w:hAnsi="Barlow Semi Condensed"/>
          <w:sz w:val="24"/>
          <w:szCs w:val="24"/>
        </w:rPr>
        <w:t xml:space="preserve"> U.S. Department of State — https://history.state.gov/historicaldocuments/frus1969-76v41/d303 (https://history.state.gov/historicaldocuments/frus1969-76v41/d303)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372.</w:t>
      </w:r>
      <w:r>
        <w:rPr>
          <w:rFonts w:ascii="Barlow Semi Condensed" w:cs="Barlow Semi Condensed" w:eastAsia="Barlow Semi Condensed" w:hAnsi="Barlow Semi Condensed"/>
          <w:sz w:val="24"/>
          <w:szCs w:val="24"/>
        </w:rPr>
        <w:t xml:space="preserve"> Contrainformacion — https://contrainformacion.es/opus-dei-y-los-ministros-miembros/ (https://contrainformacion.es/opus-dei-y-los-ministros-miembros/)</w:t>
      </w:r>
    </w:p>
    <w:p>
      <w:pPr>
        <w:spacing w:after="120" w:line="276"/>
        <w:jc w:val="both"/>
      </w:pPr>
      <w:r>
        <w:rPr>
          <w:rFonts w:ascii="Barlow Semi Condensed" w:cs="Barlow Semi Condensed" w:eastAsia="Barlow Semi Condensed" w:hAnsi="Barlow Semi Condensed"/>
          <w:b/>
          <w:bCs/>
          <w:sz w:val="24"/>
          <w:szCs w:val="24"/>
        </w:rPr>
        <w:t xml:space="preserve">373.</w:t>
      </w:r>
      <w:r>
        <w:rPr>
          <w:rFonts w:ascii="Barlow Semi Condensed" w:cs="Barlow Semi Condensed" w:eastAsia="Barlow Semi Condensed" w:hAnsi="Barlow Semi Condensed"/>
          <w:sz w:val="24"/>
          <w:szCs w:val="24"/>
        </w:rPr>
        <w:t xml:space="preserve"> Religión en Libertad — https://www.religionenlibertad.com/cultura/150215/ni-todos-los-tecnocratas-fueron-del-opus-dei-ni-todos-los_32125.html (https://www.religionenlibertad.com/cultura/150215/ni-todos-los-tecnocratas-fueron-del-opus-dei-ni-todos-los_32125.html)</w:t>
      </w:r>
    </w:p>
    <w:p>
      <w:pPr>
        <w:spacing w:after="120" w:line="276"/>
        <w:jc w:val="both"/>
      </w:pPr>
      <w:r>
        <w:rPr>
          <w:rFonts w:ascii="Barlow Semi Condensed" w:cs="Barlow Semi Condensed" w:eastAsia="Barlow Semi Condensed" w:hAnsi="Barlow Semi Condensed"/>
          <w:b/>
          <w:bCs/>
          <w:sz w:val="24"/>
          <w:szCs w:val="24"/>
        </w:rPr>
        <w:t xml:space="preserve">374.</w:t>
      </w:r>
      <w:r>
        <w:rPr>
          <w:rFonts w:ascii="Barlow Semi Condensed" w:cs="Barlow Semi Condensed" w:eastAsia="Barlow Semi Condensed" w:hAnsi="Barlow Semi Condensed"/>
          <w:sz w:val="24"/>
          <w:szCs w:val="24"/>
        </w:rPr>
        <w:t xml:space="preserve"> ECCLESIA — https://agencia.ecclesia.pt/portal/vaticano-ii-portugal-o-mundo-e-a-convocacao-do-concilio/ (https://agencia.ecclesia.pt/portal/vaticano-ii-portugal-o-mundo-e-a-convocacao-do-concilio/)</w:t>
      </w:r>
    </w:p>
    <w:p>
      <w:pPr>
        <w:spacing w:after="120" w:line="276"/>
        <w:jc w:val="both"/>
      </w:pPr>
      <w:r>
        <w:rPr>
          <w:rFonts w:ascii="Barlow Semi Condensed" w:cs="Barlow Semi Condensed" w:eastAsia="Barlow Semi Condensed" w:hAnsi="Barlow Semi Condensed"/>
          <w:b/>
          <w:bCs/>
          <w:sz w:val="24"/>
          <w:szCs w:val="24"/>
        </w:rPr>
        <w:t xml:space="preserve">375.</w:t>
      </w:r>
      <w:r>
        <w:rPr>
          <w:rFonts w:ascii="Barlow Semi Condensed" w:cs="Barlow Semi Condensed" w:eastAsia="Barlow Semi Condensed" w:hAnsi="Barlow Semi Condensed"/>
          <w:sz w:val="24"/>
          <w:szCs w:val="24"/>
        </w:rPr>
        <w:t xml:space="preserve"> RUN — https://run.unl.pt/entities/publication/4bd29800-b1ac-4187-bcc6-897130f67b44 (https://run.unl.pt/entities/publication/4bd29800-b1ac-4187-bcc6-897130f67b44)</w:t>
      </w:r>
    </w:p>
    <w:p>
      <w:pPr>
        <w:spacing w:after="120" w:line="276"/>
        <w:jc w:val="both"/>
      </w:pPr>
      <w:r>
        <w:rPr>
          <w:rFonts w:ascii="Barlow Semi Condensed" w:cs="Barlow Semi Condensed" w:eastAsia="Barlow Semi Condensed" w:hAnsi="Barlow Semi Condensed"/>
          <w:b/>
          <w:bCs/>
          <w:sz w:val="24"/>
          <w:szCs w:val="24"/>
        </w:rPr>
        <w:t xml:space="preserve">376.</w:t>
      </w:r>
      <w:r>
        <w:rPr>
          <w:rFonts w:ascii="Barlow Semi Condensed" w:cs="Barlow Semi Condensed" w:eastAsia="Barlow Semi Condensed" w:hAnsi="Barlow Semi Condensed"/>
          <w:sz w:val="24"/>
          <w:szCs w:val="24"/>
        </w:rPr>
        <w:t xml:space="preserve"> Revistas Científicas da UCP — https://revistas.ucp.pt/index.php/lusitaniasacra/article/view/16035 (https://revistas.ucp.pt/index.php/lusitaniasacra/article/view/16035)</w:t>
      </w:r>
    </w:p>
    <w:p>
      <w:pPr>
        <w:spacing w:after="120" w:line="276"/>
        <w:jc w:val="both"/>
      </w:pPr>
      <w:r>
        <w:rPr>
          <w:rFonts w:ascii="Barlow Semi Condensed" w:cs="Barlow Semi Condensed" w:eastAsia="Barlow Semi Condensed" w:hAnsi="Barlow Semi Condensed"/>
          <w:b/>
          <w:bCs/>
          <w:sz w:val="24"/>
          <w:szCs w:val="24"/>
        </w:rPr>
        <w:t xml:space="preserve">377.</w:t>
      </w:r>
      <w:r>
        <w:rPr>
          <w:rFonts w:ascii="Barlow Semi Condensed" w:cs="Barlow Semi Condensed" w:eastAsia="Barlow Semi Condensed" w:hAnsi="Barlow Semi Condensed"/>
          <w:sz w:val="24"/>
          <w:szCs w:val="24"/>
        </w:rPr>
        <w:t xml:space="preserve"> Guerracolonial — https://guerracolonial.pt/1970-a-ilusao-das-grandes-operacoes/a-igreja-catolica-e-a-guerra-colonial/ (https://guerracolonial.pt/1970-a-ilusao-das-grandes-operacoes/a-igreja-catolica-e-a-guerra-colonial/)</w:t>
      </w:r>
    </w:p>
    <w:p>
      <w:pPr>
        <w:spacing w:after="120" w:line="276"/>
        <w:jc w:val="both"/>
      </w:pPr>
      <w:r>
        <w:rPr>
          <w:rFonts w:ascii="Barlow Semi Condensed" w:cs="Barlow Semi Condensed" w:eastAsia="Barlow Semi Condensed" w:hAnsi="Barlow Semi Condensed"/>
          <w:b/>
          <w:bCs/>
          <w:sz w:val="24"/>
          <w:szCs w:val="24"/>
        </w:rPr>
        <w:t xml:space="preserve">378.</w:t>
      </w:r>
      <w:r>
        <w:rPr>
          <w:rFonts w:ascii="Barlow Semi Condensed" w:cs="Barlow Semi Condensed" w:eastAsia="Barlow Semi Condensed" w:hAnsi="Barlow Semi Condensed"/>
          <w:sz w:val="24"/>
          <w:szCs w:val="24"/>
        </w:rPr>
        <w:t xml:space="preserve"> Parlamento — https://www.parlamento.pt/VisitaParlamento/Paginas/BiogAdelinoAmarodaCosta.aspx (https://www.parlamento.pt/VisitaParlamento/Paginas/BiogAdelinoAmarodaCosta.aspx)</w:t>
      </w:r>
    </w:p>
    <w:p>
      <w:pPr>
        <w:spacing w:after="120" w:line="276"/>
        <w:jc w:val="both"/>
      </w:pPr>
      <w:r>
        <w:rPr>
          <w:rFonts w:ascii="Barlow Semi Condensed" w:cs="Barlow Semi Condensed" w:eastAsia="Barlow Semi Condensed" w:hAnsi="Barlow Semi Condensed"/>
          <w:b/>
          <w:bCs/>
          <w:sz w:val="24"/>
          <w:szCs w:val="24"/>
        </w:rPr>
        <w:t xml:space="preserve">379.</w:t>
      </w:r>
      <w:r>
        <w:rPr>
          <w:rFonts w:ascii="Barlow Semi Condensed" w:cs="Barlow Semi Condensed" w:eastAsia="Barlow Semi Condensed" w:hAnsi="Barlow Semi Condensed"/>
          <w:sz w:val="24"/>
          <w:szCs w:val="24"/>
        </w:rPr>
        <w:t xml:space="preserve"> Infopedia — https://www.infopedia.pt/artigos/%24adelino-amaro-da-costa (https://www.infopedia.pt/artigos/%24adelino-amaro-da-costa)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380.</w:t>
      </w:r>
      <w:r>
        <w:rPr>
          <w:rFonts w:ascii="Barlow Semi Condensed" w:cs="Barlow Semi Condensed" w:eastAsia="Barlow Semi Condensed" w:hAnsi="Barlow Semi Condensed"/>
          <w:sz w:val="24"/>
          <w:szCs w:val="24"/>
        </w:rPr>
        <w:t xml:space="preserve"> ucp — https://revistas.ucp.pt/index.php/povoseculturas/article/download/8975/8843 (https://revistas.ucp.pt/index.php/povoseculturas/article/download/8975/8843)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381.</w:t>
      </w:r>
      <w:r>
        <w:rPr>
          <w:rFonts w:ascii="Barlow Semi Condensed" w:cs="Barlow Semi Condensed" w:eastAsia="Barlow Semi Condensed" w:hAnsi="Barlow Semi Condensed"/>
          <w:sz w:val="24"/>
          <w:szCs w:val="24"/>
        </w:rPr>
        <w:t xml:space="preserve"> Livraria Almedina +2 — https://www.almedina.net/adelino-amaro-da-costa-hist-rias-de-uma-vida-interrompida-1563875470.html (https://www.almedina.net/adelino-amaro-da-costa-hist-rias-de-uma-vida-interrompida-1563875470.html)</w:t>
      </w:r>
    </w:p>
    <w:p>
      <w:pPr>
        <w:spacing w:after="120" w:line="276"/>
        <w:jc w:val="both"/>
      </w:pPr>
      <w:r>
        <w:rPr>
          <w:rFonts w:ascii="Barlow Semi Condensed" w:cs="Barlow Semi Condensed" w:eastAsia="Barlow Semi Condensed" w:hAnsi="Barlow Semi Condensed"/>
          <w:b/>
          <w:bCs/>
          <w:sz w:val="24"/>
          <w:szCs w:val="24"/>
        </w:rPr>
        <w:t xml:space="preserve">382.</w:t>
      </w:r>
      <w:r>
        <w:rPr>
          <w:rFonts w:ascii="Barlow Semi Condensed" w:cs="Barlow Semi Condensed" w:eastAsia="Barlow Semi Condensed" w:hAnsi="Barlow Semi Condensed"/>
          <w:sz w:val="24"/>
          <w:szCs w:val="24"/>
        </w:rPr>
        <w:t xml:space="preserve"> Nuovarivistastorica — https://nuovarivistastorica.it/?p=7636 (https://nuovarivistastorica.it/?p=7636)</w:t>
      </w:r>
    </w:p>
    <w:p>
      <w:pPr>
        <w:spacing w:after="120" w:line="276"/>
        <w:jc w:val="both"/>
      </w:pPr>
      <w:r>
        <w:rPr>
          <w:rFonts w:ascii="Barlow Semi Condensed" w:cs="Barlow Semi Condensed" w:eastAsia="Barlow Semi Condensed" w:hAnsi="Barlow Semi Condensed"/>
          <w:b/>
          <w:bCs/>
          <w:sz w:val="24"/>
          <w:szCs w:val="24"/>
        </w:rPr>
        <w:t xml:space="preserve">383.</w:t>
      </w:r>
      <w:r>
        <w:rPr>
          <w:rFonts w:ascii="Barlow Semi Condensed" w:cs="Barlow Semi Condensed" w:eastAsia="Barlow Semi Condensed" w:hAnsi="Barlow Semi Condensed"/>
          <w:sz w:val="24"/>
          <w:szCs w:val="24"/>
        </w:rPr>
        <w:t xml:space="preserve"> state — https://history.state.gov/historicaldocuments/frus1969-76ve15p2/d153 (https://history.state.gov/historicaldocuments/frus1969-76ve15p2/d153)</w:t>
      </w:r>
    </w:p>
    <w:p>
      <w:pPr>
        <w:spacing w:after="120" w:line="276"/>
        <w:jc w:val="both"/>
      </w:pPr>
      <w:r>
        <w:rPr>
          <w:rFonts w:ascii="Barlow Semi Condensed" w:cs="Barlow Semi Condensed" w:eastAsia="Barlow Semi Condensed" w:hAnsi="Barlow Semi Condensed"/>
          <w:b/>
          <w:bCs/>
          <w:sz w:val="24"/>
          <w:szCs w:val="24"/>
        </w:rPr>
        <w:t xml:space="preserve">384.</w:t>
      </w:r>
      <w:r>
        <w:rPr>
          <w:rFonts w:ascii="Barlow Semi Condensed" w:cs="Barlow Semi Condensed" w:eastAsia="Barlow Semi Condensed" w:hAnsi="Barlow Semi Condensed"/>
          <w:sz w:val="24"/>
          <w:szCs w:val="24"/>
        </w:rPr>
        <w:t xml:space="preserve"> Quotidiano Nazionale — https://www.quotidiano.net/cronaca/aldo-moro-libro-iannuzzi-losacco-vk0b33xf (https://www.quotidiano.net/cronaca/aldo-moro-libro-iannuzzi-losacco-vk0b33xf)</w:t>
      </w:r>
    </w:p>
    <w:p>
      <w:pPr>
        <w:spacing w:after="120" w:line="276"/>
        <w:jc w:val="both"/>
      </w:pPr>
      <w:r>
        <w:rPr>
          <w:rFonts w:ascii="Barlow Semi Condensed" w:cs="Barlow Semi Condensed" w:eastAsia="Barlow Semi Condensed" w:hAnsi="Barlow Semi Condensed"/>
          <w:b/>
          <w:bCs/>
          <w:sz w:val="24"/>
          <w:szCs w:val="24"/>
        </w:rPr>
        <w:t xml:space="preserve">385.</w:t>
      </w:r>
      <w:r>
        <w:rPr>
          <w:rFonts w:ascii="Barlow Semi Condensed" w:cs="Barlow Semi Condensed" w:eastAsia="Barlow Semi Condensed" w:hAnsi="Barlow Semi Condensed"/>
          <w:sz w:val="24"/>
          <w:szCs w:val="24"/>
        </w:rPr>
        <w:t xml:space="preserve"> Fox News — https://www.foxnews.com/politics/consumer-group-helps-student-suing-cia-over-opus-dei-records.amp (https://www.foxnews.com/politics/consumer-group-helps-student-suing-cia-over-opus-dei-records.amp)</w:t>
      </w:r>
    </w:p>
    <w:p>
      <w:pPr>
        <w:spacing w:after="120" w:line="276"/>
        <w:jc w:val="both"/>
      </w:pPr>
      <w:r>
        <w:rPr>
          <w:rFonts w:ascii="Barlow Semi Condensed" w:cs="Barlow Semi Condensed" w:eastAsia="Barlow Semi Condensed" w:hAnsi="Barlow Semi Condensed"/>
          <w:b/>
          <w:bCs/>
          <w:sz w:val="24"/>
          <w:szCs w:val="24"/>
        </w:rPr>
        <w:t xml:space="preserve">386.</w:t>
      </w:r>
      <w:r>
        <w:rPr>
          <w:rFonts w:ascii="Barlow Semi Condensed" w:cs="Barlow Semi Condensed" w:eastAsia="Barlow Semi Condensed" w:hAnsi="Barlow Semi Condensed"/>
          <w:sz w:val="24"/>
          <w:szCs w:val="24"/>
        </w:rPr>
        <w:t xml:space="preserve"> cia — https://cia.gov/readingroom/docs/MARCELO%20CAETANO%20%28PORTUGAL%5B15678188%5D.pdf (https://cia.gov/readingroom/docs/MARCELO%20CAETANO%20%28PORTUGAL%5B15678188%5D.pdf)</w:t>
      </w:r>
    </w:p>
    <w:p>
      <w:pPr>
        <w:spacing w:after="120" w:line="276"/>
        <w:jc w:val="both"/>
      </w:pPr>
      <w:r>
        <w:rPr>
          <w:rFonts w:ascii="Barlow Semi Condensed" w:cs="Barlow Semi Condensed" w:eastAsia="Barlow Semi Condensed" w:hAnsi="Barlow Semi Condensed"/>
          <w:b/>
          <w:bCs/>
          <w:sz w:val="24"/>
          <w:szCs w:val="24"/>
        </w:rPr>
        <w:t xml:space="preserve">387.</w:t>
      </w:r>
      <w:r>
        <w:rPr>
          <w:rFonts w:ascii="Barlow Semi Condensed" w:cs="Barlow Semi Condensed" w:eastAsia="Barlow Semi Condensed" w:hAnsi="Barlow Semi Condensed"/>
          <w:sz w:val="24"/>
          <w:szCs w:val="24"/>
        </w:rPr>
        <w:t xml:space="preserve"> cia — https://www.cia.gov/readingroom/docs/MARCELO%20CAETANO%20%28PORTUGAL%5B15678189%5D.pdf (https://www.cia.gov/readingroom/docs/MARCELO%20CAETANO%20%28PORTUGAL%5B15678189%5D.pdf)</w:t>
      </w:r>
    </w:p>
    <w:p>
      <w:pPr>
        <w:spacing w:after="120" w:line="276"/>
        <w:jc w:val="both"/>
      </w:pPr>
      <w:r>
        <w:rPr>
          <w:rFonts w:ascii="Barlow Semi Condensed" w:cs="Barlow Semi Condensed" w:eastAsia="Barlow Semi Condensed" w:hAnsi="Barlow Semi Condensed"/>
          <w:b/>
          <w:bCs/>
          <w:sz w:val="24"/>
          <w:szCs w:val="24"/>
        </w:rPr>
        <w:t xml:space="preserve">388.</w:t>
      </w:r>
      <w:r>
        <w:rPr>
          <w:rFonts w:ascii="Barlow Semi Condensed" w:cs="Barlow Semi Condensed" w:eastAsia="Barlow Semi Condensed" w:hAnsi="Barlow Semi Condensed"/>
          <w:sz w:val="24"/>
          <w:szCs w:val="24"/>
        </w:rPr>
        <w:t xml:space="preserve"> state — https://history.state.gov/historicaldocuments/frus1969-76ve15p2Ed2 (https://history.state.gov/historicaldocuments/frus1969-76ve15p2Ed2)</w:t>
      </w:r>
    </w:p>
    <w:p>
      <w:pPr>
        <w:spacing w:after="120" w:line="276"/>
        <w:jc w:val="both"/>
      </w:pPr>
      <w:r>
        <w:rPr>
          <w:rFonts w:ascii="Barlow Semi Condensed" w:cs="Barlow Semi Condensed" w:eastAsia="Barlow Semi Condensed" w:hAnsi="Barlow Semi Condensed"/>
          <w:b/>
          <w:bCs/>
          <w:sz w:val="24"/>
          <w:szCs w:val="24"/>
        </w:rPr>
        <w:t xml:space="preserve">389.</w:t>
      </w:r>
      <w:r>
        <w:rPr>
          <w:rFonts w:ascii="Barlow Semi Condensed" w:cs="Barlow Semi Condensed" w:eastAsia="Barlow Semi Condensed" w:hAnsi="Barlow Semi Condensed"/>
          <w:sz w:val="24"/>
          <w:szCs w:val="24"/>
        </w:rPr>
        <w:t xml:space="preserve"> Dglab — https://antt.dglab.gov.pt/servicos/leitura-e-referencia/ (https://antt.dglab.gov.pt/servicos/leitura-e-referencia/)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390.</w:t>
      </w:r>
      <w:r>
        <w:rPr>
          <w:rFonts w:ascii="Barlow Semi Condensed" w:cs="Barlow Semi Condensed" w:eastAsia="Barlow Semi Condensed" w:hAnsi="Barlow Semi Condensed"/>
          <w:sz w:val="24"/>
          <w:szCs w:val="24"/>
        </w:rPr>
        <w:t xml:space="preserve"> TSF Rádio Notícias — https://www.tsf.pt/sociedade/artigo/metade-do-arquivo-da-pide-nunca-foi-consultado-e-um-mundo-por-descobrir/10825928 (https://www.tsf.pt/sociedade/artigo/metade-do-arquivo-da-pide-nunca-foi-consultado-e-um-mundo-por-descobrir/10825928)</w:t>
      </w:r>
    </w:p>
    <w:p>
      <w:pPr>
        <w:spacing w:after="120" w:line="276"/>
        <w:jc w:val="both"/>
      </w:pPr>
      <w:r>
        <w:rPr>
          <w:rFonts w:ascii="Barlow Semi Condensed" w:cs="Barlow Semi Condensed" w:eastAsia="Barlow Semi Condensed" w:hAnsi="Barlow Semi Condensed"/>
          <w:b/>
          <w:bCs/>
          <w:sz w:val="24"/>
          <w:szCs w:val="24"/>
        </w:rPr>
        <w:t xml:space="preserve">391.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idi.mne.gov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Portogallo e Santa Sede 1969-1974</w:t>
      </w:r>
    </w:p>
    <w:p>
      <w:pPr>
        <w:spacing w:after="120" w:line="276"/>
        <w:jc w:val="both"/>
      </w:pPr>
      <w:r>
        <w:rPr>
          <w:rFonts w:ascii="Barlow Semi Condensed" w:cs="Barlow Semi Condensed" w:eastAsia="Barlow Semi Condensed" w:hAnsi="Barlow Semi Condensed"/>
          <w:b/>
          <w:bCs/>
          <w:sz w:val="24"/>
          <w:szCs w:val="24"/>
        </w:rPr>
        <w:t xml:space="preserve">392.</w:t>
      </w:r>
      <w:r>
        <w:rPr>
          <w:rFonts w:ascii="Barlow Semi Condensed" w:cs="Barlow Semi Condensed" w:eastAsia="Barlow Semi Condensed" w:hAnsi="Barlow Semi Condensed"/>
          <w:sz w:val="24"/>
          <w:szCs w:val="24"/>
        </w:rPr>
        <w:t xml:space="preserve"> Unibo — https://aldomorodigitale.unibo.it/additionalResources/142/essay/Zampieri_vol4_notastorica.pdf (https://aldomorodigitale.unibo.it/additionalResources/142/essay/Zampieri_vol4_notastorica.pdf)</w:t>
      </w:r>
    </w:p>
    <w:p>
      <w:pPr>
        <w:spacing w:after="120" w:line="276"/>
        <w:jc w:val="both"/>
      </w:pPr>
      <w:r>
        <w:rPr>
          <w:rFonts w:ascii="Barlow Semi Condensed" w:cs="Barlow Semi Condensed" w:eastAsia="Barlow Semi Condensed" w:hAnsi="Barlow Semi Condensed"/>
          <w:b/>
          <w:bCs/>
          <w:sz w:val="24"/>
          <w:szCs w:val="24"/>
        </w:rPr>
        <w:t xml:space="preserve">393.</w:t>
      </w:r>
      <w:r>
        <w:rPr>
          <w:rFonts w:ascii="Barlow Semi Condensed" w:cs="Barlow Semi Condensed" w:eastAsia="Barlow Semi Condensed" w:hAnsi="Barlow Semi Condensed"/>
          <w:sz w:val="24"/>
          <w:szCs w:val="24"/>
        </w:rPr>
        <w:t xml:space="preserve"> Wikipedia — https://pt.wikipedia.org/wiki/Rela%C3%A7%C3%B5es_entre_It%C3%A1lia_e_Santa_S%C3%A9 (https://pt.wikipedia.org/wiki/Rela%C3%A7%C3%B5es_entre_It%C3%A1lia_e_Santa_S%C3%A9)</w:t>
      </w:r>
    </w:p>
    <w:p>
      <w:pPr>
        <w:spacing w:after="120" w:line="276"/>
        <w:jc w:val="both"/>
      </w:pPr>
      <w:r>
        <w:rPr>
          <w:rFonts w:ascii="Barlow Semi Condensed" w:cs="Barlow Semi Condensed" w:eastAsia="Barlow Semi Condensed" w:hAnsi="Barlow Semi Condensed"/>
          <w:b/>
          <w:bCs/>
          <w:sz w:val="24"/>
          <w:szCs w:val="24"/>
        </w:rPr>
        <w:t xml:space="preserve">394.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air.unimi.it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395.</w:t>
      </w:r>
      <w:r>
        <w:rPr>
          <w:rFonts w:ascii="Barlow Semi Condensed" w:cs="Barlow Semi Condensed" w:eastAsia="Barlow Semi Condensed" w:hAnsi="Barlow Semi Condensed"/>
          <w:sz w:val="24"/>
          <w:szCs w:val="24"/>
        </w:rPr>
        <w:t xml:space="preserve"> Università di Milano — https://air.unimi.it/retrieve/dfa8b9a2-2341-748b-e053-3a05fe0a3a96/Russo_ResistenzaContinua%20ST.pdf (https://air.unimi.it/retrieve/dfa8b9a2-2341-748b-e053-3a05fe0a3a96/Russo_ResistenzaContinua%20ST.pdf)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patrimonio.aamod.it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397.</w:t>
      </w:r>
      <w:r>
        <w:rPr>
          <w:rFonts w:ascii="Barlow Semi Condensed" w:cs="Barlow Semi Condensed" w:eastAsia="Barlow Semi Condensed" w:hAnsi="Barlow Semi Condensed"/>
          <w:sz w:val="24"/>
          <w:szCs w:val="24"/>
        </w:rPr>
        <w:t xml:space="preserve"> Confronti — https://confronti.net/2020/06/i-movimenti-di-liberazione-portoghesi-e-lincontro-con-paolo-vi/ (https://confronti.net/2020/06/i-movimenti-di-liberazione-portoghesi-e-lincontro-con-paolo-vi/)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archivi.ibc.regione.emilia-romagna.it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399.</w:t>
      </w:r>
      <w:r>
        <w:rPr>
          <w:rFonts w:ascii="Barlow Semi Condensed" w:cs="Barlow Semi Condensed" w:eastAsia="Barlow Semi Condensed" w:hAnsi="Barlow Semi Condensed"/>
          <w:sz w:val="24"/>
          <w:szCs w:val="24"/>
        </w:rPr>
        <w:t xml:space="preserve"> Regione —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w:t>
      </w:r>
    </w:p>
    <w:p>
      <w:pPr>
        <w:spacing w:after="120" w:line="276"/>
        <w:jc w:val="both"/>
      </w:pP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aics.gov.it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livello9.it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402.</w:t>
      </w:r>
      <w:r>
        <w:rPr>
          <w:rFonts w:ascii="Barlow Semi Condensed" w:cs="Barlow Semi Condensed" w:eastAsia="Barlow Semi Condensed" w:hAnsi="Barlow Semi Condensed"/>
          <w:sz w:val="24"/>
          <w:szCs w:val="24"/>
        </w:rPr>
        <w:t xml:space="preserve"> Livello9 — https://www.livello9.it/amicizia-reggio-africa/arcispedale-santa-maria-nuova (https://www.livello9.it/amicizia-reggio-africa/arcispedale-santa-maria-nuova)</w:t>
      </w:r>
    </w:p>
    <w:p>
      <w:pPr>
        <w:spacing w:after="120" w:line="276"/>
        <w:jc w:val="both"/>
      </w:pPr>
      <w:r>
        <w:rPr>
          <w:rFonts w:ascii="Barlow Semi Condensed" w:cs="Barlow Semi Condensed" w:eastAsia="Barlow Semi Condensed" w:hAnsi="Barlow Semi Condensed"/>
          <w:b/>
          <w:bCs/>
          <w:sz w:val="24"/>
          <w:szCs w:val="24"/>
        </w:rPr>
        <w:t xml:space="preserve">403.</w:t>
      </w:r>
      <w:r>
        <w:rPr>
          <w:rFonts w:ascii="Barlow Semi Condensed" w:cs="Barlow Semi Condensed" w:eastAsia="Barlow Semi Condensed" w:hAnsi="Barlow Semi Condensed"/>
          <w:sz w:val="24"/>
          <w:szCs w:val="24"/>
        </w:rPr>
        <w:t xml:space="preserve"> Oltremare — https://www.aics.gov.it/oltremare/articoli/partnership/samito-a-reggio-emilia-50-anni-dopo-viva-mocambique/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b/>
          <w:bCs/>
          <w:sz w:val="24"/>
          <w:szCs w:val="24"/>
        </w:rPr>
        <w:t xml:space="preserve">404.</w:t>
      </w:r>
      <w:r>
        <w:rPr>
          <w:rFonts w:ascii="Barlow Semi Condensed" w:cs="Barlow Semi Condensed" w:eastAsia="Barlow Semi Condensed" w:hAnsi="Barlow Semi Condensed"/>
          <w:sz w:val="24"/>
          <w:szCs w:val="24"/>
        </w:rPr>
        <w:t xml:space="preserve"> Guerracolonial — https://guerracolonial.pt/1972-negar-uma-solucao-politica-para-a-guerra/wiriyamu-de-mocambique-para-o-mundo/ (https://guerracolonial.pt/1972-negar-uma-solucao-politica-para-a-guerra/wiriyamu-de-mocambique-para-o-mundo/)</w:t>
      </w:r>
    </w:p>
    <w:p>
      <w:pPr>
        <w:spacing w:after="120" w:line="276"/>
        <w:jc w:val="both"/>
      </w:pPr>
      <w:r>
        <w:rPr>
          <w:rFonts w:ascii="Barlow Semi Condensed" w:cs="Barlow Semi Condensed" w:eastAsia="Barlow Semi Condensed" w:hAnsi="Barlow Semi Condensed"/>
          <w:b/>
          <w:bCs/>
          <w:sz w:val="24"/>
          <w:szCs w:val="24"/>
        </w:rPr>
        <w:t xml:space="preserve">405.</w:t>
      </w:r>
      <w:r>
        <w:rPr>
          <w:rFonts w:ascii="Barlow Semi Condensed" w:cs="Barlow Semi Condensed" w:eastAsia="Barlow Semi Condensed" w:hAnsi="Barlow Semi Condensed"/>
          <w:sz w:val="24"/>
          <w:szCs w:val="24"/>
        </w:rPr>
        <w:t xml:space="preserve"> Wikipedia — https://it.wikipedia.org/wiki/Guerra_d'indipendenza_del_Mozambico (https://it.wikipedia.org/wiki/Guerra_d'indipendenza_del_Mozambico)</w:t>
      </w:r>
    </w:p>
    <w:p>
      <w:pPr>
        <w:spacing w:after="120" w:line="276"/>
        <w:jc w:val="both"/>
      </w:pPr>
      <w:r>
        <w:rPr>
          <w:rFonts w:ascii="Barlow Semi Condensed" w:cs="Barlow Semi Condensed" w:eastAsia="Barlow Semi Condensed" w:hAnsi="Barlow Semi Condensed"/>
          <w:b/>
          <w:bCs/>
          <w:sz w:val="24"/>
          <w:szCs w:val="24"/>
        </w:rPr>
        <w:t xml:space="preserve">406.</w:t>
      </w:r>
      <w:r>
        <w:rPr>
          <w:rFonts w:ascii="Barlow Semi Condensed" w:cs="Barlow Semi Condensed" w:eastAsia="Barlow Semi Condensed" w:hAnsi="Barlow Semi Condensed"/>
          <w:sz w:val="24"/>
          <w:szCs w:val="24"/>
        </w:rPr>
        <w:t xml:space="preserve"> Wikipedia — https://en.wikipedia.org/wiki/Wiriyamu_Massacre (https://en.wikipedia.org/wiki/Wiriyamu_Massacre)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407.</w:t>
      </w:r>
      <w:r>
        <w:rPr>
          <w:rFonts w:ascii="Barlow Semi Condensed" w:cs="Barlow Semi Condensed" w:eastAsia="Barlow Semi Condensed" w:hAnsi="Barlow Semi Condensed"/>
          <w:sz w:val="24"/>
          <w:szCs w:val="24"/>
        </w:rPr>
        <w:t xml:space="preserve"> Wikipedia — https://pt.wikipedia.org/wiki/Massacre_de_Wiriyamu (https://pt.wikipedia.org/wiki/Massacre_de_Wiriyamu)</w:t>
      </w:r>
    </w:p>
    <w:p>
      <w:pPr>
        <w:spacing w:after="120" w:line="276"/>
        <w:jc w:val="both"/>
      </w:pPr>
      <w:r>
        <w:rPr>
          <w:rFonts w:ascii="Barlow Semi Condensed" w:cs="Barlow Semi Condensed" w:eastAsia="Barlow Semi Condensed" w:hAnsi="Barlow Semi Condensed"/>
          <w:b/>
          <w:bCs/>
          <w:sz w:val="24"/>
          <w:szCs w:val="24"/>
        </w:rPr>
        <w:t xml:space="preserve">408.</w:t>
      </w:r>
      <w:r>
        <w:rPr>
          <w:rFonts w:ascii="Barlow Semi Condensed" w:cs="Barlow Semi Condensed" w:eastAsia="Barlow Semi Condensed" w:hAnsi="Barlow Semi Condensed"/>
          <w:sz w:val="24"/>
          <w:szCs w:val="24"/>
        </w:rPr>
        <w:t xml:space="preserve"> Uc — https://www.cd25a.uc.pt/storage/media/pdf/Biblioteca%20digital/Artigos/APP_Cx23-13_The%20Wiriyamu%20Massacre%20In%20Mozambique%20The%20Search%20For%20Answers.pdf (https://www.cd25a.uc.pt/storage/media/pdf/Biblioteca%20digital/Artigos/APP_Cx23-13_The%20Wiriyamu%20Massacre%20In%20Mozambique%20The%20Search%20For%20Answers.pdf)</w:t>
      </w:r>
    </w:p>
    <w:p>
      <w:pPr>
        <w:spacing w:after="120" w:line="276"/>
        <w:jc w:val="both"/>
      </w:pPr>
      <w:r>
        <w:rPr>
          <w:rFonts w:ascii="Barlow Semi Condensed" w:cs="Barlow Semi Condensed" w:eastAsia="Barlow Semi Condensed" w:hAnsi="Barlow Semi Condensed"/>
          <w:b/>
          <w:bCs/>
          <w:sz w:val="24"/>
          <w:szCs w:val="24"/>
        </w:rPr>
        <w:t xml:space="preserve">409.</w:t>
      </w:r>
      <w:r>
        <w:rPr>
          <w:rFonts w:ascii="Barlow Semi Condensed" w:cs="Barlow Semi Condensed" w:eastAsia="Barlow Semi Condensed" w:hAnsi="Barlow Semi Condensed"/>
          <w:sz w:val="24"/>
          <w:szCs w:val="24"/>
        </w:rPr>
        <w:t xml:space="preserve"> Taylor \&amp; Francis Online — https://www.tandfonline.com/doi/abs/10.1080/13698249.2012.654690 (https://www.tandfonline.com/doi/abs/10.1080/13698249.2012.654690)</w:t>
      </w:r>
    </w:p>
    <w:p>
      <w:pPr>
        <w:spacing w:after="120" w:line="276"/>
        <w:jc w:val="both"/>
      </w:pPr>
      <w:r>
        <w:rPr>
          <w:rFonts w:ascii="Barlow Semi Condensed" w:cs="Barlow Semi Condensed" w:eastAsia="Barlow Semi Condensed" w:hAnsi="Barlow Semi Condensed"/>
          <w:b/>
          <w:bCs/>
          <w:sz w:val="24"/>
          <w:szCs w:val="24"/>
        </w:rPr>
        <w:t xml:space="preserve">410.</w:t>
      </w:r>
      <w:r>
        <w:rPr>
          <w:rFonts w:ascii="Barlow Semi Condensed" w:cs="Barlow Semi Condensed" w:eastAsia="Barlow Semi Condensed" w:hAnsi="Barlow Semi Condensed"/>
          <w:sz w:val="24"/>
          <w:szCs w:val="24"/>
        </w:rPr>
        <w:t xml:space="preserve"> Wikipedia — https://en.wikipedia.org/wiki/Adrian_Hastings (https://en.wikipedia.org/wiki/Adrian_Hastings)</w:t>
      </w:r>
    </w:p>
    <w:p>
      <w:pPr>
        <w:spacing w:after="120" w:line="276"/>
        <w:jc w:val="both"/>
      </w:pPr>
      <w:r>
        <w:rPr>
          <w:rFonts w:ascii="Barlow Semi Condensed" w:cs="Barlow Semi Condensed" w:eastAsia="Barlow Semi Condensed" w:hAnsi="Barlow Semi Condensed"/>
          <w:b/>
          <w:bCs/>
          <w:sz w:val="24"/>
          <w:szCs w:val="24"/>
        </w:rPr>
        <w:t xml:space="preserve">411.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comboni.org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412.</w:t>
      </w:r>
      <w:r>
        <w:rPr>
          <w:rFonts w:ascii="Barlow Semi Condensed" w:cs="Barlow Semi Condensed" w:eastAsia="Barlow Semi Condensed" w:hAnsi="Barlow Semi Condensed"/>
          <w:sz w:val="24"/>
          <w:szCs w:val="24"/>
        </w:rPr>
        <w:t xml:space="preserve"> Comboni — https://www.comboni.org/fratelli/106604 (https://www.comboni.org/fratelli/106604)</w:t>
      </w:r>
    </w:p>
    <w:p>
      <w:pPr>
        <w:spacing w:after="120" w:line="276"/>
        <w:jc w:val="both"/>
      </w:pPr>
      <w:r>
        <w:rPr>
          <w:rFonts w:ascii="Barlow Semi Condensed" w:cs="Barlow Semi Condensed" w:eastAsia="Barlow Semi Condensed" w:hAnsi="Barlow Semi Condensed"/>
          <w:b/>
          <w:bCs/>
          <w:sz w:val="24"/>
          <w:szCs w:val="24"/>
        </w:rPr>
        <w:t xml:space="preserve">413.</w:t>
      </w:r>
      <w:r>
        <w:rPr>
          <w:rFonts w:ascii="Barlow Semi Condensed" w:cs="Barlow Semi Condensed" w:eastAsia="Barlow Semi Condensed" w:hAnsi="Barlow Semi Condensed"/>
          <w:sz w:val="24"/>
          <w:szCs w:val="24"/>
        </w:rPr>
        <w:t xml:space="preserve"> Comboni — https://www.comboni.org/fratelli/106111 (https://www.comboni.org/fratelli/106111)</w:t>
      </w:r>
    </w:p>
    <w:p>
      <w:pPr>
        <w:spacing w:after="120" w:line="276"/>
        <w:jc w:val="both"/>
      </w:pPr>
      <w:r>
        <w:rPr>
          <w:rFonts w:ascii="Barlow Semi Condensed" w:cs="Barlow Semi Condensed" w:eastAsia="Barlow Semi Condensed" w:hAnsi="Barlow Semi Condensed"/>
          <w:b/>
          <w:bCs/>
          <w:sz w:val="24"/>
          <w:szCs w:val="24"/>
        </w:rPr>
        <w:t xml:space="preserve">414.</w:t>
      </w:r>
      <w:r>
        <w:rPr>
          <w:rFonts w:ascii="Barlow Semi Condensed" w:cs="Barlow Semi Condensed" w:eastAsia="Barlow Semi Condensed" w:hAnsi="Barlow Semi Condensed"/>
          <w:sz w:val="24"/>
          <w:szCs w:val="24"/>
        </w:rPr>
        <w:t xml:space="preserve"> Comboni — https://www.comboni.org/fratelli/105544 (https://www.comboni.org/fratelli/105544)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setemargens.com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416.</w:t>
      </w:r>
      <w:r>
        <w:rPr>
          <w:rFonts w:ascii="Barlow Semi Condensed" w:cs="Barlow Semi Condensed" w:eastAsia="Barlow Semi Condensed" w:hAnsi="Barlow Semi Condensed"/>
          <w:sz w:val="24"/>
          <w:szCs w:val="24"/>
        </w:rPr>
        <w:t xml:space="preserve"> Sete Margens — https://setemargens.com/testemunhos-sobre-manuel-vieira-pinto-um-bispo-que-deixou-marcas-profundas-em-portugal-e-mocambique/ (https://setemargens.com/testemunhos-sobre-manuel-vieira-pinto-um-bispo-que-deixou-marcas-profundas-em-portugal-e-mocambique/)</w:t>
      </w:r>
    </w:p>
    <w:p>
      <w:pPr>
        <w:spacing w:after="120" w:line="276"/>
        <w:jc w:val="both"/>
      </w:pPr>
      <w:r>
        <w:rPr>
          <w:rFonts w:ascii="Barlow Semi Condensed" w:cs="Barlow Semi Condensed" w:eastAsia="Barlow Semi Condensed" w:hAnsi="Barlow Semi Condensed"/>
          <w:b/>
          <w:bCs/>
          <w:sz w:val="24"/>
          <w:szCs w:val="24"/>
        </w:rPr>
        <w:t xml:space="preserve">417.</w:t>
      </w:r>
      <w:r>
        <w:rPr>
          <w:rFonts w:ascii="Barlow Semi Condensed" w:cs="Barlow Semi Condensed" w:eastAsia="Barlow Semi Condensed" w:hAnsi="Barlow Semi Condensed"/>
          <w:sz w:val="24"/>
          <w:szCs w:val="24"/>
        </w:rPr>
        <w:t xml:space="preserve"> Comboni — https://www.comboni.org/fratelli/105086 (https://www.comboni.org/fratelli/105086)</w:t>
      </w:r>
    </w:p>
    <w:p>
      <w:pPr>
        <w:spacing w:after="120" w:line="276"/>
        <w:jc w:val="both"/>
      </w:pPr>
      <w:r>
        <w:rPr>
          <w:rFonts w:ascii="Barlow Semi Condensed" w:cs="Barlow Semi Condensed" w:eastAsia="Barlow Semi Condensed" w:hAnsi="Barlow Semi Condensed"/>
          <w:b/>
          <w:bCs/>
          <w:sz w:val="24"/>
          <w:szCs w:val="24"/>
        </w:rPr>
        <w:t xml:space="preserve">418.</w:t>
      </w:r>
      <w:r>
        <w:rPr>
          <w:rFonts w:ascii="Barlow Semi Condensed" w:cs="Barlow Semi Condensed" w:eastAsia="Barlow Semi Condensed" w:hAnsi="Barlow Semi Condensed"/>
          <w:sz w:val="24"/>
          <w:szCs w:val="24"/>
        </w:rPr>
        <w:t xml:space="preserve"> Comboni — https://www.comboni.org/pt/contenuti/100237 (https://www.comboni.org/pt/contenuti/100237)</w:t>
      </w:r>
    </w:p>
    <w:p>
      <w:pPr>
        <w:spacing w:after="120" w:line="276"/>
        <w:jc w:val="both"/>
      </w:pPr>
      <w:r>
        <w:rPr>
          <w:rFonts w:ascii="Barlow Semi Condensed" w:cs="Barlow Semi Condensed" w:eastAsia="Barlow Semi Condensed" w:hAnsi="Barlow Semi Condensed"/>
          <w:b/>
          <w:bCs/>
          <w:sz w:val="24"/>
          <w:szCs w:val="24"/>
        </w:rPr>
        <w:t xml:space="preserve">419.</w:t>
      </w:r>
      <w:r>
        <w:rPr>
          <w:rFonts w:ascii="Barlow Semi Condensed" w:cs="Barlow Semi Condensed" w:eastAsia="Barlow Semi Condensed" w:hAnsi="Barlow Semi Condensed"/>
          <w:sz w:val="24"/>
          <w:szCs w:val="24"/>
        </w:rPr>
        <w:t xml:space="preserve"> Revistas Científicas da UCP — https://revistas.ucp.pt/index.php/lusitaniasacra/article/view/16897 (https://revistas.ucp.pt/index.php/lusitaniasacra/article/view/16897)</w:t>
      </w:r>
    </w:p>
    <w:p>
      <w:pPr>
        <w:spacing w:after="120" w:line="276"/>
        <w:jc w:val="both"/>
      </w:pPr>
      <w:r>
        <w:rPr>
          <w:rFonts w:ascii="Barlow Semi Condensed" w:cs="Barlow Semi Condensed" w:eastAsia="Barlow Semi Condensed" w:hAnsi="Barlow Semi Condensed"/>
          <w:b/>
          <w:bCs/>
          <w:sz w:val="24"/>
          <w:szCs w:val="24"/>
        </w:rPr>
        <w:t xml:space="preserve">420.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legislature.camera.it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diplomaciaerevolucao.mne.gov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422.</w:t>
      </w:r>
      <w:r>
        <w:rPr>
          <w:rFonts w:ascii="Barlow Semi Condensed" w:cs="Barlow Semi Condensed" w:eastAsia="Barlow Semi Condensed" w:hAnsi="Barlow Semi Condensed"/>
          <w:sz w:val="24"/>
          <w:szCs w:val="24"/>
        </w:rPr>
        <w:t xml:space="preserve"> Mne — https://diplomaciaerevolucao.mne.gov.pt/pt/visto-de-fora (https://diplomaciaerevolucao.mne.gov.pt/pt/visto-de-fora)</w:t>
      </w:r>
    </w:p>
    <w:p>
      <w:pPr>
        <w:spacing w:after="120" w:line="276"/>
        <w:jc w:val="both"/>
      </w:pPr>
      <w:r>
        <w:rPr>
          <w:rFonts w:ascii="Barlow Semi Condensed" w:cs="Barlow Semi Condensed" w:eastAsia="Barlow Semi Condensed" w:hAnsi="Barlow Semi Condensed"/>
          <w:b/>
          <w:bCs/>
          <w:sz w:val="24"/>
          <w:szCs w:val="24"/>
        </w:rPr>
        <w:t xml:space="preserve">423.</w:t>
      </w:r>
      <w:r>
        <w:rPr>
          <w:rFonts w:ascii="Barlow Semi Condensed" w:cs="Barlow Semi Condensed" w:eastAsia="Barlow Semi Condensed" w:hAnsi="Barlow Semi Condensed"/>
          <w:sz w:val="24"/>
          <w:szCs w:val="24"/>
        </w:rPr>
        <w:t xml:space="preserve"> state — https://history.state.gov/historicaldocuments/frus1969-76ve15p2Ed2/d133 (https://history.state.gov/historicaldocuments/frus1969-76ve15p2Ed2/d133)</w:t>
      </w:r>
    </w:p>
    <w:p>
      <w:pPr>
        <w:spacing w:after="120" w:line="276"/>
        <w:jc w:val="both"/>
      </w:pPr>
      <w:r>
        <w:rPr>
          <w:rFonts w:ascii="Barlow Semi Condensed" w:cs="Barlow Semi Condensed" w:eastAsia="Barlow Semi Condensed" w:hAnsi="Barlow Semi Condensed"/>
          <w:b/>
          <w:bCs/>
          <w:sz w:val="24"/>
          <w:szCs w:val="24"/>
        </w:rPr>
        <w:t xml:space="preserve">424.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portaldiplomatico.mne.gov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425.</w:t>
      </w:r>
      <w:r>
        <w:rPr>
          <w:rFonts w:ascii="Barlow Semi Condensed" w:cs="Barlow Semi Condensed" w:eastAsia="Barlow Semi Condensed" w:hAnsi="Barlow Semi Condensed"/>
          <w:sz w:val="24"/>
          <w:szCs w:val="24"/>
        </w:rPr>
        <w:t xml:space="preserve"> Portal Diplomático — https://portaldiplomatico.mne.gov.pt/relacoesbilaterais/historia-diplomatica?view=article&amp;id=366%3Asanta-se&amp;catid=119%3Arelacoes-diplomaticas (https://portaldiplomatico.mne.gov.pt/relacoesbilaterais/historia-diplomatica?view=article&amp;id=366%3Asanta-se&amp;catid=119%3Arelacoes-diplomaticas)</w:t>
      </w:r>
    </w:p>
    <w:p>
      <w:pPr>
        <w:spacing w:after="120" w:line="276"/>
        <w:jc w:val="both"/>
      </w:pPr>
      <w:r>
        <w:rPr>
          <w:rFonts w:ascii="Barlow Semi Condensed" w:cs="Barlow Semi Condensed" w:eastAsia="Barlow Semi Condensed" w:hAnsi="Barlow Semi Condensed"/>
          <w:b/>
          <w:bCs/>
          <w:sz w:val="24"/>
          <w:szCs w:val="24"/>
        </w:rPr>
        <w:t xml:space="preserve">426.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427.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peresblancs.org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mafrome.org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429.</w:t>
      </w:r>
      <w:r>
        <w:rPr>
          <w:rFonts w:ascii="Barlow Semi Condensed" w:cs="Barlow Semi Condensed" w:eastAsia="Barlow Semi Condensed" w:hAnsi="Barlow Semi Condensed"/>
          <w:sz w:val="24"/>
          <w:szCs w:val="24"/>
        </w:rPr>
        <w:t xml:space="preserve"> Wikipedia — https://en.wikipedia.org/wiki/Lusaka_Accord (https://en.wikipedia.org/wiki/Lusaka_Accord)</w:t>
      </w:r>
    </w:p>
    <w:p>
      <w:pPr>
        <w:spacing w:after="120" w:line="276"/>
        <w:jc w:val="both"/>
      </w:pPr>
      <w:r>
        <w:rPr>
          <w:rFonts w:ascii="Barlow Semi Condensed" w:cs="Barlow Semi Condensed" w:eastAsia="Barlow Semi Condensed" w:hAnsi="Barlow Semi Condensed"/>
          <w:b/>
          <w:bCs/>
          <w:sz w:val="24"/>
          <w:szCs w:val="24"/>
        </w:rPr>
        <w:t xml:space="preserve">430.</w:t>
      </w:r>
      <w:r>
        <w:rPr>
          <w:rFonts w:ascii="Barlow Semi Condensed" w:cs="Barlow Semi Condensed" w:eastAsia="Barlow Semi Condensed" w:hAnsi="Barlow Semi Condensed"/>
          <w:sz w:val="24"/>
          <w:szCs w:val="24"/>
        </w:rPr>
        <w:t xml:space="preserve"> Wikipedia — https://en.wikipedia.org/wiki/Alvor_Agreement (https://en.wikipedia.org/wiki/Alvor_Agreement)</w:t>
      </w:r>
    </w:p>
    <w:p>
      <w:pPr>
        <w:spacing w:after="120" w:line="276"/>
        <w:jc w:val="both"/>
      </w:pPr>
      <w:r>
        <w:rPr>
          <w:rFonts w:ascii="Barlow Semi Condensed" w:cs="Barlow Semi Condensed" w:eastAsia="Barlow Semi Condensed" w:hAnsi="Barlow Semi Condensed"/>
          <w:b/>
          <w:bCs/>
          <w:sz w:val="24"/>
          <w:szCs w:val="24"/>
        </w:rPr>
        <w:t xml:space="preserve">431.</w:t>
      </w:r>
      <w:r>
        <w:rPr>
          <w:rFonts w:ascii="Barlow Semi Condensed" w:cs="Barlow Semi Condensed" w:eastAsia="Barlow Semi Condensed" w:hAnsi="Barlow Semi Condensed"/>
          <w:sz w:val="24"/>
          <w:szCs w:val="24"/>
        </w:rPr>
        <w:t xml:space="preserve"> Storicamente — https://storicamente.org/pimenta-indipendenza-mozambico-decolonizzazione (https://storicamente.org/pimenta-indipendenza-mozambico-decolonizzazione)</w:t>
      </w:r>
    </w:p>
    <w:p>
      <w:pPr>
        <w:spacing w:after="120" w:line="276"/>
        <w:jc w:val="both"/>
      </w:pPr>
      <w:r>
        <w:rPr>
          <w:rFonts w:ascii="Barlow Semi Condensed" w:cs="Barlow Semi Condensed" w:eastAsia="Barlow Semi Condensed" w:hAnsi="Barlow Semi Condensed"/>
          <w:b/>
          <w:bCs/>
          <w:sz w:val="24"/>
          <w:szCs w:val="24"/>
        </w:rPr>
        <w:t xml:space="preserve">432.</w:t>
      </w:r>
      <w:r>
        <w:rPr>
          <w:rFonts w:ascii="Barlow Semi Condensed" w:cs="Barlow Semi Condensed" w:eastAsia="Barlow Semi Condensed" w:hAnsi="Barlow Semi Condensed"/>
          <w:sz w:val="24"/>
          <w:szCs w:val="24"/>
        </w:rPr>
        <w:t xml:space="preserve"> Wikipedia — https://it.wikipedia.org/wiki/Rivoluzione_dei_garofani (https://it.wikipedia.org/wiki/Rivoluzione_dei_garofani)</w:t>
      </w:r>
    </w:p>
    <w:p>
      <w:pPr>
        <w:spacing w:after="120" w:line="276"/>
        <w:jc w:val="both"/>
      </w:pPr>
      <w:r>
        <w:rPr>
          <w:rFonts w:ascii="Barlow Semi Condensed" w:cs="Barlow Semi Condensed" w:eastAsia="Barlow Semi Condensed" w:hAnsi="Barlow Semi Condensed"/>
          <w:b/>
          <w:bCs/>
          <w:sz w:val="24"/>
          <w:szCs w:val="24"/>
        </w:rPr>
        <w:t xml:space="preserve">433.</w:t>
      </w:r>
      <w:r>
        <w:rPr>
          <w:rFonts w:ascii="Barlow Semi Condensed" w:cs="Barlow Semi Condensed" w:eastAsia="Barlow Semi Condensed" w:hAnsi="Barlow Semi Condensed"/>
          <w:sz w:val="24"/>
          <w:szCs w:val="24"/>
        </w:rPr>
        <w:t xml:space="preserve"> BeeMagazine — https://beemagazine.it/moro-1975-quando-litalia-era-davvero-battistrada-delleuropa/ (https://beemagazine.it/moro-1975-quando-litalia-era-davvero-battistrada-delleuropa/)</w:t>
      </w:r>
    </w:p>
    <w:p>
      <w:pPr>
        <w:spacing w:after="120" w:line="276"/>
        <w:jc w:val="both"/>
      </w:pPr>
      <w:r>
        <w:rPr>
          <w:rFonts w:ascii="Barlow Semi Condensed" w:cs="Barlow Semi Condensed" w:eastAsia="Barlow Semi Condensed" w:hAnsi="Barlow Semi Condensed"/>
          <w:b/>
          <w:bCs/>
          <w:sz w:val="24"/>
          <w:szCs w:val="24"/>
        </w:rPr>
        <w:t xml:space="preserve">434.</w:t>
      </w:r>
      <w:r>
        <w:rPr>
          <w:rFonts w:ascii="Barlow Semi Condensed" w:cs="Barlow Semi Condensed" w:eastAsia="Barlow Semi Condensed" w:hAnsi="Barlow Semi Condensed"/>
          <w:sz w:val="24"/>
          <w:szCs w:val="24"/>
        </w:rPr>
        <w:t xml:space="preserve"> Avvenire — https://www.avvenire.it/agora/cultura/ripartire-dallo-spirito-di-helsinki-per-costruire-la-pace_93849 (https://www.avvenire.it/agora/cultura/ripartire-dallo-spirito-di-helsinki-per-costruire-la-pace_93849)</w:t>
      </w:r>
    </w:p>
    <w:p>
      <w:pPr>
        <w:spacing w:after="120" w:line="276"/>
        <w:jc w:val="both"/>
      </w:pPr>
      <w:r>
        <w:rPr>
          <w:rFonts w:ascii="Barlow Semi Condensed" w:cs="Barlow Semi Condensed" w:eastAsia="Barlow Semi Condensed" w:hAnsi="Barlow Semi Condensed"/>
          <w:b/>
          <w:bCs/>
          <w:sz w:val="24"/>
          <w:szCs w:val="24"/>
        </w:rPr>
        <w:t xml:space="preserve">435.</w:t>
      </w:r>
      <w:r>
        <w:rPr>
          <w:rFonts w:ascii="Barlow Semi Condensed" w:cs="Barlow Semi Condensed" w:eastAsia="Barlow Semi Condensed" w:hAnsi="Barlow Semi Condensed"/>
          <w:sz w:val="24"/>
          <w:szCs w:val="24"/>
        </w:rPr>
        <w:t xml:space="preserve"> Nuovarivistastorica — https://www.nuovarivistastorica.it/litalia-nellorganizzazione-per-la-sicurezza-e-la-cooperazione-in-europa/ (https://www.nuovarivistastorica.it/litalia-nellorganizzazione-per-la-sicurezza-e-la-cooperazione-in-europa/)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436.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antt.dglab.gov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437.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portal.ehri-project.eu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VII — Grecia e Opus Dei 1969-1985</w:t>
      </w:r>
    </w:p>
    <w:p>
      <w:pPr>
        <w:spacing w:after="120" w:line="276"/>
        <w:jc w:val="both"/>
      </w:pPr>
      <w:r>
        <w:rPr>
          <w:rFonts w:ascii="Barlow Semi Condensed" w:cs="Barlow Semi Condensed" w:eastAsia="Barlow Semi Condensed" w:hAnsi="Barlow Semi Condensed"/>
          <w:b/>
          <w:bCs/>
          <w:sz w:val="24"/>
          <w:szCs w:val="24"/>
        </w:rPr>
        <w:t xml:space="preserve">438.</w:t>
      </w:r>
      <w:r>
        <w:rPr>
          <w:rFonts w:ascii="Barlow Semi Condensed" w:cs="Barlow Semi Condensed" w:eastAsia="Barlow Semi Condensed" w:hAnsi="Barlow Semi Condensed"/>
          <w:sz w:val="24"/>
          <w:szCs w:val="24"/>
        </w:rPr>
        <w:t xml:space="preserve"> Camera — https://dati.camera.it/ocd/aic.rdf/aic4_03754_16 (https://dati.camera.it/ocd/aic.rdf/aic4_03754_16)</w:t>
      </w:r>
    </w:p>
    <w:p>
      <w:pPr>
        <w:spacing w:after="120" w:line="276"/>
        <w:jc w:val="both"/>
      </w:pPr>
      <w:r>
        <w:rPr>
          <w:rFonts w:ascii="Barlow Semi Condensed" w:cs="Barlow Semi Condensed" w:eastAsia="Barlow Semi Condensed" w:hAnsi="Barlow Semi Condensed"/>
          <w:b/>
          <w:bCs/>
          <w:sz w:val="24"/>
          <w:szCs w:val="24"/>
        </w:rPr>
        <w:t xml:space="preserve">439.</w:t>
      </w:r>
      <w:r>
        <w:rPr>
          <w:rFonts w:ascii="Barlow Semi Condensed" w:cs="Barlow Semi Condensed" w:eastAsia="Barlow Semi Condensed" w:hAnsi="Barlow Semi Condensed"/>
          <w:sz w:val="24"/>
          <w:szCs w:val="24"/>
        </w:rPr>
        <w:t xml:space="preserve"> Wikipedia — https://it.wikipedia.org/wiki/Questione_di_Cipro (https://it.wikipedia.org/wiki/Questione_di_Cipro)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440.</w:t>
      </w:r>
      <w:r>
        <w:rPr>
          <w:rFonts w:ascii="Barlow Semi Condensed" w:cs="Barlow Semi Condensed" w:eastAsia="Barlow Semi Condensed" w:hAnsi="Barlow Semi Condensed"/>
          <w:sz w:val="24"/>
          <w:szCs w:val="24"/>
        </w:rPr>
        <w:t xml:space="preserve"> U.S. Department of State — https://history.state.gov/historicaldocuments/frus1969-76v30/d194 (https://history.state.gov/historicaldocuments/frus1969-76v30/d194)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441.</w:t>
      </w:r>
      <w:r>
        <w:rPr>
          <w:rFonts w:ascii="Barlow Semi Condensed" w:cs="Barlow Semi Condensed" w:eastAsia="Barlow Semi Condensed" w:hAnsi="Barlow Semi Condensed"/>
          <w:sz w:val="24"/>
          <w:szCs w:val="24"/>
        </w:rPr>
        <w:t xml:space="preserve"> Paese Italia Press — https://www.paeseitaliapress.it/esteri/2025/08/27/scudo-inter-etnico-o-limite-alla-guerra-il-ruolo-delle-forze-di-pace-onu-a-cipro/ (https://www.paeseitaliapress.it/esteri/2025/08/27/scudo-inter-etnico-o-limite-alla-guerra-il-ruolo-delle-forze-di-pace-onu-a-cipro/)</w:t>
      </w:r>
    </w:p>
    <w:p>
      <w:pPr>
        <w:spacing w:after="120" w:line="276"/>
        <w:jc w:val="both"/>
      </w:pPr>
      <w:r>
        <w:rPr>
          <w:rFonts w:ascii="Barlow Semi Condensed" w:cs="Barlow Semi Condensed" w:eastAsia="Barlow Semi Condensed" w:hAnsi="Barlow Semi Condensed"/>
          <w:b/>
          <w:bCs/>
          <w:sz w:val="24"/>
          <w:szCs w:val="24"/>
        </w:rPr>
        <w:t xml:space="preserve">442.</w:t>
      </w:r>
      <w:r>
        <w:rPr>
          <w:rFonts w:ascii="Barlow Semi Condensed" w:cs="Barlow Semi Condensed" w:eastAsia="Barlow Semi Condensed" w:hAnsi="Barlow Semi Condensed"/>
          <w:sz w:val="24"/>
          <w:szCs w:val="24"/>
        </w:rPr>
        <w:t xml:space="preserve"> Esteri — https://ambatene.esteri.it/ambasciata_atene/it/i_rapporti_bilaterali/ (https://ambatene.esteri.it/ambasciata_atene/it/i_rapporti_bilaterali/)</w:t>
      </w:r>
    </w:p>
    <w:p>
      <w:pPr>
        <w:spacing w:after="120" w:line="276"/>
        <w:jc w:val="both"/>
      </w:pPr>
      <w:r>
        <w:rPr>
          <w:rFonts w:ascii="Barlow Semi Condensed" w:cs="Barlow Semi Condensed" w:eastAsia="Barlow Semi Condensed" w:hAnsi="Barlow Semi Condensed"/>
          <w:b/>
          <w:bCs/>
          <w:sz w:val="24"/>
          <w:szCs w:val="24"/>
        </w:rPr>
        <w:t xml:space="preserve">443.</w:t>
      </w:r>
      <w:r>
        <w:rPr>
          <w:rFonts w:ascii="Barlow Semi Condensed" w:cs="Barlow Semi Condensed" w:eastAsia="Barlow Semi Condensed" w:hAnsi="Barlow Semi Condensed"/>
          <w:sz w:val="24"/>
          <w:szCs w:val="24"/>
        </w:rPr>
        <w:t xml:space="preserve"> East Journal — https://www.eastjournal.net/archives/9505 (https://www.eastjournal.net/archives/9505)</w:t>
      </w:r>
    </w:p>
    <w:p>
      <w:pPr>
        <w:spacing w:after="120" w:line="276"/>
        <w:jc w:val="both"/>
      </w:pPr>
      <w:r>
        <w:rPr>
          <w:rFonts w:ascii="Barlow Semi Condensed" w:cs="Barlow Semi Condensed" w:eastAsia="Barlow Semi Condensed" w:hAnsi="Barlow Semi Condensed"/>
          <w:b/>
          <w:bCs/>
          <w:sz w:val="24"/>
          <w:szCs w:val="24"/>
        </w:rPr>
        <w:t xml:space="preserve">444.</w:t>
      </w:r>
      <w:r>
        <w:rPr>
          <w:rFonts w:ascii="Barlow Semi Condensed" w:cs="Barlow Semi Condensed" w:eastAsia="Barlow Semi Condensed" w:hAnsi="Barlow Semi Condensed"/>
          <w:sz w:val="24"/>
          <w:szCs w:val="24"/>
        </w:rPr>
        <w:t xml:space="preserve"> La Voce e il Tempo — https://vocetempo.it/sessantanni-fa-la-fine-delle-scomuniche-fra-cattolici-e-ortodossi/ (https://vocetempo.it/sessantanni-fa-la-fine-delle-scomuniche-fra-cattolici-e-ortodossi/)</w:t>
      </w:r>
    </w:p>
    <w:p>
      <w:pPr>
        <w:spacing w:after="120" w:line="276"/>
        <w:jc w:val="both"/>
      </w:pPr>
      <w:r>
        <w:rPr>
          <w:rFonts w:ascii="Barlow Semi Condensed" w:cs="Barlow Semi Condensed" w:eastAsia="Barlow Semi Condensed" w:hAnsi="Barlow Semi Condensed"/>
          <w:b/>
          <w:bCs/>
          <w:sz w:val="24"/>
          <w:szCs w:val="24"/>
        </w:rPr>
        <w:t xml:space="preserve">445.</w:t>
      </w:r>
      <w:r>
        <w:rPr>
          <w:rFonts w:ascii="Barlow Semi Condensed" w:cs="Barlow Semi Condensed" w:eastAsia="Barlow Semi Condensed" w:hAnsi="Barlow Semi Condensed"/>
          <w:sz w:val="24"/>
          <w:szCs w:val="24"/>
        </w:rPr>
        <w:t xml:space="preserve"> Wikipedia — https://it.wikipedia.org/wiki/Dichiarazione_comune_cattolico-ortodossa_del_1965 (https://it.wikipedia.org/wiki/Dichiarazione_comune_cattolico-ortodossa_del_1965)</w:t>
      </w:r>
    </w:p>
    <w:p>
      <w:pPr>
        <w:spacing w:after="120" w:line="276"/>
        <w:jc w:val="both"/>
      </w:pPr>
      <w:r>
        <w:rPr>
          <w:rFonts w:ascii="Barlow Semi Condensed" w:cs="Barlow Semi Condensed" w:eastAsia="Barlow Semi Condensed" w:hAnsi="Barlow Semi Condensed"/>
          <w:b/>
          <w:bCs/>
          <w:sz w:val="24"/>
          <w:szCs w:val="24"/>
        </w:rPr>
        <w:t xml:space="preserve">446.</w:t>
      </w:r>
      <w:r>
        <w:rPr>
          <w:rFonts w:ascii="Barlow Semi Condensed" w:cs="Barlow Semi Condensed" w:eastAsia="Barlow Semi Condensed" w:hAnsi="Barlow Semi Condensed"/>
          <w:sz w:val="24"/>
          <w:szCs w:val="24"/>
        </w:rPr>
        <w:t xml:space="preserve"> opusdei — https://opusdei.org/it-it/article/storia/ (https://opusdei.org/it-it/article/storia/)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447.</w:t>
      </w:r>
      <w:r>
        <w:rPr>
          <w:rFonts w:ascii="Barlow Semi Condensed" w:cs="Barlow Semi Condensed" w:eastAsia="Barlow Semi Condensed" w:hAnsi="Barlow Semi Condensed"/>
          <w:sz w:val="24"/>
          <w:szCs w:val="24"/>
        </w:rPr>
        <w:t xml:space="preserve"> opusdei — https://opusdei.org/en-us/article/regional-circumscriptions-opus-dei/ (https://opusdei.org/en-us/article/regional-circumscriptions-opus-dei/)</w:t>
      </w:r>
    </w:p>
    <w:p>
      <w:pPr>
        <w:spacing w:after="120" w:line="276"/>
        <w:jc w:val="both"/>
      </w:pPr>
      <w:r>
        <w:rPr>
          <w:rFonts w:ascii="Barlow Semi Condensed" w:cs="Barlow Semi Condensed" w:eastAsia="Barlow Semi Condensed" w:hAnsi="Barlow Semi Condensed"/>
          <w:b/>
          <w:bCs/>
          <w:sz w:val="24"/>
          <w:szCs w:val="24"/>
        </w:rPr>
        <w:t xml:space="preserve">448.</w:t>
      </w:r>
      <w:r>
        <w:rPr>
          <w:rFonts w:ascii="Barlow Semi Condensed" w:cs="Barlow Semi Condensed" w:eastAsia="Barlow Semi Condensed" w:hAnsi="Barlow Semi Condensed"/>
          <w:sz w:val="24"/>
          <w:szCs w:val="24"/>
        </w:rPr>
        <w:t xml:space="preserve"> Wikipedia — https://en.wikipedia.org/wiki/Josemar%C3%ADa_Escriv%C3%A1 (https://en.wikipedia.org/wiki/Josemar%C3%ADa_Escriv%C3%A1)</w:t>
      </w:r>
    </w:p>
    <w:p>
      <w:pPr>
        <w:spacing w:after="120" w:line="276"/>
        <w:jc w:val="both"/>
      </w:pPr>
      <w:r>
        <w:rPr>
          <w:rFonts w:ascii="Barlow Semi Condensed" w:cs="Barlow Semi Condensed" w:eastAsia="Barlow Semi Condensed" w:hAnsi="Barlow Semi Condensed"/>
          <w:b/>
          <w:bCs/>
          <w:sz w:val="24"/>
          <w:szCs w:val="24"/>
        </w:rPr>
        <w:t xml:space="preserve">449.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catholicmedia.org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450.</w:t>
      </w:r>
      <w:r>
        <w:rPr>
          <w:rFonts w:ascii="Barlow Semi Condensed" w:cs="Barlow Semi Condensed" w:eastAsia="Barlow Semi Condensed" w:hAnsi="Barlow Semi Condensed"/>
          <w:sz w:val="24"/>
          <w:szCs w:val="24"/>
        </w:rPr>
        <w:t xml:space="preserve"> ACI Stampa — https://www.acistampa.com/story/18666/i-greco-cattolici-in-grecia-pietra-di-inciampo-che-vuole-costruire-ponti-18666 (https://www.acistampa.com/story/18666/i-greco-cattolici-in-grecia-pietra-di-inciampo-che-vuole-costruire-ponti-18666)</w:t>
      </w:r>
    </w:p>
    <w:p>
      <w:pPr>
        <w:spacing w:after="120" w:line="276"/>
        <w:jc w:val="both"/>
      </w:pPr>
      <w:r>
        <w:rPr>
          <w:rFonts w:ascii="Barlow Semi Condensed" w:cs="Barlow Semi Condensed" w:eastAsia="Barlow Semi Condensed" w:hAnsi="Barlow Semi Condensed"/>
          <w:b/>
          <w:bCs/>
          <w:sz w:val="24"/>
          <w:szCs w:val="24"/>
        </w:rPr>
        <w:t xml:space="preserve">451.</w:t>
      </w:r>
      <w:r>
        <w:rPr>
          <w:rFonts w:ascii="Barlow Semi Condensed" w:cs="Barlow Semi Condensed" w:eastAsia="Barlow Semi Condensed" w:hAnsi="Barlow Semi Condensed"/>
          <w:sz w:val="24"/>
          <w:szCs w:val="24"/>
        </w:rPr>
        <w:t xml:space="preserve"> La Nuova Bussola Quotidiana — https://lanuovabq.it/it/cristiani-divisi-in-grecia (https://lanuovabq.it/it/cristiani-divisi-in-grecia)</w:t>
      </w:r>
    </w:p>
    <w:p>
      <w:pPr>
        <w:spacing w:after="120" w:line="276"/>
        <w:jc w:val="both"/>
      </w:pPr>
      <w:r>
        <w:rPr>
          <w:rFonts w:ascii="Barlow Semi Condensed" w:cs="Barlow Semi Condensed" w:eastAsia="Barlow Semi Condensed" w:hAnsi="Barlow Semi Condensed"/>
          <w:b/>
          <w:bCs/>
          <w:sz w:val="24"/>
          <w:szCs w:val="24"/>
        </w:rPr>
        <w:t xml:space="preserve">452.</w:t>
      </w:r>
      <w:r>
        <w:rPr>
          <w:rFonts w:ascii="Barlow Semi Condensed" w:cs="Barlow Semi Condensed" w:eastAsia="Barlow Semi Condensed" w:hAnsi="Barlow Semi Condensed"/>
          <w:sz w:val="24"/>
          <w:szCs w:val="24"/>
        </w:rPr>
        <w:t xml:space="preserve"> state — https://history.state.gov/historicaldocuments/frus1969-76v30 (https://history.state.gov/historicaldocuments/frus1969-76v30)</w:t>
      </w:r>
    </w:p>
    <w:p>
      <w:pPr>
        <w:spacing w:after="120" w:line="276"/>
        <w:jc w:val="both"/>
      </w:pPr>
      <w:r>
        <w:rPr>
          <w:rFonts w:ascii="Barlow Semi Condensed" w:cs="Barlow Semi Condensed" w:eastAsia="Barlow Semi Condensed" w:hAnsi="Barlow Semi Condensed"/>
          <w:b/>
          <w:bCs/>
          <w:sz w:val="24"/>
          <w:szCs w:val="24"/>
        </w:rPr>
        <w:t xml:space="preserve">453.</w:t>
      </w:r>
      <w:r>
        <w:rPr>
          <w:rFonts w:ascii="Barlow Semi Condensed" w:cs="Barlow Semi Condensed" w:eastAsia="Barlow Semi Condensed" w:hAnsi="Barlow Semi Condensed"/>
          <w:sz w:val="24"/>
          <w:szCs w:val="24"/>
        </w:rPr>
        <w:t xml:space="preserve"> Esteri — https://www.esteri.it/it/temi/uap/archivio-storico-e-biblioteca/archivio-storico-diplomatico/ (https://www.esteri.it/it/temi/uap/archivio-storico-e-biblioteca/archivio-storico-diplomatico/)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454.</w:t>
      </w:r>
      <w:r>
        <w:rPr>
          <w:rFonts w:ascii="Barlow Semi Condensed" w:cs="Barlow Semi Condensed" w:eastAsia="Barlow Semi Condensed" w:hAnsi="Barlow Semi Condensed"/>
          <w:sz w:val="24"/>
          <w:szCs w:val="24"/>
        </w:rPr>
        <w:t xml:space="preserve"> Esteri — https://www.esteri.it/it/temi/uap/archivio-storico-e-biblioteca/archivio-storico-diplomatico/storia-e-fondi/ (https://www.esteri.it/it/temi/uap/archivio-storico-e-biblioteca/archivio-storico-diplomatico/storia-e-fondi/)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455.</w:t>
      </w:r>
      <w:r>
        <w:rPr>
          <w:rFonts w:ascii="Barlow Semi Condensed" w:cs="Barlow Semi Condensed" w:eastAsia="Barlow Semi Condensed" w:hAnsi="Barlow Semi Condensed"/>
          <w:sz w:val="24"/>
          <w:szCs w:val="24"/>
        </w:rPr>
        <w:t xml:space="preserve"> Senato della Repubblica — https://www.senato.it/leg16/3182?newsletter_item=1296&amp;newsletter_numero=122 (https://www.senato.it/leg16/3182?newsletter_item=1296&amp;newsletter_numero=122)</w:t>
      </w:r>
    </w:p>
    <w:p>
      <w:pPr>
        <w:spacing w:after="120" w:line="276"/>
        <w:jc w:val="both"/>
      </w:pPr>
      <w:r>
        <w:rPr>
          <w:rFonts w:ascii="Barlow Semi Condensed" w:cs="Barlow Semi Condensed" w:eastAsia="Barlow Semi Condensed" w:hAnsi="Barlow Semi Condensed"/>
          <w:b/>
          <w:bCs/>
          <w:sz w:val="24"/>
          <w:szCs w:val="24"/>
        </w:rPr>
        <w:t xml:space="preserve">456.</w:t>
      </w:r>
      <w:r>
        <w:rPr>
          <w:rFonts w:ascii="Barlow Semi Condensed" w:cs="Barlow Semi Condensed" w:eastAsia="Barlow Semi Condensed" w:hAnsi="Barlow Semi Condensed"/>
          <w:sz w:val="24"/>
          <w:szCs w:val="24"/>
        </w:rPr>
        <w:t xml:space="preserve"> Esteri — https://www.esteri.it/it/uapsds/archivio-storico-e-biblioteca/archivio-storico-diplomatico/servizi-allutenza/ (https://www.esteri.it/it/uapsds/archivio-storico-e-biblioteca/archivio-storico-diplomatico/servizi-allutenza/)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457.</w:t>
      </w:r>
      <w:r>
        <w:rPr>
          <w:rFonts w:ascii="Barlow Semi Condensed" w:cs="Barlow Semi Condensed" w:eastAsia="Barlow Semi Condensed" w:hAnsi="Barlow Semi Condensed"/>
          <w:sz w:val="24"/>
          <w:szCs w:val="24"/>
        </w:rPr>
        <w:t xml:space="preserve"> EHRI — https://portal.ehri-project.eu/institutions/it-002863 (https://portal.ehri-project.eu/institutions/it-002863)</w:t>
      </w:r>
    </w:p>
    <w:p>
      <w:pPr>
        <w:pStyle w:val="Heading3"/>
        <w:spacing w:after="80" w:before="160"/>
      </w:pPr>
      <w:r>
        <w:rPr>
          <w:rFonts w:ascii="Barlow Semi Condensed" w:cs="Barlow Semi Condensed" w:eastAsia="Barlow Semi Condensed" w:hAnsi="Barlow Semi Condensed"/>
          <w:sz w:val="24"/>
          <w:szCs w:val="24"/>
        </w:rPr>
        <w:t xml:space="preserve">Libro dodicesimo · VIII — Turchia e Opus Dei 1969-1975</w:t>
      </w:r>
    </w:p>
    <w:p>
      <w:pPr>
        <w:spacing w:after="120" w:line="276"/>
        <w:jc w:val="both"/>
      </w:pPr>
      <w:r>
        <w:rPr>
          <w:rFonts w:ascii="Barlow Semi Condensed" w:cs="Barlow Semi Condensed" w:eastAsia="Barlow Semi Condensed" w:hAnsi="Barlow Semi Condensed"/>
          <w:b/>
          <w:bCs/>
          <w:sz w:val="24"/>
          <w:szCs w:val="24"/>
        </w:rPr>
        <w:t xml:space="preserve">458.</w:t>
      </w:r>
      <w:r>
        <w:rPr>
          <w:rFonts w:ascii="Barlow Semi Condensed" w:cs="Barlow Semi Condensed" w:eastAsia="Barlow Semi Condensed" w:hAnsi="Barlow Semi Condensed"/>
          <w:sz w:val="24"/>
          <w:szCs w:val="24"/>
        </w:rPr>
        <w:t xml:space="preserve"> Wikipedia — https://it.wikipedia.org/wiki/Accordo_di_Ankara_(1963 (https://it.wikipedia.org/wiki/Accordo_di_Ankara_(1963)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460.</w:t>
      </w:r>
      <w:r>
        <w:rPr>
          <w:rFonts w:ascii="Barlow Semi Condensed" w:cs="Barlow Semi Condensed" w:eastAsia="Barlow Semi Condensed" w:hAnsi="Barlow Semi Condensed"/>
          <w:sz w:val="24"/>
          <w:szCs w:val="24"/>
        </w:rPr>
        <w:t xml:space="preserve"> AB Bașkanlığı — https://www.ab.gov.tr/111_en.html (https://www.ab.gov.tr/111_en.html)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461.</w:t>
      </w:r>
      <w:r>
        <w:rPr>
          <w:rFonts w:ascii="Barlow Semi Condensed" w:cs="Barlow Semi Condensed" w:eastAsia="Barlow Semi Condensed" w:hAnsi="Barlow Semi Condensed"/>
          <w:sz w:val="24"/>
          <w:szCs w:val="24"/>
        </w:rPr>
        <w:t xml:space="preserve"> European Parliament — https://www.europarl.europa.eu/delegations/en/d-tr/documents/eu-texts (https://www.europarl.europa.eu/delegations/en/d-tr/documents/eu-texts)</w:t>
      </w:r>
    </w:p>
    <w:p>
      <w:pPr>
        <w:spacing w:after="120" w:line="276"/>
        <w:jc w:val="both"/>
      </w:pPr>
      <w:r>
        <w:rPr>
          <w:rFonts w:ascii="Barlow Semi Condensed" w:cs="Barlow Semi Condensed" w:eastAsia="Barlow Semi Condensed" w:hAnsi="Barlow Semi Condensed"/>
          <w:b/>
          <w:bCs/>
          <w:sz w:val="24"/>
          <w:szCs w:val="24"/>
        </w:rPr>
        <w:t xml:space="preserve">462.</w:t>
      </w:r>
      <w:r>
        <w:rPr>
          <w:rFonts w:ascii="Barlow Semi Condensed" w:cs="Barlow Semi Condensed" w:eastAsia="Barlow Semi Condensed" w:hAnsi="Barlow Semi Condensed"/>
          <w:sz w:val="24"/>
          <w:szCs w:val="24"/>
        </w:rPr>
        <w:t xml:space="preserve"> EUR-Lex — https://eur-lex.europa.eu/LexUriServ/LexUriServ.do?uri=CELEX%3A31971R1842%3AIT%3AHTML (https://eur-lex.europa.eu/LexUriServ/LexUriServ.do?uri=CELEX%3A31971R1842%3AIT%3AHTML)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463.</w:t>
      </w:r>
      <w:r>
        <w:rPr>
          <w:rFonts w:ascii="Barlow Semi Condensed" w:cs="Barlow Semi Condensed" w:eastAsia="Barlow Semi Condensed" w:hAnsi="Barlow Semi Condensed"/>
          <w:sz w:val="24"/>
          <w:szCs w:val="24"/>
        </w:rPr>
        <w:t xml:space="preserve"> EUR-Lex — https://eur-lex.europa.eu/legal-content/IT/TXT/?uri=CELEX%3A31973R0428 (https://eur-lex.europa.eu/legal-content/IT/TXT/?uri=CELEX%3A31973R0428)</w:t>
      </w:r>
    </w:p>
    <w:p>
      <w:pPr>
        <w:spacing w:after="120" w:line="276"/>
        <w:jc w:val="both"/>
      </w:pPr>
      <w:r>
        <w:rPr>
          <w:rFonts w:ascii="Barlow Semi Condensed" w:cs="Barlow Semi Condensed" w:eastAsia="Barlow Semi Condensed" w:hAnsi="Barlow Semi Condensed"/>
          <w:b/>
          <w:bCs/>
          <w:sz w:val="24"/>
          <w:szCs w:val="24"/>
        </w:rPr>
        <w:t xml:space="preserve">464.</w:t>
      </w:r>
      <w:r>
        <w:rPr>
          <w:rFonts w:ascii="Barlow Semi Condensed" w:cs="Barlow Semi Condensed" w:eastAsia="Barlow Semi Condensed" w:hAnsi="Barlow Semi Condensed"/>
          <w:sz w:val="24"/>
          <w:szCs w:val="24"/>
        </w:rPr>
        <w:t xml:space="preserve"> Cambridge Core — https://www.cambridge.org/core/journals/international-and-comparative-law-quarterly/article/abs/ii-the-ankara-agreement-turkey-and-the-eu/F0EB341D436F195721DC25D49CE61DC0 (https://www.cambridge.org/core/journals/international-and-comparative-law-quarterly/article/abs/ii-the-ankara-agreement-turkey-and-the-eu/F0EB341D436F195721DC25D49CE61DC0)</w:t>
      </w:r>
    </w:p>
    <w:p>
      <w:pPr>
        <w:spacing w:after="120" w:line="276"/>
        <w:jc w:val="both"/>
      </w:pPr>
      <w:r>
        <w:rPr>
          <w:rFonts w:ascii="Barlow Semi Condensed" w:cs="Barlow Semi Condensed" w:eastAsia="Barlow Semi Condensed" w:hAnsi="Barlow Semi Condensed"/>
          <w:b/>
          <w:bCs/>
          <w:sz w:val="24"/>
          <w:szCs w:val="24"/>
        </w:rPr>
        <w:t xml:space="preserve">465.</w:t>
      </w:r>
      <w:r>
        <w:rPr>
          <w:rFonts w:ascii="Barlow Semi Condensed" w:cs="Barlow Semi Condensed" w:eastAsia="Barlow Semi Condensed" w:hAnsi="Barlow Semi Condensed"/>
          <w:sz w:val="24"/>
          <w:szCs w:val="24"/>
        </w:rPr>
        <w:t xml:space="preserve"> EUR-Lex — https://eur-lex.europa.eu/legal-content/IT/TXT/PDF/?uri=CELEX:01964A1229(01 (https://eur-lex.europa.eu/legal-content/IT/TXT/PDF/?uri=CELEX:01964A1229(01)</w:t>
      </w:r>
    </w:p>
    <w:p>
      <w:pPr>
        <w:spacing w:after="120" w:line="276"/>
        <w:jc w:val="both"/>
      </w:pPr>
      <w:r>
        <w:rPr>
          <w:rFonts w:ascii="Barlow Semi Condensed" w:cs="Barlow Semi Condensed" w:eastAsia="Barlow Semi Condensed" w:hAnsi="Barlow Semi Condensed"/>
          <w:b/>
          <w:bCs/>
          <w:sz w:val="24"/>
          <w:szCs w:val="24"/>
        </w:rPr>
        <w:t xml:space="preserve">466.</w:t>
      </w:r>
      <w:r>
        <w:rPr>
          <w:rFonts w:ascii="Barlow Semi Condensed" w:cs="Barlow Semi Condensed" w:eastAsia="Barlow Semi Condensed" w:hAnsi="Barlow Semi Condensed"/>
          <w:sz w:val="24"/>
          <w:szCs w:val="24"/>
        </w:rPr>
        <w:t xml:space="preserve"> EUR-Lex — https://eur-lex.europa.eu/LexUriServ/LexUriServ.do?uri=CELEX:21970A1123(01 (https://eur-lex.europa.eu/LexUriServ/LexUriServ.do?uri=CELEX:21970A1123(01)</w:t>
      </w:r>
    </w:p>
    <w:p>
      <w:pPr>
        <w:spacing w:after="120" w:line="276"/>
        <w:jc w:val="both"/>
      </w:pPr>
      <w:r>
        <w:rPr>
          <w:rFonts w:ascii="Barlow Semi Condensed" w:cs="Barlow Semi Condensed" w:eastAsia="Barlow Semi Condensed" w:hAnsi="Barlow Semi Condensed"/>
          <w:b/>
          <w:bCs/>
          <w:sz w:val="24"/>
          <w:szCs w:val="24"/>
        </w:rPr>
        <w:t xml:space="preserve">467.</w:t>
      </w:r>
      <w:r>
        <w:rPr>
          <w:rFonts w:ascii="Barlow Semi Condensed" w:cs="Barlow Semi Condensed" w:eastAsia="Barlow Semi Condensed" w:hAnsi="Barlow Semi Condensed"/>
          <w:sz w:val="24"/>
          <w:szCs w:val="24"/>
        </w:rPr>
        <w:t xml:space="preserve"> EUR-Lex — https://eur-lex.europa.eu/legal-content/IT/TXT/HTML/?uri=CELEX:62013CC0138&amp;from=IT (https://eur-lex.europa.eu/legal-content/IT/TXT/HTML/?uri=CELEX:62013CC0138&amp;from=IT)</w:t>
      </w:r>
    </w:p>
    <w:p>
      <w:pPr>
        <w:spacing w:after="120" w:line="276"/>
        <w:jc w:val="both"/>
      </w:pPr>
      <w:r>
        <w:rPr>
          <w:rFonts w:ascii="Barlow Semi Condensed" w:cs="Barlow Semi Condensed" w:eastAsia="Barlow Semi Condensed" w:hAnsi="Barlow Semi Condensed"/>
          <w:b/>
          <w:bCs/>
          <w:sz w:val="24"/>
          <w:szCs w:val="24"/>
        </w:rPr>
        <w:t xml:space="preserve">468.</w:t>
      </w:r>
      <w:r>
        <w:rPr>
          <w:rFonts w:ascii="Barlow Semi Condensed" w:cs="Barlow Semi Condensed" w:eastAsia="Barlow Semi Condensed" w:hAnsi="Barlow Semi Condensed"/>
          <w:sz w:val="24"/>
          <w:szCs w:val="24"/>
        </w:rPr>
        <w:t xml:space="preserve"> EUR-Lex — https://eur-lex.europa.eu/legal-content/IT/TXT/HTML/?amp=&amp;from=IT&amp;uri=CELEX%3A22014A0507%2801%29 (https://eur-lex.europa.eu/legal-content/IT/TXT/HTML/?amp=&amp;from=IT&amp;uri=CELEX%3A22014A0507%2801%29)</w:t>
      </w:r>
    </w:p>
    <w:p>
      <w:pPr>
        <w:spacing w:after="120" w:line="276"/>
        <w:jc w:val="both"/>
      </w:pPr>
      <w:r>
        <w:rPr>
          <w:rFonts w:ascii="Barlow Semi Condensed" w:cs="Barlow Semi Condensed" w:eastAsia="Barlow Semi Condensed" w:hAnsi="Barlow Semi Condensed"/>
          <w:b/>
          <w:bCs/>
          <w:sz w:val="24"/>
          <w:szCs w:val="24"/>
        </w:rPr>
        <w:t xml:space="preserve">469.</w:t>
      </w:r>
      <w:r>
        <w:rPr>
          <w:rFonts w:ascii="Barlow Semi Condensed" w:cs="Barlow Semi Condensed" w:eastAsia="Barlow Semi Condensed" w:hAnsi="Barlow Semi Condensed"/>
          <w:sz w:val="24"/>
          <w:szCs w:val="24"/>
        </w:rPr>
        <w:t xml:space="preserve"> EUR-Lex — https://eur-lex.europa.eu/legal-content/EN/ALL/?uri=CELEX%3A21970A1123%2801%29 (https://eur-lex.europa.eu/legal-content/EN/ALL/?uri=CELEX%3A21970A1123%2801%29)</w:t>
      </w:r>
    </w:p>
    <w:p>
      <w:pPr>
        <w:spacing w:after="120" w:line="276"/>
        <w:jc w:val="both"/>
      </w:pPr>
      <w:r>
        <w:rPr>
          <w:rFonts w:ascii="Barlow Semi Condensed" w:cs="Barlow Semi Condensed" w:eastAsia="Barlow Semi Condensed" w:hAnsi="Barlow Semi Condensed"/>
          <w:b/>
          <w:bCs/>
          <w:sz w:val="24"/>
          <w:szCs w:val="24"/>
        </w:rPr>
        <w:t xml:space="preserve">470.</w:t>
      </w:r>
      <w:r>
        <w:rPr>
          <w:rFonts w:ascii="Barlow Semi Condensed" w:cs="Barlow Semi Condensed" w:eastAsia="Barlow Semi Condensed" w:hAnsi="Barlow Semi Condensed"/>
          <w:sz w:val="24"/>
          <w:szCs w:val="24"/>
        </w:rPr>
        <w:t xml:space="preserve"> EUR-Lex — https://eur-lex.europa.eu/legal-content/IT/ALL/?uri=CELEX%3A21964A1229%2801%29 (https://eur-lex.europa.eu/legal-content/IT/ALL/?uri=CELEX%3A21964A1229%2801%29)</w:t>
      </w:r>
    </w:p>
    <w:p>
      <w:pPr>
        <w:spacing w:after="120" w:line="276"/>
        <w:jc w:val="both"/>
      </w:pPr>
      <w:r>
        <w:rPr>
          <w:rFonts w:ascii="Barlow Semi Condensed" w:cs="Barlow Semi Condensed" w:eastAsia="Barlow Semi Condensed" w:hAnsi="Barlow Semi Condensed"/>
          <w:b/>
          <w:bCs/>
          <w:sz w:val="24"/>
          <w:szCs w:val="24"/>
        </w:rPr>
        <w:t xml:space="preserve">471.</w:t>
      </w:r>
      <w:r>
        <w:rPr>
          <w:rFonts w:ascii="Barlow Semi Condensed" w:cs="Barlow Semi Condensed" w:eastAsia="Barlow Semi Condensed" w:hAnsi="Barlow Semi Condensed"/>
          <w:sz w:val="24"/>
          <w:szCs w:val="24"/>
        </w:rPr>
        <w:t xml:space="preserve"> EUR-Lex — https://eur-lex.europa.eu/LexUriServ/LexUriServ.do?uri=CELEX%3A21973A1003%2801%29%3AIT%3AHTML (https://eur-lex.europa.eu/LexUriServ/LexUriServ.do?uri=CELEX%3A21973A1003%2801%29%3AIT%3AHTML)</w:t>
      </w:r>
    </w:p>
    <w:p>
      <w:pPr>
        <w:spacing w:after="120" w:line="276"/>
        <w:jc w:val="both"/>
      </w:pPr>
      <w:r>
        <w:rPr>
          <w:rFonts w:ascii="Barlow Semi Condensed" w:cs="Barlow Semi Condensed" w:eastAsia="Barlow Semi Condensed" w:hAnsi="Barlow Semi Condensed"/>
          <w:b/>
          <w:bCs/>
          <w:sz w:val="24"/>
          <w:szCs w:val="24"/>
        </w:rPr>
        <w:t xml:space="preserve">472.</w:t>
      </w:r>
      <w:r>
        <w:rPr>
          <w:rFonts w:ascii="Barlow Semi Condensed" w:cs="Barlow Semi Condensed" w:eastAsia="Barlow Semi Condensed" w:hAnsi="Barlow Semi Condensed"/>
          <w:sz w:val="24"/>
          <w:szCs w:val="24"/>
        </w:rPr>
        <w:t xml:space="preserve"> Senato della Repubblica — https://www.senato.it/service/PDF/PDFServer/DF/311398.pdf (https://www.senato.it/service/PDF/PDFServer/DF/311398.pdf)</w:t>
      </w:r>
    </w:p>
    <w:p>
      <w:pPr>
        <w:spacing w:after="120" w:line="276"/>
        <w:jc w:val="both"/>
      </w:pPr>
      <w:r>
        <w:rPr>
          <w:rFonts w:ascii="Barlow Semi Condensed" w:cs="Barlow Semi Condensed" w:eastAsia="Barlow Semi Condensed" w:hAnsi="Barlow Semi Condensed"/>
          <w:b/>
          <w:bCs/>
          <w:sz w:val="24"/>
          <w:szCs w:val="24"/>
        </w:rPr>
        <w:t xml:space="preserve">473.</w:t>
      </w:r>
      <w:r>
        <w:rPr>
          <w:rFonts w:ascii="Barlow Semi Condensed" w:cs="Barlow Semi Condensed" w:eastAsia="Barlow Semi Condensed" w:hAnsi="Barlow Semi Condensed"/>
          <w:sz w:val="24"/>
          <w:szCs w:val="24"/>
        </w:rPr>
        <w:t xml:space="preserve"> Wikipedia — https://en.wikipedia.org/wiki/Turan_G%C3%BCne%C5%9F (https://en.wikipedia.org/wiki/Turan_G%C3%BCne%C5%9F)</w:t>
      </w:r>
    </w:p>
    <w:p>
      <w:pPr>
        <w:spacing w:after="120" w:line="276"/>
        <w:jc w:val="both"/>
      </w:pPr>
      <w:r>
        <w:rPr>
          <w:rFonts w:ascii="Barlow Semi Condensed" w:cs="Barlow Semi Condensed" w:eastAsia="Barlow Semi Condensed" w:hAnsi="Barlow Semi Condensed"/>
          <w:b/>
          <w:bCs/>
          <w:sz w:val="24"/>
          <w:szCs w:val="24"/>
        </w:rPr>
        <w:t xml:space="preserve">474.</w:t>
      </w:r>
      <w:r>
        <w:rPr>
          <w:rFonts w:ascii="Barlow Semi Condensed" w:cs="Barlow Semi Condensed" w:eastAsia="Barlow Semi Condensed" w:hAnsi="Barlow Semi Condensed"/>
          <w:sz w:val="24"/>
          <w:szCs w:val="24"/>
        </w:rPr>
        <w:t xml:space="preserve"> New World Encyclopedia — https://www.newworldencyclopedia.org/entry/Turkish_invasion_of_Cyprus (https://www.newworldencyclopedia.org/entry/Turkish_invasion_of_Cyprus)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475.</w:t>
      </w:r>
      <w:r>
        <w:rPr>
          <w:rFonts w:ascii="Barlow Semi Condensed" w:cs="Barlow Semi Condensed" w:eastAsia="Barlow Semi Condensed" w:hAnsi="Barlow Semi Condensed"/>
          <w:sz w:val="24"/>
          <w:szCs w:val="24"/>
        </w:rPr>
        <w:t xml:space="preserve"> Government of Cyprus — https://www.gov.cy/mfa/en/documents/turkish-military-invasion-and-occupation/ (https://www.gov.cy/mfa/en/documents/turkish-military-invasion-and-occupation/)</w:t>
      </w:r>
    </w:p>
    <w:p>
      <w:pPr>
        <w:spacing w:after="120" w:line="276"/>
        <w:jc w:val="both"/>
      </w:pPr>
      <w:r>
        <w:rPr>
          <w:rFonts w:ascii="Barlow Semi Condensed" w:cs="Barlow Semi Condensed" w:eastAsia="Barlow Semi Condensed" w:hAnsi="Barlow Semi Condensed"/>
          <w:b/>
          <w:bCs/>
          <w:sz w:val="24"/>
          <w:szCs w:val="24"/>
        </w:rPr>
        <w:t xml:space="preserve">476.</w:t>
      </w:r>
      <w:r>
        <w:rPr>
          <w:rFonts w:ascii="Barlow Semi Condensed" w:cs="Barlow Semi Condensed" w:eastAsia="Barlow Semi Condensed" w:hAnsi="Barlow Semi Condensed"/>
          <w:sz w:val="24"/>
          <w:szCs w:val="24"/>
        </w:rPr>
        <w:t xml:space="preserve"> Cyprus Mail — https://cyprus-mail.com/2026/08/14/cyprus-commemorates-anniversary-of-second-phase-of-invasion (https://cyprus-mail.com/2026/08/14/cyprus-commemorates-anniversary-of-second-phase-of-invasion)</w:t>
      </w:r>
    </w:p>
    <w:p>
      <w:pPr>
        <w:spacing w:after="120" w:line="276"/>
        <w:jc w:val="both"/>
      </w:pPr>
      <w:r>
        <w:rPr>
          <w:rFonts w:ascii="Barlow Semi Condensed" w:cs="Barlow Semi Condensed" w:eastAsia="Barlow Semi Condensed" w:hAnsi="Barlow Semi Condensed"/>
          <w:b/>
          <w:bCs/>
          <w:sz w:val="24"/>
          <w:szCs w:val="24"/>
        </w:rPr>
        <w:t xml:space="preserve">477.</w:t>
      </w:r>
      <w:r>
        <w:rPr>
          <w:rFonts w:ascii="Barlow Semi Condensed" w:cs="Barlow Semi Condensed" w:eastAsia="Barlow Semi Condensed" w:hAnsi="Barlow Semi Condensed"/>
          <w:sz w:val="24"/>
          <w:szCs w:val="24"/>
        </w:rPr>
        <w:t xml:space="preserve"> state — https://history.state.gov/historicaldocuments/frus1977-80v21/d117 (https://history.state.gov/historicaldocuments/frus1977-80v21/d117)</w:t>
      </w:r>
    </w:p>
    <w:p>
      <w:pPr>
        <w:spacing w:after="120" w:line="276"/>
        <w:jc w:val="both"/>
      </w:pPr>
      <w:r>
        <w:rPr>
          <w:rFonts w:ascii="Barlow Semi Condensed" w:cs="Barlow Semi Condensed" w:eastAsia="Barlow Semi Condensed" w:hAnsi="Barlow Semi Condensed"/>
          <w:b/>
          <w:bCs/>
          <w:sz w:val="24"/>
          <w:szCs w:val="24"/>
        </w:rPr>
        <w:t xml:space="preserve">478.</w:t>
      </w:r>
      <w:r>
        <w:rPr>
          <w:rFonts w:ascii="Barlow Semi Condensed" w:cs="Barlow Semi Condensed" w:eastAsia="Barlow Semi Condensed" w:hAnsi="Barlow Semi Condensed"/>
          <w:sz w:val="24"/>
          <w:szCs w:val="24"/>
        </w:rPr>
        <w:t xml:space="preserve"> Parikiaki — https://www.parikiaki.com/2026/08/%CF%84oday-marks-second-phase-of-1974-barbaric-turkish-invasion-of-cyprus/ (https://www.parikiaki.com/2026/08/%CF%84oday-marks-second-phase-of-1974-barbaric-turkish-invasion-of-cyprus/)</w:t>
      </w:r>
    </w:p>
    <w:p>
      <w:pPr>
        <w:spacing w:after="120" w:line="276"/>
        <w:jc w:val="both"/>
      </w:pPr>
      <w:r>
        <w:rPr>
          <w:rFonts w:ascii="Barlow Semi Condensed" w:cs="Barlow Semi Condensed" w:eastAsia="Barlow Semi Condensed" w:hAnsi="Barlow Semi Condensed"/>
          <w:b/>
          <w:bCs/>
          <w:sz w:val="24"/>
          <w:szCs w:val="24"/>
        </w:rPr>
        <w:t xml:space="preserve">479.</w:t>
      </w:r>
      <w:r>
        <w:rPr>
          <w:rFonts w:ascii="Barlow Semi Condensed" w:cs="Barlow Semi Condensed" w:eastAsia="Barlow Semi Condensed" w:hAnsi="Barlow Semi Condensed"/>
          <w:sz w:val="24"/>
          <w:szCs w:val="24"/>
        </w:rPr>
        <w:t xml:space="preserve"> Unibo — https://aldomorodigitale.unibo.it/additional_resources/?id=141&amp;type=introduction (https://aldomorodigitale.unibo.it/additional_resources/?id=141&amp;type=introduction)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480.</w:t>
      </w:r>
      <w:r>
        <w:rPr>
          <w:rFonts w:ascii="Barlow Semi Condensed" w:cs="Barlow Semi Condensed" w:eastAsia="Barlow Semi Condensed" w:hAnsi="Barlow Semi Condensed"/>
          <w:sz w:val="24"/>
          <w:szCs w:val="24"/>
        </w:rPr>
        <w:t xml:space="preserve"> Martinkramer — https://martinkramer.org/wp-content/uploads/2025/09/cyprus-1974.pdf (https://martinkramer.org/wp-content/uploads/2025/09/cyprus-1974.pdf)</w:t>
      </w:r>
    </w:p>
    <w:p>
      <w:pPr>
        <w:spacing w:after="120" w:line="276"/>
        <w:jc w:val="both"/>
      </w:pPr>
      <w:r>
        <w:rPr>
          <w:rFonts w:ascii="Barlow Semi Condensed" w:cs="Barlow Semi Condensed" w:eastAsia="Barlow Semi Condensed" w:hAnsi="Barlow Semi Condensed"/>
          <w:b/>
          <w:bCs/>
          <w:sz w:val="24"/>
          <w:szCs w:val="24"/>
        </w:rPr>
        <w:t xml:space="preserve">481.</w:t>
      </w:r>
      <w:r>
        <w:rPr>
          <w:rFonts w:ascii="Barlow Semi Condensed" w:cs="Barlow Semi Condensed" w:eastAsia="Barlow Semi Condensed" w:hAnsi="Barlow Semi Condensed"/>
          <w:sz w:val="24"/>
          <w:szCs w:val="24"/>
        </w:rPr>
        <w:t xml:space="preserve"> umich — https://digital.bentley.umich.edu/midaily/mdp.39015071754639/361/download_text (https://digital.bentley.umich.edu/midaily/mdp.39015071754639/361/download_text)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482.</w:t>
      </w:r>
      <w:r>
        <w:rPr>
          <w:rFonts w:ascii="Barlow Semi Condensed" w:cs="Barlow Semi Condensed" w:eastAsia="Barlow Semi Condensed" w:hAnsi="Barlow Semi Condensed"/>
          <w:sz w:val="24"/>
          <w:szCs w:val="24"/>
        </w:rPr>
        <w:t xml:space="preserve"> msu — https://archive.lib.msu.edu/DMC/state_news/1975/state_news_19750725.pdf (https://archive.lib.msu.edu/DMC/state_news/1975/state_news_19750725.pdf)</w:t>
      </w:r>
    </w:p>
    <w:p>
      <w:pPr>
        <w:spacing w:after="120" w:line="276"/>
        <w:jc w:val="both"/>
      </w:pPr>
      <w:r>
        <w:rPr>
          <w:rFonts w:ascii="Barlow Semi Condensed" w:cs="Barlow Semi Condensed" w:eastAsia="Barlow Semi Condensed" w:hAnsi="Barlow Semi Condensed"/>
          <w:b/>
          <w:bCs/>
          <w:sz w:val="24"/>
          <w:szCs w:val="24"/>
        </w:rPr>
        <w:t xml:space="preserve">483.</w:t>
      </w:r>
      <w:r>
        <w:rPr>
          <w:rFonts w:ascii="Barlow Semi Condensed" w:cs="Barlow Semi Condensed" w:eastAsia="Barlow Semi Condensed" w:hAnsi="Barlow Semi Condensed"/>
          <w:sz w:val="24"/>
          <w:szCs w:val="24"/>
        </w:rPr>
        <w:t xml:space="preserve"> state — https://history.state.gov/historicaldocuments/frus1977-80v21/d121 (https://history.state.gov/historicaldocuments/frus1977-80v21/d121)</w:t>
      </w:r>
    </w:p>
    <w:p>
      <w:pPr>
        <w:spacing w:after="120" w:line="276"/>
        <w:jc w:val="both"/>
      </w:pPr>
      <w:r>
        <w:rPr>
          <w:rFonts w:ascii="Barlow Semi Condensed" w:cs="Barlow Semi Condensed" w:eastAsia="Barlow Semi Condensed" w:hAnsi="Barlow Semi Condensed"/>
          <w:b/>
          <w:bCs/>
          <w:sz w:val="24"/>
          <w:szCs w:val="24"/>
        </w:rPr>
        <w:t xml:space="preserve">484.</w:t>
      </w:r>
      <w:r>
        <w:rPr>
          <w:rFonts w:ascii="Barlow Semi Condensed" w:cs="Barlow Semi Condensed" w:eastAsia="Barlow Semi Condensed" w:hAnsi="Barlow Semi Condensed"/>
          <w:sz w:val="24"/>
          <w:szCs w:val="24"/>
        </w:rPr>
        <w:t xml:space="preserve"> DEU University — https://web.deu.edu.tr/kibris/articles/aftermath.html (https://web.deu.edu.tr/kibris/articles/aftermath.html)</w:t>
      </w:r>
    </w:p>
    <w:p>
      <w:pPr>
        <w:spacing w:after="120" w:line="276"/>
        <w:jc w:val="both"/>
      </w:pPr>
      <w:r>
        <w:rPr>
          <w:rFonts w:ascii="Barlow Semi Condensed" w:cs="Barlow Semi Condensed" w:eastAsia="Barlow Semi Condensed" w:hAnsi="Barlow Semi Condensed"/>
          <w:b/>
          <w:bCs/>
          <w:sz w:val="24"/>
          <w:szCs w:val="24"/>
        </w:rPr>
        <w:t xml:space="preserve">485.</w:t>
      </w:r>
      <w:r>
        <w:rPr>
          <w:rFonts w:ascii="Barlow Semi Condensed" w:cs="Barlow Semi Condensed" w:eastAsia="Barlow Semi Condensed" w:hAnsi="Barlow Semi Condensed"/>
          <w:sz w:val="24"/>
          <w:szCs w:val="24"/>
        </w:rPr>
        <w:t xml:space="preserve"> Eliamep — https://www.eliamep.gr/en/oi-ellinotourkikes-diafores-sto-thalassio-choro-apo-tin-optiki-tou-diethnous-dikaiou/ (https://www.eliamep.gr/en/oi-ellinotourkikes-diafores-sto-thalassio-choro-apo-tin-optiki-tou-diethnous-dikaiou/)</w:t>
      </w:r>
    </w:p>
    <w:p>
      <w:pPr>
        <w:spacing w:after="120" w:line="276"/>
        <w:jc w:val="both"/>
      </w:pPr>
      <w:r>
        <w:rPr>
          <w:rFonts w:ascii="Barlow Semi Condensed" w:cs="Barlow Semi Condensed" w:eastAsia="Barlow Semi Condensed" w:hAnsi="Barlow Semi Condensed"/>
          <w:b/>
          <w:bCs/>
          <w:sz w:val="24"/>
          <w:szCs w:val="24"/>
        </w:rPr>
        <w:t xml:space="preserve">486.</w:t>
      </w:r>
      <w:r>
        <w:rPr>
          <w:rFonts w:ascii="Barlow Semi Condensed" w:cs="Barlow Semi Condensed" w:eastAsia="Barlow Semi Condensed" w:hAnsi="Barlow Semi Condensed"/>
          <w:sz w:val="24"/>
          <w:szCs w:val="24"/>
        </w:rPr>
        <w:t xml:space="preserve"> International Court of Justice — https://www.icj-cij.org/node/103115 (https://www.icj-cij.org/node/103115)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487.</w:t>
      </w:r>
      <w:r>
        <w:rPr>
          <w:rFonts w:ascii="Barlow Semi Condensed" w:cs="Barlow Semi Condensed" w:eastAsia="Barlow Semi Condensed" w:hAnsi="Barlow Semi Condensed"/>
          <w:sz w:val="24"/>
          <w:szCs w:val="24"/>
        </w:rPr>
        <w:t xml:space="preserve"> ResearchGate — https://www.researchgate.net/publication/340592573_Aegean_Sea_Continental_Shelf_Greece_v_Turkey (https://www.researchgate.net/publication/340592573_Aegean_Sea_Continental_Shelf_Greece_v_Turkey)</w:t>
      </w:r>
    </w:p>
    <w:p>
      <w:pPr>
        <w:spacing w:after="120" w:line="276"/>
        <w:jc w:val="both"/>
      </w:pPr>
      <w:r>
        <w:rPr>
          <w:rFonts w:ascii="Barlow Semi Condensed" w:cs="Barlow Semi Condensed" w:eastAsia="Barlow Semi Condensed" w:hAnsi="Barlow Semi Condensed"/>
          <w:b/>
          <w:bCs/>
          <w:sz w:val="24"/>
          <w:szCs w:val="24"/>
        </w:rPr>
        <w:t xml:space="preserve">488.</w:t>
      </w:r>
      <w:r>
        <w:rPr>
          <w:rFonts w:ascii="Barlow Semi Condensed" w:cs="Barlow Semi Condensed" w:eastAsia="Barlow Semi Condensed" w:hAnsi="Barlow Semi Condensed"/>
          <w:sz w:val="24"/>
          <w:szCs w:val="24"/>
        </w:rPr>
        <w:t xml:space="preserve"> Taylor &amp; Francis Online — https://www.tandfonline.com/doi/abs/10.1080/00908320590909088 (https://www.tandfonline.com/doi/abs/10.1080/00908320590909088)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489.</w:t>
      </w:r>
      <w:r>
        <w:rPr>
          <w:rFonts w:ascii="Barlow Semi Condensed" w:cs="Barlow Semi Condensed" w:eastAsia="Barlow Semi Condensed" w:hAnsi="Barlow Semi Condensed"/>
          <w:sz w:val="24"/>
          <w:szCs w:val="24"/>
        </w:rPr>
        <w:t xml:space="preserve"> Agenzia Nova — https://www.agenzianova.com/news/ucraina-russia-erdogan-applicheremo-convenzione-montreux-per-limitare-conflitto/ (https://www.agenzianova.com/news/ucraina-russia-erdogan-applicheremo-convenzione-montreux-per-limitare-conflitto/)</w:t>
      </w:r>
    </w:p>
    <w:p>
      <w:pPr>
        <w:spacing w:after="120" w:line="276"/>
        <w:jc w:val="both"/>
      </w:pPr>
      <w:r>
        <w:rPr>
          <w:rFonts w:ascii="Barlow Semi Condensed" w:cs="Barlow Semi Condensed" w:eastAsia="Barlow Semi Condensed" w:hAnsi="Barlow Semi Condensed"/>
          <w:b/>
          <w:bCs/>
          <w:sz w:val="24"/>
          <w:szCs w:val="24"/>
        </w:rPr>
        <w:t xml:space="preserve">490.</w:t>
      </w:r>
      <w:r>
        <w:rPr>
          <w:rFonts w:ascii="Barlow Semi Condensed" w:cs="Barlow Semi Condensed" w:eastAsia="Barlow Semi Condensed" w:hAnsi="Barlow Semi Condensed"/>
          <w:sz w:val="24"/>
          <w:szCs w:val="24"/>
        </w:rPr>
        <w:t xml:space="preserve"> it.google-info.cn — https://amp.it.google-info.cn/2723395/1/convenzione-di-montreux.html (https://amp.it.google-info.cn/2723395/1/convenzione-di-montreux.html)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491.</w:t>
      </w:r>
      <w:r>
        <w:rPr>
          <w:rFonts w:ascii="Barlow Semi Condensed" w:cs="Barlow Semi Condensed" w:eastAsia="Barlow Semi Condensed" w:hAnsi="Barlow Semi Condensed"/>
          <w:sz w:val="24"/>
          <w:szCs w:val="24"/>
        </w:rPr>
        <w:t xml:space="preserve"> Wikipedia — https://it.wikipedia.org/wiki/Convenzione_di_Montreux (https://it.wikipedia.org/wiki/Convenzione_di_Montreux)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492.</w:t>
      </w:r>
      <w:r>
        <w:rPr>
          <w:rFonts w:ascii="Barlow Semi Condensed" w:cs="Barlow Semi Condensed" w:eastAsia="Barlow Semi Condensed" w:hAnsi="Barlow Semi Condensed"/>
          <w:sz w:val="24"/>
          <w:szCs w:val="24"/>
        </w:rPr>
        <w:t xml:space="preserve"> Esteri — https://ambankara.esteri.it/it/italia-e-turchia/ (https://ambankara.esteri.it/it/italia-e-turchia/)</w:t>
      </w:r>
    </w:p>
    <w:p>
      <w:pPr>
        <w:spacing w:after="120" w:line="276"/>
        <w:jc w:val="both"/>
      </w:pPr>
      <w:r>
        <w:rPr>
          <w:rFonts w:ascii="Barlow Semi Condensed" w:cs="Barlow Semi Condensed" w:eastAsia="Barlow Semi Condensed" w:hAnsi="Barlow Semi Condensed"/>
          <w:b/>
          <w:bCs/>
          <w:sz w:val="24"/>
          <w:szCs w:val="24"/>
        </w:rPr>
        <w:t xml:space="preserve">493.</w:t>
      </w:r>
      <w:r>
        <w:rPr>
          <w:rFonts w:ascii="Barlow Semi Condensed" w:cs="Barlow Semi Condensed" w:eastAsia="Barlow Semi Condensed" w:hAnsi="Barlow Semi Condensed"/>
          <w:sz w:val="24"/>
          <w:szCs w:val="24"/>
        </w:rPr>
        <w:t xml:space="preserve"> Cespi — https://www.cespi.it/sites/default/files/osservatori/allegati/apr._2_marsili_italia-turchia.pdf (https://www.cespi.it/sites/default/files/osservatori/allegati/apr._2_marsili_italia-turchia.pdf)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494.</w:t>
      </w:r>
      <w:r>
        <w:rPr>
          <w:rFonts w:ascii="Barlow Semi Condensed" w:cs="Barlow Semi Condensed" w:eastAsia="Barlow Semi Condensed" w:hAnsi="Barlow Semi Condensed"/>
          <w:sz w:val="24"/>
          <w:szCs w:val="24"/>
        </w:rPr>
        <w:t xml:space="preserve"> Wikipedia — https://it.wikipedia.org/wiki/Relazioni_bilaterali_tra_Italia_e_Turchia (https://it.wikipedia.org/wiki/Relazioni_bilaterali_tra_Italia_e_Turchia)</w:t>
      </w:r>
    </w:p>
    <w:p>
      <w:pPr>
        <w:spacing w:after="120" w:line="276"/>
        <w:jc w:val="both"/>
      </w:pPr>
      <w:r>
        <w:rPr>
          <w:rFonts w:ascii="Barlow Semi Condensed" w:cs="Barlow Semi Condensed" w:eastAsia="Barlow Semi Condensed" w:hAnsi="Barlow Semi Condensed"/>
          <w:b/>
          <w:bCs/>
          <w:sz w:val="24"/>
          <w:szCs w:val="24"/>
        </w:rPr>
        <w:t xml:space="preserve">495.</w:t>
      </w:r>
      <w:r>
        <w:rPr>
          <w:rFonts w:ascii="Barlow Semi Condensed" w:cs="Barlow Semi Condensed" w:eastAsia="Barlow Semi Condensed" w:hAnsi="Barlow Semi Condensed"/>
          <w:sz w:val="24"/>
          <w:szCs w:val="24"/>
        </w:rPr>
        <w:t xml:space="preserve"> Gazzetta Ufficiale — https://www.gazzettaufficiale.it/atto/vediMenuHTML?atto.dataPubblicazioneGazzetta=1993-10-15&amp;atto.codiceRedazionale=093A5659&amp;tipoSerie=serie_generale&amp;tipoVigenza=originario (https://www.gazzettaufficiale.it/atto/vediMenuHTML?atto.dataPubblicazioneGazzetta=1993-10-15&amp;atto.codiceRedazionale=093A5659&amp;tipoSerie=serie_generale&amp;tipoVigenza=originario)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496.</w:t>
      </w:r>
      <w:r>
        <w:rPr>
          <w:rFonts w:ascii="Barlow Semi Condensed" w:cs="Barlow Semi Condensed" w:eastAsia="Barlow Semi Condensed" w:hAnsi="Barlow Semi Condensed"/>
          <w:sz w:val="24"/>
          <w:szCs w:val="24"/>
        </w:rPr>
        <w:t xml:space="preserve"> state — https://history.state.gov/historicaldocuments/frus1969-76v30/d208 (https://history.state.gov/historicaldocuments/frus1969-76v30/d208)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497.</w:t>
      </w:r>
      <w:r>
        <w:rPr>
          <w:rFonts w:ascii="Barlow Semi Condensed" w:cs="Barlow Semi Condensed" w:eastAsia="Barlow Semi Condensed" w:hAnsi="Barlow Semi Condensed"/>
          <w:sz w:val="24"/>
          <w:szCs w:val="24"/>
        </w:rPr>
        <w:t xml:space="preserve"> ResearchGate — https://www.researchgate.net/publication/262013273_A_Very_Gradual_Suppression_A_History_of_Turkish_Opium_Controls_1933-1974 (https://www.researchgate.net/publication/262013273_A_Very_Gradual_Suppression_A_History_of_Turkish_Opium_Controls_1933-1974)</w:t>
      </w:r>
    </w:p>
    <w:p>
      <w:pPr>
        <w:spacing w:after="120" w:line="276"/>
        <w:jc w:val="both"/>
      </w:pPr>
      <w:r>
        <w:rPr>
          <w:rFonts w:ascii="Barlow Semi Condensed" w:cs="Barlow Semi Condensed" w:eastAsia="Barlow Semi Condensed" w:hAnsi="Barlow Semi Condensed"/>
          <w:b/>
          <w:bCs/>
          <w:sz w:val="24"/>
          <w:szCs w:val="24"/>
        </w:rPr>
        <w:t xml:space="preserve">498.</w:t>
      </w:r>
      <w:r>
        <w:rPr>
          <w:rFonts w:ascii="Barlow Semi Condensed" w:cs="Barlow Semi Condensed" w:eastAsia="Barlow Semi Condensed" w:hAnsi="Barlow Semi Condensed"/>
          <w:sz w:val="24"/>
          <w:szCs w:val="24"/>
        </w:rPr>
        <w:t xml:space="preserve"> state — https://history.state.gov/historicaldocuments/frus1969-76v30/d204 (https://history.state.gov/historicaldocuments/frus1969-76v30/d204)</w:t>
      </w:r>
    </w:p>
    <w:p>
      <w:pPr>
        <w:spacing w:after="120" w:line="276"/>
        <w:jc w:val="both"/>
      </w:pPr>
      <w:r>
        <w:rPr>
          <w:rFonts w:ascii="Barlow Semi Condensed" w:cs="Barlow Semi Condensed" w:eastAsia="Barlow Semi Condensed" w:hAnsi="Barlow Semi Condensed"/>
          <w:b/>
          <w:bCs/>
          <w:sz w:val="24"/>
          <w:szCs w:val="24"/>
        </w:rPr>
        <w:t xml:space="preserve">499.</w:t>
      </w:r>
      <w:r>
        <w:rPr>
          <w:rFonts w:ascii="Barlow Semi Condensed" w:cs="Barlow Semi Condensed" w:eastAsia="Barlow Semi Condensed" w:hAnsi="Barlow Semi Condensed"/>
          <w:sz w:val="24"/>
          <w:szCs w:val="24"/>
        </w:rPr>
        <w:t xml:space="preserve"> state — https://history.state.gov/historicaldocuments/frus1969-76ve03/d154 (https://history.state.gov/historicaldocuments/frus1969-76ve03/d154)</w:t>
      </w:r>
    </w:p>
    <w:p>
      <w:pPr>
        <w:spacing w:after="120" w:line="276"/>
        <w:jc w:val="both"/>
      </w:pPr>
      <w:r>
        <w:rPr>
          <w:rFonts w:ascii="Barlow Semi Condensed" w:cs="Barlow Semi Condensed" w:eastAsia="Barlow Semi Condensed" w:hAnsi="Barlow Semi Condensed"/>
          <w:b/>
          <w:bCs/>
          <w:sz w:val="24"/>
          <w:szCs w:val="24"/>
        </w:rPr>
        <w:t xml:space="preserve">500.</w:t>
      </w:r>
      <w:r>
        <w:rPr>
          <w:rFonts w:ascii="Barlow Semi Condensed" w:cs="Barlow Semi Condensed" w:eastAsia="Barlow Semi Condensed" w:hAnsi="Barlow Semi Condensed"/>
          <w:sz w:val="24"/>
          <w:szCs w:val="24"/>
        </w:rPr>
        <w:t xml:space="preserve"> state — https://history.state.gov/historicaldocuments/frus1969-76v30/d209 (https://history.state.gov/historicaldocuments/frus1969-76v30/d209)</w:t>
      </w:r>
    </w:p>
    <w:p>
      <w:pPr>
        <w:spacing w:after="120" w:line="276"/>
        <w:jc w:val="both"/>
      </w:pPr>
      <w:r>
        <w:rPr>
          <w:rFonts w:ascii="Barlow Semi Condensed" w:cs="Barlow Semi Condensed" w:eastAsia="Barlow Semi Condensed" w:hAnsi="Barlow Semi Condensed"/>
          <w:b/>
          <w:bCs/>
          <w:sz w:val="24"/>
          <w:szCs w:val="24"/>
        </w:rPr>
        <w:t xml:space="preserve">501.</w:t>
      </w:r>
      <w:r>
        <w:rPr>
          <w:rFonts w:ascii="Barlow Semi Condensed" w:cs="Barlow Semi Condensed" w:eastAsia="Barlow Semi Condensed" w:hAnsi="Barlow Semi Condensed"/>
          <w:sz w:val="24"/>
          <w:szCs w:val="24"/>
        </w:rPr>
        <w:t xml:space="preserve"> state — https://history.state.gov/historicaldocuments/frus1969-76ve03/d164 (https://history.state.gov/historicaldocuments/frus1969-76ve03/d164)</w:t>
      </w:r>
    </w:p>
    <w:p>
      <w:pPr>
        <w:spacing w:after="120" w:line="276"/>
        <w:jc w:val="both"/>
      </w:pPr>
      <w:r>
        <w:rPr>
          <w:rFonts w:ascii="Barlow Semi Condensed" w:cs="Barlow Semi Condensed" w:eastAsia="Barlow Semi Condensed" w:hAnsi="Barlow Semi Condensed"/>
          <w:b/>
          <w:bCs/>
          <w:sz w:val="24"/>
          <w:szCs w:val="24"/>
        </w:rPr>
        <w:t xml:space="preserve">502.</w:t>
      </w:r>
      <w:r>
        <w:rPr>
          <w:rFonts w:ascii="Barlow Semi Condensed" w:cs="Barlow Semi Condensed" w:eastAsia="Barlow Semi Condensed" w:hAnsi="Barlow Semi Condensed"/>
          <w:sz w:val="24"/>
          <w:szCs w:val="24"/>
        </w:rPr>
        <w:t xml:space="preserve"> Grokipedia — https://grokipedia.com/page/Turkish_mafia (https://grokipedia.com/page/Turkish_mafia)</w:t>
      </w:r>
    </w:p>
    <w:p>
      <w:pPr>
        <w:spacing w:after="120" w:line="276"/>
        <w:jc w:val="both"/>
      </w:pPr>
      <w:r>
        <w:rPr>
          <w:rFonts w:ascii="Barlow Semi Condensed" w:cs="Barlow Semi Condensed" w:eastAsia="Barlow Semi Condensed" w:hAnsi="Barlow Semi Condensed"/>
          <w:b/>
          <w:bCs/>
          <w:sz w:val="24"/>
          <w:szCs w:val="24"/>
        </w:rPr>
        <w:t xml:space="preserve">503.</w:t>
      </w:r>
      <w:r>
        <w:rPr>
          <w:rFonts w:ascii="Barlow Semi Condensed" w:cs="Barlow Semi Condensed" w:eastAsia="Barlow Semi Condensed" w:hAnsi="Barlow Semi Condensed"/>
          <w:sz w:val="24"/>
          <w:szCs w:val="24"/>
        </w:rPr>
        <w:t xml:space="preserve"> Discover Walks — https://www.discoverwalks.com/blog/paris/all-about-the-french-connection/ (https://www.discoverwalks.com/blog/paris/all-about-the-french-connection/)</w:t>
      </w:r>
    </w:p>
    <w:p>
      <w:pPr>
        <w:spacing w:after="120" w:line="276"/>
        <w:jc w:val="both"/>
      </w:pPr>
      <w:r>
        <w:rPr>
          <w:rFonts w:ascii="Barlow Semi Condensed" w:cs="Barlow Semi Condensed" w:eastAsia="Barlow Semi Condensed" w:hAnsi="Barlow Semi Condensed"/>
          <w:b/>
          <w:bCs/>
          <w:sz w:val="24"/>
          <w:szCs w:val="24"/>
        </w:rPr>
        <w:t xml:space="preserve">504.</w:t>
      </w:r>
      <w:r>
        <w:rPr>
          <w:rFonts w:ascii="Barlow Semi Condensed" w:cs="Barlow Semi Condensed" w:eastAsia="Barlow Semi Condensed" w:hAnsi="Barlow Semi Condensed"/>
          <w:sz w:val="24"/>
          <w:szCs w:val="24"/>
        </w:rPr>
        <w:t xml:space="preserve"> Wikipedia — https://en.wikipedia.org/wiki/Balkan_Route (https://en.wikipedia.org/wiki/Balkan_Route)</w:t>
      </w:r>
    </w:p>
    <w:p>
      <w:pPr>
        <w:spacing w:after="120" w:line="276"/>
        <w:jc w:val="both"/>
      </w:pPr>
      <w:r>
        <w:rPr>
          <w:rFonts w:ascii="Barlow Semi Condensed" w:cs="Barlow Semi Condensed" w:eastAsia="Barlow Semi Condensed" w:hAnsi="Barlow Semi Condensed"/>
          <w:b/>
          <w:bCs/>
          <w:sz w:val="24"/>
          <w:szCs w:val="24"/>
        </w:rPr>
        <w:t xml:space="preserve">505.</w:t>
      </w:r>
      <w:r>
        <w:rPr>
          <w:rFonts w:ascii="Barlow Semi Condensed" w:cs="Barlow Semi Condensed" w:eastAsia="Barlow Semi Condensed" w:hAnsi="Barlow Semi Condensed"/>
          <w:sz w:val="24"/>
          <w:szCs w:val="24"/>
        </w:rPr>
        <w:t xml:space="preserve"> Wikipedia — https://en.wikipedia.org/wiki/Halki_seminary (https://en.wikipedia.org/wiki/Halki_seminary)</w:t>
      </w:r>
    </w:p>
    <w:p>
      <w:pPr>
        <w:spacing w:after="120" w:line="276"/>
        <w:jc w:val="both"/>
      </w:pP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Asia News — https://www.asianews.it/notizie-it/Halki-e-la-chiesa-biblioteca-di-Adana:-il-futuro-(incerto (https://www.asianews.it/notizie-it/Halki-e-la-chiesa-biblioteca-di-Adana:-il-futuro-(incerto)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507.</w:t>
      </w:r>
      <w:r>
        <w:rPr>
          <w:rFonts w:ascii="Barlow Semi Condensed" w:cs="Barlow Semi Condensed" w:eastAsia="Barlow Semi Condensed" w:hAnsi="Barlow Semi Condensed"/>
          <w:sz w:val="24"/>
          <w:szCs w:val="24"/>
        </w:rPr>
        <w:t xml:space="preserve"> Türkiye Today — https://www.turkiyetoday.com/nation/turkiye-plans-to-reopen-halki-seminary-as-university-after-more-than-50-years-3222222 (https://www.turkiyetoday.com/nation/turkiye-plans-to-reopen-halki-seminary-as-university-after-more-than-50-years-3222222)</w:t>
      </w:r>
    </w:p>
    <w:p>
      <w:pPr>
        <w:spacing w:after="120" w:line="276"/>
        <w:jc w:val="both"/>
      </w:pPr>
      <w:r>
        <w:rPr>
          <w:rFonts w:ascii="Barlow Semi Condensed" w:cs="Barlow Semi Condensed" w:eastAsia="Barlow Semi Condensed" w:hAnsi="Barlow Semi Condensed"/>
          <w:b/>
          <w:bCs/>
          <w:sz w:val="24"/>
          <w:szCs w:val="24"/>
        </w:rPr>
        <w:t xml:space="preserve">508.</w:t>
      </w:r>
      <w:r>
        <w:rPr>
          <w:rFonts w:ascii="Barlow Semi Condensed" w:cs="Barlow Semi Condensed" w:eastAsia="Barlow Semi Condensed" w:hAnsi="Barlow Semi Condensed"/>
          <w:sz w:val="24"/>
          <w:szCs w:val="24"/>
        </w:rPr>
        <w:t xml:space="preserve"> Greek Orthodox Archdiocese of America — https://www.goarch.org/-/he-halki (https://www.goarch.org/-/he-halki)</w:t>
      </w:r>
    </w:p>
    <w:p>
      <w:pPr>
        <w:spacing w:after="120" w:line="276"/>
        <w:jc w:val="both"/>
      </w:pPr>
      <w:r>
        <w:rPr>
          <w:rFonts w:ascii="Barlow Semi Condensed" w:cs="Barlow Semi Condensed" w:eastAsia="Barlow Semi Condensed" w:hAnsi="Barlow Semi Condensed"/>
          <w:b/>
          <w:bCs/>
          <w:sz w:val="24"/>
          <w:szCs w:val="24"/>
        </w:rPr>
        <w:t xml:space="preserve">509.</w:t>
      </w:r>
      <w:r>
        <w:rPr>
          <w:rFonts w:ascii="Barlow Semi Condensed" w:cs="Barlow Semi Condensed" w:eastAsia="Barlow Semi Condensed" w:hAnsi="Barlow Semi Condensed"/>
          <w:sz w:val="24"/>
          <w:szCs w:val="24"/>
        </w:rPr>
        <w:t xml:space="preserve"> La Fiaccola — https://www.lafiaccola.it/wp/alla-conferenza-dellosce-il-patriarcato-ecumenico-e-la-minoranza-greca-in-turchia/ (https://www.lafiaccola.it/wp/alla-conferenza-dellosce-il-patriarcato-ecumenico-e-la-minoranza-greca-in-turchia/)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510.</w:t>
      </w:r>
      <w:r>
        <w:rPr>
          <w:rFonts w:ascii="Barlow Semi Condensed" w:cs="Barlow Semi Condensed" w:eastAsia="Barlow Semi Condensed" w:hAnsi="Barlow Semi Condensed"/>
          <w:sz w:val="24"/>
          <w:szCs w:val="24"/>
        </w:rPr>
        <w:t xml:space="preserve"> Internazionale — https://www.internazionale.it/ultime-notizie-reuters/2026/06/21/erdogan-orders-talks-to-reopen-orthodox-christian-seminary-in-turkey-a-focus-for-trump (https://www.internazionale.it/ultime-notizie-reuters/2026/06/21/erdogan-orders-talks-to-reopen-orthodox-christian-seminary-in-turkey-a-focus-for-trump)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511.</w:t>
      </w:r>
      <w:r>
        <w:rPr>
          <w:rFonts w:ascii="Barlow Semi Condensed" w:cs="Barlow Semi Condensed" w:eastAsia="Barlow Semi Condensed" w:hAnsi="Barlow Semi Condensed"/>
          <w:sz w:val="24"/>
          <w:szCs w:val="24"/>
        </w:rPr>
        <w:t xml:space="preserve"> SettimanaNews — https://www.settimananews.it/chiesa/turchia-bartolomeo-fiducioso-sulla-riapertura-di-halki/ (https://www.settimananews.it/chiesa/turchia-bartolomeo-fiducioso-sulla-riapertura-di-halki/)</w:t>
      </w:r>
    </w:p>
    <w:p>
      <w:pPr>
        <w:spacing w:after="120" w:line="276"/>
        <w:jc w:val="both"/>
      </w:pPr>
      <w:r>
        <w:rPr>
          <w:rFonts w:ascii="Barlow Semi Condensed" w:cs="Barlow Semi Condensed" w:eastAsia="Barlow Semi Condensed" w:hAnsi="Barlow Semi Condensed"/>
          <w:b/>
          <w:bCs/>
          <w:sz w:val="24"/>
          <w:szCs w:val="24"/>
        </w:rPr>
        <w:t xml:space="preserve">512.</w:t>
      </w:r>
      <w:r>
        <w:rPr>
          <w:rFonts w:ascii="Barlow Semi Condensed" w:cs="Barlow Semi Condensed" w:eastAsia="Barlow Semi Condensed" w:hAnsi="Barlow Semi Condensed"/>
          <w:sz w:val="24"/>
          <w:szCs w:val="24"/>
        </w:rPr>
        <w:t xml:space="preserve"> Il Sole 24 ORE — https://www.ilsole24ore.com/art/notizie/2012-07-11/turchi-vogliono-chiudere-monastero-192229.shtml?uuid=AbqTFS6F (https://www.ilsole24ore.com/art/notizie/2012-07-11/turchi-vogliono-chiudere-monastero-192229.shtml?uuid=AbqTFS6F)</w:t>
      </w:r>
    </w:p>
    <w:p>
      <w:pPr>
        <w:spacing w:after="120" w:line="276"/>
        <w:jc w:val="both"/>
      </w:pPr>
      <w:r>
        <w:rPr>
          <w:rFonts w:ascii="Barlow Semi Condensed" w:cs="Barlow Semi Condensed" w:eastAsia="Barlow Semi Condensed" w:hAnsi="Barlow Semi Condensed"/>
          <w:b/>
          <w:bCs/>
          <w:sz w:val="24"/>
          <w:szCs w:val="24"/>
        </w:rPr>
        <w:t xml:space="preserve">513.</w:t>
      </w:r>
      <w:r>
        <w:rPr>
          <w:rFonts w:ascii="Barlow Semi Condensed" w:cs="Barlow Semi Condensed" w:eastAsia="Barlow Semi Condensed" w:hAnsi="Barlow Semi Condensed"/>
          <w:sz w:val="24"/>
          <w:szCs w:val="24"/>
        </w:rPr>
        <w:t xml:space="preserve"> Wikipedia — https://en.wikipedia.org/wiki/Athenagoras_I_of_Constantinople (https://en.wikipedia.org/wiki/Athenagoras_I_of_Constantinople)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514.</w:t>
      </w:r>
      <w:r>
        <w:rPr>
          <w:rFonts w:ascii="Barlow Semi Condensed" w:cs="Barlow Semi Condensed" w:eastAsia="Barlow Semi Condensed" w:hAnsi="Barlow Semi Condensed"/>
          <w:sz w:val="24"/>
          <w:szCs w:val="24"/>
        </w:rPr>
        <w:t xml:space="preserve"> UPSA — https://summa.upsa.es/high.raw?id=0000001470&amp;name=00000001.original.pdf (https://summa.upsa.es/high.raw?id=0000001470&amp;name=00000001.original.pdf)</w:t>
      </w:r>
    </w:p>
    <w:p>
      <w:pPr>
        <w:spacing w:after="120" w:line="276"/>
        <w:jc w:val="both"/>
      </w:pPr>
      <w:r>
        <w:rPr>
          <w:rFonts w:ascii="Barlow Semi Condensed" w:cs="Barlow Semi Condensed" w:eastAsia="Barlow Semi Condensed" w:hAnsi="Barlow Semi Condensed"/>
          <w:b/>
          <w:bCs/>
          <w:sz w:val="24"/>
          <w:szCs w:val="24"/>
        </w:rPr>
        <w:t xml:space="preserve">515.</w:t>
      </w:r>
      <w:r>
        <w:rPr>
          <w:rFonts w:ascii="Barlow Semi Condensed" w:cs="Barlow Semi Condensed" w:eastAsia="Barlow Semi Condensed" w:hAnsi="Barlow Semi Condensed"/>
          <w:sz w:val="24"/>
          <w:szCs w:val="24"/>
        </w:rPr>
        <w:t xml:space="preserve"> Arche — https://fraternita.arche.it/testimoni/atenagora-i/ (https://fraternita.arche.it/testimoni/atenagora-i/)</w:t>
      </w:r>
    </w:p>
    <w:p>
      <w:pPr>
        <w:spacing w:after="120" w:line="276"/>
        <w:jc w:val="both"/>
      </w:pPr>
      <w:r>
        <w:rPr>
          <w:rFonts w:ascii="Barlow Semi Condensed" w:cs="Barlow Semi Condensed" w:eastAsia="Barlow Semi Condensed" w:hAnsi="Barlow Semi Condensed"/>
          <w:b/>
          <w:bCs/>
          <w:sz w:val="24"/>
          <w:szCs w:val="24"/>
        </w:rPr>
        <w:t xml:space="preserve">516.</w:t>
      </w:r>
      <w:r>
        <w:rPr>
          <w:rFonts w:ascii="Barlow Semi Condensed" w:cs="Barlow Semi Condensed" w:eastAsia="Barlow Semi Condensed" w:hAnsi="Barlow Semi Condensed"/>
          <w:sz w:val="24"/>
          <w:szCs w:val="24"/>
        </w:rPr>
        <w:t xml:space="preserve"> Thearda — https://www.thearda.com/us-religion/history/timelines/entry?etype=5&amp;eid=141 (https://www.thearda.com/us-religion/history/timelines/entry?etype=5&amp;eid=141)</w:t>
      </w:r>
    </w:p>
    <w:p>
      <w:pPr>
        <w:spacing w:after="120" w:line="276"/>
        <w:jc w:val="both"/>
      </w:pPr>
      <w:r>
        <w:rPr>
          <w:rFonts w:ascii="Barlow Semi Condensed" w:cs="Barlow Semi Condensed" w:eastAsia="Barlow Semi Condensed" w:hAnsi="Barlow Semi Condensed"/>
          <w:b/>
          <w:bCs/>
          <w:sz w:val="24"/>
          <w:szCs w:val="24"/>
        </w:rPr>
        <w:t xml:space="preserve">517.</w:t>
      </w:r>
      <w:r>
        <w:rPr>
          <w:rFonts w:ascii="Barlow Semi Condensed" w:cs="Barlow Semi Condensed" w:eastAsia="Barlow Semi Condensed" w:hAnsi="Barlow Semi Condensed"/>
          <w:sz w:val="24"/>
          <w:szCs w:val="24"/>
        </w:rPr>
        <w:t xml:space="preserve"> SettimanaNews — https://www.settimananews.it/ecumenismo-dialogo/chiesa-latina-turchia-dal-dentro/ (https://www.settimananews.it/ecumenismo-dialogo/chiesa-latina-turchia-dal-dentro/)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518.</w:t>
      </w:r>
      <w:r>
        <w:rPr>
          <w:rFonts w:ascii="Barlow Semi Condensed" w:cs="Barlow Semi Condensed" w:eastAsia="Barlow Semi Condensed" w:hAnsi="Barlow Semi Condensed"/>
          <w:sz w:val="24"/>
          <w:szCs w:val="24"/>
        </w:rPr>
        <w:t xml:space="preserve"> Wikipedia — https://it.wikipedia.org/wiki/Vicariato_apostolico_di_Istanbul (https://it.wikipedia.org/wiki/Vicariato_apostolico_di_Istanbul)</w:t>
      </w:r>
    </w:p>
    <w:p>
      <w:pPr>
        <w:spacing w:after="120" w:line="276"/>
        <w:jc w:val="both"/>
      </w:pP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SettimanaNews — https://www.settimananews.it/chiesa/cattolici-in-turchia/ (https://www.settimananews.it/chiesa/cattolici-in-turchia/)</w:t>
      </w:r>
    </w:p>
    <w:p>
      <w:pPr>
        <w:spacing w:after="120" w:line="276"/>
        <w:jc w:val="both"/>
      </w:pPr>
      <w:r>
        <w:rPr>
          <w:rFonts w:ascii="Barlow Semi Condensed" w:cs="Barlow Semi Condensed" w:eastAsia="Barlow Semi Condensed" w:hAnsi="Barlow Semi Condensed"/>
          <w:b/>
          <w:bCs/>
          <w:sz w:val="24"/>
          <w:szCs w:val="24"/>
        </w:rPr>
        <w:t xml:space="preserve">520.</w:t>
      </w:r>
      <w:r>
        <w:rPr>
          <w:rFonts w:ascii="Barlow Semi Condensed" w:cs="Barlow Semi Condensed" w:eastAsia="Barlow Semi Condensed" w:hAnsi="Barlow Semi Condensed"/>
          <w:sz w:val="24"/>
          <w:szCs w:val="24"/>
        </w:rPr>
        <w:t xml:space="preserve"> SIR — https://www.agensir.it/chiesa/2025/11/27/le-comunita-cristiane-in-turchia-tra-storia-e-attualita/ (https://www.agensir.it/chiesa/2025/11/27/le-comunita-cristiane-in-turchia-tra-storia-e-attualita/)</w:t>
      </w:r>
    </w:p>
    <w:p>
      <w:pPr>
        <w:spacing w:after="120" w:line="276"/>
        <w:jc w:val="both"/>
      </w:pPr>
      <w:r>
        <w:rPr>
          <w:rFonts w:ascii="Barlow Semi Condensed" w:cs="Barlow Semi Condensed" w:eastAsia="Barlow Semi Condensed" w:hAnsi="Barlow Semi Condensed"/>
          <w:b/>
          <w:bCs/>
          <w:sz w:val="24"/>
          <w:szCs w:val="24"/>
        </w:rPr>
        <w:t xml:space="preserve">521.</w:t>
      </w:r>
      <w:r>
        <w:rPr>
          <w:rFonts w:ascii="Barlow Semi Condensed" w:cs="Barlow Semi Condensed" w:eastAsia="Barlow Semi Condensed" w:hAnsi="Barlow Semi Condensed"/>
          <w:sz w:val="24"/>
          <w:szCs w:val="24"/>
        </w:rPr>
        <w:t xml:space="preserve"> SIR — https://www.agensir.it/quotidiano/2026/4/9/turchia-rapporto-cespi-chiese-scuole-e-proprieta-sono-le-sfide-quotidiane-dei-cattolici-e-dei-cristiani-nel-paese/ (https://www.agensir.it/quotidiano/2026/4/9/turchia-rapporto-cespi-chiese-scuole-e-proprieta-sono-le-sfide-quotidiane-dei-cattolici-e-dei-cristiani-nel-paese/)</w:t>
      </w:r>
    </w:p>
    <w:p>
      <w:pPr>
        <w:spacing w:after="120" w:line="276"/>
        <w:jc w:val="both"/>
      </w:pPr>
      <w:r>
        <w:rPr>
          <w:rFonts w:ascii="Barlow Semi Condensed" w:cs="Barlow Semi Condensed" w:eastAsia="Barlow Semi Condensed" w:hAnsi="Barlow Semi Condensed"/>
          <w:b/>
          <w:bCs/>
          <w:sz w:val="24"/>
          <w:szCs w:val="24"/>
        </w:rPr>
        <w:t xml:space="preserve">522.</w:t>
      </w:r>
      <w:r>
        <w:rPr>
          <w:rFonts w:ascii="Barlow Semi Condensed" w:cs="Barlow Semi Condensed" w:eastAsia="Barlow Semi Condensed" w:hAnsi="Barlow Semi Condensed"/>
          <w:sz w:val="24"/>
          <w:szCs w:val="24"/>
        </w:rPr>
        <w:t xml:space="preserve"> Fratesole — https://turchia.fratesole.com/approfondimenti/i-cristiani-nellimpero-ottomano-e-nella-turchia-moderna/ (https://turchia.fratesole.com/approfondimenti/i-cristiani-nellimpero-ottomano-e-nella-turchia-moderna/)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turchia.fratesole.com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524.</w:t>
      </w:r>
      <w:r>
        <w:rPr>
          <w:rFonts w:ascii="Barlow Semi Condensed" w:cs="Barlow Semi Condensed" w:eastAsia="Barlow Semi Condensed" w:hAnsi="Barlow Semi Condensed"/>
          <w:sz w:val="24"/>
          <w:szCs w:val="24"/>
        </w:rPr>
        <w:t xml:space="preserve"> Vatican News — https://www.vaticannews.va/it/chiesa/news/2025-11/turchia-un-paese-che-e-ponte-mosaico-diamante.html (https://www.vaticannews.va/it/chiesa/news/2025-11/turchia-un-paese-che-e-ponte-mosaico-diamante.html)</w:t>
      </w:r>
    </w:p>
    <w:p>
      <w:pPr>
        <w:spacing w:after="120" w:line="276"/>
        <w:jc w:val="both"/>
      </w:pPr>
      <w:r>
        <w:rPr>
          <w:rFonts w:ascii="Barlow Semi Condensed" w:cs="Barlow Semi Condensed" w:eastAsia="Barlow Semi Condensed" w:hAnsi="Barlow Semi Condensed"/>
          <w:b/>
          <w:bCs/>
          <w:sz w:val="24"/>
          <w:szCs w:val="24"/>
        </w:rPr>
        <w:t xml:space="preserve">525.</w:t>
      </w:r>
      <w:r>
        <w:rPr>
          <w:rFonts w:ascii="Barlow Semi Condensed" w:cs="Barlow Semi Condensed" w:eastAsia="Barlow Semi Condensed" w:hAnsi="Barlow Semi Condensed"/>
          <w:sz w:val="24"/>
          <w:szCs w:val="24"/>
        </w:rPr>
        <w:t xml:space="preserve"> Cathopedia — https://it.cathopedia.org/wiki/Delegato_apostolico_in_Turchia (https://it.cathopedia.org/wiki/Delegato_apostolico_in_Turchia)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526.</w:t>
      </w:r>
      <w:r>
        <w:rPr>
          <w:rFonts w:ascii="Barlow Semi Condensed" w:cs="Barlow Semi Condensed" w:eastAsia="Barlow Semi Condensed" w:hAnsi="Barlow Semi Condensed"/>
          <w:sz w:val="24"/>
          <w:szCs w:val="24"/>
        </w:rPr>
        <w:t xml:space="preserve"> East Journal — https://www.eastjournal.net/archives/145757 (https://www.eastjournal.net/archives/145757)</w:t>
      </w:r>
    </w:p>
    <w:p>
      <w:pPr>
        <w:spacing w:after="120" w:line="276"/>
        <w:jc w:val="both"/>
      </w:pPr>
      <w:r>
        <w:rPr>
          <w:rFonts w:ascii="Barlow Semi Condensed" w:cs="Barlow Semi Condensed" w:eastAsia="Barlow Semi Condensed" w:hAnsi="Barlow Semi Condensed"/>
          <w:b/>
          <w:bCs/>
          <w:sz w:val="24"/>
          <w:szCs w:val="24"/>
        </w:rPr>
        <w:t xml:space="preserve">527.</w:t>
      </w:r>
      <w:r>
        <w:rPr>
          <w:rFonts w:ascii="Barlow Semi Condensed" w:cs="Barlow Semi Condensed" w:eastAsia="Barlow Semi Condensed" w:hAnsi="Barlow Semi Condensed"/>
          <w:sz w:val="24"/>
          <w:szCs w:val="24"/>
        </w:rPr>
        <w:t xml:space="preserve"> Terrasanta — https://www.terrasanta.net/2014/03/il-decennio-turco-di-monsignor-roncalli/ (https://www.terrasanta.net/2014/03/il-decennio-turco-di-monsignor-roncalli/)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528.</w:t>
      </w:r>
      <w:r>
        <w:rPr>
          <w:rFonts w:ascii="Barlow Semi Condensed" w:cs="Barlow Semi Condensed" w:eastAsia="Barlow Semi Condensed" w:hAnsi="Barlow Semi Condensed"/>
          <w:sz w:val="24"/>
          <w:szCs w:val="24"/>
        </w:rPr>
        <w:t xml:space="preserve"> Istanbulofm — https://www.istanbulofm.org/2021/11/le-relazioni-diplomatiche-turchia-santa.html (https://www.istanbulofm.org/2021/11/le-relazioni-diplomatiche-turchia-santa.html)</w:t>
      </w:r>
    </w:p>
    <w:p>
      <w:pPr>
        <w:spacing w:after="120" w:line="276"/>
        <w:jc w:val="both"/>
      </w:pPr>
      <w:r>
        <w:rPr>
          <w:rFonts w:ascii="Barlow Semi Condensed" w:cs="Barlow Semi Condensed" w:eastAsia="Barlow Semi Condensed" w:hAnsi="Barlow Semi Condensed"/>
          <w:b/>
          <w:bCs/>
          <w:sz w:val="24"/>
          <w:szCs w:val="24"/>
        </w:rPr>
        <w:t xml:space="preserve">529.</w:t>
      </w:r>
      <w:r>
        <w:rPr>
          <w:rFonts w:ascii="Barlow Semi Condensed" w:cs="Barlow Semi Condensed" w:eastAsia="Barlow Semi Condensed" w:hAnsi="Barlow Semi Condensed"/>
          <w:sz w:val="24"/>
          <w:szCs w:val="24"/>
        </w:rPr>
        <w:t xml:space="preserve"> Opus Dei — https://opusdei.org/it-it/page/lopus-dei/ (https://opusdei.org/it-it/page/lopus-dei/)</w:t>
      </w:r>
    </w:p>
    <w:p>
      <w:pPr>
        <w:spacing w:after="120" w:line="276"/>
        <w:jc w:val="both"/>
      </w:pPr>
      <w:r>
        <w:rPr>
          <w:rFonts w:ascii="Barlow Semi Condensed" w:cs="Barlow Semi Condensed" w:eastAsia="Barlow Semi Condensed" w:hAnsi="Barlow Semi Condensed"/>
          <w:b/>
          <w:bCs/>
          <w:sz w:val="24"/>
          <w:szCs w:val="24"/>
        </w:rPr>
        <w:t xml:space="preserve">530.</w:t>
      </w:r>
      <w:r>
        <w:rPr>
          <w:rFonts w:ascii="Barlow Semi Condensed" w:cs="Barlow Semi Condensed" w:eastAsia="Barlow Semi Condensed" w:hAnsi="Barlow Semi Condensed"/>
          <w:sz w:val="24"/>
          <w:szCs w:val="24"/>
        </w:rPr>
        <w:t xml:space="preserve"> Wikipedia — https://en.wikipedia.org/wiki/Opus_Dei (https://en.wikipedia.org/wiki/Opus_Dei)</w:t>
      </w:r>
    </w:p>
    <w:p>
      <w:pPr>
        <w:spacing w:after="120" w:line="276"/>
        <w:jc w:val="both"/>
      </w:pPr>
      <w:r>
        <w:rPr>
          <w:rFonts w:ascii="Barlow Semi Condensed" w:cs="Barlow Semi Condensed" w:eastAsia="Barlow Semi Condensed" w:hAnsi="Barlow Semi Condensed"/>
          <w:b/>
          <w:bCs/>
          <w:sz w:val="24"/>
          <w:szCs w:val="24"/>
        </w:rPr>
        <w:t xml:space="preserve">531.</w:t>
      </w:r>
      <w:r>
        <w:rPr>
          <w:rFonts w:ascii="Barlow Semi Condensed" w:cs="Barlow Semi Condensed" w:eastAsia="Barlow Semi Condensed" w:hAnsi="Barlow Semi Condensed"/>
          <w:sz w:val="24"/>
          <w:szCs w:val="24"/>
        </w:rPr>
        <w:t xml:space="preserve"> Opus Dei — https://opusdei.org/en/article/two-muslims-and-a-turkish-orthodox-life-in-nideck-residence/ (https://opusdei.org/en/article/two-muslims-and-a-turkish-orthodox-life-in-nideck-residence/)</w:t>
      </w:r>
    </w:p>
    <w:p>
      <w:pPr>
        <w:spacing w:after="120" w:line="276"/>
        <w:jc w:val="both"/>
      </w:pP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Daily Sabah — https://www.dailysabah.com/politics/2015/01/22/gulen-movement-displays-resemblance-to-opus-dei (https://www.dailysabah.com/politics/2015/01/22/gulen-movement-displays-resemblance-to-opus-dei)</w:t>
      </w:r>
    </w:p>
    <w:p>
      <w:pPr>
        <w:spacing w:after="120" w:line="276"/>
        <w:jc w:val="both"/>
      </w:pPr>
      <w:r>
        <w:rPr>
          <w:rFonts w:ascii="Barlow Semi Condensed" w:cs="Barlow Semi Condensed" w:eastAsia="Barlow Semi Condensed" w:hAnsi="Barlow Semi Condensed"/>
          <w:b/>
          <w:bCs/>
          <w:sz w:val="24"/>
          <w:szCs w:val="24"/>
        </w:rPr>
        <w:t xml:space="preserve">533.</w:t>
      </w:r>
      <w:r>
        <w:rPr>
          <w:rFonts w:ascii="Barlow Semi Condensed" w:cs="Barlow Semi Condensed" w:eastAsia="Barlow Semi Condensed" w:hAnsi="Barlow Semi Condensed"/>
          <w:sz w:val="24"/>
          <w:szCs w:val="24"/>
        </w:rPr>
        <w:t xml:space="preserve"> Opus Dei — https://opusdei.org/en-us/article/journey-pope-leo-xiv-turkey-lebanon-2025 (https://opusdei.org/en-us/article/journey-pope-leo-xiv-turkey-lebanon-2025)</w:t>
      </w:r>
    </w:p>
    <w:p>
      <w:pPr>
        <w:spacing w:after="120" w:line="276"/>
        <w:jc w:val="both"/>
      </w:pPr>
      <w:r>
        <w:rPr>
          <w:rFonts w:ascii="Barlow Semi Condensed" w:cs="Barlow Semi Condensed" w:eastAsia="Barlow Semi Condensed" w:hAnsi="Barlow Semi Condensed"/>
          <w:b/>
          <w:bCs/>
          <w:sz w:val="24"/>
          <w:szCs w:val="24"/>
        </w:rPr>
        <w:t xml:space="preserve">534.</w:t>
      </w:r>
      <w:r>
        <w:rPr>
          <w:rFonts w:ascii="Barlow Semi Condensed" w:cs="Barlow Semi Condensed" w:eastAsia="Barlow Semi Condensed" w:hAnsi="Barlow Semi Condensed"/>
          <w:sz w:val="24"/>
          <w:szCs w:val="24"/>
        </w:rPr>
        <w:t xml:space="preserve"> La Nuova Bussola Quotidiana — https://lanuovabq.it/it/istanbul-ha-un-nuovo-vicario-apostolico (https://lanuovabq.it/it/istanbul-ha-un-nuovo-vicario-apostolico)</w:t>
      </w:r>
    </w:p>
    <w:p>
      <w:pPr>
        <w:spacing w:after="120" w:line="276"/>
        <w:jc w:val="both"/>
      </w:pPr>
      <w:r>
        <w:rPr>
          <w:rFonts w:ascii="Barlow Semi Condensed" w:cs="Barlow Semi Condensed" w:eastAsia="Barlow Semi Condensed" w:hAnsi="Barlow Semi Condensed"/>
          <w:b/>
          <w:bCs/>
          <w:sz w:val="24"/>
          <w:szCs w:val="24"/>
        </w:rPr>
        <w:t xml:space="preserve">535.</w:t>
      </w:r>
      <w:r>
        <w:rPr>
          <w:rFonts w:ascii="Barlow Semi Condensed" w:cs="Barlow Semi Condensed" w:eastAsia="Barlow Semi Condensed" w:hAnsi="Barlow Semi Condensed"/>
          <w:sz w:val="24"/>
          <w:szCs w:val="24"/>
        </w:rPr>
        <w:t xml:space="preserve"> state — https://history.state.gov/historicaldocuments/frus1969-76v30/d200 (https://history.state.gov/historicaldocuments/frus1969-76v30/d200)</w:t>
      </w:r>
    </w:p>
    <w:p>
      <w:pPr>
        <w:spacing w:after="120" w:line="276"/>
        <w:jc w:val="both"/>
      </w:pPr>
      <w:r>
        <w:rPr>
          <w:rFonts w:ascii="Barlow Semi Condensed" w:cs="Barlow Semi Condensed" w:eastAsia="Barlow Semi Condensed" w:hAnsi="Barlow Semi Condensed"/>
          <w:b/>
          <w:bCs/>
          <w:sz w:val="24"/>
          <w:szCs w:val="24"/>
        </w:rPr>
        <w:t xml:space="preserve">536.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storiadelopusdei.org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IX — La Santa Sede, la Turchia e l’attentato del 1981</w:t>
      </w:r>
    </w:p>
    <w:p>
      <w:pPr>
        <w:spacing w:after="120" w:line="276"/>
        <w:jc w:val="both"/>
      </w:pPr>
      <w:r>
        <w:rPr>
          <w:rFonts w:ascii="Barlow Semi Condensed" w:cs="Barlow Semi Condensed" w:eastAsia="Barlow Semi Condensed" w:hAnsi="Barlow Semi Condensed"/>
          <w:b/>
          <w:bCs/>
          <w:sz w:val="24"/>
          <w:szCs w:val="24"/>
        </w:rPr>
        <w:t xml:space="preserve">537.</w:t>
      </w:r>
      <w:r>
        <w:rPr>
          <w:rFonts w:ascii="Barlow Semi Condensed" w:cs="Barlow Semi Condensed" w:eastAsia="Barlow Semi Condensed" w:hAnsi="Barlow Semi Condensed"/>
          <w:sz w:val="24"/>
          <w:szCs w:val="24"/>
        </w:rPr>
        <w:t xml:space="preserve"> Spazio70 — https://spazio70.com/post-anni-70/il-gioco-dei-potenti/mistero-della-fede-lattentato-al-papa-e-le-sue-ombre-la-falsa-pista-bulgara/ (https://spazio70.com/post-anni-70/il-gioco-dei-potenti/mistero-della-fede-lattentato-al-papa-e-le-sue-ombre-la-falsa-pista-bulgara/)</w:t>
      </w:r>
    </w:p>
    <w:p>
      <w:pPr>
        <w:spacing w:after="120" w:line="276"/>
        <w:jc w:val="both"/>
      </w:pPr>
      <w:r>
        <w:rPr>
          <w:rFonts w:ascii="Barlow Semi Condensed" w:cs="Barlow Semi Condensed" w:eastAsia="Barlow Semi Condensed" w:hAnsi="Barlow Semi Condensed"/>
          <w:b/>
          <w:bCs/>
          <w:sz w:val="24"/>
          <w:szCs w:val="24"/>
        </w:rPr>
        <w:t xml:space="preserve">538.</w:t>
      </w:r>
      <w:r>
        <w:rPr>
          <w:rFonts w:ascii="Barlow Semi Condensed" w:cs="Barlow Semi Condensed" w:eastAsia="Barlow Semi Condensed" w:hAnsi="Barlow Semi Condensed"/>
          <w:sz w:val="24"/>
          <w:szCs w:val="24"/>
        </w:rPr>
        <w:t xml:space="preserve"> Wikipedia — https://it.m.wikipedia.org/wiki/Chiesa_cattolica_in_Turchia (https://it.m.wikipedia.org/wiki/Chiesa_cattolica_in_Turchia)</w:t>
      </w:r>
    </w:p>
    <w:p>
      <w:pPr>
        <w:spacing w:after="120" w:line="276"/>
        <w:jc w:val="both"/>
      </w:pPr>
      <w:r>
        <w:rPr>
          <w:rFonts w:ascii="Barlow Semi Condensed" w:cs="Barlow Semi Condensed" w:eastAsia="Barlow Semi Condensed" w:hAnsi="Barlow Semi Condensed"/>
          <w:b/>
          <w:bCs/>
          <w:sz w:val="24"/>
          <w:szCs w:val="24"/>
        </w:rPr>
        <w:t xml:space="preserve">539.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christianunity.va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dizie.eu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541.</w:t>
      </w:r>
      <w:r>
        <w:rPr>
          <w:rFonts w:ascii="Barlow Semi Condensed" w:cs="Barlow Semi Condensed" w:eastAsia="Barlow Semi Condensed" w:hAnsi="Barlow Semi Condensed"/>
          <w:sz w:val="24"/>
          <w:szCs w:val="24"/>
        </w:rPr>
        <w:t xml:space="preserve"> Wikipedia — https://en.wikipedia.org/wiki/Mehmet_Ali_A%C4%9Fca (https://en.wikipedia.org/wiki/Mehmet_Ali_A%C4%9Fca)</w:t>
      </w:r>
    </w:p>
    <w:p>
      <w:pPr>
        <w:spacing w:after="120" w:line="276"/>
        <w:jc w:val="both"/>
      </w:pPr>
      <w:r>
        <w:rPr>
          <w:rFonts w:ascii="Barlow Semi Condensed" w:cs="Barlow Semi Condensed" w:eastAsia="Barlow Semi Condensed" w:hAnsi="Barlow Semi Condensed"/>
          <w:b/>
          <w:bCs/>
          <w:sz w:val="24"/>
          <w:szCs w:val="24"/>
        </w:rPr>
        <w:t xml:space="preserve">542.</w:t>
      </w:r>
      <w:r>
        <w:rPr>
          <w:rFonts w:ascii="Barlow Semi Condensed" w:cs="Barlow Semi Condensed" w:eastAsia="Barlow Semi Condensed" w:hAnsi="Barlow Semi Condensed"/>
          <w:sz w:val="24"/>
          <w:szCs w:val="24"/>
        </w:rPr>
        <w:t xml:space="preserve"> Wikipedia — https://en.wikipedia.org/wiki/Milliyet (https://en.wikipedia.org/wiki/Milliyet)</w:t>
      </w:r>
    </w:p>
    <w:p>
      <w:pPr>
        <w:spacing w:after="120" w:line="276"/>
        <w:jc w:val="both"/>
      </w:pPr>
      <w:r>
        <w:rPr>
          <w:rFonts w:ascii="Barlow Semi Condensed" w:cs="Barlow Semi Condensed" w:eastAsia="Barlow Semi Condensed" w:hAnsi="Barlow Semi Condensed"/>
          <w:b/>
          <w:bCs/>
          <w:sz w:val="24"/>
          <w:szCs w:val="24"/>
        </w:rPr>
        <w:t xml:space="preserve">543.</w:t>
      </w:r>
      <w:r>
        <w:rPr>
          <w:rFonts w:ascii="Barlow Semi Condensed" w:cs="Barlow Semi Condensed" w:eastAsia="Barlow Semi Condensed" w:hAnsi="Barlow Semi Condensed"/>
          <w:sz w:val="24"/>
          <w:szCs w:val="24"/>
        </w:rPr>
        <w:t xml:space="preserve"> goodreads — https://www.goodreads.com/notes/41736831-operation-gladio/28440635-jos-mar-a-blancowhite/c0835082-842c-42f7-8825-b4fc114719a8 (https://www.goodreads.com/notes/41736831-operation-gladio/28440635-jos-mar-a-blancowhite/c0835082-842c-42f7-8825-b4fc114719a8)</w:t>
      </w:r>
    </w:p>
    <w:p>
      <w:pPr>
        <w:spacing w:after="120" w:line="276"/>
        <w:jc w:val="both"/>
      </w:pPr>
      <w:r>
        <w:rPr>
          <w:rFonts w:ascii="Barlow Semi Condensed" w:cs="Barlow Semi Condensed" w:eastAsia="Barlow Semi Condensed" w:hAnsi="Barlow Semi Condensed"/>
          <w:b/>
          <w:bCs/>
          <w:sz w:val="24"/>
          <w:szCs w:val="24"/>
        </w:rPr>
        <w:t xml:space="preserve">544.</w:t>
      </w:r>
      <w:r>
        <w:rPr>
          <w:rFonts w:ascii="Barlow Semi Condensed" w:cs="Barlow Semi Condensed" w:eastAsia="Barlow Semi Condensed" w:hAnsi="Barlow Semi Condensed"/>
          <w:sz w:val="24"/>
          <w:szCs w:val="24"/>
        </w:rPr>
        <w:t xml:space="preserve"> NPR — https://www.npr.org/2006/01/20/5164596/turkey-recoils-at-release-of-man-who-shot-pope (https://www.npr.org/2006/01/20/5164596/turkey-recoils-at-release-of-man-who-shot-pope)</w:t>
      </w:r>
    </w:p>
    <w:p>
      <w:pPr>
        <w:spacing w:after="120" w:line="276"/>
        <w:jc w:val="both"/>
      </w:pPr>
      <w:r>
        <w:rPr>
          <w:rFonts w:ascii="Barlow Semi Condensed" w:cs="Barlow Semi Condensed" w:eastAsia="Barlow Semi Condensed" w:hAnsi="Barlow Semi Condensed"/>
          <w:b/>
          <w:bCs/>
          <w:sz w:val="24"/>
          <w:szCs w:val="24"/>
        </w:rPr>
        <w:t xml:space="preserve">545.</w:t>
      </w:r>
      <w:r>
        <w:rPr>
          <w:rFonts w:ascii="Barlow Semi Condensed" w:cs="Barlow Semi Condensed" w:eastAsia="Barlow Semi Condensed" w:hAnsi="Barlow Semi Condensed"/>
          <w:sz w:val="24"/>
          <w:szCs w:val="24"/>
        </w:rPr>
        <w:t xml:space="preserve"> Il Giardino dei Libri — https://www.ilgiardinodeilibri.it/libri/__attentato-al-papa-elena-hilal-agca-libro.php (https://www.ilgiardinodeilibri.it/libri/__attentato-al-papa-elena-hilal-agca-libro.php)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546.</w:t>
      </w:r>
      <w:r>
        <w:rPr>
          <w:rFonts w:ascii="Barlow Semi Condensed" w:cs="Barlow Semi Condensed" w:eastAsia="Barlow Semi Condensed" w:hAnsi="Barlow Semi Condensed"/>
          <w:sz w:val="24"/>
          <w:szCs w:val="24"/>
        </w:rPr>
        <w:t xml:space="preserve"> CultWeb — https://cultweb.it/cultura/storia/che-fine-ha-fatto-ali-agca-lattentatore-di-giovanni-paolo-ii/ (https://cultweb.it/cultura/storia/che-fine-ha-fatto-ali-agca-lattentatore-di-giovanni-paolo-ii/)</w:t>
      </w:r>
    </w:p>
    <w:p>
      <w:pPr>
        <w:spacing w:after="120" w:line="276"/>
        <w:jc w:val="both"/>
      </w:pPr>
      <w:r>
        <w:rPr>
          <w:rFonts w:ascii="Barlow Semi Condensed" w:cs="Barlow Semi Condensed" w:eastAsia="Barlow Semi Condensed" w:hAnsi="Barlow Semi Condensed"/>
          <w:b/>
          <w:bCs/>
          <w:sz w:val="24"/>
          <w:szCs w:val="24"/>
        </w:rPr>
        <w:t xml:space="preserve">547.</w:t>
      </w:r>
      <w:r>
        <w:rPr>
          <w:rFonts w:ascii="Barlow Semi Condensed" w:cs="Barlow Semi Condensed" w:eastAsia="Barlow Semi Condensed" w:hAnsi="Barlow Semi Condensed"/>
          <w:sz w:val="24"/>
          <w:szCs w:val="24"/>
        </w:rPr>
        <w:t xml:space="preserve"> state — https://history.state.gov/historicaldocuments/frus1981-88v10/d370 (https://history.state.gov/historicaldocuments/frus1981-88v10/d370)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548.</w:t>
      </w:r>
      <w:r>
        <w:rPr>
          <w:rFonts w:ascii="Barlow Semi Condensed" w:cs="Barlow Semi Condensed" w:eastAsia="Barlow Semi Condensed" w:hAnsi="Barlow Semi Condensed"/>
          <w:sz w:val="24"/>
          <w:szCs w:val="24"/>
        </w:rPr>
        <w:t xml:space="preserve"> state — https://history.state.gov/historicaldocuments/frus1981-88v10/d376 (https://history.state.gov/historicaldocuments/frus1981-88v10/d376)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549.</w:t>
      </w:r>
      <w:r>
        <w:rPr>
          <w:rFonts w:ascii="Barlow Semi Condensed" w:cs="Barlow Semi Condensed" w:eastAsia="Barlow Semi Condensed" w:hAnsi="Barlow Semi Condensed"/>
          <w:sz w:val="24"/>
          <w:szCs w:val="24"/>
        </w:rPr>
        <w:t xml:space="preserve"> state — https://history.state.gov/historicaldocuments/frus1981-88v10/d377 (https://history.state.gov/historicaldocuments/frus1981-88v10/d377)</w:t>
      </w:r>
    </w:p>
    <w:p>
      <w:pPr>
        <w:spacing w:after="120" w:line="276"/>
        <w:jc w:val="both"/>
      </w:pPr>
      <w:r>
        <w:rPr>
          <w:rFonts w:ascii="Barlow Semi Condensed" w:cs="Barlow Semi Condensed" w:eastAsia="Barlow Semi Condensed" w:hAnsi="Barlow Semi Condensed"/>
          <w:b/>
          <w:bCs/>
          <w:sz w:val="24"/>
          <w:szCs w:val="24"/>
        </w:rPr>
        <w:t xml:space="preserve">550.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storiologia.it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551.</w:t>
      </w:r>
      <w:r>
        <w:rPr>
          <w:rFonts w:ascii="Barlow Semi Condensed" w:cs="Barlow Semi Condensed" w:eastAsia="Barlow Semi Condensed" w:hAnsi="Barlow Semi Condensed"/>
          <w:sz w:val="24"/>
          <w:szCs w:val="24"/>
        </w:rPr>
        <w:t xml:space="preserve"> Storiologia — https://www.storiologia.it/biografie/roncalli.htm (https://www.storiologia.it/biografie/roncalli.htm)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padovanet.it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553.</w:t>
      </w:r>
      <w:r>
        <w:rPr>
          <w:rFonts w:ascii="Barlow Semi Condensed" w:cs="Barlow Semi Condensed" w:eastAsia="Barlow Semi Condensed" w:hAnsi="Barlow Semi Condensed"/>
          <w:sz w:val="24"/>
          <w:szCs w:val="24"/>
        </w:rPr>
        <w:t xml:space="preserve"> Gariwo — https://it.gariwo.net/dl/202005180612_A.pdf (https://it.gariwo.net/dl/202005180612_A.pdf)</w:t>
      </w:r>
    </w:p>
    <w:p>
      <w:pPr>
        <w:spacing w:after="120" w:line="276"/>
        <w:jc w:val="both"/>
      </w:pPr>
      <w:r>
        <w:rPr>
          <w:rFonts w:ascii="Barlow Semi Condensed" w:cs="Barlow Semi Condensed" w:eastAsia="Barlow Semi Condensed" w:hAnsi="Barlow Semi Condensed"/>
          <w:b/>
          <w:bCs/>
          <w:sz w:val="24"/>
          <w:szCs w:val="24"/>
        </w:rPr>
        <w:t xml:space="preserve">554.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ladiscussione.com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555.</w:t>
      </w:r>
      <w:r>
        <w:rPr>
          <w:rFonts w:ascii="Barlow Semi Condensed" w:cs="Barlow Semi Condensed" w:eastAsia="Barlow Semi Condensed" w:hAnsi="Barlow Semi Condensed"/>
          <w:sz w:val="24"/>
          <w:szCs w:val="24"/>
        </w:rPr>
        <w:t xml:space="preserve"> La Discussione — https://ladiscussione.com/130659/cultura/roncalli-a-istanbul/ (https://ladiscussione.com/130659/cultura/roncalli-a-istanbul/)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556.</w:t>
      </w:r>
      <w:r>
        <w:rPr>
          <w:rFonts w:ascii="Barlow Semi Condensed" w:cs="Barlow Semi Condensed" w:eastAsia="Barlow Semi Condensed" w:hAnsi="Barlow Semi Condensed"/>
          <w:sz w:val="24"/>
          <w:szCs w:val="24"/>
        </w:rPr>
        <w:t xml:space="preserve"> Zenit — https://it.zenit.org/2010/12/01/il-metodo-roncalli-nell-incontro-tra-oriente-e-occidente/ (https://it.zenit.org/2010/12/01/il-metodo-roncalli-nell-incontro-tra-oriente-e-occidente/)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terrasanta.net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zenit.org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avvenire.it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560.</w:t>
      </w:r>
      <w:r>
        <w:rPr>
          <w:rFonts w:ascii="Barlow Semi Condensed" w:cs="Barlow Semi Condensed" w:eastAsia="Barlow Semi Condensed" w:hAnsi="Barlow Semi Condensed"/>
          <w:sz w:val="24"/>
          <w:szCs w:val="24"/>
        </w:rPr>
        <w:t xml:space="preserve"> Vatican News — https://www.vaticannews.va/it/papa/news/2025-11/viaggi-apostolici-papi-turchia.html (https://www.vaticannews.va/it/papa/news/2025-11/viaggi-apostolici-papi-turchia.html)</w:t>
      </w:r>
    </w:p>
    <w:p>
      <w:pPr>
        <w:spacing w:after="120" w:line="276"/>
        <w:jc w:val="both"/>
      </w:pPr>
      <w:r>
        <w:rPr>
          <w:rFonts w:ascii="Barlow Semi Condensed" w:cs="Barlow Semi Condensed" w:eastAsia="Barlow Semi Condensed" w:hAnsi="Barlow Semi Condensed"/>
          <w:b/>
          <w:bCs/>
          <w:sz w:val="24"/>
          <w:szCs w:val="24"/>
        </w:rPr>
        <w:t xml:space="preserve">561.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orientecristiano.it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562.</w:t>
      </w:r>
      <w:r>
        <w:rPr>
          <w:rFonts w:ascii="Barlow Semi Condensed" w:cs="Barlow Semi Condensed" w:eastAsia="Barlow Semi Condensed" w:hAnsi="Barlow Semi Condensed"/>
          <w:sz w:val="24"/>
          <w:szCs w:val="24"/>
        </w:rPr>
        <w:t xml:space="preserve"> Diocesichieti — https://www.diocesichieti.it/sessione-plenaria-per-il-dialogo-teologico-tra-la-chiesa-cattolica-e-le-chiese-ortodosse/ (https://www.diocesichieti.it/sessione-plenaria-per-il-dialogo-teologico-tra-la-chiesa-cattolica-e-le-chiese-ortodosse/)</w:t>
      </w:r>
    </w:p>
    <w:p>
      <w:pPr>
        <w:spacing w:after="120" w:line="276"/>
        <w:jc w:val="both"/>
      </w:pPr>
      <w:r>
        <w:rPr>
          <w:rFonts w:ascii="Barlow Semi Condensed" w:cs="Barlow Semi Condensed" w:eastAsia="Barlow Semi Condensed" w:hAnsi="Barlow Semi Condensed"/>
          <w:b/>
          <w:bCs/>
          <w:sz w:val="24"/>
          <w:szCs w:val="24"/>
        </w:rPr>
        <w:t xml:space="preserve">563.</w:t>
      </w:r>
      <w:r>
        <w:rPr>
          <w:rFonts w:ascii="Barlow Semi Condensed" w:cs="Barlow Semi Condensed" w:eastAsia="Barlow Semi Condensed" w:hAnsi="Barlow Semi Condensed"/>
          <w:sz w:val="24"/>
          <w:szCs w:val="24"/>
        </w:rPr>
        <w:t xml:space="preserve"> L'Osservatore Romano — https://www.osservatoreromano.va/it/news/2020-11/quo-273/dialogo-sulla-chiesa.html (https://www.osservatoreromano.va/it/news/2020-11/quo-273/dialogo-sulla-chiesa.html)</w:t>
      </w:r>
    </w:p>
    <w:p>
      <w:pPr>
        <w:spacing w:after="120" w:line="276"/>
        <w:jc w:val="both"/>
      </w:pPr>
      <w:r>
        <w:rPr>
          <w:rFonts w:ascii="Barlow Semi Condensed" w:cs="Barlow Semi Condensed" w:eastAsia="Barlow Semi Condensed" w:hAnsi="Barlow Semi Condensed"/>
          <w:b/>
          <w:bCs/>
          <w:sz w:val="24"/>
          <w:szCs w:val="24"/>
        </w:rPr>
        <w:t xml:space="preserve">564.</w:t>
      </w:r>
      <w:r>
        <w:rPr>
          <w:rFonts w:ascii="Barlow Semi Condensed" w:cs="Barlow Semi Condensed" w:eastAsia="Barlow Semi Condensed" w:hAnsi="Barlow Semi Condensed"/>
          <w:sz w:val="24"/>
          <w:szCs w:val="24"/>
        </w:rPr>
        <w:t xml:space="preserve"> Ccee — https://www.ccee.eu/wp-content/uploads/sites/2/2019/09/Intervento-Rev.-Bouwen.pdf (https://www.ccee.eu/wp-content/uploads/sites/2/2019/09/Intervento-Rev.-Bouwen.pdf)</w:t>
      </w:r>
    </w:p>
    <w:p>
      <w:pPr>
        <w:spacing w:after="120" w:line="276"/>
        <w:jc w:val="both"/>
      </w:pPr>
      <w:r>
        <w:rPr>
          <w:rFonts w:ascii="Barlow Semi Condensed" w:cs="Barlow Semi Condensed" w:eastAsia="Barlow Semi Condensed" w:hAnsi="Barlow Semi Condensed"/>
          <w:b/>
          <w:bCs/>
          <w:sz w:val="24"/>
          <w:szCs w:val="24"/>
        </w:rPr>
        <w:t xml:space="preserve">565.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lafiaccola.it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funerali.org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567.</w:t>
      </w:r>
      <w:r>
        <w:rPr>
          <w:rFonts w:ascii="Barlow Semi Condensed" w:cs="Barlow Semi Condensed" w:eastAsia="Barlow Semi Condensed" w:hAnsi="Barlow Semi Condensed"/>
          <w:sz w:val="24"/>
          <w:szCs w:val="24"/>
        </w:rPr>
        <w:t xml:space="preserve"> Funerali — https://www.funerali.org/cimiteri/in-turchia-restituiti-tra-laltro-alle-minoranze-religiose-la-gestione-di-loro-cimiteri-2-42724.html (https://www.funerali.org/cimiteri/in-turchia-restituiti-tra-laltro-alle-minoranze-religiose-la-gestione-di-loro-cimiteri-2-42724.html)</w:t>
      </w:r>
    </w:p>
    <w:p>
      <w:pPr>
        <w:spacing w:after="120" w:line="276"/>
        <w:jc w:val="both"/>
      </w:pPr>
      <w:r>
        <w:rPr>
          <w:rFonts w:ascii="Barlow Semi Condensed" w:cs="Barlow Semi Condensed" w:eastAsia="Barlow Semi Condensed" w:hAnsi="Barlow Semi Condensed"/>
          <w:b/>
          <w:bCs/>
          <w:sz w:val="24"/>
          <w:szCs w:val="24"/>
        </w:rPr>
        <w:t xml:space="preserve">568.</w:t>
      </w:r>
      <w:r>
        <w:rPr>
          <w:rFonts w:ascii="Barlow Semi Condensed" w:cs="Barlow Semi Condensed" w:eastAsia="Barlow Semi Condensed" w:hAnsi="Barlow Semi Condensed"/>
          <w:sz w:val="24"/>
          <w:szCs w:val="24"/>
        </w:rPr>
        <w:t xml:space="preserve"> Alegsaonline — https://it.alegsaonline.com/art/65294 (https://it.alegsaonline.com/art/65294)</w:t>
      </w:r>
    </w:p>
    <w:p>
      <w:pPr>
        <w:spacing w:after="120" w:line="276"/>
        <w:jc w:val="both"/>
      </w:pPr>
      <w:r>
        <w:rPr>
          <w:rFonts w:ascii="Barlow Semi Condensed" w:cs="Barlow Semi Condensed" w:eastAsia="Barlow Semi Condensed" w:hAnsi="Barlow Semi Condensed"/>
          <w:b/>
          <w:bCs/>
          <w:sz w:val="24"/>
          <w:szCs w:val="24"/>
        </w:rPr>
        <w:t xml:space="preserve">569.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570.</w:t>
      </w:r>
      <w:r>
        <w:rPr>
          <w:rFonts w:ascii="Barlow Semi Condensed" w:cs="Barlow Semi Condensed" w:eastAsia="Barlow Semi Condensed" w:hAnsi="Barlow Semi Condensed"/>
          <w:sz w:val="24"/>
          <w:szCs w:val="24"/>
        </w:rPr>
        <w:t xml:space="preserve"> Treccani — https://www.treccani.it/enciclopedia/agostino-casaroli_(Dizionario-Biografico (https://www.treccani.it/enciclopedia/agostino-casaroli_(Dizionario-Biografico)</w:t>
      </w:r>
    </w:p>
    <w:p>
      <w:pPr>
        <w:spacing w:after="120" w:line="276"/>
        <w:jc w:val="both"/>
      </w:pPr>
      <w:r>
        <w:rPr>
          <w:rFonts w:ascii="Barlow Semi Condensed" w:cs="Barlow Semi Condensed" w:eastAsia="Barlow Semi Condensed" w:hAnsi="Barlow Semi Condensed"/>
          <w:b/>
          <w:bCs/>
          <w:sz w:val="24"/>
          <w:szCs w:val="24"/>
        </w:rPr>
        <w:t xml:space="preserve">571.</w:t>
      </w:r>
      <w:r>
        <w:rPr>
          <w:rFonts w:ascii="Barlow Semi Condensed" w:cs="Barlow Semi Condensed" w:eastAsia="Barlow Semi Condensed" w:hAnsi="Barlow Semi Condensed"/>
          <w:sz w:val="24"/>
          <w:szCs w:val="24"/>
        </w:rPr>
        <w:t xml:space="preserve"> Cespi — https://www.cespi.it/sites/default/files/osservatori/allegati/brief_62_comunita_levantina_di_istanbul_imparato.pdf (https://www.cespi.it/sites/default/files/osservatori/allegati/brief_62_comunita_levantina_di_istanbul_imparato.pdf)</w:t>
      </w:r>
    </w:p>
    <w:p>
      <w:pPr>
        <w:spacing w:after="120" w:line="276"/>
        <w:jc w:val="both"/>
      </w:pPr>
      <w:r>
        <w:rPr>
          <w:rFonts w:ascii="Barlow Semi Condensed" w:cs="Barlow Semi Condensed" w:eastAsia="Barlow Semi Condensed" w:hAnsi="Barlow Semi Condensed"/>
          <w:b/>
          <w:bCs/>
          <w:sz w:val="24"/>
          <w:szCs w:val="24"/>
        </w:rPr>
        <w:t xml:space="preserve">572.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vaticannews.va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archivioapostolicovaticano.va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acistampa.com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575.</w:t>
      </w:r>
      <w:r>
        <w:rPr>
          <w:rFonts w:ascii="Barlow Semi Condensed" w:cs="Barlow Semi Condensed" w:eastAsia="Barlow Semi Condensed" w:hAnsi="Barlow Semi Condensed"/>
          <w:sz w:val="24"/>
          <w:szCs w:val="24"/>
        </w:rPr>
        <w:t xml:space="preserve"> Esteri — https://italiana.esteri.it/italiana/en/culture/la-farnesina-apre-al-pubblico-la-biblioteca-e-larchivio-storico-diplomatico/ (https://italiana.esteri.it/italiana/en/culture/la-farnesina-apre-al-pubblico-la-biblioteca-e-larchivio-storico-diplomatico/)</w:t>
      </w:r>
    </w:p>
    <w:p>
      <w:pPr>
        <w:spacing w:after="120" w:line="276"/>
        <w:jc w:val="both"/>
      </w:pPr>
      <w:r>
        <w:rPr>
          <w:rFonts w:ascii="Barlow Semi Condensed" w:cs="Barlow Semi Condensed" w:eastAsia="Barlow Semi Condensed" w:hAnsi="Barlow Semi Condensed"/>
          <w:b/>
          <w:bCs/>
          <w:sz w:val="24"/>
          <w:szCs w:val="24"/>
        </w:rPr>
        <w:t xml:space="preserve">576.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italiana.esteri.it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577.</w:t>
      </w:r>
      <w:r>
        <w:rPr>
          <w:rFonts w:ascii="Barlow Semi Condensed" w:cs="Barlow Semi Condensed" w:eastAsia="Barlow Semi Condensed" w:hAnsi="Barlow Semi Condensed"/>
          <w:sz w:val="24"/>
          <w:szCs w:val="24"/>
        </w:rPr>
        <w:t xml:space="preserve"> Parlamento Italiano — https://www.parlamento.it/application/xmanager/projects/parlamento/file/commissione_mitrokhin_14leg/mitrokhindoc.377.pdf (https://www.parlamento.it/application/xmanager/projects/parlamento/file/commissione_mitrokhin_14leg/mitrokhindoc.377.pdf)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X — Documenti italiani e spagnoli, e l’Opus Dei</w:t>
      </w:r>
    </w:p>
    <w:p>
      <w:pPr>
        <w:spacing w:after="120" w:line="276"/>
        <w:jc w:val="both"/>
      </w:pPr>
      <w:r>
        <w:rPr>
          <w:rFonts w:ascii="Barlow Semi Condensed" w:cs="Barlow Semi Condensed" w:eastAsia="Barlow Semi Condensed" w:hAnsi="Barlow Semi Condensed"/>
          <w:b/>
          <w:bCs/>
          <w:sz w:val="24"/>
          <w:szCs w:val="24"/>
        </w:rPr>
        <w:t xml:space="preserve">578.</w:t>
      </w:r>
      <w:r>
        <w:rPr>
          <w:rFonts w:ascii="Barlow Semi Condensed" w:cs="Barlow Semi Condensed" w:eastAsia="Barlow Semi Condensed" w:hAnsi="Barlow Semi Condensed"/>
          <w:sz w:val="24"/>
          <w:szCs w:val="24"/>
        </w:rPr>
        <w:t xml:space="preserve"> Wikipedia — https://it.wikipedia.org/wiki/Trattato_di_Osimo (https://it.wikipedia.org/wiki/Trattato_di_Osimo)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579.</w:t>
      </w:r>
      <w:r>
        <w:rPr>
          <w:rFonts w:ascii="Barlow Semi Condensed" w:cs="Barlow Semi Condensed" w:eastAsia="Barlow Semi Condensed" w:hAnsi="Barlow Semi Condensed"/>
          <w:sz w:val="24"/>
          <w:szCs w:val="24"/>
        </w:rPr>
        <w:t xml:space="preserve"> Circolo della Storia — https://circolodellastoria.it/gli-accordi-di-osimo-cinquantanni-fa-il-trattato-che-chiuse-unepoca/ (https://circolodellastoria.it/gli-accordi-di-osimo-cinquantanni-fa-il-trattato-che-chiuse-unepoca/)</w:t>
      </w:r>
    </w:p>
    <w:p>
      <w:pPr>
        <w:spacing w:after="120" w:line="276"/>
        <w:jc w:val="both"/>
      </w:pPr>
      <w:r>
        <w:rPr>
          <w:rFonts w:ascii="Barlow Semi Condensed" w:cs="Barlow Semi Condensed" w:eastAsia="Barlow Semi Condensed" w:hAnsi="Barlow Semi Condensed"/>
          <w:b/>
          <w:bCs/>
          <w:sz w:val="24"/>
          <w:szCs w:val="24"/>
        </w:rPr>
        <w:t xml:space="preserve">580.</w:t>
      </w:r>
      <w:r>
        <w:rPr>
          <w:rFonts w:ascii="Barlow Semi Condensed" w:cs="Barlow Semi Condensed" w:eastAsia="Barlow Semi Condensed" w:hAnsi="Barlow Semi Condensed"/>
          <w:sz w:val="24"/>
          <w:szCs w:val="24"/>
        </w:rPr>
        <w:t xml:space="preserve"> Il Bo Live UniPD — https://ilbolive.unipd.it/it/news/societa/spirito-osimo-diplomazia-memoria (https://ilbolive.unipd.it/it/news/societa/spirito-osimo-diplomazia-memoria)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581.</w:t>
      </w:r>
      <w:r>
        <w:rPr>
          <w:rFonts w:ascii="Barlow Semi Condensed" w:cs="Barlow Semi Condensed" w:eastAsia="Barlow Semi Condensed" w:hAnsi="Barlow Semi Condensed"/>
          <w:sz w:val="24"/>
          <w:szCs w:val="24"/>
        </w:rPr>
        <w:t xml:space="preserve"> La Nazione — https://www.lanazione.it/cronaca/almanacco-trattato-osimo-italia-jugoslavia-d52b0197 (https://www.lanazione.it/cronaca/almanacco-trattato-osimo-italia-jugoslavia-d52b0197)</w:t>
      </w:r>
    </w:p>
    <w:p>
      <w:pPr>
        <w:spacing w:after="120" w:line="276"/>
        <w:jc w:val="both"/>
      </w:pPr>
      <w:r>
        <w:rPr>
          <w:rFonts w:ascii="Barlow Semi Condensed" w:cs="Barlow Semi Condensed" w:eastAsia="Barlow Semi Condensed" w:hAnsi="Barlow Semi Condensed"/>
          <w:b/>
          <w:bCs/>
          <w:sz w:val="24"/>
          <w:szCs w:val="24"/>
        </w:rPr>
        <w:t xml:space="preserve">582.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storico.org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583.</w:t>
      </w:r>
      <w:r>
        <w:rPr>
          <w:rFonts w:ascii="Barlow Semi Condensed" w:cs="Barlow Semi Condensed" w:eastAsia="Barlow Semi Condensed" w:hAnsi="Barlow Semi Condensed"/>
          <w:sz w:val="24"/>
          <w:szCs w:val="24"/>
        </w:rPr>
        <w:t xml:space="preserve"> Storico — https://storico.org/italia_boom_economico/trattato_osimo.html (https://storico.org/italia_boom_economico/trattato_osimo.html)</w:t>
      </w:r>
    </w:p>
    <w:p>
      <w:pPr>
        <w:spacing w:after="120" w:line="276"/>
        <w:jc w:val="both"/>
      </w:pPr>
      <w:r>
        <w:rPr>
          <w:rFonts w:ascii="Barlow Semi Condensed" w:cs="Barlow Semi Condensed" w:eastAsia="Barlow Semi Condensed" w:hAnsi="Barlow Semi Condensed"/>
          <w:b/>
          <w:bCs/>
          <w:sz w:val="24"/>
          <w:szCs w:val="24"/>
        </w:rPr>
        <w:t xml:space="preserve">584.</w:t>
      </w:r>
      <w:r>
        <w:rPr>
          <w:rFonts w:ascii="Barlow Semi Condensed" w:cs="Barlow Semi Condensed" w:eastAsia="Barlow Semi Condensed" w:hAnsi="Barlow Semi Condensed"/>
          <w:sz w:val="24"/>
          <w:szCs w:val="24"/>
        </w:rPr>
        <w:t xml:space="preserve"> Google Books — https://books.google.com/books/about/Aldo_Moro_l_Italia_repubblicana_e_i_Balc.html?id=ftcEywAACAAJ (https://books.google.com/books/about/Aldo_Moro_l_Italia_repubblicana_e_i_Balc.html?id=ftcEywAACAAJ)</w:t>
      </w:r>
    </w:p>
    <w:p>
      <w:pPr>
        <w:spacing w:after="120" w:line="276"/>
        <w:jc w:val="both"/>
      </w:pPr>
      <w:r>
        <w:rPr>
          <w:rFonts w:ascii="Barlow Semi Condensed" w:cs="Barlow Semi Condensed" w:eastAsia="Barlow Semi Condensed" w:hAnsi="Barlow Semi Condensed"/>
          <w:b/>
          <w:bCs/>
          <w:sz w:val="24"/>
          <w:szCs w:val="24"/>
        </w:rPr>
        <w:t xml:space="preserve">585.</w:t>
      </w:r>
      <w:r>
        <w:rPr>
          <w:rFonts w:ascii="Barlow Semi Condensed" w:cs="Barlow Semi Condensed" w:eastAsia="Barlow Semi Condensed" w:hAnsi="Barlow Semi Condensed"/>
          <w:sz w:val="24"/>
          <w:szCs w:val="24"/>
        </w:rPr>
        <w:t xml:space="preserve"> Archivioflamigni — https://www.archivioflamigni.org/doc/bibliografia-aldo-moro.pdf (https://www.archivioflamigni.org/doc/bibliografia-aldo-moro.pdf)</w:t>
      </w:r>
    </w:p>
    <w:p>
      <w:pPr>
        <w:spacing w:after="120" w:line="276"/>
        <w:jc w:val="both"/>
      </w:pPr>
      <w:r>
        <w:rPr>
          <w:rFonts w:ascii="Barlow Semi Condensed" w:cs="Barlow Semi Condensed" w:eastAsia="Barlow Semi Condensed" w:hAnsi="Barlow Semi Condensed"/>
          <w:b/>
          <w:bCs/>
          <w:sz w:val="24"/>
          <w:szCs w:val="24"/>
        </w:rPr>
        <w:t xml:space="preserve">586.</w:t>
      </w:r>
      <w:r>
        <w:rPr>
          <w:rFonts w:ascii="Barlow Semi Condensed" w:cs="Barlow Semi Condensed" w:eastAsia="Barlow Semi Condensed" w:hAnsi="Barlow Semi Condensed"/>
          <w:sz w:val="24"/>
          <w:szCs w:val="24"/>
        </w:rPr>
        <w:t xml:space="preserve"> Uniba — https://ricerca.uniba.it/handle/11586/419934 (https://ricerca.uniba.it/handle/11586/419934)</w:t>
      </w:r>
    </w:p>
    <w:p>
      <w:pPr>
        <w:spacing w:after="120" w:line="276"/>
        <w:jc w:val="both"/>
      </w:pPr>
      <w:r>
        <w:rPr>
          <w:rFonts w:ascii="Barlow Semi Condensed" w:cs="Barlow Semi Condensed" w:eastAsia="Barlow Semi Condensed" w:hAnsi="Barlow Semi Condensed"/>
          <w:b/>
          <w:bCs/>
          <w:sz w:val="24"/>
          <w:szCs w:val="24"/>
        </w:rPr>
        <w:t xml:space="preserve">587.</w:t>
      </w:r>
      <w:r>
        <w:rPr>
          <w:rFonts w:ascii="Barlow Semi Condensed" w:cs="Barlow Semi Condensed" w:eastAsia="Barlow Semi Condensed" w:hAnsi="Barlow Semi Condensed"/>
          <w:sz w:val="24"/>
          <w:szCs w:val="24"/>
        </w:rPr>
        <w:t xml:space="preserve"> Dialnet — https://dialnet.unirioja.es/descarga/articulo/9578489.pdf (https://dialnet.unirioja.es/descarga/articulo/9578489.pdf)</w:t>
      </w:r>
    </w:p>
    <w:p>
      <w:pPr>
        <w:spacing w:after="120" w:line="276"/>
        <w:jc w:val="both"/>
      </w:pPr>
      <w:r>
        <w:rPr>
          <w:rFonts w:ascii="Barlow Semi Condensed" w:cs="Barlow Semi Condensed" w:eastAsia="Barlow Semi Condensed" w:hAnsi="Barlow Semi Condensed"/>
          <w:b/>
          <w:bCs/>
          <w:sz w:val="24"/>
          <w:szCs w:val="24"/>
        </w:rPr>
        <w:t xml:space="preserve">588.</w:t>
      </w:r>
      <w:r>
        <w:rPr>
          <w:rFonts w:ascii="Barlow Semi Condensed" w:cs="Barlow Semi Condensed" w:eastAsia="Barlow Semi Condensed" w:hAnsi="Barlow Semi Condensed"/>
          <w:sz w:val="24"/>
          <w:szCs w:val="24"/>
        </w:rPr>
        <w:t xml:space="preserve"> Camera — https://documenti.camera.it/leg17/resoconti/commissioni/stenografici/html/68/audiz2/audizione/2014/12/02/indice_stenografico.0013.html (https://documenti.camera.it/leg17/resoconti/commissioni/stenografici/html/68/audiz2/audizione/2014/12/02/indice_stenografico.0013.html)</w:t>
      </w:r>
    </w:p>
    <w:p>
      <w:pPr>
        <w:spacing w:after="120" w:line="276"/>
        <w:jc w:val="both"/>
      </w:pPr>
      <w:r>
        <w:rPr>
          <w:rFonts w:ascii="Barlow Semi Condensed" w:cs="Barlow Semi Condensed" w:eastAsia="Barlow Semi Condensed" w:hAnsi="Barlow Semi Condensed"/>
          <w:b/>
          <w:bCs/>
          <w:sz w:val="24"/>
          <w:szCs w:val="24"/>
        </w:rPr>
        <w:t xml:space="preserve">589.</w:t>
      </w:r>
      <w:r>
        <w:rPr>
          <w:rFonts w:ascii="Barlow Semi Condensed" w:cs="Barlow Semi Condensed" w:eastAsia="Barlow Semi Condensed" w:hAnsi="Barlow Semi Condensed"/>
          <w:sz w:val="24"/>
          <w:szCs w:val="24"/>
        </w:rPr>
        <w:t xml:space="preserve"> Academia.edu — https://www.academia.edu/29372305/Aldo_Moro_l_Italia_e_la_questione_palestinese (https://www.academia.edu/29372305/Aldo_Moro_l_Italia_e_la_questione_palestinese)</w:t>
      </w:r>
    </w:p>
    <w:p>
      <w:pPr>
        <w:spacing w:after="120" w:line="276"/>
        <w:jc w:val="both"/>
      </w:pPr>
      <w:r>
        <w:rPr>
          <w:rFonts w:ascii="Barlow Semi Condensed" w:cs="Barlow Semi Condensed" w:eastAsia="Barlow Semi Condensed" w:hAnsi="Barlow Semi Condensed"/>
          <w:b/>
          <w:bCs/>
          <w:sz w:val="24"/>
          <w:szCs w:val="24"/>
        </w:rPr>
        <w:t xml:space="preserve">590.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diplomacy.edu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591.</w:t>
      </w:r>
      <w:r>
        <w:rPr>
          <w:rFonts w:ascii="Barlow Semi Condensed" w:cs="Barlow Semi Condensed" w:eastAsia="Barlow Semi Condensed" w:hAnsi="Barlow Semi Condensed"/>
          <w:sz w:val="24"/>
          <w:szCs w:val="24"/>
        </w:rPr>
        <w:t xml:space="preserve"> Diplomacy — https://baldi.diplomacy.edu/italy/Baldi_Monzali_Italia_Helsinki_50.pdf (https://baldi.diplomacy.edu/italy/Baldi_Monzali_Italia_Helsinki_50.pdf)</w:t>
      </w:r>
    </w:p>
    <w:p>
      <w:pPr>
        <w:spacing w:after="120" w:line="276"/>
        <w:jc w:val="both"/>
      </w:pPr>
      <w:r>
        <w:rPr>
          <w:rFonts w:ascii="Barlow Semi Condensed" w:cs="Barlow Semi Condensed" w:eastAsia="Barlow Semi Condensed" w:hAnsi="Barlow Semi Condensed"/>
          <w:b/>
          <w:bCs/>
          <w:sz w:val="24"/>
          <w:szCs w:val="24"/>
        </w:rPr>
        <w:t xml:space="preserve">592.</w:t>
      </w:r>
      <w:r>
        <w:rPr>
          <w:rFonts w:ascii="Barlow Semi Condensed" w:cs="Barlow Semi Condensed" w:eastAsia="Barlow Semi Condensed" w:hAnsi="Barlow Semi Condensed"/>
          <w:sz w:val="24"/>
          <w:szCs w:val="24"/>
        </w:rPr>
        <w:t xml:space="preserve"> L'Opinione — https://opinione.it/politica/2024/11/26/antonino-sala-aldo-moro-conferenza-di-helsinki-nuovo-ordine-mondiale/ (https://opinione.it/politica/2024/11/26/antonino-sala-aldo-moro-conferenza-di-helsinki-nuovo-ordine-mondiale/)</w:t>
      </w:r>
    </w:p>
    <w:p>
      <w:pPr>
        <w:spacing w:after="120" w:line="276"/>
        <w:jc w:val="both"/>
      </w:pPr>
      <w:r>
        <w:rPr>
          <w:rFonts w:ascii="Barlow Semi Condensed" w:cs="Barlow Semi Condensed" w:eastAsia="Barlow Semi Condensed" w:hAnsi="Barlow Semi Condensed"/>
          <w:b/>
          <w:bCs/>
          <w:sz w:val="24"/>
          <w:szCs w:val="24"/>
        </w:rPr>
        <w:t xml:space="preserve">593.</w:t>
      </w:r>
      <w:r>
        <w:rPr>
          <w:rFonts w:ascii="Barlow Semi Condensed" w:cs="Barlow Semi Condensed" w:eastAsia="Barlow Semi Condensed" w:hAnsi="Barlow Semi Condensed"/>
          <w:sz w:val="24"/>
          <w:szCs w:val="24"/>
        </w:rPr>
        <w:t xml:space="preserve"> Avvenire — https://www.avvenire.it/agora/pagine/ostpolitik- (https://www.avvenire.it/agora/pagine/ostpolitik-)</w:t>
      </w:r>
    </w:p>
    <w:p>
      <w:pPr>
        <w:spacing w:after="120" w:line="276"/>
        <w:jc w:val="both"/>
      </w:pPr>
      <w:r>
        <w:rPr>
          <w:rFonts w:ascii="Barlow Semi Condensed" w:cs="Barlow Semi Condensed" w:eastAsia="Barlow Semi Condensed" w:hAnsi="Barlow Semi Condensed"/>
          <w:b/>
          <w:bCs/>
          <w:sz w:val="24"/>
          <w:szCs w:val="24"/>
        </w:rPr>
        <w:t xml:space="preserve">594.</w:t>
      </w:r>
      <w:r>
        <w:rPr>
          <w:rFonts w:ascii="Barlow Semi Condensed" w:cs="Barlow Semi Condensed" w:eastAsia="Barlow Semi Condensed" w:hAnsi="Barlow Semi Condensed"/>
          <w:sz w:val="24"/>
          <w:szCs w:val="24"/>
        </w:rPr>
        <w:t xml:space="preserve"> Wikipedia — https://it.wikipedia.org/wiki/Invasione_turca_di_Cipro (https://it.wikipedia.org/wiki/Invasione_turca_di_Cipro)</w:t>
      </w:r>
    </w:p>
    <w:p>
      <w:pPr>
        <w:spacing w:after="120" w:line="276"/>
        <w:jc w:val="both"/>
      </w:pPr>
      <w:r>
        <w:rPr>
          <w:rFonts w:ascii="Barlow Semi Condensed" w:cs="Barlow Semi Condensed" w:eastAsia="Barlow Semi Condensed" w:hAnsi="Barlow Semi Condensed"/>
          <w:b/>
          <w:bCs/>
          <w:sz w:val="24"/>
          <w:szCs w:val="24"/>
        </w:rPr>
        <w:t xml:space="preserve">595.</w:t>
      </w:r>
      <w:r>
        <w:rPr>
          <w:rFonts w:ascii="Barlow Semi Condensed" w:cs="Barlow Semi Condensed" w:eastAsia="Barlow Semi Condensed" w:hAnsi="Barlow Semi Condensed"/>
          <w:sz w:val="24"/>
          <w:szCs w:val="24"/>
        </w:rPr>
        <w:t xml:space="preserve"> Unipd-centrodirittiumani — https://unipd-centrodirittiumani.it/it/archivi/strumenti-internazionali/trattato-di-non-proliferazione-nucleare-1968 (https://unipd-centrodirittiumani.it/it/archivi/strumenti-internazionali/trattato-di-non-proliferazione-nucleare-1968)</w:t>
      </w:r>
    </w:p>
    <w:p>
      <w:pPr>
        <w:spacing w:after="120" w:line="276"/>
        <w:jc w:val="both"/>
      </w:pPr>
      <w:r>
        <w:rPr>
          <w:rFonts w:ascii="Barlow Semi Condensed" w:cs="Barlow Semi Condensed" w:eastAsia="Barlow Semi Condensed" w:hAnsi="Barlow Semi Condensed"/>
          <w:b/>
          <w:bCs/>
          <w:sz w:val="24"/>
          <w:szCs w:val="24"/>
        </w:rPr>
        <w:t xml:space="preserve">596.</w:t>
      </w:r>
      <w:r>
        <w:rPr>
          <w:rFonts w:ascii="Barlow Semi Condensed" w:cs="Barlow Semi Condensed" w:eastAsia="Barlow Semi Condensed" w:hAnsi="Barlow Semi Condensed"/>
          <w:sz w:val="24"/>
          <w:szCs w:val="24"/>
        </w:rPr>
        <w:t xml:space="preserve"> Spazio70 — https://spazio70.com/pre-anni-70/il-pre-sessantotto/latomica-infranta-la-breve-parabola-del-nucleare-militare-italiano/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b/>
          <w:bCs/>
          <w:sz w:val="24"/>
          <w:szCs w:val="24"/>
        </w:rPr>
        <w:t xml:space="preserve">597.</w:t>
      </w:r>
      <w:r>
        <w:rPr>
          <w:rFonts w:ascii="Barlow Semi Condensed" w:cs="Barlow Semi Condensed" w:eastAsia="Barlow Semi Condensed" w:hAnsi="Barlow Semi Condensed"/>
          <w:sz w:val="24"/>
          <w:szCs w:val="24"/>
        </w:rPr>
        <w:t xml:space="preserve"> Wikipedia — https://it.wikipedia.org/wiki/Programma_nucleare_militare_italiano (https://it.wikipedia.org/wiki/Programma_nucleare_militare_italiano)</w:t>
      </w:r>
    </w:p>
    <w:p>
      <w:pPr>
        <w:spacing w:after="120" w:line="276"/>
        <w:jc w:val="both"/>
      </w:pPr>
      <w:r>
        <w:rPr>
          <w:rFonts w:ascii="Barlow Semi Condensed" w:cs="Barlow Semi Condensed" w:eastAsia="Barlow Semi Condensed" w:hAnsi="Barlow Semi Condensed"/>
          <w:b/>
          <w:bCs/>
          <w:sz w:val="24"/>
          <w:szCs w:val="24"/>
        </w:rPr>
        <w:t xml:space="preserve">598.</w:t>
      </w:r>
      <w:r>
        <w:rPr>
          <w:rFonts w:ascii="Barlow Semi Condensed" w:cs="Barlow Semi Condensed" w:eastAsia="Barlow Semi Condensed" w:hAnsi="Barlow Semi Condensed"/>
          <w:sz w:val="24"/>
          <w:szCs w:val="24"/>
        </w:rPr>
        <w:t xml:space="preserve"> Radio Cina Internazionale — https://italian.cri.cn/mychina/notizie/3210/20201106/573336.html (https://italian.cri.cn/mychina/notizie/3210/20201106/573336.html)</w:t>
      </w:r>
    </w:p>
    <w:p>
      <w:pPr>
        <w:spacing w:after="120" w:line="276"/>
        <w:jc w:val="both"/>
      </w:pPr>
      <w:r>
        <w:rPr>
          <w:rFonts w:ascii="Barlow Semi Condensed" w:cs="Barlow Semi Condensed" w:eastAsia="Barlow Semi Condensed" w:hAnsi="Barlow Semi Condensed"/>
          <w:b/>
          <w:bCs/>
          <w:sz w:val="24"/>
          <w:szCs w:val="24"/>
        </w:rPr>
        <w:t xml:space="preserve">599.</w:t>
      </w:r>
      <w:r>
        <w:rPr>
          <w:rFonts w:ascii="Barlow Semi Condensed" w:cs="Barlow Semi Condensed" w:eastAsia="Barlow Semi Condensed" w:hAnsi="Barlow Semi Condensed"/>
          <w:sz w:val="24"/>
          <w:szCs w:val="24"/>
        </w:rPr>
        <w:t xml:space="preserve"> Rubbettino editore — https://www.store.rubbettinoeditore.it/catalogo/la-normalizzazione-delle-relazioni-diplomatiche-tra-la-repubblica-italiana-e-la-repubblica-popolare-cinese/ (https://www.store.rubbettinoeditore.it/catalogo/la-normalizzazione-delle-relazioni-diplomatiche-tra-la-repubblica-italiana-e-la-repubblica-popolare-cinese/)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600.</w:t>
      </w:r>
      <w:r>
        <w:rPr>
          <w:rFonts w:ascii="Barlow Semi Condensed" w:cs="Barlow Semi Condensed" w:eastAsia="Barlow Semi Condensed" w:hAnsi="Barlow Semi Condensed"/>
          <w:sz w:val="24"/>
          <w:szCs w:val="24"/>
        </w:rPr>
        <w:t xml:space="preserve"> University of Milan — https://air.unimi.it/handle/2434/16750 (https://air.unimi.it/handle/2434/16750)</w:t>
      </w:r>
    </w:p>
    <w:p>
      <w:pPr>
        <w:spacing w:after="120" w:line="276"/>
        <w:jc w:val="both"/>
      </w:pPr>
      <w:r>
        <w:rPr>
          <w:rFonts w:ascii="Barlow Semi Condensed" w:cs="Barlow Semi Condensed" w:eastAsia="Barlow Semi Condensed" w:hAnsi="Barlow Semi Condensed"/>
          <w:b/>
          <w:bCs/>
          <w:sz w:val="24"/>
          <w:szCs w:val="24"/>
        </w:rPr>
        <w:t xml:space="preserve">601.</w:t>
      </w:r>
      <w:r>
        <w:rPr>
          <w:rFonts w:ascii="Barlow Semi Condensed" w:cs="Barlow Semi Condensed" w:eastAsia="Barlow Semi Condensed" w:hAnsi="Barlow Semi Condensed"/>
          <w:sz w:val="24"/>
          <w:szCs w:val="24"/>
        </w:rPr>
        <w:t xml:space="preserve"> Uniurb — https://ora.uniurb.it/handle/11576/1890940 (https://ora.uniurb.it/handle/11576/1890940)</w:t>
      </w:r>
    </w:p>
    <w:p>
      <w:pPr>
        <w:spacing w:after="120" w:line="276"/>
        <w:jc w:val="both"/>
      </w:pPr>
      <w:r>
        <w:rPr>
          <w:rFonts w:ascii="Barlow Semi Condensed" w:cs="Barlow Semi Condensed" w:eastAsia="Barlow Semi Condensed" w:hAnsi="Barlow Semi Condensed"/>
          <w:b/>
          <w:bCs/>
          <w:sz w:val="24"/>
          <w:szCs w:val="24"/>
        </w:rPr>
        <w:t xml:space="preserve">602.</w:t>
      </w:r>
      <w:r>
        <w:rPr>
          <w:rFonts w:ascii="Barlow Semi Condensed" w:cs="Barlow Semi Condensed" w:eastAsia="Barlow Semi Condensed" w:hAnsi="Barlow Semi Condensed"/>
          <w:sz w:val="24"/>
          <w:szCs w:val="24"/>
        </w:rPr>
        <w:t xml:space="preserve"> LuissThesis — https://tesi.luiss.it/40220/1/102822_DE%20MARTINO_TOMMASO.pdf (https://tesi.luiss.it/40220/1/102822_DE%20MARTINO_TOMMASO.pdf)</w:t>
      </w:r>
    </w:p>
    <w:p>
      <w:pPr>
        <w:spacing w:after="120" w:line="276"/>
        <w:jc w:val="both"/>
      </w:pPr>
      <w:r>
        <w:rPr>
          <w:rFonts w:ascii="Barlow Semi Condensed" w:cs="Barlow Semi Condensed" w:eastAsia="Barlow Semi Condensed" w:hAnsi="Barlow Semi Condensed"/>
          <w:b/>
          <w:bCs/>
          <w:sz w:val="24"/>
          <w:szCs w:val="24"/>
        </w:rPr>
        <w:t xml:space="preserve">603.</w:t>
      </w:r>
      <w:r>
        <w:rPr>
          <w:rFonts w:ascii="Barlow Semi Condensed" w:cs="Barlow Semi Condensed" w:eastAsia="Barlow Semi Condensed" w:hAnsi="Barlow Semi Condensed"/>
          <w:sz w:val="24"/>
          <w:szCs w:val="24"/>
        </w:rPr>
        <w:t xml:space="preserve"> Aldomoro — http://www.aldomoro.eu/scritti.php (http://www.aldomoro.eu/scritti.php)</w:t>
      </w:r>
    </w:p>
    <w:p>
      <w:pPr>
        <w:spacing w:after="120" w:line="276"/>
        <w:jc w:val="both"/>
      </w:pPr>
      <w:r>
        <w:rPr>
          <w:rFonts w:ascii="Barlow Semi Condensed" w:cs="Barlow Semi Condensed" w:eastAsia="Barlow Semi Condensed" w:hAnsi="Barlow Semi Condensed"/>
          <w:b/>
          <w:bCs/>
          <w:sz w:val="24"/>
          <w:szCs w:val="24"/>
        </w:rPr>
        <w:t xml:space="preserve">604.</w:t>
      </w:r>
      <w:r>
        <w:rPr>
          <w:rFonts w:ascii="Barlow Semi Condensed" w:cs="Barlow Semi Condensed" w:eastAsia="Barlow Semi Condensed" w:hAnsi="Barlow Semi Condensed"/>
          <w:sz w:val="24"/>
          <w:szCs w:val="24"/>
        </w:rPr>
        <w:t xml:space="preserve"> Radio Radicale — https://www.radioradicale.it/scheda/82006/dalla-costituente-allunita-nazionale-gli-scritti-parlamentari-di-aldo-moro (https://www.radioradicale.it/scheda/82006/dalla-costituente-allunita-nazionale-gli-scritti-parlamentari-di-aldo-moro)</w:t>
      </w:r>
    </w:p>
    <w:p>
      <w:pPr>
        <w:spacing w:after="120" w:line="276"/>
        <w:jc w:val="both"/>
      </w:pPr>
      <w:r>
        <w:rPr>
          <w:rFonts w:ascii="Barlow Semi Condensed" w:cs="Barlow Semi Condensed" w:eastAsia="Barlow Semi Condensed" w:hAnsi="Barlow Semi Condensed"/>
          <w:b/>
          <w:bCs/>
          <w:sz w:val="24"/>
          <w:szCs w:val="24"/>
        </w:rPr>
        <w:t xml:space="preserve">605.</w:t>
      </w:r>
      <w:r>
        <w:rPr>
          <w:rFonts w:ascii="Barlow Semi Condensed" w:cs="Barlow Semi Condensed" w:eastAsia="Barlow Semi Condensed" w:hAnsi="Barlow Semi Condensed"/>
          <w:sz w:val="24"/>
          <w:szCs w:val="24"/>
        </w:rPr>
        <w:t xml:space="preserve"> Uniba — https://ojs.cimedoc.uniba.it/index.php/law/article/download/1152/966 (https://ojs.cimedoc.uniba.it/index.php/law/article/download/1152/966)</w:t>
      </w:r>
    </w:p>
    <w:p>
      <w:pPr>
        <w:spacing w:after="120" w:line="276"/>
        <w:jc w:val="both"/>
      </w:pPr>
      <w:r>
        <w:rPr>
          <w:rFonts w:ascii="Barlow Semi Condensed" w:cs="Barlow Semi Condensed" w:eastAsia="Barlow Semi Condensed" w:hAnsi="Barlow Semi Condensed"/>
          <w:b/>
          <w:bCs/>
          <w:sz w:val="24"/>
          <w:szCs w:val="24"/>
        </w:rPr>
        <w:t xml:space="preserve">606.</w:t>
      </w:r>
      <w:r>
        <w:rPr>
          <w:rFonts w:ascii="Barlow Semi Condensed" w:cs="Barlow Semi Condensed" w:eastAsia="Barlow Semi Condensed" w:hAnsi="Barlow Semi Condensed"/>
          <w:sz w:val="24"/>
          <w:szCs w:val="24"/>
        </w:rPr>
        <w:t xml:space="preserve"> Academia.edu — https://www.academia.edu/40539138/Fra_diplomazia_e_petrolio_Aldo_Moro_e_la_politica_italiana_in_Medio_Oriente (https://www.academia.edu/40539138/Fra_diplomazia_e_petrolio_Aldo_Moro_e_la_politica_italiana_in_Medio_Oriente)</w:t>
      </w:r>
    </w:p>
    <w:p>
      <w:pPr>
        <w:spacing w:after="120" w:line="276"/>
        <w:jc w:val="both"/>
      </w:pPr>
      <w:r>
        <w:rPr>
          <w:rFonts w:ascii="Barlow Semi Condensed" w:cs="Barlow Semi Condensed" w:eastAsia="Barlow Semi Condensed" w:hAnsi="Barlow Semi Condensed"/>
          <w:b/>
          <w:bCs/>
          <w:sz w:val="24"/>
          <w:szCs w:val="24"/>
        </w:rPr>
        <w:t xml:space="preserve">607.</w:t>
      </w:r>
      <w:r>
        <w:rPr>
          <w:rFonts w:ascii="Barlow Semi Condensed" w:cs="Barlow Semi Condensed" w:eastAsia="Barlow Semi Condensed" w:hAnsi="Barlow Semi Condensed"/>
          <w:sz w:val="24"/>
          <w:szCs w:val="24"/>
        </w:rPr>
        <w:t xml:space="preserve"> cia — https://www.cia.gov/readingroom/print/1921790 (https://www.cia.gov/readingroom/print/1921790)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608.</w:t>
      </w:r>
      <w:r>
        <w:rPr>
          <w:rFonts w:ascii="Barlow Semi Condensed" w:cs="Barlow Semi Condensed" w:eastAsia="Barlow Semi Condensed" w:hAnsi="Barlow Semi Condensed"/>
          <w:sz w:val="24"/>
          <w:szCs w:val="24"/>
        </w:rPr>
        <w:t xml:space="preserve"> Wikipedia — https://es.wikipedia.org/wiki/Segundo_franquismo (https://es.wikipedia.org/wiki/Segundo_franquismo)</w:t>
      </w:r>
    </w:p>
    <w:p>
      <w:pPr>
        <w:spacing w:after="120" w:line="276"/>
        <w:jc w:val="both"/>
      </w:pPr>
      <w:r>
        <w:rPr>
          <w:rFonts w:ascii="Barlow Semi Condensed" w:cs="Barlow Semi Condensed" w:eastAsia="Barlow Semi Condensed" w:hAnsi="Barlow Semi Condensed"/>
          <w:b/>
          <w:bCs/>
          <w:sz w:val="24"/>
          <w:szCs w:val="24"/>
        </w:rPr>
        <w:t xml:space="preserve">609.</w:t>
      </w:r>
      <w:r>
        <w:rPr>
          <w:rFonts w:ascii="Barlow Semi Condensed" w:cs="Barlow Semi Condensed" w:eastAsia="Barlow Semi Condensed" w:hAnsi="Barlow Semi Condensed"/>
          <w:sz w:val="24"/>
          <w:szCs w:val="24"/>
        </w:rPr>
        <w:t xml:space="preserve"> Opus Dei — https://opusdei.org/es-es/article/2-sobre-la-existencia-de-un-grupo-de-ministros-denominados-tecnocratas-y-su-identificacion-con-el-opus-dei/ (https://opusdei.org/es-es/article/2-sobre-la-existencia-de-un-grupo-de-ministros-denominados-tecnocratas-y-su-identificacion-con-el-opus-dei/)</w:t>
      </w:r>
    </w:p>
    <w:p>
      <w:pPr>
        <w:spacing w:after="120" w:line="276"/>
        <w:jc w:val="both"/>
      </w:pPr>
      <w:r>
        <w:rPr>
          <w:rFonts w:ascii="Barlow Semi Condensed" w:cs="Barlow Semi Condensed" w:eastAsia="Barlow Semi Condensed" w:hAnsi="Barlow Semi Condensed"/>
          <w:b/>
          <w:bCs/>
          <w:sz w:val="24"/>
          <w:szCs w:val="24"/>
        </w:rPr>
        <w:t xml:space="preserve">610.</w:t>
      </w:r>
      <w:r>
        <w:rPr>
          <w:rFonts w:ascii="Barlow Semi Condensed" w:cs="Barlow Semi Condensed" w:eastAsia="Barlow Semi Condensed" w:hAnsi="Barlow Semi Condensed"/>
          <w:sz w:val="24"/>
          <w:szCs w:val="24"/>
        </w:rPr>
        <w:t xml:space="preserve"> CEPC — https://www.cepc.gob.es/sites/default/files/2022-06/365127-carlos-barrera.pdf (https://www.cepc.gob.es/sites/default/files/2022-06/365127-carlos-barrera.pdf)</w:t>
      </w:r>
    </w:p>
    <w:p>
      <w:pPr>
        <w:spacing w:after="120" w:line="276"/>
        <w:jc w:val="both"/>
      </w:pPr>
      <w:r>
        <w:rPr>
          <w:rFonts w:ascii="Barlow Semi Condensed" w:cs="Barlow Semi Condensed" w:eastAsia="Barlow Semi Condensed" w:hAnsi="Barlow Semi Condensed"/>
          <w:b/>
          <w:bCs/>
          <w:sz w:val="24"/>
          <w:szCs w:val="24"/>
        </w:rPr>
        <w:t xml:space="preserve">611.</w:t>
      </w:r>
      <w:r>
        <w:rPr>
          <w:rFonts w:ascii="Barlow Semi Condensed" w:cs="Barlow Semi Condensed" w:eastAsia="Barlow Semi Condensed" w:hAnsi="Barlow Semi Condensed"/>
          <w:sz w:val="24"/>
          <w:szCs w:val="24"/>
        </w:rPr>
        <w:t xml:space="preserve"> cambridge — https://cambridge.org/core/journals/government-and-opposition/article/political-ideas-of-the-opus-dei-in-spain/DC7BF5C84A19EE970C79D3C0C4D98505 (https://cambridge.org/core/journals/government-and-opposition/article/political-ideas-of-the-opus-dei-in-spain/DC7BF5C84A19EE970C79D3C0C4D98505)</w:t>
      </w:r>
    </w:p>
    <w:p>
      <w:pPr>
        <w:spacing w:after="120" w:line="276"/>
        <w:jc w:val="both"/>
      </w:pPr>
      <w:r>
        <w:rPr>
          <w:rFonts w:ascii="Barlow Semi Condensed" w:cs="Barlow Semi Condensed" w:eastAsia="Barlow Semi Condensed" w:hAnsi="Barlow Semi Condensed"/>
          <w:b/>
          <w:bCs/>
          <w:sz w:val="24"/>
          <w:szCs w:val="24"/>
        </w:rPr>
        <w:t xml:space="preserve">612.</w:t>
      </w:r>
      <w:r>
        <w:rPr>
          <w:rFonts w:ascii="Barlow Semi Condensed" w:cs="Barlow Semi Condensed" w:eastAsia="Barlow Semi Condensed" w:hAnsi="Barlow Semi Condensed"/>
          <w:sz w:val="24"/>
          <w:szCs w:val="24"/>
        </w:rPr>
        <w:t xml:space="preserve"> Opus Dei — https://opusdei.org/it-it/article/opus-dei-trenta-anni-di-prelatura-personale/ (https://opusdei.org/it-it/article/opus-dei-trenta-anni-di-prelatura-personale/)</w:t>
      </w:r>
    </w:p>
    <w:p>
      <w:pPr>
        <w:spacing w:after="120" w:line="276"/>
        <w:jc w:val="both"/>
      </w:pPr>
      <w:r>
        <w:rPr>
          <w:rFonts w:ascii="Barlow Semi Condensed" w:cs="Barlow Semi Condensed" w:eastAsia="Barlow Semi Condensed" w:hAnsi="Barlow Semi Condensed"/>
          <w:b/>
          <w:bCs/>
          <w:sz w:val="24"/>
          <w:szCs w:val="24"/>
        </w:rPr>
        <w:t xml:space="preserve">613.</w:t>
      </w:r>
      <w:r>
        <w:rPr>
          <w:rFonts w:ascii="Barlow Semi Condensed" w:cs="Barlow Semi Condensed" w:eastAsia="Barlow Semi Condensed" w:hAnsi="Barlow Semi Condensed"/>
          <w:sz w:val="24"/>
          <w:szCs w:val="24"/>
        </w:rPr>
        <w:t xml:space="preserve"> Storiadellachiesa — https://www.storiadellachiesa.it/glossary/prelatura-personale-e-la-chiesa-in-italia/ (https://www.storiadellachiesa.it/glossary/prelatura-personale-e-la-chiesa-in-italia/)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614.</w:t>
      </w:r>
      <w:r>
        <w:rPr>
          <w:rFonts w:ascii="Barlow Semi Condensed" w:cs="Barlow Semi Condensed" w:eastAsia="Barlow Semi Condensed" w:hAnsi="Barlow Semi Condensed"/>
          <w:sz w:val="24"/>
          <w:szCs w:val="24"/>
        </w:rPr>
        <w:t xml:space="preserve"> Wikipedia — https://en.wikipedia.org/wiki/Laureano_L%C3%B3pez_Rod%C3%B3 (https://en.wikipedia.org/wiki/Laureano_L%C3%B3pez_Rod%C3%B3)</w:t>
      </w:r>
    </w:p>
    <w:p>
      <w:pPr>
        <w:spacing w:after="120" w:line="276"/>
        <w:jc w:val="both"/>
      </w:pPr>
      <w:r>
        <w:rPr>
          <w:rFonts w:ascii="Barlow Semi Condensed" w:cs="Barlow Semi Condensed" w:eastAsia="Barlow Semi Condensed" w:hAnsi="Barlow Semi Condensed"/>
          <w:b/>
          <w:bCs/>
          <w:sz w:val="24"/>
          <w:szCs w:val="24"/>
        </w:rPr>
        <w:t xml:space="preserve">615.</w:t>
      </w:r>
      <w:r>
        <w:rPr>
          <w:rFonts w:ascii="Barlow Semi Condensed" w:cs="Barlow Semi Condensed" w:eastAsia="Barlow Semi Condensed" w:hAnsi="Barlow Semi Condensed"/>
          <w:sz w:val="24"/>
          <w:szCs w:val="24"/>
        </w:rPr>
        <w:t xml:space="preserve"> Wikipedia — https://es.wikipedia.org/wiki/Relaciones_OTAN-Espa%C3%B1a (https://es.wikipedia.org/wiki/Relaciones_OTAN-Espa%C3%B1a)</w:t>
      </w:r>
    </w:p>
    <w:p>
      <w:pPr>
        <w:spacing w:after="120" w:line="276"/>
        <w:jc w:val="both"/>
      </w:pPr>
      <w:r>
        <w:rPr>
          <w:rFonts w:ascii="Barlow Semi Condensed" w:cs="Barlow Semi Condensed" w:eastAsia="Barlow Semi Condensed" w:hAnsi="Barlow Semi Condensed"/>
          <w:b/>
          <w:bCs/>
          <w:sz w:val="24"/>
          <w:szCs w:val="24"/>
        </w:rPr>
        <w:t xml:space="preserve">616.</w:t>
      </w:r>
      <w:r>
        <w:rPr>
          <w:rFonts w:ascii="Barlow Semi Condensed" w:cs="Barlow Semi Condensed" w:eastAsia="Barlow Semi Condensed" w:hAnsi="Barlow Semi Condensed"/>
          <w:sz w:val="24"/>
          <w:szCs w:val="24"/>
        </w:rPr>
        <w:t xml:space="preserve"> L'Osservatore Romano — https://www.osservatoreromano.va/it/news/2023-02/quo-045/si-vis-pacem-para-pacem.html (https://www.osservatoreromano.va/it/news/2023-02/quo-045/si-vis-pacem-para-pacem.html)</w:t>
      </w:r>
    </w:p>
    <w:p>
      <w:pPr>
        <w:spacing w:after="120" w:line="276"/>
        <w:jc w:val="both"/>
      </w:pPr>
      <w:r>
        <w:rPr>
          <w:rFonts w:ascii="Barlow Semi Condensed" w:cs="Barlow Semi Condensed" w:eastAsia="Barlow Semi Condensed" w:hAnsi="Barlow Semi Condensed"/>
          <w:b/>
          <w:bCs/>
          <w:sz w:val="24"/>
          <w:szCs w:val="24"/>
        </w:rPr>
        <w:t xml:space="preserve">617.</w:t>
      </w:r>
      <w:r>
        <w:rPr>
          <w:rFonts w:ascii="Barlow Semi Condensed" w:cs="Barlow Semi Condensed" w:eastAsia="Barlow Semi Condensed" w:hAnsi="Barlow Semi Condensed"/>
          <w:sz w:val="24"/>
          <w:szCs w:val="24"/>
        </w:rPr>
        <w:t xml:space="preserve"> Treccani — https://www.treccani.it/enciclopedia/agostino-casaroli_%28Dizionario-Biografico%29/ (https://www.treccani.it/enciclopedia/agostino-casaroli_%28Dizionario-Biografico%29/)</w:t>
      </w:r>
    </w:p>
    <w:p>
      <w:pPr>
        <w:pStyle w:val="Heading3"/>
        <w:spacing w:after="80" w:before="160"/>
      </w:pPr>
      <w:r>
        <w:rPr>
          <w:rFonts w:ascii="Barlow Semi Condensed" w:cs="Barlow Semi Condensed" w:eastAsia="Barlow Semi Condensed" w:hAnsi="Barlow Semi Condensed"/>
          <w:sz w:val="24"/>
          <w:szCs w:val="24"/>
        </w:rPr>
        <w:t xml:space="preserve">Libro dodicesimo · XI — La triangolazione della seconda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618.</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619.</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620.</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621.</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622.</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623.</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624.</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625.</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dodicesimo · IV — Aldo Moro Alla Farnesina E L'Opus Dei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dodicesimo · V — Aldo Moro Alla Farnesina E Il Portogallo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 — Aldo Moro Alla Farnesina, Il Portogallo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VII — Aldo Moro Alla Farnesina, Il Portogallo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VIII — Aldo Moro Alla Farnesina, La Turchia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IX — Moro, Il Mediterraneo Orientale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 — Moro, Le Due Germanie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 — Moro, La Germania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XII — Strauss E Aginter Press</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XIII — I Sette Casi Extraeuropei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XIV — Aginter Press E Lo Stato Italiano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 — Il Silenzio Dello Stato: Azione O Archivio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 — L'Italia, L'Aermacchi E Il Sudafrica Dell'Apartheid</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XVII — Italia E Germania Sul Dossier Namibiano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XVIII — La Santa Sede, La Dc E Il Sudafrica Dell'Apartheid</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XIX — L'Italia Alle Nazioni Unite: Embargo, Apartheid, Namibia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 —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 — Secondo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XXII — Terzo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XXIII — Quarto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XXIV — Quinto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 — Sesto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 — Settimo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XXVII — Registro Delle Undici Ricognizioni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XXVIII — La triangolazione della terza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626.</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627.</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628.</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629.</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630.</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631.</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632.</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633.</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634.</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635.</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636.</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637.</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Libro tredicesimo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638.</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639.</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640.</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641.</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642.</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643.</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644.</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645.</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646.</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647.</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tredicesimo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648.</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649.</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650.</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651.</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652.</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653.</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654.</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655.</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656.</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657.</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658.</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659.</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660.</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661.</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662.</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663.</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664.</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665.</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666.</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667.</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668.</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669.</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670.</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671.</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tredicesimo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672.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spacing w:after="120" w:line="276"/>
        <w:jc w:val="both"/>
      </w:pPr>
      <w:r>
        <w:rPr>
          <w:rFonts w:ascii="Barlow Semi Condensed" w:cs="Barlow Semi Condensed" w:eastAsia="Barlow Semi Condensed" w:hAnsi="Barlow Semi Condensed"/>
          <w:b/>
          <w:bCs/>
          <w:sz w:val="24"/>
          <w:szCs w:val="24"/>
        </w:rPr>
        <w:t xml:space="preserve">674.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tredicesimo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682.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Libro tredicesimo · VII — Il codice e la sua trasmissione (4.999 blocchi)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quattordicesimo — Il meridiano e la valle (1.000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quindicesimo — Il Registro dei cinquantacinque giorni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III — Verifica di un elenco esterno</w:t>
      </w:r>
    </w:p>
    <w:p>
      <w:pPr>
        <w:spacing w:after="120" w:line="276"/>
        <w:jc w:val="both"/>
      </w:pPr>
      <w:r>
        <w:rPr>
          <w:rFonts w:ascii="Barlow Semi Condensed" w:cs="Barlow Semi Condensed" w:eastAsia="Barlow Semi Condensed" w:hAnsi="Barlow Semi Condensed"/>
          <w:b/>
          <w:bCs/>
          <w:sz w:val="24"/>
          <w:szCs w:val="24"/>
        </w:rPr>
        <w:t xml:space="preserve">683.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it.wikisource.org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Appendice IV.i — L'apparato di navigazione — La guida alla lettura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IV.ii — L'apparato di navigazione — L'indice dei documenti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IV.iii — Il dossier di invio — La mappa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IV.iv — Il dossier di invio — La scheda dell'opera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IV.v — Il dossier di invio — Il capitolo campione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IV.vi — Il dossier di invio — La mappa dei destinatari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IV.vii — Il dossier di invio — Il registro dei canali e delle PEC</w:t>
      </w:r>
    </w:p>
    <w:p>
      <w:pPr>
        <w:spacing w:after="120" w:line="276"/>
        <w:jc w:val="both"/>
      </w:pPr>
      <w:r>
        <w:rPr>
          <w:rFonts w:ascii="Barlow Semi Condensed" w:cs="Barlow Semi Condensed" w:eastAsia="Barlow Semi Condensed" w:hAnsi="Barlow Semi Condensed"/>
          <w:b/>
          <w:bCs/>
          <w:sz w:val="24"/>
          <w:szCs w:val="24"/>
        </w:rPr>
        <w:t xml:space="preserve">686.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687.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archivioantimafia.org/p2/commissione_parlamentare/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memoria.san.beniculturali.it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689.</w:t>
      </w:r>
      <w:r>
        <w:rPr>
          <w:rFonts w:ascii="Barlow Semi Condensed" w:cs="Barlow Semi Condensed" w:eastAsia="Barlow Semi Condensed" w:hAnsi="Barlow Semi Condensed"/>
          <w:sz w:val="24"/>
          <w:szCs w:val="24"/>
        </w:rPr>
        <w:t xml:space="preserve"> zenodo.org (https://zenodo.org)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manoscritti.bompiani.it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pStyle w:val="Heading3"/>
        <w:spacing w:after="80" w:before="160"/>
      </w:pPr>
      <w:r>
        <w:rPr>
          <w:rFonts w:ascii="Barlow Semi Condensed" w:cs="Barlow Semi Condensed" w:eastAsia="Barlow Semi Condensed" w:hAnsi="Barlow Semi Condensed"/>
          <w:sz w:val="24"/>
          <w:szCs w:val="24"/>
        </w:rPr>
        <w:t xml:space="preserve">Appendice IV.viii — Il dossier di invio — La checklist di invio</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IV.ix — Il dossier di invio — Il curriculum, modello da compilare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 — Il dossier di invio — Lettera alla Fondazione Aldo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 — Il dossier di invio — PEC all'Archivio Flamigni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IV.xii — Il dossier di invio — Relazione al Centro Flamigni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IV.xiii — Il dossier di invio — Proposta all'editrice Laterza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IV.xiv — Il dossier di invio — Proposte a il Mulino, Carocci, Einaudi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IV.xv — Il dossier di invio — Proposte a Chiarelettere e Bompiani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IV.xvi — Il dossier di invio — Il deposito Zenodo, foglio operativo</w:t>
      </w:r>
    </w:p>
    <w:p>
      <w:pPr>
        <w:spacing w:after="120" w:line="276"/>
        <w:jc w:val="both"/>
      </w:pPr>
      <w:r>
        <w:rPr>
          <w:rFonts w:ascii="Barlow Semi Condensed" w:cs="Barlow Semi Condensed" w:eastAsia="Barlow Semi Condensed" w:hAnsi="Barlow Semi Condensed"/>
          <w:b/>
          <w:bCs/>
          <w:sz w:val="24"/>
          <w:szCs w:val="24"/>
        </w:rPr>
        <w:t xml:space="preserve">691.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orcid.org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Appendice IV.xvii — Il dossier di invio — La richiesta all'Archivio storico della Camera</w:t>
      </w:r>
    </w:p>
    <w:p>
      <w:pPr>
        <w:spacing w:after="120" w:line="276"/>
        <w:jc w:val="both"/>
      </w:pPr>
      <w:r>
        <w:rPr>
          <w:rFonts w:ascii="Barlow Semi Condensed" w:cs="Barlow Semi Condensed" w:eastAsia="Barlow Semi Condensed" w:hAnsi="Barlow Semi Condensed"/>
          <w:b/>
          <w:bCs/>
          <w:sz w:val="24"/>
          <w:szCs w:val="24"/>
        </w:rPr>
        <w:t xml:space="preserve">692.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693.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archivioflamigni.org/doc/indice-atti-commissione-p2.pdf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1059 volte 694 indirizzi distinti su 361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(32)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(21) ·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(17)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(10) · </w:t>
      </w:r>
      <w:r>
        <w:rPr>
          <w:rFonts w:ascii="Barlow Semi Condensed" w:cs="Barlow Semi Condensed" w:eastAsia="Barlow Semi Condensed" w:hAnsi="Barlow Semi Condensed"/>
          <w:i/>
          <w:iCs/>
          <w:sz w:val="24"/>
          <w:szCs w:val="24"/>
        </w:rPr>
        <w:t xml:space="preserve">eur-lex.europa.eu</w:t>
      </w:r>
      <w:r>
        <w:rPr>
          <w:rFonts w:ascii="Barlow Semi Condensed" w:cs="Barlow Semi Condensed" w:eastAsia="Barlow Semi Condensed" w:hAnsi="Barlow Semi Condensed"/>
          <w:sz w:val="24"/>
          <w:szCs w:val="24"/>
        </w:rPr>
        <w:t xml:space="preserve"> (9) ·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parlamento.it</w:t>
      </w:r>
      <w:r>
        <w:rPr>
          <w:rFonts w:ascii="Barlow Semi Condensed" w:cs="Barlow Semi Condensed" w:eastAsia="Barlow Semi Condensed" w:hAnsi="Barlow Semi Condensed"/>
          <w:sz w:val="24"/>
          <w:szCs w:val="24"/>
        </w:rPr>
        <w:t xml:space="preserve"> (6).</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694.</w:t>
      </w:r>
    </w:p>
    <w:p>
      <w:pPr>
        <w:pStyle w:val="Heading3"/>
        <w:spacing w:after="80" w:before="240"/>
      </w:pPr>
      <w:r>
        <w:rPr>
          <w:rFonts w:ascii="Barlow Semi Condensed" w:cs="Barlow Semi Condensed" w:eastAsia="Barlow Semi Condensed" w:hAnsi="Barlow Semi Condensed"/>
          <w:sz w:val="24"/>
          <w:szCs w:val="24"/>
        </w:rPr>
        <w:t xml:space="preserve">Apparato grafico — Apparato conclusivo · Le note bibliografiche (dalla prima all'ultima)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694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694 indirizzi citati (1059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9065c15243c25e408fec782810f7afee2b4d484.png"/><Relationship Id="rId8" Type="http://schemas.openxmlformats.org/officeDocument/2006/relationships/image" Target="media/5cd170e5bdce6a61c3957c4a05085a6ba8d83421.png"/><Relationship Id="rId9" Type="http://schemas.openxmlformats.org/officeDocument/2006/relationships/image" Target="media/e8e51ad94fcc1f04f184eab060a09a6fbec719f2.png"/><Relationship Id="rId10" Type="http://schemas.openxmlformats.org/officeDocument/2006/relationships/image" Target="media/94500b7b005c264d98a725de7f2ecf5cefddf1e0.png"/><Relationship Id="rId11" Type="http://schemas.openxmlformats.org/officeDocument/2006/relationships/image" Target="media/8f935fde8873b92d387573cb82a5bb81c5aac96f.png"/><Relationship Id="rId12" Type="http://schemas.openxmlformats.org/officeDocument/2006/relationships/image" Target="media/d9f9a78a9abcf4786d4aac3eedc5ceb9241c050e.png"/><Relationship Id="rId13" Type="http://schemas.openxmlformats.org/officeDocument/2006/relationships/image" Target="media/344327cce970333bc5bca54768255277a366a535.png"/><Relationship Id="rId14" Type="http://schemas.openxmlformats.org/officeDocument/2006/relationships/image" Target="media/a7ac85d357cc7fe87bf854c2f6e0f1741e2efd12.png"/><Relationship Id="rId15" Type="http://schemas.openxmlformats.org/officeDocument/2006/relationships/image" Target="media/f4c26112a389b3649ac78b22432aa6399dad737a.png"/><Relationship Id="rId16" Type="http://schemas.openxmlformats.org/officeDocument/2006/relationships/image" Target="media/f65cbd814b3958052f077fda7b5a182f44d9c08d.png"/><Relationship Id="rId17" Type="http://schemas.openxmlformats.org/officeDocument/2006/relationships/image" Target="media/8f1dc3ac3e08b1a4e578bde55232976f2d6471d6.png"/><Relationship Id="rId18" Type="http://schemas.openxmlformats.org/officeDocument/2006/relationships/image" Target="media/4d7c030a6fc4f834b312fc19de6d3fa231b33b2a.png"/><Relationship Id="rId19" Type="http://schemas.openxmlformats.org/officeDocument/2006/relationships/image" Target="media/4665b53711f4b96e4784de2787658bbaa3b6f34d.png"/><Relationship Id="rId20" Type="http://schemas.openxmlformats.org/officeDocument/2006/relationships/image" Target="media/d82a414f5a6b9d00c7664d4372fb6cec879c9c2b.png"/><Relationship Id="rId21" Type="http://schemas.openxmlformats.org/officeDocument/2006/relationships/image" Target="media/80f6b56c2d597d89d62ec780005eb5776c730ff5.png"/><Relationship Id="rId22" Type="http://schemas.openxmlformats.org/officeDocument/2006/relationships/image" Target="media/b3e38ff40ec753988f5a4032adc64687cfcaf792.png"/><Relationship Id="rId23" Type="http://schemas.openxmlformats.org/officeDocument/2006/relationships/image" Target="media/598d81f9fa196d905d25cd29567de8a4e58cfb5d.png"/><Relationship Id="rId24" Type="http://schemas.openxmlformats.org/officeDocument/2006/relationships/image" Target="media/7f5a473a92160aaaa002ed62d691cc25effba64b.png"/><Relationship Id="rId25" Type="http://schemas.openxmlformats.org/officeDocument/2006/relationships/image" Target="media/0b2e707410985898b29d913cb401145b29e8ee2e.png"/><Relationship Id="rId26" Type="http://schemas.openxmlformats.org/officeDocument/2006/relationships/image" Target="media/edde4a01bbcf7626b3166773818f2d15f2b7ea56.png"/><Relationship Id="rId27" Type="http://schemas.openxmlformats.org/officeDocument/2006/relationships/image" Target="media/3be6d51c2425752cbb9e1a5c09d17d2715999652.png"/><Relationship Id="rId28" Type="http://schemas.openxmlformats.org/officeDocument/2006/relationships/image" Target="media/6308a4cfc2263088d81809d16d6649dbd4d99fd0.png"/><Relationship Id="rId29" Type="http://schemas.openxmlformats.org/officeDocument/2006/relationships/image" Target="media/9f751797fbe60d2713d0a784c900866334cac048.png"/><Relationship Id="rId30" Type="http://schemas.openxmlformats.org/officeDocument/2006/relationships/image" Target="media/5ef613a599d947f36424cb5b0bdd8f5879afeba0.png"/><Relationship Id="rId31" Type="http://schemas.openxmlformats.org/officeDocument/2006/relationships/image" Target="media/906ae2de65630c9cd75c85f3fce4e8e99ce76727.png"/><Relationship Id="rId32" Type="http://schemas.openxmlformats.org/officeDocument/2006/relationships/image" Target="media/971de7faddb35f02a660554eb8c32d8e53381c09.png"/><Relationship Id="rId33" Type="http://schemas.openxmlformats.org/officeDocument/2006/relationships/image" Target="media/1ac2a47ed53f64f42d3529422900dcb089642e98.png"/><Relationship Id="rId34" Type="http://schemas.openxmlformats.org/officeDocument/2006/relationships/image" Target="media/5027f39bca9aa9b29466a95d35a35c482de261ce.png"/><Relationship Id="rId35" Type="http://schemas.openxmlformats.org/officeDocument/2006/relationships/image" Target="media/71a79635a398fd514004d6c99e7494a824a076d6.png"/><Relationship Id="rId36" Type="http://schemas.openxmlformats.org/officeDocument/2006/relationships/image" Target="media/0e8e14607e4ee14aa6c2fbeac3e0c2f598381ffa.png"/><Relationship Id="rId37" Type="http://schemas.openxmlformats.org/officeDocument/2006/relationships/image" Target="media/d176cd69cc014b47a074ff6833c090188f1b351a.png"/><Relationship Id="rId38" Type="http://schemas.openxmlformats.org/officeDocument/2006/relationships/image" Target="media/1bcca827024fa59ec9bed7caea3efc5ff19dfeca.png"/><Relationship Id="rId39" Type="http://schemas.openxmlformats.org/officeDocument/2006/relationships/image" Target="media/f07c650ea9b1c57f8e97a212ae85f07fbcdae133.png"/><Relationship Id="rId40" Type="http://schemas.openxmlformats.org/officeDocument/2006/relationships/image" Target="media/4cf409cb93593844faad070dcc9a7b7c2e3e2023.png"/><Relationship Id="rId41" Type="http://schemas.openxmlformats.org/officeDocument/2006/relationships/image" Target="media/5788b3d86b982c0ca1c79cdb71fcdd6bc5232dc5.png"/><Relationship Id="rId42" Type="http://schemas.openxmlformats.org/officeDocument/2006/relationships/image" Target="media/87104f6a066eb0a7ec194e04dbf51e7198957582.png"/><Relationship Id="rId43" Type="http://schemas.openxmlformats.org/officeDocument/2006/relationships/image" Target="media/55b7679a22c76a27436b739f85b977a8242b6298.png"/><Relationship Id="rId44" Type="http://schemas.openxmlformats.org/officeDocument/2006/relationships/image" Target="media/7ad7d962c62ed851e369e7d217bb6427f211cbf1.png"/><Relationship Id="rId45" Type="http://schemas.openxmlformats.org/officeDocument/2006/relationships/image" Target="media/624ba6ec73b2d7b0d744101a8ff4a3ece38f322a.png"/><Relationship Id="rId46" Type="http://schemas.openxmlformats.org/officeDocument/2006/relationships/image" Target="media/f455bfd3bdf698928f45fc1f9fcf3fd61649cd14.png"/><Relationship Id="rId47" Type="http://schemas.openxmlformats.org/officeDocument/2006/relationships/image" Target="media/30e907307e92e559d873f03efd2d5ad189c98e3a.png"/><Relationship Id="rId48" Type="http://schemas.openxmlformats.org/officeDocument/2006/relationships/image" Target="media/92888b83e854250ece5b885727f212b2074ea8a6.png"/><Relationship Id="rId49" Type="http://schemas.openxmlformats.org/officeDocument/2006/relationships/image" Target="media/8687f16f0885efcc4edc4cdf9ed0296067285b1a.png"/><Relationship Id="rId50" Type="http://schemas.openxmlformats.org/officeDocument/2006/relationships/image" Target="media/198ec49c42fa79425d28114691c083e8224c206c.png"/><Relationship Id="rId51" Type="http://schemas.openxmlformats.org/officeDocument/2006/relationships/image" Target="media/86f24b2a31a57e0f2a415c2ff7d6d9c7cb15944b.png"/><Relationship Id="rId52" Type="http://schemas.openxmlformats.org/officeDocument/2006/relationships/image" Target="media/d61224587c9a7760d4b807eb6c23485ad7a8e612.png"/><Relationship Id="rId53" Type="http://schemas.openxmlformats.org/officeDocument/2006/relationships/image" Target="media/b3a810efce56ae989113664eb6c894645cce9ea1.png"/><Relationship Id="rId54" Type="http://schemas.openxmlformats.org/officeDocument/2006/relationships/image" Target="media/33c2a9e0188d87e3e19b9f399f02d0c8800b7197.png"/><Relationship Id="rId55" Type="http://schemas.openxmlformats.org/officeDocument/2006/relationships/image" Target="media/cff59bb99691c9bbd8bc72414eeead036000ff29.png"/><Relationship Id="rId56" Type="http://schemas.openxmlformats.org/officeDocument/2006/relationships/image" Target="media/48e6c35f8064f84710ea7c456e8e35e6caba2d83.png"/><Relationship Id="rId57" Type="http://schemas.openxmlformats.org/officeDocument/2006/relationships/image" Target="media/4e25f35624b7312cb43d2e5191a9111e724aa3d7.png"/><Relationship Id="rId58" Type="http://schemas.openxmlformats.org/officeDocument/2006/relationships/image" Target="media/23a6f290a086f9eec1678d127c796b2b3ebaa5a5.png"/><Relationship Id="rId59" Type="http://schemas.openxmlformats.org/officeDocument/2006/relationships/image" Target="media/2c5dc87b2b4777d6f80d52efe5a388d25fe34268.png"/><Relationship Id="rId60" Type="http://schemas.openxmlformats.org/officeDocument/2006/relationships/image" Target="media/5c0f27e3878301ab3434474b998c193ce108b4ea.png"/><Relationship Id="rId61" Type="http://schemas.openxmlformats.org/officeDocument/2006/relationships/image" Target="media/1c94e52fb3512a2b2e1a193c3b0268c959217e07.png"/><Relationship Id="rId62" Type="http://schemas.openxmlformats.org/officeDocument/2006/relationships/image" Target="media/3cd88d7c1e00ed825805458b70d4a676b1e713f2.png"/><Relationship Id="rId63" Type="http://schemas.openxmlformats.org/officeDocument/2006/relationships/image" Target="media/78f34c2cfafe2793fc9c21a2a8564b8bb8533f55.png"/><Relationship Id="rId64" Type="http://schemas.openxmlformats.org/officeDocument/2006/relationships/image" Target="media/261859a17352f42eae2cd36263c717998298ae53.png"/><Relationship Id="rId65" Type="http://schemas.openxmlformats.org/officeDocument/2006/relationships/image" Target="media/1905ab420c08bec8d516c08a48aa9dc9d127ec1b.png"/><Relationship Id="rId66" Type="http://schemas.openxmlformats.org/officeDocument/2006/relationships/image" Target="media/31ee31ba46fb20782555d8fbc3a0e410b5450b1c.png"/><Relationship Id="rId67" Type="http://schemas.openxmlformats.org/officeDocument/2006/relationships/image" Target="media/49c185e03cdbc298b30a0485eb69f17be65ecf56.png"/><Relationship Id="rId68" Type="http://schemas.openxmlformats.org/officeDocument/2006/relationships/image" Target="media/dd965c04f85dd487f71bb4b0220fbfa0df5de8fe.png"/><Relationship Id="rId69" Type="http://schemas.openxmlformats.org/officeDocument/2006/relationships/image" Target="media/3f38802898cc56ba7d670fe0440bc6493cce79cf.png"/><Relationship Id="rId70" Type="http://schemas.openxmlformats.org/officeDocument/2006/relationships/image" Target="media/8048081e6bfeacfb1df95c25de98e251a1c47e8d.png"/><Relationship Id="rId71" Type="http://schemas.openxmlformats.org/officeDocument/2006/relationships/image" Target="media/20f159cca944a35599b2786155d4064212d2a2b1.png"/><Relationship Id="rId72" Type="http://schemas.openxmlformats.org/officeDocument/2006/relationships/image" Target="media/877d6a8a670a806669a86da8669c08031cfde6ce.png"/><Relationship Id="rId73" Type="http://schemas.openxmlformats.org/officeDocument/2006/relationships/image" Target="media/31c5bd30e189b3fdfafd4874f7fda8d52f0a720c.png"/><Relationship Id="rId74" Type="http://schemas.openxmlformats.org/officeDocument/2006/relationships/image" Target="media/483516d14c768ca6e3c580a27b70453933167084.png"/><Relationship Id="rId75" Type="http://schemas.openxmlformats.org/officeDocument/2006/relationships/image" Target="media/58dbed0d197f3977b166e48f92084dd220031ed5.png"/><Relationship Id="rId76" Type="http://schemas.openxmlformats.org/officeDocument/2006/relationships/image" Target="media/f5627f48ed39a27c0aa002450878cafa548eb8e8.png"/><Relationship Id="rId77" Type="http://schemas.openxmlformats.org/officeDocument/2006/relationships/image" Target="media/def8a8dc2b9738ca43d8c83c05de30a6d6059533.png"/><Relationship Id="rId78" Type="http://schemas.openxmlformats.org/officeDocument/2006/relationships/image" Target="media/3533ce6f7eb35804b68e7452be615be87f93ee7b.png"/><Relationship Id="rId79" Type="http://schemas.openxmlformats.org/officeDocument/2006/relationships/image" Target="media/673d850d5ab83d48001b4c5b93f9204b833f61e6.png"/><Relationship Id="rId80" Type="http://schemas.openxmlformats.org/officeDocument/2006/relationships/image" Target="media/5c2451aef7af049e3c5e164f30941aa3febbbb12.png"/><Relationship Id="rId81" Type="http://schemas.openxmlformats.org/officeDocument/2006/relationships/image" Target="media/32ee8555d70a515e7aaabc6287c7589b6d917f7e.png"/><Relationship Id="rId82" Type="http://schemas.openxmlformats.org/officeDocument/2006/relationships/image" Target="media/db7d31cf770ba71e1f24042ddad18ff75d42d9ad.png"/><Relationship Id="rId83" Type="http://schemas.openxmlformats.org/officeDocument/2006/relationships/image" Target="media/1252dfa2f7c13db918467f03419e8f8d064a61e6.png"/><Relationship Id="rId84" Type="http://schemas.openxmlformats.org/officeDocument/2006/relationships/image" Target="media/175402fd38ff1fadbf95e7b36c601902ad87da61.png"/><Relationship Id="rId85" Type="http://schemas.openxmlformats.org/officeDocument/2006/relationships/image" Target="media/59ac39910edeb3b49c060dced5058843358f933f.png"/><Relationship Id="rId86" Type="http://schemas.openxmlformats.org/officeDocument/2006/relationships/image" Target="media/341c03a71f9f540d77632ae0230335e3502b2b4b.png"/><Relationship Id="rId87" Type="http://schemas.openxmlformats.org/officeDocument/2006/relationships/image" Target="media/07b8b6efed197ccfb9c3bef908f3666b7a234a23.png"/><Relationship Id="rId88" Type="http://schemas.openxmlformats.org/officeDocument/2006/relationships/image" Target="media/8ff3ec0586395ef1953f4fc062a1275dc6ba112e.png"/><Relationship Id="rId89" Type="http://schemas.openxmlformats.org/officeDocument/2006/relationships/image" Target="media/0bff2758213c757887157ebb26160062f2d42508.png"/><Relationship Id="rId90" Type="http://schemas.openxmlformats.org/officeDocument/2006/relationships/image" Target="media/5d415e27f8f437700adeaf748cad3908826c3b1d.png"/><Relationship Id="rId91" Type="http://schemas.openxmlformats.org/officeDocument/2006/relationships/image" Target="media/9ff1bde5fd282e43849ce724a2a51b6f250532e7.png"/><Relationship Id="rId92" Type="http://schemas.openxmlformats.org/officeDocument/2006/relationships/image" Target="media/1408297414e2c801a5ace04ab1700d3d4b41983f.png"/><Relationship Id="rId93" Type="http://schemas.openxmlformats.org/officeDocument/2006/relationships/image" Target="media/ae89eef86d33d911df2f0e808e72d57b5bacc798.png"/><Relationship Id="rId94" Type="http://schemas.openxmlformats.org/officeDocument/2006/relationships/image" Target="media/4161a658d8146f9fa4b7d7640a814472777adf00.png"/><Relationship Id="rId95" Type="http://schemas.openxmlformats.org/officeDocument/2006/relationships/image" Target="media/0095e9a460b744e33785451effbd4b3b0ba157fc.png"/><Relationship Id="rId96" Type="http://schemas.openxmlformats.org/officeDocument/2006/relationships/image" Target="media/8e33e4f7d88fe807d63d14bc2d8e048a5c021b83.png"/><Relationship Id="rId97" Type="http://schemas.openxmlformats.org/officeDocument/2006/relationships/image" Target="media/1ea69a5b484484ec4c2d158b32bb776a0c098da2.png"/><Relationship Id="rId98" Type="http://schemas.openxmlformats.org/officeDocument/2006/relationships/image" Target="media/cae607d9d136ade59dcfa20cac6c668a5662d9cd.png"/><Relationship Id="rId99" Type="http://schemas.openxmlformats.org/officeDocument/2006/relationships/image" Target="media/fe7cef990ef4b12411d05ba312d297cff9bd06ff.png"/><Relationship Id="rId100" Type="http://schemas.openxmlformats.org/officeDocument/2006/relationships/image" Target="media/c503844bb65f40de5ead44b59770d34182e8cf19.png"/><Relationship Id="rId101" Type="http://schemas.openxmlformats.org/officeDocument/2006/relationships/image" Target="media/77f105a33f10e9a84e9c800e906e37af697238a7.png"/><Relationship Id="rId102" Type="http://schemas.openxmlformats.org/officeDocument/2006/relationships/image" Target="media/bac3f94f451d39c73ceef6e91582063f331f254a.png"/><Relationship Id="rId103" Type="http://schemas.openxmlformats.org/officeDocument/2006/relationships/image" Target="media/e9fb11d528035a72040cbd2b0385ce85a58c84a6.png"/><Relationship Id="rId104" Type="http://schemas.openxmlformats.org/officeDocument/2006/relationships/image" Target="media/310e23b07cf7717e529c418a42dfdf2f79781df2.png"/><Relationship Id="rId105" Type="http://schemas.openxmlformats.org/officeDocument/2006/relationships/image" Target="media/7d1a813a0a376eb4fe006c29b59261d9f6514512.png"/><Relationship Id="rId106" Type="http://schemas.openxmlformats.org/officeDocument/2006/relationships/image" Target="media/14d0178ea35af990662d26aa203c9b0c0f787015.png"/><Relationship Id="rId107" Type="http://schemas.openxmlformats.org/officeDocument/2006/relationships/image" Target="media/3353c90f1d562cea63d15218cfe48cdc76b1cacf.png"/><Relationship Id="rId108" Type="http://schemas.openxmlformats.org/officeDocument/2006/relationships/image" Target="media/7b4a1b6a3693aa85e9c875944eeae149098f24da.png"/><Relationship Id="rId109" Type="http://schemas.openxmlformats.org/officeDocument/2006/relationships/image" Target="media/9ecff18fe888dfceefe9ce4ea03b8ea985352e03.png"/><Relationship Id="rId110" Type="http://schemas.openxmlformats.org/officeDocument/2006/relationships/image" Target="media/34ce7d43dc4cf276a25187bbe3b3bd667392147d.png"/><Relationship Id="rId111" Type="http://schemas.openxmlformats.org/officeDocument/2006/relationships/image" Target="media/48cf2f6d15b49c59c7ae832ada617cbdc4811b2e.png"/><Relationship Id="rId112" Type="http://schemas.openxmlformats.org/officeDocument/2006/relationships/image" Target="media/42b5f254583da760d153752bcdbccce03b4768cd.png"/><Relationship Id="rId113" Type="http://schemas.openxmlformats.org/officeDocument/2006/relationships/image" Target="media/455a40aa76af3a3b7b2220317e819e5746ace4b8.png"/><Relationship Id="rId114" Type="http://schemas.openxmlformats.org/officeDocument/2006/relationships/image" Target="media/8a647d4538ed75f30746978f3df322fac63a019c.png"/><Relationship Id="rId115" Type="http://schemas.openxmlformats.org/officeDocument/2006/relationships/image" Target="media/c3b501f6ea027da5ddc89a0e9c848be06bb933a3.png"/><Relationship Id="rId116" Type="http://schemas.openxmlformats.org/officeDocument/2006/relationships/image" Target="media/98ce40a7a1189aa172082949bcdc33ea86ecc797.png"/><Relationship Id="rId117" Type="http://schemas.openxmlformats.org/officeDocument/2006/relationships/image" Target="media/db155c30959e621ce024dd18d23630ff3d4e05d2.png"/><Relationship Id="rId118" Type="http://schemas.openxmlformats.org/officeDocument/2006/relationships/image" Target="media/142384c69b05a1ae8d125009d3d4755901f21bbe.png"/><Relationship Id="rId119" Type="http://schemas.openxmlformats.org/officeDocument/2006/relationships/image" Target="media/4b6ec73abe251a32444f996ce3b3d534d3c94bcb.png"/><Relationship Id="rId120" Type="http://schemas.openxmlformats.org/officeDocument/2006/relationships/image" Target="media/3639e6dd52015ce97affceff6844572f9d6d04a7.png"/><Relationship Id="rId121" Type="http://schemas.openxmlformats.org/officeDocument/2006/relationships/image" Target="media/e88199682b774f96f7efb2fe95e1c185fa5f57b3.png"/><Relationship Id="rId122" Type="http://schemas.openxmlformats.org/officeDocument/2006/relationships/image" Target="media/00f7913b4f2dd4fff454485954c966c466eecf2e.png"/><Relationship Id="rId123" Type="http://schemas.openxmlformats.org/officeDocument/2006/relationships/image" Target="media/d4dbc2747f34c9a92733696eb650d0e1eebfd6d1.png"/><Relationship Id="rId124" Type="http://schemas.openxmlformats.org/officeDocument/2006/relationships/image" Target="media/f468028a0318b2c8ed5ad5c28fcc721c825f5830.png"/><Relationship Id="rId125" Type="http://schemas.openxmlformats.org/officeDocument/2006/relationships/image" Target="media/fa67d4ea13d080c05b5bfb7307cef7699702d0a2.png"/><Relationship Id="rId126" Type="http://schemas.openxmlformats.org/officeDocument/2006/relationships/image" Target="media/801f1b78bc0600f600c41a7a0bb9357e5da88d21.png"/><Relationship Id="rId127" Type="http://schemas.openxmlformats.org/officeDocument/2006/relationships/image" Target="media/a286a4a09280e585513891120ceab83ceefb70e2.png"/><Relationship Id="rId128" Type="http://schemas.openxmlformats.org/officeDocument/2006/relationships/image" Target="media/ccc717ff6519df60576188221fb0f429df6f8ed8.png"/><Relationship Id="rId129" Type="http://schemas.openxmlformats.org/officeDocument/2006/relationships/image" Target="media/1f2acc59fe5bf895be0a1c44cd9a32264d3753b7.png"/><Relationship Id="rId130" Type="http://schemas.openxmlformats.org/officeDocument/2006/relationships/image" Target="media/0e75cf96745b87d7853a5c14cde34582e9663316.png"/><Relationship Id="rId131" Type="http://schemas.openxmlformats.org/officeDocument/2006/relationships/image" Target="media/2e1d764397720adb37b7550055a91a4fb71bb350.png"/><Relationship Id="rId132" Type="http://schemas.openxmlformats.org/officeDocument/2006/relationships/image" Target="media/cc06944cbb1e3477dea1a91424cf0104fb1b8415.png"/><Relationship Id="rId133" Type="http://schemas.openxmlformats.org/officeDocument/2006/relationships/image" Target="media/af4d8b4797afc4824142d4ddc2ced78c7bfb1d50.png"/><Relationship Id="rId134" Type="http://schemas.openxmlformats.org/officeDocument/2006/relationships/image" Target="media/7683f1cf95300efc2428eb3c6d3b1172b2257cb5.png"/><Relationship Id="rId135" Type="http://schemas.openxmlformats.org/officeDocument/2006/relationships/image" Target="media/f30f4e089234281e5988c689a030848250d9e2df.png"/><Relationship Id="rId136" Type="http://schemas.openxmlformats.org/officeDocument/2006/relationships/image" Target="media/f7cce7c67ea8657d5d27a062dec364269c4dd7e8.png"/><Relationship Id="rId137" Type="http://schemas.openxmlformats.org/officeDocument/2006/relationships/image" Target="media/90867bd694bc89213d8690425deb2c23d86fb8b1.png"/><Relationship Id="rId138" Type="http://schemas.openxmlformats.org/officeDocument/2006/relationships/image" Target="media/0e9e3a9ff91f6421dc4d95ce9a2e08b98eaa8402.png"/><Relationship Id="rId139" Type="http://schemas.openxmlformats.org/officeDocument/2006/relationships/image" Target="media/f9d640d390786bb8fb25c3fdebe4cd97adeb7dfa.png"/><Relationship Id="rId140" Type="http://schemas.openxmlformats.org/officeDocument/2006/relationships/image" Target="media/70fae5553be00898dfc00962b39b53213a621eef.png"/><Relationship Id="rId141" Type="http://schemas.openxmlformats.org/officeDocument/2006/relationships/image" Target="media/873783a0c7536d34423a6a1e963071d244cf59b1.png"/><Relationship Id="rId142" Type="http://schemas.openxmlformats.org/officeDocument/2006/relationships/image" Target="media/5c1261aac718c26b0287b12cb2fed86271b6ab19.png"/><Relationship Id="rId143" Type="http://schemas.openxmlformats.org/officeDocument/2006/relationships/image" Target="media/c25dd6008ec69de93fa2c9f5611760871ad7cd29.png"/><Relationship Id="rId144" Type="http://schemas.openxmlformats.org/officeDocument/2006/relationships/image" Target="media/6dd8173174637349f0673e849a4ffc072eb37c8b.png"/><Relationship Id="rId145" Type="http://schemas.openxmlformats.org/officeDocument/2006/relationships/image" Target="media/b1250dcbf5a5fbaf7c418f53b0cf81e53f1598bd.png"/><Relationship Id="rId146" Type="http://schemas.openxmlformats.org/officeDocument/2006/relationships/image" Target="media/c85e67f8a7bc01fb6307d5c2618b6fe0b433b323.png"/><Relationship Id="rId147" Type="http://schemas.openxmlformats.org/officeDocument/2006/relationships/image" Target="media/4f9f38c32970b1bcc5cc7862633eede60784e3ed.png"/><Relationship Id="rId148" Type="http://schemas.openxmlformats.org/officeDocument/2006/relationships/image" Target="media/f5942c7206b99c9d29ea87f1cb0450b666d81468.png"/><Relationship Id="rId149" Type="http://schemas.openxmlformats.org/officeDocument/2006/relationships/image" Target="media/4c293a0f98b73b1504b1ea9308ad358c75d5f0b0.png"/><Relationship Id="rId150" Type="http://schemas.openxmlformats.org/officeDocument/2006/relationships/image" Target="media/41c8a24a5ece9451a9646d0651eb8ef954264289.png"/><Relationship Id="rId151" Type="http://schemas.openxmlformats.org/officeDocument/2006/relationships/image" Target="media/a9323c688eaf45ac5b5e6cc30a0a7dc778908966.png"/><Relationship Id="rId152" Type="http://schemas.openxmlformats.org/officeDocument/2006/relationships/image" Target="media/301939eeb1bb1d6088f4b9b6e783b6ed610e18ca.png"/><Relationship Id="rId153" Type="http://schemas.openxmlformats.org/officeDocument/2006/relationships/image" Target="media/538e87d4bf5f95b3d857f471f9f8dd8b5a0873fe.png"/><Relationship Id="rId154" Type="http://schemas.openxmlformats.org/officeDocument/2006/relationships/image" Target="media/cb1febe89b9bc9416522a9f3dfa4b2aa582eaaca.png"/><Relationship Id="rId155" Type="http://schemas.openxmlformats.org/officeDocument/2006/relationships/image" Target="media/2571bb0e00206fc656411cd806dc3e05591cac25.png"/><Relationship Id="rId156" Type="http://schemas.openxmlformats.org/officeDocument/2006/relationships/image" Target="media/66f39e050276c49ea76d12a61aef505ce5784f3e.png"/><Relationship Id="rId157" Type="http://schemas.openxmlformats.org/officeDocument/2006/relationships/image" Target="media/025f07f67570222d950dd9de68139c1bb631596a.png"/><Relationship Id="rId158" Type="http://schemas.openxmlformats.org/officeDocument/2006/relationships/image" Target="media/ce589785b7a0e4804aa64d4ab731956c23f8b6a9.png"/><Relationship Id="rId159" Type="http://schemas.openxmlformats.org/officeDocument/2006/relationships/image" Target="media/5a5d46df838e9c1230ff2367ae956e271a530f3f.png"/><Relationship Id="rId160" Type="http://schemas.openxmlformats.org/officeDocument/2006/relationships/image" Target="media/994c56861207920d253a4554c2ccc2361af5349b.png"/><Relationship Id="rId161" Type="http://schemas.openxmlformats.org/officeDocument/2006/relationships/image" Target="media/827ec2d43f2d87fbb7906a974cbe0387469b339f.png"/><Relationship Id="rId162" Type="http://schemas.openxmlformats.org/officeDocument/2006/relationships/image" Target="media/bec95813d797c868b122aca09a28bcf28b6e03ce.png"/><Relationship Id="rId163" Type="http://schemas.openxmlformats.org/officeDocument/2006/relationships/image" Target="media/50419b64c7f8faa1cd403db89af57c1a77ee5315.png"/><Relationship Id="rId164" Type="http://schemas.openxmlformats.org/officeDocument/2006/relationships/image" Target="media/3a3c4b0a1ddd6cec9d841a6729c7b668b8a4e365.png"/><Relationship Id="rId165" Type="http://schemas.openxmlformats.org/officeDocument/2006/relationships/image" Target="media/cc9f3883d360588b63c2bfe2b7352471d7cfc41e.png"/><Relationship Id="rId166" Type="http://schemas.openxmlformats.org/officeDocument/2006/relationships/image" Target="media/77676302c0f0a33df4836bcb08dbcf88c5d32bac.png"/><Relationship Id="rId167" Type="http://schemas.openxmlformats.org/officeDocument/2006/relationships/image" Target="media/0de1f656531f40cb2331bcb4dbc13daf5ee4ba46.png"/><Relationship Id="rId168" Type="http://schemas.openxmlformats.org/officeDocument/2006/relationships/image" Target="media/0d662386d4237f5da5c223bc82fe4083b4841413.png"/><Relationship Id="rId169" Type="http://schemas.openxmlformats.org/officeDocument/2006/relationships/image" Target="media/3864fce117d1d9f6371a8bd3e7ab816e74486e5a.png"/><Relationship Id="rId170" Type="http://schemas.openxmlformats.org/officeDocument/2006/relationships/image" Target="media/3c1f1116d327deb8de58009d56141b3eac693463.png"/><Relationship Id="rId171" Type="http://schemas.openxmlformats.org/officeDocument/2006/relationships/image" Target="media/5e5393b78af51b946e5b82142d6afafbe3ee99b5.png"/><Relationship Id="rId172" Type="http://schemas.openxmlformats.org/officeDocument/2006/relationships/image" Target="media/2873713ac71ce52cf6ef174f122369725b7de0dd.png"/><Relationship Id="rId173" Type="http://schemas.openxmlformats.org/officeDocument/2006/relationships/image" Target="media/1ce89faf5f3ae82267cb19a9d926cd506f1addb6.png"/><Relationship Id="rId174" Type="http://schemas.openxmlformats.org/officeDocument/2006/relationships/image" Target="media/7a19ee96822890c5a3b5516e82d7878d03431b51.png"/><Relationship Id="rId175" Type="http://schemas.openxmlformats.org/officeDocument/2006/relationships/image" Target="media/a5c77e3b4a3952226b126af72f5997d19710d340.png"/><Relationship Id="rId176" Type="http://schemas.openxmlformats.org/officeDocument/2006/relationships/image" Target="media/d254755df85f870b1994969cb89b4c5b00267f24.png"/><Relationship Id="rId177" Type="http://schemas.openxmlformats.org/officeDocument/2006/relationships/image" Target="media/3843eb0b5d56b81298f9aaed5280649b269a027c.png"/><Relationship Id="rId178" Type="http://schemas.openxmlformats.org/officeDocument/2006/relationships/image" Target="media/74437c9bed9f1900c53804e39ed746782e5a83ac.png"/><Relationship Id="rId179" Type="http://schemas.openxmlformats.org/officeDocument/2006/relationships/image" Target="media/990e3cbc57117a4eb049eb3794d37b0eba98c055.png"/><Relationship Id="rId180" Type="http://schemas.openxmlformats.org/officeDocument/2006/relationships/image" Target="media/c60522c61d9ab959044959310c4ff7b56afe921c.png"/><Relationship Id="rId181" Type="http://schemas.openxmlformats.org/officeDocument/2006/relationships/image" Target="media/af18ba269c4ab36608873747052adc60def94868.png"/><Relationship Id="rId182" Type="http://schemas.openxmlformats.org/officeDocument/2006/relationships/image" Target="media/1140ab365ff40e0ea5a3ebf37bab854f48d60060.png"/><Relationship Id="rId183" Type="http://schemas.openxmlformats.org/officeDocument/2006/relationships/image" Target="media/d3cefef20d6c71705de44762b4b74e38d9fd656d.png"/><Relationship Id="rId184" Type="http://schemas.openxmlformats.org/officeDocument/2006/relationships/image" Target="media/f109d0c8b7fd54065f8495d98501fc1bed2bd5b8.png"/><Relationship Id="rId185" Type="http://schemas.openxmlformats.org/officeDocument/2006/relationships/image" Target="media/917ab6c0d5bbbd594e7e362761a5e1b9eaa4b9c3.png"/><Relationship Id="rId186" Type="http://schemas.openxmlformats.org/officeDocument/2006/relationships/image" Target="media/f2f69eab0151ca119e660a6d02cf487cbe2ee10b.png"/><Relationship Id="rId187" Type="http://schemas.openxmlformats.org/officeDocument/2006/relationships/image" Target="media/e64675cc6be3a1df6077a174900ef9f6f86d28a5.png"/><Relationship Id="rId188" Type="http://schemas.openxmlformats.org/officeDocument/2006/relationships/image" Target="media/3383abd62fbb38ab68439988c5b6ad5cc9e45648.png"/><Relationship Id="rId189" Type="http://schemas.openxmlformats.org/officeDocument/2006/relationships/image" Target="media/5e88a0efaf006219dbbc6a7e7fbf04d7a51c9c55.png"/><Relationship Id="rId190" Type="http://schemas.openxmlformats.org/officeDocument/2006/relationships/image" Target="media/f0ed806f9254801fb5519108239b6c436dfd19b3.png"/><Relationship Id="rId191" Type="http://schemas.openxmlformats.org/officeDocument/2006/relationships/image" Target="media/7d16ee7cf653a6c2b6233d23cb5a16bbeddcf92b.png"/><Relationship Id="rId192" Type="http://schemas.openxmlformats.org/officeDocument/2006/relationships/image" Target="media/47d12278b5adc82e957add673b0c287626e7b790.png"/><Relationship Id="rId193" Type="http://schemas.openxmlformats.org/officeDocument/2006/relationships/image" Target="media/6fa20b3db9e73c6d605556937ded7f719f987493.png"/><Relationship Id="rId194" Type="http://schemas.openxmlformats.org/officeDocument/2006/relationships/image" Target="media/6431660fa67d604f4313749a62411f66650cf0ed.png"/><Relationship Id="rId195" Type="http://schemas.openxmlformats.org/officeDocument/2006/relationships/image" Target="media/9e6a6dd17c6c4b8142333dbc0339849aea449ce0.png"/><Relationship Id="rId196" Type="http://schemas.openxmlformats.org/officeDocument/2006/relationships/image" Target="media/4e14c970e4203c3978c5533e2bdb5049f0b18d3f.png"/><Relationship Id="rId197" Type="http://schemas.openxmlformats.org/officeDocument/2006/relationships/image" Target="media/6a01f47d4dbd1a87af66aa4a49c038b86c3e90b1.png"/><Relationship Id="rId198" Type="http://schemas.openxmlformats.org/officeDocument/2006/relationships/image" Target="media/f70b2a12d422ac5595cd601d6e310a2d1dc96754.png"/><Relationship Id="rId199" Type="http://schemas.openxmlformats.org/officeDocument/2006/relationships/image" Target="media/76a773e5d84e5e824fff02254af1527779f327ba.png"/><Relationship Id="rId200" Type="http://schemas.openxmlformats.org/officeDocument/2006/relationships/image" Target="media/48e5d20d1d875aca61ebcd828c7b68afca41fa48.png"/><Relationship Id="rId201" Type="http://schemas.openxmlformats.org/officeDocument/2006/relationships/image" Target="media/5d1c391d52db1b700bf45782b0d43f039c690507.png"/><Relationship Id="rId202" Type="http://schemas.openxmlformats.org/officeDocument/2006/relationships/image" Target="media/76a9ca72cf3986a6e3118218a83965ffe670b049.png"/><Relationship Id="rId203" Type="http://schemas.openxmlformats.org/officeDocument/2006/relationships/image" Target="media/9c31af68a5f8fae9cf9b901c0d21e223c5a6de83.png"/><Relationship Id="rId204" Type="http://schemas.openxmlformats.org/officeDocument/2006/relationships/image" Target="media/5e3c84139d521dcad48879cde2a830adc4bf4348.png"/><Relationship Id="rId205" Type="http://schemas.openxmlformats.org/officeDocument/2006/relationships/image" Target="media/94668e464af67e213eb345fa5f7b8a6852094cb1.png"/><Relationship Id="rId206" Type="http://schemas.openxmlformats.org/officeDocument/2006/relationships/image" Target="media/3f4e5c865b1865bd8a5402ab2383895f31e2edbf.png"/><Relationship Id="rId207" Type="http://schemas.openxmlformats.org/officeDocument/2006/relationships/image" Target="media/b07dd75b7ec8c9556d327b0fcf32bd90387e2f38.png"/><Relationship Id="rId208" Type="http://schemas.openxmlformats.org/officeDocument/2006/relationships/image" Target="media/2543455efea53597c30234fb114e1464d4d7a1ae.png"/><Relationship Id="rId209" Type="http://schemas.openxmlformats.org/officeDocument/2006/relationships/image" Target="media/741db6cdc43b0e18a4ad5dcc337dfb960b6aceef.png"/><Relationship Id="rId210" Type="http://schemas.openxmlformats.org/officeDocument/2006/relationships/image" Target="media/95d0bc5c44515688b27b8a80ab403623ded16131.png"/><Relationship Id="rId211" Type="http://schemas.openxmlformats.org/officeDocument/2006/relationships/image" Target="media/cbb9e1a792a37e7d9041c8a5299ecca2fb141c67.png"/><Relationship Id="rId212" Type="http://schemas.openxmlformats.org/officeDocument/2006/relationships/image" Target="media/1fe6ced926012aef7f4f39f05e6bd4e19b211216.png"/><Relationship Id="rId213" Type="http://schemas.openxmlformats.org/officeDocument/2006/relationships/image" Target="media/7c9e3583e066c44182b3146a960c044f2874df7d.png"/><Relationship Id="rId214" Type="http://schemas.openxmlformats.org/officeDocument/2006/relationships/image" Target="media/b17b4d92cc9e8b2775c8d07c6e07ba7fd3a4c580.png"/><Relationship Id="rId215" Type="http://schemas.openxmlformats.org/officeDocument/2006/relationships/image" Target="media/7ac2bb9a6317ede8176c9e37b0962be0cb025a46.png"/><Relationship Id="rId216" Type="http://schemas.openxmlformats.org/officeDocument/2006/relationships/image" Target="media/6c7e86d14b906e8fd5d33d5ba13837af8dacea1b.png"/><Relationship Id="rId217" Type="http://schemas.openxmlformats.org/officeDocument/2006/relationships/image" Target="media/0bde42845f5ab86a1173ae3ee85ff3208b0f9887.png"/><Relationship Id="rId218" Type="http://schemas.openxmlformats.org/officeDocument/2006/relationships/image" Target="media/600b594e4d4d1e00170ed4aa6b62a1b7d06a866f.png"/><Relationship Id="rId219" Type="http://schemas.openxmlformats.org/officeDocument/2006/relationships/image" Target="media/0f2984a4944a5e25b673d8a91ca1aafc3554f989.png"/><Relationship Id="rId220" Type="http://schemas.openxmlformats.org/officeDocument/2006/relationships/image" Target="media/e8cffa9395940a6d4b68eeaa937957ff807fde1f.png"/><Relationship Id="rId221" Type="http://schemas.openxmlformats.org/officeDocument/2006/relationships/image" Target="media/fb997ceaafc963cfb9e285e62c8b1dc3a274c1bc.png"/><Relationship Id="rId222" Type="http://schemas.openxmlformats.org/officeDocument/2006/relationships/image" Target="media/a1351802f1cb7ce8f358546dd467fafe6101c7a1.png"/><Relationship Id="rId223" Type="http://schemas.openxmlformats.org/officeDocument/2006/relationships/image" Target="media/ec56d48141f9d91456ae86d29cef55f99b20f26e.png"/><Relationship Id="rId224" Type="http://schemas.openxmlformats.org/officeDocument/2006/relationships/image" Target="media/bbee548bed5efcddbdacbc283a71a359f4a731e6.png"/><Relationship Id="rId225" Type="http://schemas.openxmlformats.org/officeDocument/2006/relationships/image" Target="media/41c9b6e9036630036b17c479b9f27790faaa9e0a.png"/><Relationship Id="rId226" Type="http://schemas.openxmlformats.org/officeDocument/2006/relationships/image" Target="media/17bbe5ce964025154ea78ba707680ce108b283f6.png"/><Relationship Id="rId227" Type="http://schemas.openxmlformats.org/officeDocument/2006/relationships/image" Target="media/99aad23e3eef4eba9178bc2cea01ade419338b05.png"/><Relationship Id="rId228" Type="http://schemas.openxmlformats.org/officeDocument/2006/relationships/image" Target="media/04286cbb8191a47dc32886c9688d35b6b148d124.png"/><Relationship Id="rId229" Type="http://schemas.openxmlformats.org/officeDocument/2006/relationships/image" Target="media/1b7b01b48c4995bb40f16d48e401a3c5a1b3d44c.png"/><Relationship Id="rId230" Type="http://schemas.openxmlformats.org/officeDocument/2006/relationships/image" Target="media/099c24cacd483e39878e6daf96c2aea6a996cf0c.png"/><Relationship Id="rId231" Type="http://schemas.openxmlformats.org/officeDocument/2006/relationships/image" Target="media/b55e8ace1ab9744d328f8f2f56bdc2fa5adac256.png"/><Relationship Id="rId232" Type="http://schemas.openxmlformats.org/officeDocument/2006/relationships/image" Target="media/16983408b436a495a6a334a9222179333ccbe475.png"/><Relationship Id="rId233" Type="http://schemas.openxmlformats.org/officeDocument/2006/relationships/image" Target="media/0c1806b0dd8b94f8a90b40d214d98032ba38cf7c.png"/><Relationship Id="rId234" Type="http://schemas.openxmlformats.org/officeDocument/2006/relationships/image" Target="media/4890bff05f7fc248eb101da1bc3f1a6a53760183.png"/><Relationship Id="rId235" Type="http://schemas.openxmlformats.org/officeDocument/2006/relationships/image" Target="media/1236f4fac70e9708eeac5973ced1880ac76be761.png"/><Relationship Id="rId236" Type="http://schemas.openxmlformats.org/officeDocument/2006/relationships/image" Target="media/6e17f20e561cbb1d0c7dd07a9210ab3c9cba5516.png"/><Relationship Id="rId237" Type="http://schemas.openxmlformats.org/officeDocument/2006/relationships/image" Target="media/5a7698bf0f64d9796fbf4ef3c39c6679ae3db517.png"/><Relationship Id="rId238" Type="http://schemas.openxmlformats.org/officeDocument/2006/relationships/image" Target="media/12d08eab3fc4d2e77b26562f020a4b1cc821eeaa.png"/><Relationship Id="rId239" Type="http://schemas.openxmlformats.org/officeDocument/2006/relationships/image" Target="media/380f964d902b9a1ce61eac31be09e813bb0d77a4.png"/><Relationship Id="rId240" Type="http://schemas.openxmlformats.org/officeDocument/2006/relationships/image" Target="media/f350baa179c786f2288a8b4e45fd28beede9f808.png"/><Relationship Id="rId241" Type="http://schemas.openxmlformats.org/officeDocument/2006/relationships/image" Target="media/5f63993609e4f284292f4a4c549faaf5feea4eac.png"/><Relationship Id="rId242" Type="http://schemas.openxmlformats.org/officeDocument/2006/relationships/image" Target="media/fcf35779f47bb8fb79421974611975e0ca739293.png"/><Relationship Id="rId243" Type="http://schemas.openxmlformats.org/officeDocument/2006/relationships/image" Target="media/372284eecb6d901e010384151aa11eb5d05fa853.png"/><Relationship Id="rId244" Type="http://schemas.openxmlformats.org/officeDocument/2006/relationships/image" Target="media/ab6c4a4483c32016392763c9f4b02646c53dbde1.png"/><Relationship Id="rId245" Type="http://schemas.openxmlformats.org/officeDocument/2006/relationships/image" Target="media/23739284020d1470235c27cc836017eb79cf9341.png"/><Relationship Id="rId2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2026-08-27T14:54:53.257Z</dcterms:created>
  <dcterms:modified xsi:type="dcterms:W3CDTF">2026-08-27T14:54:53.258Z</dcterms:modified>
</cp:coreProperties>
</file>

<file path=docProps/custom.xml><?xml version="1.0" encoding="utf-8"?>
<Properties xmlns="http://schemas.openxmlformats.org/officeDocument/2006/custom-properties" xmlns:vt="http://schemas.openxmlformats.org/officeDocument/2006/docPropsVTypes"/>
</file>