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i/>
          <w:iCs/>
          <w:sz w:val="24"/>
          <w:szCs w:val="24"/>
        </w:rPr>
        <w:t xml:space="preserve">Documento prodotto con sistemi di intelligenza artificiale sotto direzione e 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 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 del 1984. Se tornano indietro, una decina di righe del corpus passano dal grado della congettura a quello dell'accertamento; se non tornano, l'esito negativo si 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 (</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 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 verificato è certificabile allo stato degli atti. La ragione non è che i numeri siano falsi — è che nessuno li ha letti sulla fonte. Tutto ciò che l'opera ha sono trascrizioni di terza mano, e su di esse la calibrazione ha mostrato che il 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 mostrato che otto coppie su ventitré condividono uno scarto congelato di 1088 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 Relazione della Commissione parlamentare d'inchiesta sulla Loggia massonica P2, Serie II: Documentazione raccolta dalla Commissione, </w:t>
      </w:r>
      <w:r>
        <w:rPr>
          <w:rFonts w:ascii="Barlow Semi Condensed" w:cs="Barlow Semi Condensed" w:eastAsia="Barlow Semi Condensed" w:hAnsi="Barlow Semi Condensed"/>
          <w:i/>
          <w:iCs/>
          <w:sz w:val="24"/>
          <w:szCs w:val="24"/>
        </w:rPr>
        <w:t xml:space="preserve">Riscontri sull'attendibilità delle liste e sulle posizioni di affiliazione</w:t>
      </w:r>
      <w:r>
        <w:rPr>
          <w:rFonts w:ascii="Barlow Semi Condensed" w:cs="Barlow Semi Condensed" w:eastAsia="Barlow Semi Condensed" w:hAnsi="Barlow Semi Condensed"/>
          <w:sz w:val="24"/>
          <w:szCs w:val="24"/>
        </w:rPr>
        <w:t xml:space="preserve">», 638 pagine in 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della massoneria e gli elenchi sequestrati a Castiglion Fibocchi: le schede sono intestate a persone destinatarie della raccomandata Battelli e comprese in quegli 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 cercare, e la ricerca ha cambiato la prima mossa. </w:t>
      </w:r>
      <w:r>
        <w:rPr>
          <w:rFonts w:ascii="Barlow Semi Condensed" w:cs="Barlow Semi Condensed" w:eastAsia="Barlow Semi Condensed" w:hAnsi="Barlow Semi Condensed"/>
          <w:b/>
          <w:bCs/>
          <w:sz w:val="24"/>
          <w:szCs w:val="24"/>
        </w:rPr>
        <w:t xml:space="preserve">I volumi della Commissione P2 risultano digitalizzati e pubblicati</w:t>
      </w:r>
      <w:r>
        <w:rPr>
          <w:rFonts w:ascii="Barlow Semi Condensed" w:cs="Barlow Semi Condensed" w:eastAsia="Barlow Semi Condensed" w:hAnsi="Barlow Semi Condensed"/>
          <w:sz w:val="24"/>
          <w:szCs w:val="24"/>
        </w:rPr>
        <w:t xml:space="preserve">, e ciò che si può aprire da un browser non 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 liste e sulle posizioni di affiliazione» non sono un volume unico ma 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b/>
          <w:bCs/>
          <w:sz w:val="24"/>
          <w:szCs w:val="24"/>
        </w:rPr>
        <w:t xml:space="preserve">/2/V</w:t>
      </w:r>
      <w:r>
        <w:rPr>
          <w:rFonts w:ascii="Barlow Semi Condensed" w:cs="Barlow Semi Condensed" w:eastAsia="Barlow Semi Condensed" w:hAnsi="Barlow Semi Condensed"/>
          <w:sz w:val="24"/>
          <w:szCs w:val="24"/>
        </w:rPr>
        <w:t xml:space="preserve">. Il tomo inventariato dalla scheda in nostro possesso — 638 pagine, venticinque allegati — 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 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 sono state raggiunte per ricerca, e la ricerca riferisce ciò che vi si legge. La 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w:t>
      </w:r>
      <w:r>
        <w:rPr>
          <w:rFonts w:ascii="Barlow Semi Condensed" w:cs="Barlow Semi Condensed" w:eastAsia="Barlow Semi Condensed" w:hAnsi="Barlow Semi Condensed"/>
          <w:b/>
          <w:bCs/>
          <w:sz w:val="24"/>
          <w:szCs w:val="24"/>
        </w:rPr>
        <w:t xml:space="preserve">è fallito, e non per assenza della fonte</w:t>
      </w:r>
      <w:r>
        <w:rPr>
          <w:rFonts w:ascii="Barlow Semi Condensed" w:cs="Barlow Semi Condensed" w:eastAsia="Barlow Semi Condensed" w:hAnsi="Barlow Semi Condensed"/>
          <w:sz w:val="24"/>
          <w:szCs w:val="24"/>
        </w:rPr>
        <w:t xml:space="preserv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 questa, e la causa è dichiarata: </w:t>
      </w:r>
      <w:r>
        <w:rPr>
          <w:rFonts w:ascii="Barlow Semi Condensed" w:cs="Barlow Semi Condensed" w:eastAsia="Barlow Semi Condensed" w:hAnsi="Barlow Semi Condensed"/>
          <w:b/>
          <w:bCs/>
          <w:sz w:val="24"/>
          <w:szCs w:val="24"/>
        </w:rPr>
        <w:t xml:space="preserve">è un limite dell'ambiente, non un esito sulla fonte</w:t>
      </w:r>
      <w:r>
        <w:rPr>
          <w:rFonts w:ascii="Barlow Semi Condensed" w:cs="Barlow Semi Condensed" w:eastAsia="Barlow Semi Condensed" w:hAnsi="Barlow Semi Condensed"/>
          <w:sz w:val="24"/>
          <w:szCs w:val="24"/>
        </w:rPr>
        <w:t xml:space="preserv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 Commissione risulta pubblicato in PDF dal </w:t>
      </w: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 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 questo dossier: alla stessa porta a cui va spedita l'opera si può chiedere la 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 oggi, gratis, senza chiedere niente a nessuno, e questa lettera non serve. Se non 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w:t>
      </w:r>
      <w:r>
        <w:rPr>
          <w:rFonts w:ascii="Barlow Semi Condensed" w:cs="Barlow Semi Condensed" w:eastAsia="Barlow Semi Condensed" w:hAnsi="Barlow Semi Condensed"/>
          <w:b/>
          <w:bCs/>
          <w:sz w:val="24"/>
          <w:szCs w:val="24"/>
        </w:rPr>
        <w:t xml:space="preserve">piazza San Macuto 57, 00186 Roma</w:t>
      </w:r>
      <w:r>
        <w:rPr>
          <w:rFonts w:ascii="Barlow Semi Condensed" w:cs="Barlow Semi Condensed" w:eastAsia="Barlow Semi Condensed" w:hAnsi="Barlow Semi Condensed"/>
          <w:sz w:val="24"/>
          <w:szCs w:val="24"/>
        </w:rPr>
        <w:t xml:space="preserve"> — primo piano di Palazzo del Seminario. Aperto dal lunedì al venerdì, </w:t>
      </w: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 riferiscono le pagine istituzionali della Camera; quelle pagine non sono state lette direttamente, per il blocco detto sopra. </w:t>
      </w:r>
      <w:r>
        <w:rPr>
          <w:rFonts w:ascii="Barlow Semi Condensed" w:cs="Barlow Semi Condensed" w:eastAsia="Barlow Semi Condensed" w:hAnsi="Barlow Semi Condensed"/>
          <w:b/>
          <w:bCs/>
          <w:sz w:val="24"/>
          <w:szCs w:val="24"/>
        </w:rPr>
        <w:t xml:space="preserve">Vanno confermati sul sito prima di spedire.</w:t>
      </w:r>
      <w:r>
        <w:rPr>
          <w:rFonts w:ascii="Barlow Semi Condensed" w:cs="Barlow Semi Condensed" w:eastAsia="Barlow Semi Condensed" w:hAnsi="Barlow Semi Condensed"/>
          <w:sz w:val="24"/>
          <w:szCs w:val="24"/>
        </w:rPr>
        <w:t xml:space="preserv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 alla sala studio si chiede </w:t>
      </w:r>
      <w:r>
        <w:rPr>
          <w:rFonts w:ascii="Barlow Semi Condensed" w:cs="Barlow Semi Condensed" w:eastAsia="Barlow Semi Condensed" w:hAnsi="Barlow Semi Condensed"/>
          <w:b/>
          <w:bCs/>
          <w:sz w:val="24"/>
          <w:szCs w:val="24"/>
        </w:rPr>
        <w:t xml:space="preserve">per posta elettronica alla segreteria, indicando l'argomento della ricerca e i documenti da consultare</w:t>
      </w:r>
      <w:r>
        <w:rPr>
          <w:rFonts w:ascii="Barlow Semi Condensed" w:cs="Barlow Semi Condensed" w:eastAsia="Barlow Semi Condensed" w:hAnsi="Barlow Semi Condensed"/>
          <w:sz w:val="24"/>
          <w:szCs w:val="24"/>
        </w:rPr>
        <w:t xml:space="preserve"> — non con un'istanza 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 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w:t>
      </w:r>
      <w:r>
        <w:rPr>
          <w:rFonts w:ascii="Barlow Semi Condensed" w:cs="Barlow Semi Condensed" w:eastAsia="Barlow Semi Condensed" w:hAnsi="Barlow Semi Condensed"/>
          <w:b/>
          <w:bCs/>
          <w:sz w:val="24"/>
          <w:szCs w:val="24"/>
        </w:rPr>
        <w:t xml:space="preserve">atto parlamentare a stampa</w:t>
      </w:r>
      <w:r>
        <w:rPr>
          <w:rFonts w:ascii="Barlow Semi Condensed" w:cs="Barlow Semi Condensed" w:eastAsia="Barlow Semi Condensed" w:hAnsi="Barlow Semi Condensed"/>
          <w:sz w:val="24"/>
          <w:szCs w:val="24"/>
        </w:rPr>
        <w:t xml:space="preserve">, non un documento d'archivio: la sede propria potrebbe 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 ostacolo — si scrive alla segreteria e sarà lei a indirizzare — ma conviene dirlo 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 conserva già il Fondo Moro (IT-AFS-048); Biblioteca del Senato «Giovanni 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Oggetto: richiesta di riproduzione di due allegati del Doc. XXIII n. 2-quater/2/I, IX legislatura</w:t>
      </w:r>
      <w:r>
        <w:rPr>
          <w:rFonts w:ascii="Barlow Semi Condensed" w:cs="Barlow Semi Condensed" w:eastAsia="Barlow Semi Condensed" w:hAnsi="Barlow Semi Condensed"/>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sz w:val="24"/>
          <w:szCs w:val="24"/>
        </w:rPr>
        <w:t xml:space="preserve">Doc. XXIII, n. 2-quater/2/I — IX legislatura — Roma, 1984.</w:t>
      </w:r>
      <w:r>
        <w:rPr>
          <w:rFonts w:ascii="Barlow Semi Condensed" w:cs="Barlow Semi Condensed" w:eastAsia="Barlow Semi Condensed" w:hAnsi="Barlow Semi Condensed"/>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sz w:val="24"/>
          <w:szCs w:val="24"/>
        </w:rPr>
        <w:t xml:space="preserve">Allegato 13</w:t>
      </w:r>
      <w:r>
        <w:rPr>
          <w:rFonts w:ascii="Barlow Semi Condensed" w:cs="Barlow Semi Condensed" w:eastAsia="Barlow Semi Condensed" w:hAnsi="Barlow Semi Condensed"/>
          <w:sz w:val="24"/>
          <w:szCs w:val="24"/>
        </w:rPr>
        <w:t xml:space="preserve">, pagine I, 258-280: </w:t>
      </w:r>
      <w:r>
        <w:rPr>
          <w:rFonts w:ascii="Barlow Semi Condensed" w:cs="Barlow Semi Condensed" w:eastAsia="Barlow Semi Condensed" w:hAnsi="Barlow Semi Condensed"/>
          <w:i/>
          <w:iCs/>
          <w:sz w:val="24"/>
          <w:szCs w:val="24"/>
        </w:rPr>
        <w:t xml:space="preserve">Libro-matricola delle iniziazioni alla Loggia P2 (1952-1970)</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Allegato 21</w:t>
      </w:r>
      <w:r>
        <w:rPr>
          <w:rFonts w:ascii="Barlow Semi Condensed" w:cs="Barlow Semi Condensed" w:eastAsia="Barlow Semi Condensed" w:hAnsi="Barlow Semi Condensed"/>
          <w:sz w:val="24"/>
          <w:szCs w:val="24"/>
        </w:rPr>
        <w:t xml:space="preserve">, pagine I, 474-507: </w:t>
      </w:r>
      <w:r>
        <w:rPr>
          <w:rFonts w:ascii="Barlow Semi Condensed" w:cs="Barlow Semi Condensed" w:eastAsia="Barlow Semi Condensed" w:hAnsi="Barlow Semi Condensed"/>
          <w:i/>
          <w:iCs/>
          <w:sz w:val="24"/>
          <w:szCs w:val="24"/>
        </w:rPr>
        <w:t xml:space="preserve">Schede personali massoniche sequestrate presso Palazzo Giustiniani</w:t>
      </w:r>
      <w:r>
        <w:rPr>
          <w:rFonts w:ascii="Barlow Semi Condensed" w:cs="Barlow Semi Condensed" w:eastAsia="Barlow Semi Condensed" w:hAnsi="Barlow Semi Condensed"/>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iCs/>
          <w:sz w:val="24"/>
          <w:szCs w:val="24"/>
        </w:rPr>
        <w:t xml:space="preserve">(recapiti — indirizzo, telefono, posta elettronica ordinaria e certificata)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 certificazione con la propria collocazione — allegato, pagina, colonna — e il 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 domanda su cui la lettura decide è una sola e va posta prima di aprire i file, perché non la si aggiusti a posteriori: </w:t>
      </w:r>
      <w:r>
        <w:rPr>
          <w:rFonts w:ascii="Barlow Semi Condensed" w:cs="Barlow Semi Condensed" w:eastAsia="Barlow Semi Condensed" w:hAnsi="Barlow Semi Condensed"/>
          <w:i/>
          <w:iCs/>
          <w:sz w:val="24"/>
          <w:szCs w:val="24"/>
        </w:rPr>
        <w:t xml:space="preserve">l'intestazione di colonna dice «tessera» o dice «fascicolo»?</w:t>
      </w:r>
      <w:r>
        <w:rPr>
          <w:rFonts w:ascii="Barlow Semi Condensed" w:cs="Barlow Semi Condensed" w:eastAsia="Barlow Semi Condensed" w:hAnsi="Barlow Semi Condensed"/>
          <w:sz w:val="24"/>
          <w:szCs w:val="24"/>
        </w:rPr>
        <w:t xml:space="preserve"> Da quella parola dipende se la calibrazione del 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con la sede nominata e la data, che è la forma in cui quest'opera conserva le ricerche fallite. Uno Stato Zero non è un vuoto: dice a chi verrà 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 attribuire condotte. Un numero di tessera accerta un'iscrizione e nient'altro, e la regola che apre ogni documento di quest'opera vale intatta anche quando la fonte è finalmente in mano: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2026-08-27T14:55:16.312Z</dcterms:created>
  <dcterms:modified xsi:type="dcterms:W3CDTF">2026-08-27T14:55:16.312Z</dcterms:modified>
</cp:coreProperties>
</file>

<file path=docProps/custom.xml><?xml version="1.0" encoding="utf-8"?>
<Properties xmlns="http://schemas.openxmlformats.org/officeDocument/2006/custom-properties" xmlns:vt="http://schemas.openxmlformats.org/officeDocument/2006/docPropsVTypes"/>
</file>