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w:t>
      </w:r>
    </w:p>
    <w:p>
      <w:pPr>
        <w:spacing w:after="120" w:line="276"/>
        <w:jc w:val="both"/>
      </w:pPr>
      <w:r>
        <w:rPr>
          <w:rFonts w:ascii="Barlow Semi Condensed" w:cs="Barlow Semi Condensed" w:eastAsia="Barlow Semi Condensed" w:hAnsi="Barlow Semi Condensed"/>
          <w:b/>
          <w:bCs/>
          <w:sz w:val="24"/>
          <w:szCs w:val="24"/>
        </w:rPr>
        <w:t xml:space="preserve">Sessantacinque serie in due campagne — seconda edizione accresciuta — quinta opera a blocchi del branch</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ogni territorio del corpus, uno per serie, con l’obbligo di leggerlo prima di scriverne.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restano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nessuno dei 4.999 blocchi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la regola dei tre piani — rapporto diretto documentato, convergenza strutturale, affermazione terziaria — e un ponte è reale solo al piano 1. L'appartenenza non è prova di condotta; la contemporaneità non è prova di nesso; le divergenze si riportano e non si scelgono in silenzio; lo Stato Zero è 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2026-08-26T20:23:41.623Z</dcterms:created>
  <dcterms:modified xsi:type="dcterms:W3CDTF">2026-08-26T20:23:41.638Z</dcterms:modified>
</cp:coreProperties>
</file>

<file path=docProps/custom.xml><?xml version="1.0" encoding="utf-8"?>
<Properties xmlns="http://schemas.openxmlformats.org/officeDocument/2006/custom-properties" xmlns:vt="http://schemas.openxmlformats.org/officeDocument/2006/docPropsVTypes"/>
</file>