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Times New Roman" w:cs="Times New Roman" w:eastAsia="Times New Roman" w:hAnsi="Times New Roman"/>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Times New Roman" w:cs="Times New Roman" w:eastAsia="Times New Roman" w:hAnsi="Times New Roman"/>
          <w:sz w:val="24"/>
          <w:szCs w:val="24"/>
        </w:rPr>
        <w:t xml:space="preserve">Aldo Moro — Una guerra senza fine</w:t>
      </w:r>
    </w:p>
    <w:p>
      <w:pPr>
        <w:pStyle w:val="Heading2"/>
        <w:spacing w:after="100" w:before="200"/>
      </w:pPr>
      <w:r>
        <w:rPr>
          <w:rFonts w:ascii="Times New Roman" w:cs="Times New Roman" w:eastAsia="Times New Roman" w:hAnsi="Times New Roman"/>
          <w:sz w:val="24"/>
          <w:szCs w:val="24"/>
        </w:rPr>
        <w:t xml:space="preserve">Fase decima — Il principio personalistico</w:t>
      </w:r>
    </w:p>
    <w:p>
      <w:pPr>
        <w:spacing w:after="120" w:line="276"/>
        <w:jc w:val="both"/>
      </w:pPr>
      <w:r>
        <w:rPr>
          <w:rFonts w:ascii="Times New Roman" w:cs="Times New Roman" w:eastAsia="Times New Roman" w:hAnsi="Times New Roman"/>
          <w:b/>
          <w:bCs/>
          <w:sz w:val="24"/>
          <w:szCs w:val="24"/>
        </w:rPr>
        <w:t xml:space="preserve">La colpa non è mai del gruppo, ed è sempre della persona · Il registro nominativo del giudicato · La prosopografia dei tredici</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Volume rilegato — 25 agosto 2026 · Branch pubblico del corpus storico</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Ordine del volume.</w:t>
      </w:r>
      <w:r>
        <w:rPr>
          <w:rFonts w:ascii="Times New Roman" w:cs="Times New Roman" w:eastAsia="Times New Roman" w:hAnsi="Times New Roman"/>
          <w:i w:val="false"/>
          <w:iCs w:val="false"/>
          <w:sz w:val="24"/>
          <w:szCs w:val="24"/>
        </w:rPr>
        <w:t xml:space="preserve"> Il corpo del volume è la </w:t>
      </w:r>
      <w:r>
        <w:rPr>
          <w:rFonts w:ascii="Times New Roman" w:cs="Times New Roman" w:eastAsia="Times New Roman" w:hAnsi="Times New Roman"/>
          <w:b/>
          <w:bCs/>
          <w:i w:val="false"/>
          <w:iCs w:val="false"/>
          <w:sz w:val="24"/>
          <w:szCs w:val="24"/>
        </w:rPr>
        <w:t xml:space="preserve">Fase decima</w:t>
      </w:r>
      <w:r>
        <w:rPr>
          <w:rFonts w:ascii="Times New Roman" w:cs="Times New Roman" w:eastAsia="Times New Roman" w:hAnsi="Times New Roman"/>
          <w:i w:val="false"/>
          <w:iCs w:val="false"/>
          <w:sz w:val="24"/>
          <w:szCs w:val="24"/>
        </w:rPr>
        <w:t xml:space="preserve"> dell'opera (capp. 77-82): il principio dell'articolo 27 della Costituzione reso esplicito e sistematico — l'eliminazione della colpa dei gruppi in entrambe le direzioni e la sua sostituzione con il </w:t>
      </w:r>
      <w:r>
        <w:rPr>
          <w:rFonts w:ascii="Times New Roman" w:cs="Times New Roman" w:eastAsia="Times New Roman" w:hAnsi="Times New Roman"/>
          <w:b/>
          <w:bCs/>
          <w:i w:val="false"/>
          <w:iCs w:val="false"/>
          <w:sz w:val="24"/>
          <w:szCs w:val="24"/>
        </w:rPr>
        <w:t xml:space="preserve">registro nominativo delle tredici responsabilità personali</w:t>
      </w:r>
      <w:r>
        <w:rPr>
          <w:rFonts w:ascii="Times New Roman" w:cs="Times New Roman" w:eastAsia="Times New Roman" w:hAnsi="Times New Roman"/>
          <w:i w:val="false"/>
          <w:iCs w:val="false"/>
          <w:sz w:val="24"/>
          <w:szCs w:val="24"/>
        </w:rPr>
        <w:t xml:space="preserve"> accertate in giudicato, ciascuna con la propria condotta e la propria sentenza; il caso Algranati come prova che il giudicato vale nei due sensi; l'appartenenza a uno o più gruppi come fatto biografico inerte. In </w:t>
      </w:r>
      <w:r>
        <w:rPr>
          <w:rFonts w:ascii="Times New Roman" w:cs="Times New Roman" w:eastAsia="Times New Roman" w:hAnsi="Times New Roman"/>
          <w:b/>
          <w:bCs/>
          <w:i w:val="false"/>
          <w:iCs w:val="false"/>
          <w:sz w:val="24"/>
          <w:szCs w:val="24"/>
        </w:rPr>
        <w:t xml:space="preserve">appendice</w:t>
      </w:r>
      <w:r>
        <w:rPr>
          <w:rFonts w:ascii="Times New Roman" w:cs="Times New Roman" w:eastAsia="Times New Roman" w:hAnsi="Times New Roman"/>
          <w:i w:val="false"/>
          <w:iCs w:val="false"/>
          <w:sz w:val="24"/>
          <w:szCs w:val="24"/>
        </w:rPr>
        <w:t xml:space="preserve">, il complemento dichiarato della Fase: la </w:t>
      </w:r>
      <w:r>
        <w:rPr>
          <w:rFonts w:ascii="Times New Roman" w:cs="Times New Roman" w:eastAsia="Times New Roman" w:hAnsi="Times New Roman"/>
          <w:b/>
          <w:bCs/>
          <w:i w:val="false"/>
          <w:iCs w:val="false"/>
          <w:sz w:val="24"/>
          <w:szCs w:val="24"/>
        </w:rPr>
        <w:t xml:space="preserve">triangolazione dei tredici condannati con il corpus</w:t>
      </w:r>
      <w:r>
        <w:rPr>
          <w:rFonts w:ascii="Times New Roman" w:cs="Times New Roman" w:eastAsia="Times New Roman" w:hAnsi="Times New Roman"/>
          <w:i w:val="false"/>
          <w:iCs w:val="false"/>
          <w:sz w:val="24"/>
          <w:szCs w:val="24"/>
        </w:rPr>
        <w:t xml:space="preserve"> — otto ponti documentati e verificati verso gli altri domini (il ceppo CPM del 1969, il canale della trattativa, via Monte Nevoso, la genealogia reggiana, il Vaticano e l'America Latina, la Svizzera, la memoria come vettore), quattro esiti negativi dichiarati, cinque anti-triangolazioni e la chiusura sul confronto di metodo col Tribunale Speciale.</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Disciplina.</w:t>
      </w:r>
      <w:r>
        <w:rPr>
          <w:rFonts w:ascii="Times New Roman" w:cs="Times New Roman" w:eastAsia="Times New Roman" w:hAnsi="Times New Roman"/>
          <w:i w:val="false"/>
          <w:iCs w:val="false"/>
          <w:sz w:val="24"/>
          <w:szCs w:val="24"/>
        </w:rPr>
        <w:t xml:space="preserve"> Vale in ogni pagina la Regola di Ferro: si nominano come responsabili solo coloro che una sentenza definitiva ha condannato; nessuna graduatoria, nessuna percentuale; l'appartenenza non è condotta, la contemporaneità non è nesso, la parentela non è canale, l'origine comune non è regia; gli assolti restano assolti; gli esiti negativi sono acquisizioni di pieno valore; ogni verifica è stata condotta su fonti prima della stesura, con gli indirizzi riportati per la tracciabilità.</w:t>
      </w:r>
    </w:p>
    <w:p>
      <w:r>
        <w:br w:type="page"/>
      </w:r>
    </w:p>
    <w:p>
      <w:pPr>
        <w:pStyle w:val="Heading1"/>
        <w:spacing w:after="120" w:before="240"/>
      </w:pPr>
      <w:r>
        <w:rPr>
          <w:rFonts w:ascii="Times New Roman" w:cs="Times New Roman" w:eastAsia="Times New Roman" w:hAnsi="Times New Roman"/>
          <w:sz w:val="24"/>
          <w:szCs w:val="24"/>
        </w:rPr>
        <w:t xml:space="preserve">Aldo Moro — Una guerra senza fine</w:t>
      </w:r>
    </w:p>
    <w:p>
      <w:pPr>
        <w:pStyle w:val="Heading2"/>
        <w:spacing w:after="100" w:before="200"/>
      </w:pPr>
      <w:r>
        <w:rPr>
          <w:rFonts w:ascii="Times New Roman" w:cs="Times New Roman" w:eastAsia="Times New Roman" w:hAnsi="Times New Roman"/>
          <w:sz w:val="24"/>
          <w:szCs w:val="24"/>
        </w:rPr>
        <w:t xml:space="preserve">Fase decima — Il principio personalistico: la colpa non è mai del gruppo, ed è sempre della persona</w:t>
      </w:r>
    </w:p>
    <w:p>
      <w:pPr>
        <w:spacing w:after="120" w:line="276"/>
        <w:jc w:val="both"/>
      </w:pPr>
      <w:r>
        <w:rPr>
          <w:rFonts w:ascii="Times New Roman" w:cs="Times New Roman" w:eastAsia="Times New Roman" w:hAnsi="Times New Roman"/>
          <w:i/>
          <w:iCs/>
          <w:sz w:val="24"/>
          <w:szCs w:val="24"/>
        </w:rPr>
        <w:t xml:space="preserve">Ampliamento dell'opera — 25 agosto 2026 · Capitoli 77-82</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della Fase decima.</w:t>
      </w:r>
      <w:r>
        <w:rPr>
          <w:rFonts w:ascii="Times New Roman" w:cs="Times New Roman" w:eastAsia="Times New Roman" w:hAnsi="Times New Roman"/>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Times New Roman" w:cs="Times New Roman" w:eastAsia="Times New Roman" w:hAnsi="Times New Roman"/>
          <w:b/>
          <w:bCs/>
          <w:i w:val="false"/>
          <w:iCs w:val="false"/>
          <w:sz w:val="24"/>
          <w:szCs w:val="24"/>
        </w:rPr>
        <w:t xml:space="preserve">la colpa non è mai del gruppo; è sempre, e soltanto, della persona.</w:t>
      </w:r>
      <w:r>
        <w:rPr>
          <w:rFonts w:ascii="Times New Roman" w:cs="Times New Roman" w:eastAsia="Times New Roman" w:hAnsi="Times New Roman"/>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Times New Roman" w:cs="Times New Roman" w:eastAsia="Times New Roman" w:hAnsi="Times New Roman"/>
          <w:b/>
          <w:bCs/>
          <w:i w:val="false"/>
          <w:iCs w:val="false"/>
          <w:sz w:val="24"/>
          <w:szCs w:val="24"/>
        </w:rPr>
        <w:t xml:space="preserve">nomi delle persone singolarmente condannate, ciascuna per la propria condotta accertata</w:t>
      </w:r>
      <w:r>
        <w:rPr>
          <w:rFonts w:ascii="Times New Roman" w:cs="Times New Roman" w:eastAsia="Times New Roman" w:hAnsi="Times New Roman"/>
          <w:i w:val="false"/>
          <w:iCs w:val="false"/>
          <w:sz w:val="24"/>
          <w:szCs w:val="24"/>
        </w:rPr>
        <w:t xml:space="preserve">.  Il fondamento non è una preferenza stilistica: è l'</w:t>
      </w:r>
      <w:r>
        <w:rPr>
          <w:rFonts w:ascii="Times New Roman" w:cs="Times New Roman" w:eastAsia="Times New Roman" w:hAnsi="Times New Roman"/>
          <w:b/>
          <w:bCs/>
          <w:i w:val="false"/>
          <w:iCs w:val="false"/>
          <w:sz w:val="24"/>
          <w:szCs w:val="24"/>
        </w:rPr>
        <w:t xml:space="preserve">articolo 27, primo comma, della Costituzione</w:t>
      </w:r>
      <w:r>
        <w:rPr>
          <w:rFonts w:ascii="Times New Roman" w:cs="Times New Roman" w:eastAsia="Times New Roman" w:hAnsi="Times New Roman"/>
          <w:i w:val="false"/>
          <w:iCs w:val="false"/>
          <w:sz w:val="24"/>
          <w:szCs w:val="24"/>
        </w:rPr>
        <w:t xml:space="preserve"> — «La responsabilità penale è personale» — e l'istituto del </w:t>
      </w:r>
      <w:r>
        <w:rPr>
          <w:rFonts w:ascii="Times New Roman" w:cs="Times New Roman" w:eastAsia="Times New Roman" w:hAnsi="Times New Roman"/>
          <w:b/>
          <w:bCs/>
          <w:i w:val="false"/>
          <w:iCs w:val="false"/>
          <w:sz w:val="24"/>
          <w:szCs w:val="24"/>
        </w:rPr>
        <w:t xml:space="preserve">concorso di persone nel reato</w:t>
      </w:r>
      <w:r>
        <w:rPr>
          <w:rFonts w:ascii="Times New Roman" w:cs="Times New Roman" w:eastAsia="Times New Roman" w:hAnsi="Times New Roman"/>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Times New Roman" w:cs="Times New Roman" w:eastAsia="Times New Roman" w:hAnsi="Times New Roman"/>
          <w:b/>
          <w:bCs/>
          <w:i w:val="false"/>
          <w:iCs w:val="false"/>
          <w:sz w:val="24"/>
          <w:szCs w:val="24"/>
        </w:rPr>
        <w:t xml:space="preserve">si nominano come responsabili solo coloro che una sentenza definitiva ha condannato</w:t>
      </w:r>
      <w:r>
        <w:rPr>
          <w:rFonts w:ascii="Times New Roman" w:cs="Times New Roman" w:eastAsia="Times New Roman" w:hAnsi="Times New Roman"/>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Capitolo settantasettesimo — Il principio, e le due derive simmetriche che esso vieta</w:t>
      </w:r>
    </w:p>
    <w:p>
      <w:pPr>
        <w:spacing w:after="120" w:line="276"/>
        <w:jc w:val="both"/>
      </w:pPr>
      <w:r>
        <w:rPr>
          <w:rFonts w:ascii="Times New Roman" w:cs="Times New Roman" w:eastAsia="Times New Roman" w:hAnsi="Times New Roman"/>
          <w:sz w:val="24"/>
          <w:szCs w:val="24"/>
        </w:rPr>
        <w:t xml:space="preserve">Il principio personalistico taglia in due direzioni, e l'opera le deve vietare entrambe con la stessa forza, perché sono l'una lo specchio dell'altra.</w:t>
      </w:r>
    </w:p>
    <w:p>
      <w:pPr>
        <w:spacing w:after="120" w:line="276"/>
        <w:jc w:val="both"/>
      </w:pPr>
      <w:r>
        <w:rPr>
          <w:rFonts w:ascii="Times New Roman" w:cs="Times New Roman" w:eastAsia="Times New Roman" w:hAnsi="Times New Roman"/>
          <w:sz w:val="24"/>
          <w:szCs w:val="24"/>
        </w:rPr>
        <w:t xml:space="preserve">La </w:t>
      </w:r>
      <w:r>
        <w:rPr>
          <w:rFonts w:ascii="Times New Roman" w:cs="Times New Roman" w:eastAsia="Times New Roman" w:hAnsi="Times New Roman"/>
          <w:b/>
          <w:bCs/>
          <w:sz w:val="24"/>
          <w:szCs w:val="24"/>
        </w:rPr>
        <w:t xml:space="preserve">prima deriva è la colpa collettiva discendente</w:t>
      </w:r>
      <w:r>
        <w:rPr>
          <w:rFonts w:ascii="Times New Roman" w:cs="Times New Roman" w:eastAsia="Times New Roman" w:hAnsi="Times New Roman"/>
          <w:sz w:val="24"/>
          <w:szCs w:val="24"/>
        </w:rPr>
        <w:t xml:space="preserve">: dal gruppo al singolo. È il ragionamento che dice «apparteneva alle Brigate Rosse, dunque è corresponsabile di via Fani». È vietato, e l'opera lo vieta fin dalla prima pagina: </w:t>
      </w:r>
      <w:r>
        <w:rPr>
          <w:rFonts w:ascii="Times New Roman" w:cs="Times New Roman" w:eastAsia="Times New Roman" w:hAnsi="Times New Roman"/>
          <w:b/>
          <w:bCs/>
          <w:sz w:val="24"/>
          <w:szCs w:val="24"/>
        </w:rPr>
        <w:t xml:space="preserve">l'appartenenza non è condotta</w:t>
      </w:r>
      <w:r>
        <w:rPr>
          <w:rFonts w:ascii="Times New Roman" w:cs="Times New Roman" w:eastAsia="Times New Roman" w:hAnsi="Times New Roman"/>
          <w:sz w:val="24"/>
          <w:szCs w:val="24"/>
        </w:rPr>
        <w:t xml:space="preserve">. Dei sessantatré imputati del grande processo alle BR, molti furono condannati per </w:t>
      </w:r>
      <w:r>
        <w:rPr>
          <w:rFonts w:ascii="Times New Roman" w:cs="Times New Roman" w:eastAsia="Times New Roman" w:hAnsi="Times New Roman"/>
          <w:b/>
          <w:bCs/>
          <w:sz w:val="24"/>
          <w:szCs w:val="24"/>
        </w:rPr>
        <w:t xml:space="preserve">reati associativi</w:t>
      </w:r>
      <w:r>
        <w:rPr>
          <w:rFonts w:ascii="Times New Roman" w:cs="Times New Roman" w:eastAsia="Times New Roman" w:hAnsi="Times New Roman"/>
          <w:sz w:val="24"/>
          <w:szCs w:val="24"/>
        </w:rPr>
        <w:t xml:space="preserve"> — banda armata (art. 306 c.p.), associazione sovversiva (art. 270 c.p.) — e </w:t>
      </w:r>
      <w:r>
        <w:rPr>
          <w:rFonts w:ascii="Times New Roman" w:cs="Times New Roman" w:eastAsia="Times New Roman" w:hAnsi="Times New Roman"/>
          <w:i/>
          <w:iCs/>
          <w:sz w:val="24"/>
          <w:szCs w:val="24"/>
        </w:rPr>
        <w:t xml:space="preserve">non</w:t>
      </w:r>
      <w:r>
        <w:rPr>
          <w:rFonts w:ascii="Times New Roman" w:cs="Times New Roman" w:eastAsia="Times New Roman" w:hAnsi="Times New Roman"/>
          <w:sz w:val="24"/>
          <w:szCs w:val="24"/>
        </w:rPr>
        <w:t xml:space="preserve"> per l'operazione Moro: la partecipazione alla banda è essa stessa un reato, ma è un </w:t>
      </w:r>
      <w:r>
        <w:rPr>
          <w:rFonts w:ascii="Times New Roman" w:cs="Times New Roman" w:eastAsia="Times New Roman" w:hAnsi="Times New Roman"/>
          <w:b/>
          <w:bCs/>
          <w:sz w:val="24"/>
          <w:szCs w:val="24"/>
        </w:rPr>
        <w:t xml:space="preserve">reato proprio della persona</w:t>
      </w:r>
      <w:r>
        <w:rPr>
          <w:rFonts w:ascii="Times New Roman" w:cs="Times New Roman" w:eastAsia="Times New Roman" w:hAnsi="Times New Roman"/>
          <w:sz w:val="24"/>
          <w:szCs w:val="24"/>
        </w:rPr>
        <w:t xml:space="preserve"> (la condotta individuale di parteciparvi), e la condanna per esso </w:t>
      </w:r>
      <w:r>
        <w:rPr>
          <w:rFonts w:ascii="Times New Roman" w:cs="Times New Roman" w:eastAsia="Times New Roman" w:hAnsi="Times New Roman"/>
          <w:b/>
          <w:bCs/>
          <w:sz w:val="24"/>
          <w:szCs w:val="24"/>
        </w:rPr>
        <w:t xml:space="preserve">non equivale</w:t>
      </w:r>
      <w:r>
        <w:rPr>
          <w:rFonts w:ascii="Times New Roman" w:cs="Times New Roman" w:eastAsia="Times New Roman" w:hAnsi="Times New Roman"/>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Times New Roman" w:cs="Times New Roman" w:eastAsia="Times New Roman" w:hAnsi="Times New Roman"/>
          <w:b/>
          <w:bCs/>
          <w:sz w:val="24"/>
          <w:szCs w:val="24"/>
        </w:rPr>
        <w:t xml:space="preserve">l'intera stagione di una organizzazione armata</w:t>
      </w:r>
      <w:r>
        <w:rPr>
          <w:rFonts w:ascii="Times New Roman" w:cs="Times New Roman" w:eastAsia="Times New Roman" w:hAnsi="Times New Roman"/>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Times New Roman" w:cs="Times New Roman" w:eastAsia="Times New Roman" w:hAnsi="Times New Roman"/>
          <w:sz w:val="24"/>
          <w:szCs w:val="24"/>
        </w:rPr>
        <w:t xml:space="preserve">La </w:t>
      </w:r>
      <w:r>
        <w:rPr>
          <w:rFonts w:ascii="Times New Roman" w:cs="Times New Roman" w:eastAsia="Times New Roman" w:hAnsi="Times New Roman"/>
          <w:b/>
          <w:bCs/>
          <w:sz w:val="24"/>
          <w:szCs w:val="24"/>
        </w:rPr>
        <w:t xml:space="preserve">seconda deriva è la deresponsabilizzazione collettiva ascendente</w:t>
      </w:r>
      <w:r>
        <w:rPr>
          <w:rFonts w:ascii="Times New Roman" w:cs="Times New Roman" w:eastAsia="Times New Roman" w:hAnsi="Times New Roman"/>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Times New Roman" w:cs="Times New Roman" w:eastAsia="Times New Roman" w:hAnsi="Times New Roman"/>
          <w:b/>
          <w:bCs/>
          <w:sz w:val="24"/>
          <w:szCs w:val="24"/>
        </w:rPr>
        <w:t xml:space="preserve">Il gruppo non è un soggetto morale che possa assorbire la colpa dei suoi membri.</w:t>
      </w:r>
      <w:r>
        <w:rPr>
          <w:rFonts w:ascii="Times New Roman" w:cs="Times New Roman" w:eastAsia="Times New Roman" w:hAnsi="Times New Roman"/>
          <w:sz w:val="24"/>
          <w:szCs w:val="24"/>
        </w:rPr>
        <w:t xml:space="preserve"> Nessuno dei condannati del caso Moro è stato condannato «in quanto brigatista»: ciascuno è stato condannato </w:t>
      </w:r>
      <w:r>
        <w:rPr>
          <w:rFonts w:ascii="Times New Roman" w:cs="Times New Roman" w:eastAsia="Times New Roman" w:hAnsi="Times New Roman"/>
          <w:b/>
          <w:bCs/>
          <w:sz w:val="24"/>
          <w:szCs w:val="24"/>
        </w:rPr>
        <w:t xml:space="preserve">per ciò che ha fatto</w:t>
      </w:r>
      <w:r>
        <w:rPr>
          <w:rFonts w:ascii="Times New Roman" w:cs="Times New Roman" w:eastAsia="Times New Roman" w:hAnsi="Times New Roman"/>
          <w:sz w:val="24"/>
          <w:szCs w:val="24"/>
        </w:rPr>
        <w:t xml:space="preserve"> — per aver diretto, sparato, guidato, custodito, predisposto. La formula «le BR hanno ucciso Moro» è vera come descrizione storica di un atto rivendicato da un'organizzazione; è </w:t>
      </w:r>
      <w:r>
        <w:rPr>
          <w:rFonts w:ascii="Times New Roman" w:cs="Times New Roman" w:eastAsia="Times New Roman" w:hAnsi="Times New Roman"/>
          <w:b/>
          <w:bCs/>
          <w:sz w:val="24"/>
          <w:szCs w:val="24"/>
        </w:rPr>
        <w:t xml:space="preserve">falsa come attribuzione di colpa</w:t>
      </w:r>
      <w:r>
        <w:rPr>
          <w:rFonts w:ascii="Times New Roman" w:cs="Times New Roman" w:eastAsia="Times New Roman" w:hAnsi="Times New Roman"/>
          <w:sz w:val="24"/>
          <w:szCs w:val="24"/>
        </w:rPr>
        <w:t xml:space="preserve">, perché la colpa non ha mai avuto quella forma: ha avuto la forma di sentenze pronunciate contro persone con nome e cognome.</w:t>
      </w:r>
    </w:p>
    <w:p>
      <w:pPr>
        <w:spacing w:after="120" w:line="276"/>
        <w:jc w:val="both"/>
      </w:pPr>
      <w:r>
        <w:rPr>
          <w:rFonts w:ascii="Times New Roman" w:cs="Times New Roman" w:eastAsia="Times New Roman" w:hAnsi="Times New Roman"/>
          <w:sz w:val="24"/>
          <w:szCs w:val="24"/>
        </w:rPr>
        <w:t xml:space="preserve">Questa Fase, dunque, </w:t>
      </w:r>
      <w:r>
        <w:rPr>
          <w:rFonts w:ascii="Times New Roman" w:cs="Times New Roman" w:eastAsia="Times New Roman" w:hAnsi="Times New Roman"/>
          <w:b/>
          <w:bCs/>
          <w:sz w:val="24"/>
          <w:szCs w:val="24"/>
        </w:rPr>
        <w:t xml:space="preserve">elimina le colpe dei gruppi</w:t>
      </w:r>
      <w:r>
        <w:rPr>
          <w:rFonts w:ascii="Times New Roman" w:cs="Times New Roman" w:eastAsia="Times New Roman" w:hAnsi="Times New Roman"/>
          <w:sz w:val="24"/>
          <w:szCs w:val="24"/>
        </w:rPr>
        <w:t xml:space="preserve"> — in entrambe le direzioni — e </w:t>
      </w:r>
      <w:r>
        <w:rPr>
          <w:rFonts w:ascii="Times New Roman" w:cs="Times New Roman" w:eastAsia="Times New Roman" w:hAnsi="Times New Roman"/>
          <w:b/>
          <w:bCs/>
          <w:sz w:val="24"/>
          <w:szCs w:val="24"/>
        </w:rPr>
        <w:t xml:space="preserve">inserisce quelle dei singoli</w:t>
      </w:r>
      <w:r>
        <w:rPr>
          <w:rFonts w:ascii="Times New Roman" w:cs="Times New Roman" w:eastAsia="Times New Roman" w:hAnsi="Times New Roman"/>
          <w:sz w:val="24"/>
          <w:szCs w:val="24"/>
        </w:rPr>
        <w:t xml:space="preserve">: che è ciò che il giudicato ha sempre fatto, e che l'opera ora recepisce come suo protocollo esplicito.</w:t>
      </w:r>
    </w:p>
    <w:p>
      <w:pPr>
        <w:pStyle w:val="Heading1"/>
        <w:spacing w:after="120" w:before="240"/>
      </w:pPr>
      <w:r>
        <w:rPr>
          <w:rFonts w:ascii="Times New Roman" w:cs="Times New Roman" w:eastAsia="Times New Roman" w:hAnsi="Times New Roman"/>
          <w:sz w:val="24"/>
          <w:szCs w:val="24"/>
        </w:rPr>
        <w:t xml:space="preserve">Capitolo settantottesimo — La nota di lettura valida per l'intera opera</w:t>
      </w:r>
    </w:p>
    <w:p>
      <w:pPr>
        <w:spacing w:after="120" w:line="276"/>
        <w:jc w:val="both"/>
      </w:pPr>
      <w:r>
        <w:rPr>
          <w:rFonts w:ascii="Times New Roman" w:cs="Times New Roman" w:eastAsia="Times New Roman" w:hAnsi="Times New Roman"/>
          <w:sz w:val="24"/>
          <w:szCs w:val="24"/>
        </w:rPr>
        <w:t xml:space="preserve">Da questa Fase in avanti — e retroattivamente, per ogni pagina già scritta del corpus — vale la seguente </w:t>
      </w:r>
      <w:r>
        <w:rPr>
          <w:rFonts w:ascii="Times New Roman" w:cs="Times New Roman" w:eastAsia="Times New Roman" w:hAnsi="Times New Roman"/>
          <w:b/>
          <w:bCs/>
          <w:sz w:val="24"/>
          <w:szCs w:val="24"/>
        </w:rPr>
        <w:t xml:space="preserve">nota di lettura</w:t>
      </w:r>
      <w:r>
        <w:rPr>
          <w:rFonts w:ascii="Times New Roman" w:cs="Times New Roman" w:eastAsia="Times New Roman" w:hAnsi="Times New Roman"/>
          <w:sz w:val="24"/>
          <w:szCs w:val="24"/>
        </w:rPr>
        <w:t xml:space="preserve">, che ha lo stesso rango delle note di revisione con cui l'opera ha sempre corretto se stessa senza riscritture silenziose:</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Dove l'opera scrive «le Brigate Rosse» come autore di un fatto criminoso</w:t>
      </w:r>
      <w:r>
        <w:rPr>
          <w:rFonts w:ascii="Times New Roman" w:cs="Times New Roman" w:eastAsia="Times New Roman" w:hAnsi="Times New Roman"/>
          <w:sz w:val="24"/>
          <w:szCs w:val="24"/>
        </w:rPr>
        <w:t xml:space="preserve"> (l'agguato, il sequestro, l'omicidio), la formula va letta come abbreviazione storiografica di: «</w:t>
      </w:r>
      <w:r>
        <w:rPr>
          <w:rFonts w:ascii="Times New Roman" w:cs="Times New Roman" w:eastAsia="Times New Roman" w:hAnsi="Times New Roman"/>
          <w:b/>
          <w:bCs/>
          <w:sz w:val="24"/>
          <w:szCs w:val="24"/>
        </w:rPr>
        <w:t xml:space="preserve">le persone singolarmente condannate in via definitiva per quel fatto</w:t>
      </w:r>
      <w:r>
        <w:rPr>
          <w:rFonts w:ascii="Times New Roman" w:cs="Times New Roman" w:eastAsia="Times New Roman" w:hAnsi="Times New Roman"/>
          <w:sz w:val="24"/>
          <w:szCs w:val="24"/>
        </w:rPr>
        <w:t xml:space="preserve">, elencate nel registro del capitolo settantanovesimo, ciascuna per la condotta ivi indicata».</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Gli atti collettivi documentati dell'organizzazione restano fatti dell'organizzazione</w:t>
      </w:r>
      <w:r>
        <w:rPr>
          <w:rFonts w:ascii="Times New Roman" w:cs="Times New Roman" w:eastAsia="Times New Roman" w:hAnsi="Times New Roman"/>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Times New Roman" w:cs="Times New Roman" w:eastAsia="Times New Roman" w:hAnsi="Times New Roman"/>
          <w:b/>
          <w:bCs/>
          <w:sz w:val="24"/>
          <w:szCs w:val="24"/>
        </w:rPr>
        <w:t xml:space="preserve">persona per persona</w:t>
      </w:r>
      <w:r>
        <w:rPr>
          <w:rFonts w:ascii="Times New Roman" w:cs="Times New Roman" w:eastAsia="Times New Roman" w:hAnsi="Times New Roman"/>
          <w:sz w:val="24"/>
          <w:szCs w:val="24"/>
        </w:rPr>
        <w:t xml:space="preserve">.</w:t>
      </w:r>
    </w:p>
    <w:p>
      <w:pPr>
        <w:spacing w:after="40"/>
        <w:ind w:left="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Nessuna proprietà del gruppo si trasmette ai membri, e nessuna colpa dei membri si trasmette al gruppo o agli altri membri.</w:t>
      </w:r>
      <w:r>
        <w:rPr>
          <w:rFonts w:ascii="Times New Roman" w:cs="Times New Roman" w:eastAsia="Times New Roman" w:hAnsi="Times New Roman"/>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Times New Roman" w:cs="Times New Roman" w:eastAsia="Times New Roman" w:hAnsi="Times New Roman"/>
          <w:sz w:val="24"/>
          <w:szCs w:val="24"/>
        </w:rPr>
        <w:t xml:space="preserve">4. La stessa lettura vale per </w:t>
      </w:r>
      <w:r>
        <w:rPr>
          <w:rFonts w:ascii="Times New Roman" w:cs="Times New Roman" w:eastAsia="Times New Roman" w:hAnsi="Times New Roman"/>
          <w:b/>
          <w:bCs/>
          <w:sz w:val="24"/>
          <w:szCs w:val="24"/>
        </w:rPr>
        <w:t xml:space="preserve">ogni altro gruppo</w:t>
      </w:r>
      <w:r>
        <w:rPr>
          <w:rFonts w:ascii="Times New Roman" w:cs="Times New Roman" w:eastAsia="Times New Roman" w:hAnsi="Times New Roman"/>
          <w:sz w:val="24"/>
          <w:szCs w:val="24"/>
        </w:rPr>
        <w:t xml:space="preserve"> nominato nel corpus — i GAP, il Superclan, Hyperion, i Lupi Grigi delle ricognizioni turche, l'Opus Dei dei versanti mediterranei: </w:t>
      </w:r>
      <w:r>
        <w:rPr>
          <w:rFonts w:ascii="Times New Roman" w:cs="Times New Roman" w:eastAsia="Times New Roman" w:hAnsi="Times New Roman"/>
          <w:b/>
          <w:bCs/>
          <w:sz w:val="24"/>
          <w:szCs w:val="24"/>
        </w:rPr>
        <w:t xml:space="preserve">mai</w:t>
      </w:r>
      <w:r>
        <w:rPr>
          <w:rFonts w:ascii="Times New Roman" w:cs="Times New Roman" w:eastAsia="Times New Roman" w:hAnsi="Times New Roman"/>
          <w:sz w:val="24"/>
          <w:szCs w:val="24"/>
        </w:rPr>
        <w:t xml:space="preserve"> un'attribuzione di condotta all'ente come veicolo di colpa delle persone, </w:t>
      </w:r>
      <w:r>
        <w:rPr>
          <w:rFonts w:ascii="Times New Roman" w:cs="Times New Roman" w:eastAsia="Times New Roman" w:hAnsi="Times New Roman"/>
          <w:b/>
          <w:bCs/>
          <w:sz w:val="24"/>
          <w:szCs w:val="24"/>
        </w:rPr>
        <w:t xml:space="preserve">mai</w:t>
      </w:r>
      <w:r>
        <w:rPr>
          <w:rFonts w:ascii="Times New Roman" w:cs="Times New Roman" w:eastAsia="Times New Roman" w:hAnsi="Times New Roman"/>
          <w:sz w:val="24"/>
          <w:szCs w:val="24"/>
        </w:rPr>
        <w:t xml:space="preserve"> un'appartenenza come prova.</w:t>
      </w:r>
    </w:p>
    <w:p>
      <w:pPr>
        <w:pStyle w:val="Heading1"/>
        <w:spacing w:after="120" w:before="240"/>
      </w:pPr>
      <w:r>
        <w:rPr>
          <w:rFonts w:ascii="Times New Roman" w:cs="Times New Roman" w:eastAsia="Times New Roman" w:hAnsi="Times New Roman"/>
          <w:sz w:val="24"/>
          <w:szCs w:val="24"/>
        </w:rPr>
        <w:t xml:space="preserve">Capitolo settantanovesimo — Il registro nominativo delle responsabilità personali (grado A · giudicato)</w:t>
      </w:r>
    </w:p>
    <w:p>
      <w:pPr>
        <w:spacing w:after="120" w:line="276"/>
        <w:jc w:val="both"/>
      </w:pPr>
      <w:r>
        <w:rPr>
          <w:rFonts w:ascii="Times New Roman" w:cs="Times New Roman" w:eastAsia="Times New Roman" w:hAnsi="Times New Roman"/>
          <w:sz w:val="24"/>
          <w:szCs w:val="24"/>
        </w:rPr>
        <w:t xml:space="preserve">Questo è il cuore della Fase: le persone la cui responsabilità nel caso Moro è stata accertata da </w:t>
      </w:r>
      <w:r>
        <w:rPr>
          <w:rFonts w:ascii="Times New Roman" w:cs="Times New Roman" w:eastAsia="Times New Roman" w:hAnsi="Times New Roman"/>
          <w:b/>
          <w:bCs/>
          <w:sz w:val="24"/>
          <w:szCs w:val="24"/>
        </w:rPr>
        <w:t xml:space="preserve">sentenza definitiva</w:t>
      </w:r>
      <w:r>
        <w:rPr>
          <w:rFonts w:ascii="Times New Roman" w:cs="Times New Roman" w:eastAsia="Times New Roman" w:hAnsi="Times New Roman"/>
          <w:sz w:val="24"/>
          <w:szCs w:val="24"/>
        </w:rPr>
        <w:t xml:space="preserve">, ciascuna con la </w:t>
      </w:r>
      <w:r>
        <w:rPr>
          <w:rFonts w:ascii="Times New Roman" w:cs="Times New Roman" w:eastAsia="Times New Roman" w:hAnsi="Times New Roman"/>
          <w:b/>
          <w:bCs/>
          <w:sz w:val="24"/>
          <w:szCs w:val="24"/>
        </w:rPr>
        <w:t xml:space="preserve">propria</w:t>
      </w:r>
      <w:r>
        <w:rPr>
          <w:rFonts w:ascii="Times New Roman" w:cs="Times New Roman" w:eastAsia="Times New Roman" w:hAnsi="Times New Roman"/>
          <w:sz w:val="24"/>
          <w:szCs w:val="24"/>
        </w:rPr>
        <w:t xml:space="preserve"> condotta — non un elenco di gruppo, ma tredici giudizi individuali. Le pene si indicano solo dove verificate; l'appartenenza è riportata come </w:t>
      </w:r>
      <w:r>
        <w:rPr>
          <w:rFonts w:ascii="Times New Roman" w:cs="Times New Roman" w:eastAsia="Times New Roman" w:hAnsi="Times New Roman"/>
          <w:b/>
          <w:bCs/>
          <w:sz w:val="24"/>
          <w:szCs w:val="24"/>
        </w:rPr>
        <w:t xml:space="preserve">fatto biografico</w:t>
      </w:r>
      <w:r>
        <w:rPr>
          <w:rFonts w:ascii="Times New Roman" w:cs="Times New Roman" w:eastAsia="Times New Roman" w:hAnsi="Times New Roman"/>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Persona</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Condotta accertata in giudicato (personale)</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Processo e definitività</w:t>
            </w:r>
          </w:p>
        </w:tc>
      </w:tr>
      <w:tr>
        <w:tc>
          <w:tcPr>
            <w:tcW w:type="dxa" w:w="3120"/>
          </w:tcPr>
          <w:p>
            <w:pPr>
              <w:spacing w:after="20" w:before="20"/>
              <w:jc w:val="left"/>
            </w:pPr>
            <w:r>
              <w:rPr>
                <w:rFonts w:ascii="Times New Roman" w:cs="Times New Roman" w:eastAsia="Times New Roman" w:hAnsi="Times New Roman"/>
                <w:b/>
                <w:bCs/>
                <w:sz w:val="20"/>
                <w:szCs w:val="20"/>
              </w:rPr>
              <w:t xml:space="preserve">Mario Moretti</w:t>
            </w:r>
          </w:p>
        </w:tc>
        <w:tc>
          <w:tcPr>
            <w:tcW w:type="dxa" w:w="3120"/>
          </w:tcPr>
          <w:p>
            <w:pPr>
              <w:spacing w:after="20" w:before="20"/>
              <w:jc w:val="left"/>
            </w:pPr>
            <w:r>
              <w:rPr>
                <w:rFonts w:ascii="Times New Roman" w:cs="Times New Roman" w:eastAsia="Times New Roman" w:hAnsi="Times New Roman"/>
                <w:sz w:val="20"/>
                <w:szCs w:val="20"/>
              </w:rPr>
              <w:t xml:space="preserve">Direzione dell'operazione ed esecuzione materiale dell'omicidio (per sua ammissione, recepita dal giudicato). Ergastolo</w:t>
            </w:r>
          </w:p>
        </w:tc>
        <w:tc>
          <w:tcPr>
            <w:tcW w:type="dxa" w:w="3120"/>
          </w:tcPr>
          <w:p>
            <w:pPr>
              <w:spacing w:after="20" w:before="20"/>
              <w:jc w:val="left"/>
            </w:pPr>
            <w:r>
              <w:rPr>
                <w:rFonts w:ascii="Times New Roman" w:cs="Times New Roman" w:eastAsia="Times New Roman" w:hAnsi="Times New Roman"/>
                <w:sz w:val="20"/>
                <w:szCs w:val="20"/>
              </w:rPr>
              <w:t xml:space="preserve">Moro uno/bis (I Assise Roma, 24/1/1983); definitivo con l'esaurimento dei gradi (1985)</w:t>
            </w:r>
          </w:p>
        </w:tc>
      </w:tr>
      <w:tr>
        <w:tc>
          <w:tcPr>
            <w:tcW w:type="dxa" w:w="3120"/>
          </w:tcPr>
          <w:p>
            <w:pPr>
              <w:spacing w:after="20" w:before="20"/>
              <w:jc w:val="left"/>
            </w:pPr>
            <w:r>
              <w:rPr>
                <w:rFonts w:ascii="Times New Roman" w:cs="Times New Roman" w:eastAsia="Times New Roman" w:hAnsi="Times New Roman"/>
                <w:b/>
                <w:bCs/>
                <w:sz w:val="20"/>
                <w:szCs w:val="20"/>
              </w:rPr>
              <w:t xml:space="preserve">Prospero Gallinari</w:t>
            </w:r>
          </w:p>
        </w:tc>
        <w:tc>
          <w:tcPr>
            <w:tcW w:type="dxa" w:w="3120"/>
          </w:tcPr>
          <w:p>
            <w:pPr>
              <w:spacing w:after="20" w:before="20"/>
              <w:jc w:val="left"/>
            </w:pPr>
            <w:r>
              <w:rPr>
                <w:rFonts w:ascii="Times New Roman" w:cs="Times New Roman" w:eastAsia="Times New Roman" w:hAnsi="Times New Roman"/>
                <w:sz w:val="20"/>
                <w:szCs w:val="20"/>
              </w:rPr>
              <w:t xml:space="preserve">Componente del commando di via Fani e della gestione della prigionia</w:t>
            </w:r>
          </w:p>
        </w:tc>
        <w:tc>
          <w:tcPr>
            <w:tcW w:type="dxa" w:w="3120"/>
          </w:tcPr>
          <w:p>
            <w:pPr>
              <w:spacing w:after="20" w:before="20"/>
              <w:jc w:val="left"/>
            </w:pPr>
            <w:r>
              <w:rPr>
                <w:rFonts w:ascii="Times New Roman" w:cs="Times New Roman" w:eastAsia="Times New Roman" w:hAnsi="Times New Roman"/>
                <w:sz w:val="20"/>
                <w:szCs w:val="20"/>
              </w:rPr>
              <w:t xml:space="preserve">Moro uno/bis; definitivo 1985</w:t>
            </w:r>
          </w:p>
        </w:tc>
      </w:tr>
      <w:tr>
        <w:tc>
          <w:tcPr>
            <w:tcW w:type="dxa" w:w="3120"/>
          </w:tcPr>
          <w:p>
            <w:pPr>
              <w:spacing w:after="20" w:before="20"/>
              <w:jc w:val="left"/>
            </w:pPr>
            <w:r>
              <w:rPr>
                <w:rFonts w:ascii="Times New Roman" w:cs="Times New Roman" w:eastAsia="Times New Roman" w:hAnsi="Times New Roman"/>
                <w:b/>
                <w:bCs/>
                <w:sz w:val="20"/>
                <w:szCs w:val="20"/>
              </w:rPr>
              <w:t xml:space="preserve">Valerio Morucci</w:t>
            </w:r>
          </w:p>
        </w:tc>
        <w:tc>
          <w:tcPr>
            <w:tcW w:type="dxa" w:w="3120"/>
          </w:tcPr>
          <w:p>
            <w:pPr>
              <w:spacing w:after="20" w:before="20"/>
              <w:jc w:val="left"/>
            </w:pPr>
            <w:r>
              <w:rPr>
                <w:rFonts w:ascii="Times New Roman" w:cs="Times New Roman" w:eastAsia="Times New Roman" w:hAnsi="Times New Roman"/>
                <w:sz w:val="20"/>
                <w:szCs w:val="20"/>
              </w:rPr>
              <w:t xml:space="preserve">Componente del commando di via Fani</w:t>
            </w:r>
          </w:p>
        </w:tc>
        <w:tc>
          <w:tcPr>
            <w:tcW w:type="dxa" w:w="3120"/>
          </w:tcPr>
          <w:p>
            <w:pPr>
              <w:spacing w:after="20" w:before="20"/>
              <w:jc w:val="left"/>
            </w:pPr>
            <w:r>
              <w:rPr>
                <w:rFonts w:ascii="Times New Roman" w:cs="Times New Roman" w:eastAsia="Times New Roman" w:hAnsi="Times New Roman"/>
                <w:sz w:val="20"/>
                <w:szCs w:val="20"/>
              </w:rPr>
              <w:t xml:space="preserve">Moro uno/bis; definitivo 1985</w:t>
            </w:r>
          </w:p>
        </w:tc>
      </w:tr>
      <w:tr>
        <w:tc>
          <w:tcPr>
            <w:tcW w:type="dxa" w:w="3120"/>
          </w:tcPr>
          <w:p>
            <w:pPr>
              <w:spacing w:after="20" w:before="20"/>
              <w:jc w:val="left"/>
            </w:pPr>
            <w:r>
              <w:rPr>
                <w:rFonts w:ascii="Times New Roman" w:cs="Times New Roman" w:eastAsia="Times New Roman" w:hAnsi="Times New Roman"/>
                <w:b/>
                <w:bCs/>
                <w:sz w:val="20"/>
                <w:szCs w:val="20"/>
              </w:rPr>
              <w:t xml:space="preserve">Adriana Faranda</w:t>
            </w:r>
          </w:p>
        </w:tc>
        <w:tc>
          <w:tcPr>
            <w:tcW w:type="dxa" w:w="3120"/>
          </w:tcPr>
          <w:p>
            <w:pPr>
              <w:spacing w:after="20" w:before="20"/>
              <w:jc w:val="left"/>
            </w:pPr>
            <w:r>
              <w:rPr>
                <w:rFonts w:ascii="Times New Roman" w:cs="Times New Roman" w:eastAsia="Times New Roman" w:hAnsi="Times New Roman"/>
                <w:sz w:val="20"/>
                <w:szCs w:val="20"/>
              </w:rPr>
              <w:t xml:space="preserve">Concorso nella gestione del sequestro (non presente in via Fani)</w:t>
            </w:r>
          </w:p>
        </w:tc>
        <w:tc>
          <w:tcPr>
            <w:tcW w:type="dxa" w:w="3120"/>
          </w:tcPr>
          <w:p>
            <w:pPr>
              <w:spacing w:after="20" w:before="20"/>
              <w:jc w:val="left"/>
            </w:pPr>
            <w:r>
              <w:rPr>
                <w:rFonts w:ascii="Times New Roman" w:cs="Times New Roman" w:eastAsia="Times New Roman" w:hAnsi="Times New Roman"/>
                <w:sz w:val="20"/>
                <w:szCs w:val="20"/>
              </w:rPr>
              <w:t xml:space="preserve">Moro uno/bis; definitivo 1985</w:t>
            </w:r>
          </w:p>
        </w:tc>
      </w:tr>
      <w:tr>
        <w:tc>
          <w:tcPr>
            <w:tcW w:type="dxa" w:w="3120"/>
          </w:tcPr>
          <w:p>
            <w:pPr>
              <w:spacing w:after="20" w:before="20"/>
              <w:jc w:val="left"/>
            </w:pPr>
            <w:r>
              <w:rPr>
                <w:rFonts w:ascii="Times New Roman" w:cs="Times New Roman" w:eastAsia="Times New Roman" w:hAnsi="Times New Roman"/>
                <w:b/>
                <w:bCs/>
                <w:sz w:val="20"/>
                <w:szCs w:val="20"/>
              </w:rPr>
              <w:t xml:space="preserve">Raffaele Fiore</w:t>
            </w:r>
          </w:p>
        </w:tc>
        <w:tc>
          <w:tcPr>
            <w:tcW w:type="dxa" w:w="3120"/>
          </w:tcPr>
          <w:p>
            <w:pPr>
              <w:spacing w:after="20" w:before="20"/>
              <w:jc w:val="left"/>
            </w:pPr>
            <w:r>
              <w:rPr>
                <w:rFonts w:ascii="Times New Roman" w:cs="Times New Roman" w:eastAsia="Times New Roman" w:hAnsi="Times New Roman"/>
                <w:sz w:val="20"/>
                <w:szCs w:val="20"/>
              </w:rPr>
              <w:t xml:space="preserve">Componente del commando di via Fani</w:t>
            </w:r>
          </w:p>
        </w:tc>
        <w:tc>
          <w:tcPr>
            <w:tcW w:type="dxa" w:w="3120"/>
          </w:tcPr>
          <w:p>
            <w:pPr>
              <w:spacing w:after="20" w:before="20"/>
              <w:jc w:val="left"/>
            </w:pPr>
            <w:r>
              <w:rPr>
                <w:rFonts w:ascii="Times New Roman" w:cs="Times New Roman" w:eastAsia="Times New Roman" w:hAnsi="Times New Roman"/>
                <w:sz w:val="20"/>
                <w:szCs w:val="20"/>
              </w:rPr>
              <w:t xml:space="preserve">Moro uno/bis; definitivo 1985</w:t>
            </w:r>
          </w:p>
        </w:tc>
      </w:tr>
      <w:tr>
        <w:tc>
          <w:tcPr>
            <w:tcW w:type="dxa" w:w="3120"/>
          </w:tcPr>
          <w:p>
            <w:pPr>
              <w:spacing w:after="20" w:before="20"/>
              <w:jc w:val="left"/>
            </w:pPr>
            <w:r>
              <w:rPr>
                <w:rFonts w:ascii="Times New Roman" w:cs="Times New Roman" w:eastAsia="Times New Roman" w:hAnsi="Times New Roman"/>
                <w:b/>
                <w:bCs/>
                <w:sz w:val="20"/>
                <w:szCs w:val="20"/>
              </w:rPr>
              <w:t xml:space="preserve">Franco Bonisoli</w:t>
            </w:r>
          </w:p>
        </w:tc>
        <w:tc>
          <w:tcPr>
            <w:tcW w:type="dxa" w:w="3120"/>
          </w:tcPr>
          <w:p>
            <w:pPr>
              <w:spacing w:after="20" w:before="20"/>
              <w:jc w:val="left"/>
            </w:pPr>
            <w:r>
              <w:rPr>
                <w:rFonts w:ascii="Times New Roman" w:cs="Times New Roman" w:eastAsia="Times New Roman" w:hAnsi="Times New Roman"/>
                <w:sz w:val="20"/>
                <w:szCs w:val="20"/>
              </w:rPr>
              <w:t xml:space="preserve">Componente del commando di via Fani</w:t>
            </w:r>
          </w:p>
        </w:tc>
        <w:tc>
          <w:tcPr>
            <w:tcW w:type="dxa" w:w="3120"/>
          </w:tcPr>
          <w:p>
            <w:pPr>
              <w:spacing w:after="20" w:before="20"/>
              <w:jc w:val="left"/>
            </w:pPr>
            <w:r>
              <w:rPr>
                <w:rFonts w:ascii="Times New Roman" w:cs="Times New Roman" w:eastAsia="Times New Roman" w:hAnsi="Times New Roman"/>
                <w:sz w:val="20"/>
                <w:szCs w:val="20"/>
              </w:rPr>
              <w:t xml:space="preserve">Moro uno/bis; definitivo 1985</w:t>
            </w:r>
          </w:p>
        </w:tc>
      </w:tr>
      <w:tr>
        <w:tc>
          <w:tcPr>
            <w:tcW w:type="dxa" w:w="3120"/>
          </w:tcPr>
          <w:p>
            <w:pPr>
              <w:spacing w:after="20" w:before="20"/>
              <w:jc w:val="left"/>
            </w:pPr>
            <w:r>
              <w:rPr>
                <w:rFonts w:ascii="Times New Roman" w:cs="Times New Roman" w:eastAsia="Times New Roman" w:hAnsi="Times New Roman"/>
                <w:b/>
                <w:bCs/>
                <w:sz w:val="20"/>
                <w:szCs w:val="20"/>
              </w:rPr>
              <w:t xml:space="preserve">Barbara Balzerani</w:t>
            </w:r>
          </w:p>
        </w:tc>
        <w:tc>
          <w:tcPr>
            <w:tcW w:type="dxa" w:w="3120"/>
          </w:tcPr>
          <w:p>
            <w:pPr>
              <w:spacing w:after="20" w:before="20"/>
              <w:jc w:val="left"/>
            </w:pPr>
            <w:r>
              <w:rPr>
                <w:rFonts w:ascii="Times New Roman" w:cs="Times New Roman" w:eastAsia="Times New Roman" w:hAnsi="Times New Roman"/>
                <w:sz w:val="20"/>
                <w:szCs w:val="20"/>
              </w:rPr>
              <w:t xml:space="preserve">Componente del commando di via Fani e della gestione del sequestro</w:t>
            </w:r>
          </w:p>
        </w:tc>
        <w:tc>
          <w:tcPr>
            <w:tcW w:type="dxa" w:w="3120"/>
          </w:tcPr>
          <w:p>
            <w:pPr>
              <w:spacing w:after="20" w:before="20"/>
              <w:jc w:val="left"/>
            </w:pPr>
            <w:r>
              <w:rPr>
                <w:rFonts w:ascii="Times New Roman" w:cs="Times New Roman" w:eastAsia="Times New Roman" w:hAnsi="Times New Roman"/>
                <w:sz w:val="20"/>
                <w:szCs w:val="20"/>
              </w:rPr>
              <w:t xml:space="preserve">Moro uno/bis; definitivo 1985</w:t>
            </w:r>
          </w:p>
        </w:tc>
      </w:tr>
      <w:tr>
        <w:tc>
          <w:tcPr>
            <w:tcW w:type="dxa" w:w="3120"/>
          </w:tcPr>
          <w:p>
            <w:pPr>
              <w:spacing w:after="20" w:before="20"/>
              <w:jc w:val="left"/>
            </w:pPr>
            <w:r>
              <w:rPr>
                <w:rFonts w:ascii="Times New Roman" w:cs="Times New Roman" w:eastAsia="Times New Roman" w:hAnsi="Times New Roman"/>
                <w:b/>
                <w:bCs/>
                <w:sz w:val="20"/>
                <w:szCs w:val="20"/>
              </w:rPr>
              <w:t xml:space="preserve">Bruno Seghetti</w:t>
            </w:r>
          </w:p>
        </w:tc>
        <w:tc>
          <w:tcPr>
            <w:tcW w:type="dxa" w:w="3120"/>
          </w:tcPr>
          <w:p>
            <w:pPr>
              <w:spacing w:after="20" w:before="20"/>
              <w:jc w:val="left"/>
            </w:pPr>
            <w:r>
              <w:rPr>
                <w:rFonts w:ascii="Times New Roman" w:cs="Times New Roman" w:eastAsia="Times New Roman" w:hAnsi="Times New Roman"/>
                <w:sz w:val="20"/>
                <w:szCs w:val="20"/>
              </w:rPr>
              <w:t xml:space="preserve">Componente del commando di via Fani</w:t>
            </w:r>
          </w:p>
        </w:tc>
        <w:tc>
          <w:tcPr>
            <w:tcW w:type="dxa" w:w="3120"/>
          </w:tcPr>
          <w:p>
            <w:pPr>
              <w:spacing w:after="20" w:before="20"/>
              <w:jc w:val="left"/>
            </w:pPr>
            <w:r>
              <w:rPr>
                <w:rFonts w:ascii="Times New Roman" w:cs="Times New Roman" w:eastAsia="Times New Roman" w:hAnsi="Times New Roman"/>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left"/>
            </w:pPr>
            <w:r>
              <w:rPr>
                <w:rFonts w:ascii="Times New Roman" w:cs="Times New Roman" w:eastAsia="Times New Roman" w:hAnsi="Times New Roman"/>
                <w:b/>
                <w:bCs/>
                <w:sz w:val="20"/>
                <w:szCs w:val="20"/>
              </w:rPr>
              <w:t xml:space="preserve">Anna Laura Braghetti</w:t>
            </w:r>
          </w:p>
        </w:tc>
        <w:tc>
          <w:tcPr>
            <w:tcW w:type="dxa" w:w="3120"/>
          </w:tcPr>
          <w:p>
            <w:pPr>
              <w:spacing w:after="20" w:before="20"/>
              <w:jc w:val="left"/>
            </w:pPr>
            <w:r>
              <w:rPr>
                <w:rFonts w:ascii="Times New Roman" w:cs="Times New Roman" w:eastAsia="Times New Roman" w:hAnsi="Times New Roman"/>
                <w:sz w:val="20"/>
                <w:szCs w:val="20"/>
              </w:rPr>
              <w:t xml:space="preserve">L'appartamento-prigione: acquisto di via Montalcini 8 (giugno 1977) e custodia della prigione per i cinquantacinque giorni. Ergastolo</w:t>
            </w:r>
          </w:p>
        </w:tc>
        <w:tc>
          <w:tcPr>
            <w:tcW w:type="dxa" w:w="3120"/>
          </w:tcPr>
          <w:p>
            <w:pPr>
              <w:spacing w:after="20" w:before="20"/>
              <w:jc w:val="left"/>
            </w:pPr>
            <w:r>
              <w:rPr>
                <w:rFonts w:ascii="Times New Roman" w:cs="Times New Roman" w:eastAsia="Times New Roman" w:hAnsi="Times New Roman"/>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left"/>
            </w:pPr>
            <w:r>
              <w:rPr>
                <w:rFonts w:ascii="Times New Roman" w:cs="Times New Roman" w:eastAsia="Times New Roman" w:hAnsi="Times New Roman"/>
                <w:b/>
                <w:bCs/>
                <w:sz w:val="20"/>
                <w:szCs w:val="20"/>
              </w:rPr>
              <w:t xml:space="preserve">Alessio Casimirri</w:t>
            </w:r>
          </w:p>
        </w:tc>
        <w:tc>
          <w:tcPr>
            <w:tcW w:type="dxa" w:w="3120"/>
          </w:tcPr>
          <w:p>
            <w:pPr>
              <w:spacing w:after="20" w:before="20"/>
              <w:jc w:val="left"/>
            </w:pPr>
            <w:r>
              <w:rPr>
                <w:rFonts w:ascii="Times New Roman" w:cs="Times New Roman" w:eastAsia="Times New Roman" w:hAnsi="Times New Roman"/>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left"/>
            </w:pPr>
            <w:r>
              <w:rPr>
                <w:rFonts w:ascii="Times New Roman" w:cs="Times New Roman" w:eastAsia="Times New Roman" w:hAnsi="Times New Roman"/>
                <w:sz w:val="20"/>
                <w:szCs w:val="20"/>
              </w:rPr>
              <w:t xml:space="preserve">Definitivo (Wikipedia (https://it.wikipedia.org/wiki/Alessio_Casimirri); richieste di estradizione respinte dal Nicaragua)</w:t>
            </w:r>
          </w:p>
        </w:tc>
      </w:tr>
      <w:tr>
        <w:tc>
          <w:tcPr>
            <w:tcW w:type="dxa" w:w="3120"/>
          </w:tcPr>
          <w:p>
            <w:pPr>
              <w:spacing w:after="20" w:before="20"/>
              <w:jc w:val="left"/>
            </w:pPr>
            <w:r>
              <w:rPr>
                <w:rFonts w:ascii="Times New Roman" w:cs="Times New Roman" w:eastAsia="Times New Roman" w:hAnsi="Times New Roman"/>
                <w:b/>
                <w:bCs/>
                <w:sz w:val="20"/>
                <w:szCs w:val="20"/>
              </w:rPr>
              <w:t xml:space="preserve">Alvaro Lojacono</w:t>
            </w:r>
          </w:p>
        </w:tc>
        <w:tc>
          <w:tcPr>
            <w:tcW w:type="dxa" w:w="3120"/>
          </w:tcPr>
          <w:p>
            <w:pPr>
              <w:spacing w:after="20" w:before="20"/>
              <w:jc w:val="left"/>
            </w:pPr>
            <w:r>
              <w:rPr>
                <w:rFonts w:ascii="Times New Roman" w:cs="Times New Roman" w:eastAsia="Times New Roman" w:hAnsi="Times New Roman"/>
                <w:sz w:val="20"/>
                <w:szCs w:val="20"/>
              </w:rPr>
              <w:t xml:space="preserve">Responsabilità per l'intero arco 16 marzo – 9 maggio</w:t>
            </w:r>
          </w:p>
        </w:tc>
        <w:tc>
          <w:tcPr>
            <w:tcW w:type="dxa" w:w="3120"/>
          </w:tcPr>
          <w:p>
            <w:pPr>
              <w:spacing w:after="20" w:before="20"/>
              <w:jc w:val="left"/>
            </w:pPr>
            <w:r>
              <w:rPr>
                <w:rFonts w:ascii="Times New Roman" w:cs="Times New Roman" w:eastAsia="Times New Roman" w:hAnsi="Times New Roman"/>
                <w:sz w:val="20"/>
                <w:szCs w:val="20"/>
              </w:rPr>
              <w:t xml:space="preserve">Moro quater; definitivo in Cassazione 14/5/1997</w:t>
            </w:r>
          </w:p>
        </w:tc>
      </w:tr>
      <w:tr>
        <w:tc>
          <w:tcPr>
            <w:tcW w:type="dxa" w:w="3120"/>
          </w:tcPr>
          <w:p>
            <w:pPr>
              <w:spacing w:after="20" w:before="20"/>
              <w:jc w:val="left"/>
            </w:pPr>
            <w:r>
              <w:rPr>
                <w:rFonts w:ascii="Times New Roman" w:cs="Times New Roman" w:eastAsia="Times New Roman" w:hAnsi="Times New Roman"/>
                <w:b/>
                <w:bCs/>
                <w:sz w:val="20"/>
                <w:szCs w:val="20"/>
              </w:rPr>
              <w:t xml:space="preserve">Germano Maccari</w:t>
            </w:r>
          </w:p>
        </w:tc>
        <w:tc>
          <w:tcPr>
            <w:tcW w:type="dxa" w:w="3120"/>
          </w:tcPr>
          <w:p>
            <w:pPr>
              <w:spacing w:after="20" w:before="20"/>
              <w:jc w:val="left"/>
            </w:pPr>
            <w:r>
              <w:rPr>
                <w:rFonts w:ascii="Times New Roman" w:cs="Times New Roman" w:eastAsia="Times New Roman" w:hAnsi="Times New Roman"/>
                <w:sz w:val="20"/>
                <w:szCs w:val="20"/>
              </w:rPr>
              <w:t xml:space="preserve">Il «quarto uomo» del covo di via Montalcini</w:t>
            </w:r>
          </w:p>
        </w:tc>
        <w:tc>
          <w:tcPr>
            <w:tcW w:type="dxa" w:w="3120"/>
          </w:tcPr>
          <w:p>
            <w:pPr>
              <w:spacing w:after="20" w:before="20"/>
              <w:jc w:val="left"/>
            </w:pPr>
            <w:r>
              <w:rPr>
                <w:rFonts w:ascii="Times New Roman" w:cs="Times New Roman" w:eastAsia="Times New Roman" w:hAnsi="Times New Roman"/>
                <w:sz w:val="20"/>
                <w:szCs w:val="20"/>
              </w:rPr>
              <w:t xml:space="preserve">Moro quinquies; definitivo 1999</w:t>
            </w:r>
          </w:p>
        </w:tc>
      </w:tr>
      <w:tr>
        <w:tc>
          <w:tcPr>
            <w:tcW w:type="dxa" w:w="3120"/>
          </w:tcPr>
          <w:p>
            <w:pPr>
              <w:spacing w:after="20" w:before="20"/>
              <w:jc w:val="left"/>
            </w:pPr>
            <w:r>
              <w:rPr>
                <w:rFonts w:ascii="Times New Roman" w:cs="Times New Roman" w:eastAsia="Times New Roman" w:hAnsi="Times New Roman"/>
                <w:b/>
                <w:bCs/>
                <w:sz w:val="20"/>
                <w:szCs w:val="20"/>
              </w:rPr>
              <w:t xml:space="preserve">Raimondo Etro</w:t>
            </w:r>
          </w:p>
        </w:tc>
        <w:tc>
          <w:tcPr>
            <w:tcW w:type="dxa" w:w="3120"/>
          </w:tcPr>
          <w:p>
            <w:pPr>
              <w:spacing w:after="20" w:before="20"/>
              <w:jc w:val="left"/>
            </w:pPr>
            <w:r>
              <w:rPr>
                <w:rFonts w:ascii="Times New Roman" w:cs="Times New Roman" w:eastAsia="Times New Roman" w:hAnsi="Times New Roman"/>
                <w:sz w:val="20"/>
                <w:szCs w:val="20"/>
              </w:rPr>
              <w:t xml:space="preserve">Fasi collaterali dell'operazione</w:t>
            </w:r>
          </w:p>
        </w:tc>
        <w:tc>
          <w:tcPr>
            <w:tcW w:type="dxa" w:w="3120"/>
          </w:tcPr>
          <w:p>
            <w:pPr>
              <w:spacing w:after="20" w:before="20"/>
              <w:jc w:val="left"/>
            </w:pPr>
            <w:r>
              <w:rPr>
                <w:rFonts w:ascii="Times New Roman" w:cs="Times New Roman" w:eastAsia="Times New Roman" w:hAnsi="Times New Roman"/>
                <w:sz w:val="20"/>
                <w:szCs w:val="20"/>
              </w:rPr>
              <w:t xml:space="preserve">Moro quinquies</w:t>
            </w:r>
          </w:p>
        </w:tc>
      </w:tr>
    </w:tbl>
    <w:p>
      <w:pPr>
        <w:spacing w:after="80"/>
      </w:pPr>
    </w:p>
    <w:p>
      <w:pPr>
        <w:spacing w:after="120" w:line="276"/>
        <w:jc w:val="both"/>
      </w:pPr>
      <w:r>
        <w:rPr>
          <w:rFonts w:ascii="Times New Roman" w:cs="Times New Roman" w:eastAsia="Times New Roman" w:hAnsi="Times New Roman"/>
          <w:sz w:val="24"/>
          <w:szCs w:val="24"/>
        </w:rPr>
        <w:t xml:space="preserve">Tre avvertenze governano il registro, e sono il suo senso.</w:t>
      </w:r>
    </w:p>
    <w:p>
      <w:pPr>
        <w:spacing w:after="120" w:line="276"/>
        <w:jc w:val="both"/>
      </w:pPr>
      <w:r>
        <w:rPr>
          <w:rFonts w:ascii="Times New Roman" w:cs="Times New Roman" w:eastAsia="Times New Roman" w:hAnsi="Times New Roman"/>
          <w:b/>
          <w:bCs/>
          <w:sz w:val="24"/>
          <w:szCs w:val="24"/>
        </w:rPr>
        <w:t xml:space="preserve">Prima</w:t>
      </w:r>
      <w:r>
        <w:rPr>
          <w:rFonts w:ascii="Times New Roman" w:cs="Times New Roman" w:eastAsia="Times New Roman" w:hAnsi="Times New Roman"/>
          <w:sz w:val="24"/>
          <w:szCs w:val="24"/>
        </w:rPr>
        <w:t xml:space="preserve">: il registro </w:t>
      </w:r>
      <w:r>
        <w:rPr>
          <w:rFonts w:ascii="Times New Roman" w:cs="Times New Roman" w:eastAsia="Times New Roman" w:hAnsi="Times New Roman"/>
          <w:b/>
          <w:bCs/>
          <w:sz w:val="24"/>
          <w:szCs w:val="24"/>
        </w:rPr>
        <w:t xml:space="preserve">non è l'elenco dei trentadue ergastoli</w:t>
      </w:r>
      <w:r>
        <w:rPr>
          <w:rFonts w:ascii="Times New Roman" w:cs="Times New Roman" w:eastAsia="Times New Roman" w:hAnsi="Times New Roman"/>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Times New Roman" w:cs="Times New Roman" w:eastAsia="Times New Roman" w:hAnsi="Times New Roman"/>
          <w:b/>
          <w:bCs/>
          <w:sz w:val="24"/>
          <w:szCs w:val="24"/>
        </w:rPr>
        <w:t xml:space="preserve">solo</w:t>
      </w:r>
      <w:r>
        <w:rPr>
          <w:rFonts w:ascii="Times New Roman" w:cs="Times New Roman" w:eastAsia="Times New Roman" w:hAnsi="Times New Roman"/>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Times New Roman" w:cs="Times New Roman" w:eastAsia="Times New Roman" w:hAnsi="Times New Roman"/>
          <w:b/>
          <w:bCs/>
          <w:sz w:val="24"/>
          <w:szCs w:val="24"/>
        </w:rPr>
        <w:t xml:space="preserve">Seconda</w:t>
      </w:r>
      <w:r>
        <w:rPr>
          <w:rFonts w:ascii="Times New Roman" w:cs="Times New Roman" w:eastAsia="Times New Roman" w:hAnsi="Times New Roman"/>
          <w:sz w:val="24"/>
          <w:szCs w:val="24"/>
        </w:rPr>
        <w:t xml:space="preserve">: le condotte non sono equivalenti, e il registro non le appiattisce. Dirigere l'operazione, sparare in via Fani, custodire la prigione, concorrere dalla logistica: il giudicato le ha distinte, e la distinzione </w:t>
      </w:r>
      <w:r>
        <w:rPr>
          <w:rFonts w:ascii="Times New Roman" w:cs="Times New Roman" w:eastAsia="Times New Roman" w:hAnsi="Times New Roman"/>
          <w:b/>
          <w:bCs/>
          <w:sz w:val="24"/>
          <w:szCs w:val="24"/>
        </w:rPr>
        <w:t xml:space="preserve">è</w:t>
      </w:r>
      <w:r>
        <w:rPr>
          <w:rFonts w:ascii="Times New Roman" w:cs="Times New Roman" w:eastAsia="Times New Roman" w:hAnsi="Times New Roman"/>
          <w:sz w:val="24"/>
          <w:szCs w:val="24"/>
        </w:rPr>
        <w:t xml:space="preserve"> il principio personalistico all'opera. Ma il registro </w:t>
      </w:r>
      <w:r>
        <w:rPr>
          <w:rFonts w:ascii="Times New Roman" w:cs="Times New Roman" w:eastAsia="Times New Roman" w:hAnsi="Times New Roman"/>
          <w:b/>
          <w:bCs/>
          <w:sz w:val="24"/>
          <w:szCs w:val="24"/>
        </w:rPr>
        <w:t xml:space="preserve">non le ordina in graduatoria</w:t>
      </w:r>
      <w:r>
        <w:rPr>
          <w:rFonts w:ascii="Times New Roman" w:cs="Times New Roman" w:eastAsia="Times New Roman" w:hAnsi="Times New Roman"/>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Times New Roman" w:cs="Times New Roman" w:eastAsia="Times New Roman" w:hAnsi="Times New Roman"/>
          <w:b/>
          <w:bCs/>
          <w:sz w:val="24"/>
          <w:szCs w:val="24"/>
        </w:rPr>
        <w:t xml:space="preserve">Terza</w:t>
      </w:r>
      <w:r>
        <w:rPr>
          <w:rFonts w:ascii="Times New Roman" w:cs="Times New Roman" w:eastAsia="Times New Roman" w:hAnsi="Times New Roman"/>
          <w:sz w:val="24"/>
          <w:szCs w:val="24"/>
        </w:rPr>
        <w:t xml:space="preserve">: oltre queste tredici persone, </w:t>
      </w:r>
      <w:r>
        <w:rPr>
          <w:rFonts w:ascii="Times New Roman" w:cs="Times New Roman" w:eastAsia="Times New Roman" w:hAnsi="Times New Roman"/>
          <w:b/>
          <w:bCs/>
          <w:sz w:val="24"/>
          <w:szCs w:val="24"/>
        </w:rPr>
        <w:t xml:space="preserve">il registro non aggiunge nomi</w:t>
      </w:r>
      <w:r>
        <w:rPr>
          <w:rFonts w:ascii="Times New Roman" w:cs="Times New Roman" w:eastAsia="Times New Roman" w:hAnsi="Times New Roman"/>
          <w:sz w:val="24"/>
          <w:szCs w:val="24"/>
        </w:rPr>
        <w:t xml:space="preserve">, oggi come nella Fase nona. Chiunque altro sia stato evocato — mandanti, presenze, «centauri» — appartiene ai gradi B o C e vi resta.</w:t>
      </w:r>
    </w:p>
    <w:p>
      <w:pPr>
        <w:pStyle w:val="Heading1"/>
        <w:spacing w:after="120" w:before="240"/>
      </w:pPr>
      <w:r>
        <w:rPr>
          <w:rFonts w:ascii="Times New Roman" w:cs="Times New Roman" w:eastAsia="Times New Roman" w:hAnsi="Times New Roman"/>
          <w:sz w:val="24"/>
          <w:szCs w:val="24"/>
        </w:rPr>
        <w:t xml:space="preserve">Capitolo ottantesimo — Le posizioni distinte: dove il giudicato assolve, il registro tace</w:t>
      </w:r>
    </w:p>
    <w:p>
      <w:pPr>
        <w:spacing w:after="120" w:line="276"/>
        <w:jc w:val="both"/>
      </w:pPr>
      <w:r>
        <w:rPr>
          <w:rFonts w:ascii="Times New Roman" w:cs="Times New Roman" w:eastAsia="Times New Roman" w:hAnsi="Times New Roman"/>
          <w:sz w:val="24"/>
          <w:szCs w:val="24"/>
        </w:rPr>
        <w:t xml:space="preserve">Il principio personalistico vale nei </w:t>
      </w:r>
      <w:r>
        <w:rPr>
          <w:rFonts w:ascii="Times New Roman" w:cs="Times New Roman" w:eastAsia="Times New Roman" w:hAnsi="Times New Roman"/>
          <w:b/>
          <w:bCs/>
          <w:sz w:val="24"/>
          <w:szCs w:val="24"/>
        </w:rPr>
        <w:t xml:space="preserve">due sensi</w:t>
      </w:r>
      <w:r>
        <w:rPr>
          <w:rFonts w:ascii="Times New Roman" w:cs="Times New Roman" w:eastAsia="Times New Roman" w:hAnsi="Times New Roman"/>
          <w:sz w:val="24"/>
          <w:szCs w:val="24"/>
        </w:rPr>
        <w:t xml:space="preserve">, e questo capitolo ne è la prova più severa.</w:t>
      </w:r>
    </w:p>
    <w:p>
      <w:pPr>
        <w:spacing w:after="120" w:line="276"/>
        <w:jc w:val="both"/>
      </w:pPr>
      <w:r>
        <w:rPr>
          <w:rFonts w:ascii="Times New Roman" w:cs="Times New Roman" w:eastAsia="Times New Roman" w:hAnsi="Times New Roman"/>
          <w:b/>
          <w:bCs/>
          <w:sz w:val="24"/>
          <w:szCs w:val="24"/>
        </w:rPr>
        <w:t xml:space="preserve">Il caso Algranati.</w:t>
      </w:r>
      <w:r>
        <w:rPr>
          <w:rFonts w:ascii="Times New Roman" w:cs="Times New Roman" w:eastAsia="Times New Roman" w:hAnsi="Times New Roman"/>
          <w:sz w:val="24"/>
          <w:szCs w:val="24"/>
        </w:rPr>
        <w:t xml:space="preserve"> Rita Algranati fu </w:t>
      </w:r>
      <w:r>
        <w:rPr>
          <w:rFonts w:ascii="Times New Roman" w:cs="Times New Roman" w:eastAsia="Times New Roman" w:hAnsi="Times New Roman"/>
          <w:b/>
          <w:bCs/>
          <w:sz w:val="24"/>
          <w:szCs w:val="24"/>
        </w:rPr>
        <w:t xml:space="preserve">assolta</w:t>
      </w:r>
      <w:r>
        <w:rPr>
          <w:rFonts w:ascii="Times New Roman" w:cs="Times New Roman" w:eastAsia="Times New Roman" w:hAnsi="Times New Roman"/>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Times New Roman" w:cs="Times New Roman" w:eastAsia="Times New Roman" w:hAnsi="Times New Roman"/>
          <w:b/>
          <w:bCs/>
          <w:sz w:val="24"/>
          <w:szCs w:val="24"/>
        </w:rPr>
        <w:t xml:space="preserve">definitiva</w:t>
      </w:r>
      <w:r>
        <w:rPr>
          <w:rFonts w:ascii="Times New Roman" w:cs="Times New Roman" w:eastAsia="Times New Roman" w:hAnsi="Times New Roman"/>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Times New Roman" w:cs="Times New Roman" w:eastAsia="Times New Roman" w:hAnsi="Times New Roman"/>
          <w:b/>
          <w:bCs/>
          <w:sz w:val="24"/>
          <w:szCs w:val="24"/>
        </w:rPr>
        <w:t xml:space="preserve">non possono scavalcare un'assoluzione passata in giudicato</w:t>
      </w:r>
      <w:r>
        <w:rPr>
          <w:rFonts w:ascii="Times New Roman" w:cs="Times New Roman" w:eastAsia="Times New Roman" w:hAnsi="Times New Roman"/>
          <w:sz w:val="24"/>
          <w:szCs w:val="24"/>
        </w:rPr>
        <w:t xml:space="preserve">: il divieto di </w:t>
      </w:r>
      <w:r>
        <w:rPr>
          <w:rFonts w:ascii="Times New Roman" w:cs="Times New Roman" w:eastAsia="Times New Roman" w:hAnsi="Times New Roman"/>
          <w:i/>
          <w:iCs/>
          <w:sz w:val="24"/>
          <w:szCs w:val="24"/>
        </w:rPr>
        <w:t xml:space="preserve">bis in idem</w:t>
      </w:r>
      <w:r>
        <w:rPr>
          <w:rFonts w:ascii="Times New Roman" w:cs="Times New Roman" w:eastAsia="Times New Roman" w:hAnsi="Times New Roman"/>
          <w:sz w:val="24"/>
          <w:szCs w:val="24"/>
        </w:rPr>
        <w:t xml:space="preserve"> è un pilastro dello Stato di diritto, non un cavillo. Algranati fu poi condannata all'ergastolo </w:t>
      </w:r>
      <w:r>
        <w:rPr>
          <w:rFonts w:ascii="Times New Roman" w:cs="Times New Roman" w:eastAsia="Times New Roman" w:hAnsi="Times New Roman"/>
          <w:b/>
          <w:bCs/>
          <w:sz w:val="24"/>
          <w:szCs w:val="24"/>
        </w:rPr>
        <w:t xml:space="preserve">per altri fatti</w:t>
      </w:r>
      <w:r>
        <w:rPr>
          <w:rFonts w:ascii="Times New Roman" w:cs="Times New Roman" w:eastAsia="Times New Roman" w:hAnsi="Times New Roman"/>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Times New Roman" w:cs="Times New Roman" w:eastAsia="Times New Roman" w:hAnsi="Times New Roman"/>
          <w:b/>
          <w:bCs/>
          <w:sz w:val="24"/>
          <w:szCs w:val="24"/>
        </w:rPr>
        <w:t xml:space="preserve">solo</w:t>
      </w:r>
      <w:r>
        <w:rPr>
          <w:rFonts w:ascii="Times New Roman" w:cs="Times New Roman" w:eastAsia="Times New Roman" w:hAnsi="Times New Roman"/>
          <w:sz w:val="24"/>
          <w:szCs w:val="24"/>
        </w:rPr>
        <w:t xml:space="preserve"> quei fatti. Il registro del caso Moro, perciò, </w:t>
      </w:r>
      <w:r>
        <w:rPr>
          <w:rFonts w:ascii="Times New Roman" w:cs="Times New Roman" w:eastAsia="Times New Roman" w:hAnsi="Times New Roman"/>
          <w:b/>
          <w:bCs/>
          <w:sz w:val="24"/>
          <w:szCs w:val="24"/>
        </w:rPr>
        <w:t xml:space="preserve">non la contiene</w:t>
      </w:r>
      <w:r>
        <w:rPr>
          <w:rFonts w:ascii="Times New Roman" w:cs="Times New Roman" w:eastAsia="Times New Roman" w:hAnsi="Times New Roman"/>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Times New Roman" w:cs="Times New Roman" w:eastAsia="Times New Roman" w:hAnsi="Times New Roman"/>
          <w:b/>
          <w:bCs/>
          <w:sz w:val="24"/>
          <w:szCs w:val="24"/>
        </w:rPr>
        <w:t xml:space="preserve">Le posizioni differenziate.</w:t>
      </w:r>
      <w:r>
        <w:rPr>
          <w:rFonts w:ascii="Times New Roman" w:cs="Times New Roman" w:eastAsia="Times New Roman" w:hAnsi="Times New Roman"/>
          <w:sz w:val="24"/>
          <w:szCs w:val="24"/>
        </w:rPr>
        <w:t xml:space="preserve"> Valerio Morucci e Adriana Faranda uscirono dalle Brigate Rosse nel 1979, in dissenso maturato attorno all'esito del sequestro, e seguirono poi il percorso della dissociazione: sono </w:t>
      </w:r>
      <w:r>
        <w:rPr>
          <w:rFonts w:ascii="Times New Roman" w:cs="Times New Roman" w:eastAsia="Times New Roman" w:hAnsi="Times New Roman"/>
          <w:b/>
          <w:bCs/>
          <w:sz w:val="24"/>
          <w:szCs w:val="24"/>
        </w:rPr>
        <w:t xml:space="preserve">fatti biografici pubblici</w:t>
      </w:r>
      <w:r>
        <w:rPr>
          <w:rFonts w:ascii="Times New Roman" w:cs="Times New Roman" w:eastAsia="Times New Roman" w:hAnsi="Times New Roman"/>
          <w:sz w:val="24"/>
          <w:szCs w:val="24"/>
        </w:rPr>
        <w:t xml:space="preserve"> (grado F), che non attenuano ciò che il giudicato ha accertato a loro carico né lo aggravano — lo </w:t>
      </w:r>
      <w:r>
        <w:rPr>
          <w:rFonts w:ascii="Times New Roman" w:cs="Times New Roman" w:eastAsia="Times New Roman" w:hAnsi="Times New Roman"/>
          <w:i/>
          <w:iCs/>
          <w:sz w:val="24"/>
          <w:szCs w:val="24"/>
        </w:rPr>
        <w:t xml:space="preserve">contestualizzano</w:t>
      </w:r>
      <w:r>
        <w:rPr>
          <w:rFonts w:ascii="Times New Roman" w:cs="Times New Roman" w:eastAsia="Times New Roman" w:hAnsi="Times New Roman"/>
          <w:sz w:val="24"/>
          <w:szCs w:val="24"/>
        </w:rPr>
        <w:t xml:space="preserve">. Il loro Memoriale, come la Fase settima ha recepito dalla Commissione Moro 2, è un </w:t>
      </w:r>
      <w:r>
        <w:rPr>
          <w:rFonts w:ascii="Times New Roman" w:cs="Times New Roman" w:eastAsia="Times New Roman" w:hAnsi="Times New Roman"/>
          <w:b/>
          <w:bCs/>
          <w:sz w:val="24"/>
          <w:szCs w:val="24"/>
        </w:rPr>
        <w:t xml:space="preserve">testo negoziato</w:t>
      </w:r>
      <w:r>
        <w:rPr>
          <w:rFonts w:ascii="Times New Roman" w:cs="Times New Roman" w:eastAsia="Times New Roman" w:hAnsi="Times New Roman"/>
          <w:sz w:val="24"/>
          <w:szCs w:val="24"/>
        </w:rPr>
        <w:t xml:space="preserve"> degli anni Ottanta (grado B): fonte da leggere sapendo che cosa è.</w:t>
      </w:r>
    </w:p>
    <w:p>
      <w:pPr>
        <w:spacing w:after="120" w:line="276"/>
        <w:jc w:val="both"/>
      </w:pPr>
      <w:r>
        <w:rPr>
          <w:rFonts w:ascii="Times New Roman" w:cs="Times New Roman" w:eastAsia="Times New Roman" w:hAnsi="Times New Roman"/>
          <w:b/>
          <w:bCs/>
          <w:sz w:val="24"/>
          <w:szCs w:val="24"/>
        </w:rPr>
        <w:t xml:space="preserve">Gli assolti e i mai imputati.</w:t>
      </w:r>
      <w:r>
        <w:rPr>
          <w:rFonts w:ascii="Times New Roman" w:cs="Times New Roman" w:eastAsia="Times New Roman" w:hAnsi="Times New Roman"/>
          <w:sz w:val="24"/>
          <w:szCs w:val="24"/>
        </w:rPr>
        <w:t xml:space="preserve"> Per tutti coloro che furono prosciolti, assolti o mai raggiunti da imputazione — nel caso Moro come nei nodi collegati del corpus, da Hyperion in giù — vale la </w:t>
      </w:r>
      <w:r>
        <w:rPr>
          <w:rFonts w:ascii="Times New Roman" w:cs="Times New Roman" w:eastAsia="Times New Roman" w:hAnsi="Times New Roman"/>
          <w:b/>
          <w:bCs/>
          <w:sz w:val="24"/>
          <w:szCs w:val="24"/>
        </w:rPr>
        <w:t xml:space="preserve">presunzione d'innocenza piena e nominale</w:t>
      </w:r>
      <w:r>
        <w:rPr>
          <w:rFonts w:ascii="Times New Roman" w:cs="Times New Roman" w:eastAsia="Times New Roman" w:hAnsi="Times New Roman"/>
          <w:sz w:val="24"/>
          <w:szCs w:val="24"/>
        </w:rPr>
        <w:t xml:space="preserve">: non sono «sfuggiti» a nulla; sono, per l'ordinamento e per quest'opera, innocenti.</w:t>
      </w:r>
    </w:p>
    <w:p>
      <w:pPr>
        <w:pStyle w:val="Heading1"/>
        <w:spacing w:after="120" w:before="240"/>
      </w:pPr>
      <w:r>
        <w:rPr>
          <w:rFonts w:ascii="Times New Roman" w:cs="Times New Roman" w:eastAsia="Times New Roman" w:hAnsi="Times New Roman"/>
          <w:sz w:val="24"/>
          <w:szCs w:val="24"/>
        </w:rPr>
        <w:t xml:space="preserve">Capitolo ottantunesimo — L'appartenenza a uno o più gruppi come fatto biografico, mai come somma di colpe</w:t>
      </w:r>
    </w:p>
    <w:p>
      <w:pPr>
        <w:spacing w:after="120" w:line="276"/>
        <w:jc w:val="both"/>
      </w:pPr>
      <w:r>
        <w:rPr>
          <w:rFonts w:ascii="Times New Roman" w:cs="Times New Roman" w:eastAsia="Times New Roman" w:hAnsi="Times New Roman"/>
          <w:sz w:val="24"/>
          <w:szCs w:val="24"/>
        </w:rPr>
        <w:t xml:space="preserve">Molte delle persone del registro attraversarono, prima o durante la militanza brigatista, </w:t>
      </w:r>
      <w:r>
        <w:rPr>
          <w:rFonts w:ascii="Times New Roman" w:cs="Times New Roman" w:eastAsia="Times New Roman" w:hAnsi="Times New Roman"/>
          <w:b/>
          <w:bCs/>
          <w:sz w:val="24"/>
          <w:szCs w:val="24"/>
        </w:rPr>
        <w:t xml:space="preserve">altre formazioni</w:t>
      </w:r>
      <w:r>
        <w:rPr>
          <w:rFonts w:ascii="Times New Roman" w:cs="Times New Roman" w:eastAsia="Times New Roman" w:hAnsi="Times New Roman"/>
          <w:sz w:val="24"/>
          <w:szCs w:val="24"/>
        </w:rPr>
        <w:t xml:space="preserve">: percorsi da Potere Operaio verso le BR, genealogie dal Collettivo Politico Metropolitano e dal Superclan che il corpus ha già ricostruito nelle triangolazioni (cfr. </w:t>
      </w:r>
      <w:r>
        <w:rPr>
          <w:rFonts w:ascii="Times New Roman" w:cs="Times New Roman" w:eastAsia="Times New Roman" w:hAnsi="Times New Roman"/>
          <w:i/>
          <w:iCs/>
          <w:sz w:val="24"/>
          <w:szCs w:val="24"/>
        </w:rPr>
        <w:t xml:space="preserve">triangolazione-hyperion-corpus.md</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triangolazione-feltrinelli-hyperion.md</w:t>
      </w:r>
      <w:r>
        <w:rPr>
          <w:rFonts w:ascii="Times New Roman" w:cs="Times New Roman" w:eastAsia="Times New Roman" w:hAnsi="Times New Roman"/>
          <w:sz w:val="24"/>
          <w:szCs w:val="24"/>
        </w:rPr>
        <w:t xml:space="preserve">). Questi passaggi sono </w:t>
      </w:r>
      <w:r>
        <w:rPr>
          <w:rFonts w:ascii="Times New Roman" w:cs="Times New Roman" w:eastAsia="Times New Roman" w:hAnsi="Times New Roman"/>
          <w:b/>
          <w:bCs/>
          <w:sz w:val="24"/>
          <w:szCs w:val="24"/>
        </w:rPr>
        <w:t xml:space="preserve">storia</w:t>
      </w:r>
      <w:r>
        <w:rPr>
          <w:rFonts w:ascii="Times New Roman" w:cs="Times New Roman" w:eastAsia="Times New Roman" w:hAnsi="Times New Roman"/>
          <w:sz w:val="24"/>
          <w:szCs w:val="24"/>
        </w:rPr>
        <w:t xml:space="preserve">, e l'opera li documenta perché spiegano </w:t>
      </w:r>
      <w:r>
        <w:rPr>
          <w:rFonts w:ascii="Times New Roman" w:cs="Times New Roman" w:eastAsia="Times New Roman" w:hAnsi="Times New Roman"/>
          <w:i/>
          <w:iCs/>
          <w:sz w:val="24"/>
          <w:szCs w:val="24"/>
        </w:rPr>
        <w:t xml:space="preserve">come</w:t>
      </w:r>
      <w:r>
        <w:rPr>
          <w:rFonts w:ascii="Times New Roman" w:cs="Times New Roman" w:eastAsia="Times New Roman" w:hAnsi="Times New Roman"/>
          <w:sz w:val="24"/>
          <w:szCs w:val="24"/>
        </w:rPr>
        <w:t xml:space="preserve"> si formarono le persone e le reti.</w:t>
      </w:r>
    </w:p>
    <w:p>
      <w:pPr>
        <w:spacing w:after="120" w:line="276"/>
        <w:jc w:val="both"/>
      </w:pPr>
      <w:r>
        <w:rPr>
          <w:rFonts w:ascii="Times New Roman" w:cs="Times New Roman" w:eastAsia="Times New Roman" w:hAnsi="Times New Roman"/>
          <w:sz w:val="24"/>
          <w:szCs w:val="24"/>
        </w:rPr>
        <w:t xml:space="preserve">Ma il principio va enunciato senza residui: </w:t>
      </w:r>
      <w:r>
        <w:rPr>
          <w:rFonts w:ascii="Times New Roman" w:cs="Times New Roman" w:eastAsia="Times New Roman" w:hAnsi="Times New Roman"/>
          <w:b/>
          <w:bCs/>
          <w:sz w:val="24"/>
          <w:szCs w:val="24"/>
        </w:rPr>
        <w:t xml:space="preserve">le appartenenze non si sommano in colpa.</w:t>
      </w:r>
      <w:r>
        <w:rPr>
          <w:rFonts w:ascii="Times New Roman" w:cs="Times New Roman" w:eastAsia="Times New Roman" w:hAnsi="Times New Roman"/>
          <w:sz w:val="24"/>
          <w:szCs w:val="24"/>
        </w:rPr>
        <w:t xml:space="preserve"> Chi militò in due gruppi non è «due volte» prossimo alla responsabilità; chi ne attraversò tre non porta tre indizi. L'appartenenza — a </w:t>
      </w:r>
      <w:r>
        <w:rPr>
          <w:rFonts w:ascii="Times New Roman" w:cs="Times New Roman" w:eastAsia="Times New Roman" w:hAnsi="Times New Roman"/>
          <w:i/>
          <w:iCs/>
          <w:sz w:val="24"/>
          <w:szCs w:val="24"/>
        </w:rPr>
        <w:t xml:space="preserve">uno o più</w:t>
      </w:r>
      <w:r>
        <w:rPr>
          <w:rFonts w:ascii="Times New Roman" w:cs="Times New Roman" w:eastAsia="Times New Roman" w:hAnsi="Times New Roman"/>
          <w:sz w:val="24"/>
          <w:szCs w:val="24"/>
        </w:rPr>
        <w:t xml:space="preserve"> gruppi — resta, per ciascuno, un fatto biografico di grado F, utile alla comprensione storica e </w:t>
      </w:r>
      <w:r>
        <w:rPr>
          <w:rFonts w:ascii="Times New Roman" w:cs="Times New Roman" w:eastAsia="Times New Roman" w:hAnsi="Times New Roman"/>
          <w:b/>
          <w:bCs/>
          <w:sz w:val="24"/>
          <w:szCs w:val="24"/>
        </w:rPr>
        <w:t xml:space="preserve">inerte</w:t>
      </w:r>
      <w:r>
        <w:rPr>
          <w:rFonts w:ascii="Times New Roman" w:cs="Times New Roman" w:eastAsia="Times New Roman" w:hAnsi="Times New Roman"/>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Times New Roman" w:cs="Times New Roman" w:eastAsia="Times New Roman" w:hAnsi="Times New Roman"/>
          <w:b/>
          <w:bCs/>
          <w:sz w:val="24"/>
          <w:szCs w:val="24"/>
        </w:rPr>
        <w:t xml:space="preserve">metodo</w:t>
      </w:r>
      <w:r>
        <w:rPr>
          <w:rFonts w:ascii="Times New Roman" w:cs="Times New Roman" w:eastAsia="Times New Roman" w:hAnsi="Times New Roman"/>
          <w:sz w:val="24"/>
          <w:szCs w:val="24"/>
        </w:rPr>
        <w:t xml:space="preserve">, ed è lo stesso per tutti.</w:t>
      </w:r>
    </w:p>
    <w:p>
      <w:pPr>
        <w:pStyle w:val="Heading1"/>
        <w:spacing w:after="120" w:before="240"/>
      </w:pPr>
      <w:r>
        <w:rPr>
          <w:rFonts w:ascii="Times New Roman" w:cs="Times New Roman" w:eastAsia="Times New Roman" w:hAnsi="Times New Roman"/>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Eliminato</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Perché</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Custodito al suo posto</w:t>
            </w:r>
          </w:p>
        </w:tc>
      </w:tr>
      <w:tr>
        <w:tc>
          <w:tcPr>
            <w:tcW w:type="dxa" w:w="3120"/>
          </w:tcPr>
          <w:p>
            <w:pPr>
              <w:spacing w:after="20" w:before="20"/>
              <w:jc w:val="left"/>
            </w:pPr>
            <w:r>
              <w:rPr>
                <w:rFonts w:ascii="Times New Roman" w:cs="Times New Roman" w:eastAsia="Times New Roman" w:hAnsi="Times New Roman"/>
                <w:sz w:val="20"/>
                <w:szCs w:val="20"/>
              </w:rPr>
              <w:t xml:space="preserve">«Le BR sono colpevoli» come formula di attribuzione</w:t>
            </w:r>
          </w:p>
        </w:tc>
        <w:tc>
          <w:tcPr>
            <w:tcW w:type="dxa" w:w="3120"/>
          </w:tcPr>
          <w:p>
            <w:pPr>
              <w:spacing w:after="20" w:before="20"/>
              <w:jc w:val="left"/>
            </w:pPr>
            <w:r>
              <w:rPr>
                <w:rFonts w:ascii="Times New Roman" w:cs="Times New Roman" w:eastAsia="Times New Roman" w:hAnsi="Times New Roman"/>
                <w:sz w:val="20"/>
                <w:szCs w:val="20"/>
              </w:rPr>
              <w:t xml:space="preserve">Il gruppo non è soggetto di colpa (art. 27 Cost.)</w:t>
            </w:r>
          </w:p>
        </w:tc>
        <w:tc>
          <w:tcPr>
            <w:tcW w:type="dxa" w:w="3120"/>
          </w:tcPr>
          <w:p>
            <w:pPr>
              <w:spacing w:after="20" w:before="20"/>
              <w:jc w:val="left"/>
            </w:pPr>
            <w:r>
              <w:rPr>
                <w:rFonts w:ascii="Times New Roman" w:cs="Times New Roman" w:eastAsia="Times New Roman" w:hAnsi="Times New Roman"/>
                <w:sz w:val="20"/>
                <w:szCs w:val="20"/>
              </w:rPr>
              <w:t xml:space="preserve">Tredici responsabilità </w:t>
            </w:r>
            <w:r>
              <w:rPr>
                <w:rFonts w:ascii="Times New Roman" w:cs="Times New Roman" w:eastAsia="Times New Roman" w:hAnsi="Times New Roman"/>
                <w:b/>
                <w:bCs/>
                <w:sz w:val="20"/>
                <w:szCs w:val="20"/>
              </w:rPr>
              <w:t xml:space="preserve">personali</w:t>
            </w:r>
            <w:r>
              <w:rPr>
                <w:rFonts w:ascii="Times New Roman" w:cs="Times New Roman" w:eastAsia="Times New Roman" w:hAnsi="Times New Roman"/>
                <w:sz w:val="20"/>
                <w:szCs w:val="20"/>
              </w:rPr>
              <w:t xml:space="preserve">, nominative, ciascuna con la propria condotta e la propria sentenza (cap. 79)</w:t>
            </w:r>
          </w:p>
        </w:tc>
      </w:tr>
      <w:tr>
        <w:tc>
          <w:tcPr>
            <w:tcW w:type="dxa" w:w="3120"/>
          </w:tcPr>
          <w:p>
            <w:pPr>
              <w:spacing w:after="20" w:before="20"/>
              <w:jc w:val="left"/>
            </w:pPr>
            <w:r>
              <w:rPr>
                <w:rFonts w:ascii="Times New Roman" w:cs="Times New Roman" w:eastAsia="Times New Roman" w:hAnsi="Times New Roman"/>
                <w:sz w:val="20"/>
                <w:szCs w:val="20"/>
              </w:rPr>
              <w:t xml:space="preserve">L'elenco dei 32 ergastoli come «elenco dei colpevoli del caso Moro»</w:t>
            </w:r>
          </w:p>
        </w:tc>
        <w:tc>
          <w:tcPr>
            <w:tcW w:type="dxa" w:w="3120"/>
          </w:tcPr>
          <w:p>
            <w:pPr>
              <w:spacing w:after="20" w:before="20"/>
              <w:jc w:val="left"/>
            </w:pPr>
            <w:r>
              <w:rPr>
                <w:rFonts w:ascii="Times New Roman" w:cs="Times New Roman" w:eastAsia="Times New Roman" w:hAnsi="Times New Roman"/>
                <w:sz w:val="20"/>
                <w:szCs w:val="20"/>
              </w:rPr>
              <w:t xml:space="preserve">Colpa di gruppo per trascinamento: quel processo giudicò molte condotte estranee all'operazione</w:t>
            </w:r>
          </w:p>
        </w:tc>
        <w:tc>
          <w:tcPr>
            <w:tcW w:type="dxa" w:w="3120"/>
          </w:tcPr>
          <w:p>
            <w:pPr>
              <w:spacing w:after="20" w:before="20"/>
              <w:jc w:val="left"/>
            </w:pPr>
            <w:r>
              <w:rPr>
                <w:rFonts w:ascii="Times New Roman" w:cs="Times New Roman" w:eastAsia="Times New Roman" w:hAnsi="Times New Roman"/>
                <w:sz w:val="20"/>
                <w:szCs w:val="20"/>
              </w:rPr>
              <w:t xml:space="preserve">Il registro ristretto alle condanne </w:t>
            </w:r>
            <w:r>
              <w:rPr>
                <w:rFonts w:ascii="Times New Roman" w:cs="Times New Roman" w:eastAsia="Times New Roman" w:hAnsi="Times New Roman"/>
                <w:b/>
                <w:bCs/>
                <w:sz w:val="20"/>
                <w:szCs w:val="20"/>
              </w:rPr>
              <w:t xml:space="preserve">specifiche</w:t>
            </w:r>
            <w:r>
              <w:rPr>
                <w:rFonts w:ascii="Times New Roman" w:cs="Times New Roman" w:eastAsia="Times New Roman" w:hAnsi="Times New Roman"/>
                <w:sz w:val="20"/>
                <w:szCs w:val="20"/>
              </w:rPr>
              <w:t xml:space="preserve"> per il caso</w:t>
            </w:r>
          </w:p>
        </w:tc>
      </w:tr>
      <w:tr>
        <w:tc>
          <w:tcPr>
            <w:tcW w:type="dxa" w:w="3120"/>
          </w:tcPr>
          <w:p>
            <w:pPr>
              <w:spacing w:after="20" w:before="20"/>
              <w:jc w:val="left"/>
            </w:pPr>
            <w:r>
              <w:rPr>
                <w:rFonts w:ascii="Times New Roman" w:cs="Times New Roman" w:eastAsia="Times New Roman" w:hAnsi="Times New Roman"/>
                <w:sz w:val="20"/>
                <w:szCs w:val="20"/>
              </w:rPr>
              <w:t xml:space="preserve">L'appartenenza (a uno o più gruppi) come indizio o aggravante</w:t>
            </w:r>
          </w:p>
        </w:tc>
        <w:tc>
          <w:tcPr>
            <w:tcW w:type="dxa" w:w="3120"/>
          </w:tcPr>
          <w:p>
            <w:pPr>
              <w:spacing w:after="20" w:before="20"/>
              <w:jc w:val="left"/>
            </w:pPr>
            <w:r>
              <w:rPr>
                <w:rFonts w:ascii="Times New Roman" w:cs="Times New Roman" w:eastAsia="Times New Roman" w:hAnsi="Times New Roman"/>
                <w:sz w:val="20"/>
                <w:szCs w:val="20"/>
              </w:rPr>
              <w:t xml:space="preserve">Appartenenza ≠ condotta; le militanze non si sommano in colpa</w:t>
            </w:r>
          </w:p>
        </w:tc>
        <w:tc>
          <w:tcPr>
            <w:tcW w:type="dxa" w:w="3120"/>
          </w:tcPr>
          <w:p>
            <w:pPr>
              <w:spacing w:after="20" w:before="20"/>
              <w:jc w:val="left"/>
            </w:pPr>
            <w:r>
              <w:rPr>
                <w:rFonts w:ascii="Times New Roman" w:cs="Times New Roman" w:eastAsia="Times New Roman" w:hAnsi="Times New Roman"/>
                <w:sz w:val="20"/>
                <w:szCs w:val="20"/>
              </w:rPr>
              <w:t xml:space="preserve">L'appartenenza come </w:t>
            </w:r>
            <w:r>
              <w:rPr>
                <w:rFonts w:ascii="Times New Roman" w:cs="Times New Roman" w:eastAsia="Times New Roman" w:hAnsi="Times New Roman"/>
                <w:b/>
                <w:bCs/>
                <w:sz w:val="20"/>
                <w:szCs w:val="20"/>
              </w:rPr>
              <w:t xml:space="preserve">fatto biografico</w:t>
            </w:r>
            <w:r>
              <w:rPr>
                <w:rFonts w:ascii="Times New Roman" w:cs="Times New Roman" w:eastAsia="Times New Roman" w:hAnsi="Times New Roman"/>
                <w:sz w:val="20"/>
                <w:szCs w:val="20"/>
              </w:rPr>
              <w:t xml:space="preserve"> (F), utile alla storia, inerte per l'attribuzione</w:t>
            </w:r>
          </w:p>
        </w:tc>
      </w:tr>
      <w:tr>
        <w:tc>
          <w:tcPr>
            <w:tcW w:type="dxa" w:w="3120"/>
          </w:tcPr>
          <w:p>
            <w:pPr>
              <w:spacing w:after="20" w:before="20"/>
              <w:jc w:val="left"/>
            </w:pPr>
            <w:r>
              <w:rPr>
                <w:rFonts w:ascii="Times New Roman" w:cs="Times New Roman" w:eastAsia="Times New Roman" w:hAnsi="Times New Roman"/>
                <w:sz w:val="20"/>
                <w:szCs w:val="20"/>
              </w:rPr>
              <w:t xml:space="preserve">La colpa che «sale» al collettivo e svapora («fu l'organizzazione»)</w:t>
            </w:r>
          </w:p>
        </w:tc>
        <w:tc>
          <w:tcPr>
            <w:tcW w:type="dxa" w:w="3120"/>
          </w:tcPr>
          <w:p>
            <w:pPr>
              <w:spacing w:after="20" w:before="20"/>
              <w:jc w:val="left"/>
            </w:pPr>
            <w:r>
              <w:rPr>
                <w:rFonts w:ascii="Times New Roman" w:cs="Times New Roman" w:eastAsia="Times New Roman" w:hAnsi="Times New Roman"/>
                <w:sz w:val="20"/>
                <w:szCs w:val="20"/>
              </w:rPr>
              <w:t xml:space="preserve">Il collettivo non assorbe la responsabilità dei singoli</w:t>
            </w:r>
          </w:p>
        </w:tc>
        <w:tc>
          <w:tcPr>
            <w:tcW w:type="dxa" w:w="3120"/>
          </w:tcPr>
          <w:p>
            <w:pPr>
              <w:spacing w:after="20" w:before="20"/>
              <w:jc w:val="left"/>
            </w:pPr>
            <w:r>
              <w:rPr>
                <w:rFonts w:ascii="Times New Roman" w:cs="Times New Roman" w:eastAsia="Times New Roman" w:hAnsi="Times New Roman"/>
                <w:sz w:val="20"/>
                <w:szCs w:val="20"/>
              </w:rPr>
              <w:t xml:space="preserve">Le condotte distinte che il giudicato ha distinto: dirigere, sparare, custodire, concorrere</w:t>
            </w:r>
          </w:p>
        </w:tc>
      </w:tr>
      <w:tr>
        <w:tc>
          <w:tcPr>
            <w:tcW w:type="dxa" w:w="3120"/>
          </w:tcPr>
          <w:p>
            <w:pPr>
              <w:spacing w:after="20" w:before="20"/>
              <w:jc w:val="left"/>
            </w:pPr>
            <w:r>
              <w:rPr>
                <w:rFonts w:ascii="Times New Roman" w:cs="Times New Roman" w:eastAsia="Times New Roman" w:hAnsi="Times New Roman"/>
                <w:sz w:val="20"/>
                <w:szCs w:val="20"/>
              </w:rPr>
              <w:t xml:space="preserve">Ogni nome oltre il giudicato; ogni percentuale; ogni graduatoria</w:t>
            </w:r>
          </w:p>
        </w:tc>
        <w:tc>
          <w:tcPr>
            <w:tcW w:type="dxa" w:w="3120"/>
          </w:tcPr>
          <w:p>
            <w:pPr>
              <w:spacing w:after="20" w:before="20"/>
              <w:jc w:val="left"/>
            </w:pPr>
            <w:r>
              <w:rPr>
                <w:rFonts w:ascii="Times New Roman" w:cs="Times New Roman" w:eastAsia="Times New Roman" w:hAnsi="Times New Roman"/>
                <w:sz w:val="20"/>
                <w:szCs w:val="20"/>
              </w:rPr>
              <w:t xml:space="preserve">Divieto costitutivo dell'opera</w:t>
            </w:r>
          </w:p>
        </w:tc>
        <w:tc>
          <w:tcPr>
            <w:tcW w:type="dxa" w:w="3120"/>
          </w:tcPr>
          <w:p>
            <w:pPr>
              <w:spacing w:after="20" w:before="20"/>
              <w:jc w:val="left"/>
            </w:pPr>
            <w:r>
              <w:rPr>
                <w:rFonts w:ascii="Times New Roman" w:cs="Times New Roman" w:eastAsia="Times New Roman" w:hAnsi="Times New Roman"/>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Congedo della Fase decima.</w:t>
      </w:r>
      <w:r>
        <w:rPr>
          <w:rFonts w:ascii="Times New Roman" w:cs="Times New Roman" w:eastAsia="Times New Roman" w:hAnsi="Times New Roman"/>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Times New Roman" w:cs="Times New Roman" w:eastAsia="Times New Roman" w:hAnsi="Times New Roman"/>
          <w:b/>
          <w:bCs/>
          <w:sz w:val="24"/>
          <w:szCs w:val="24"/>
        </w:rPr>
        <w:t xml:space="preserve">una persona, una condotta, una sentenza.</w:t>
      </w:r>
      <w:r>
        <w:rPr>
          <w:rFonts w:ascii="Times New Roman" w:cs="Times New Roman" w:eastAsia="Times New Roman" w:hAnsi="Times New Roman"/>
          <w:sz w:val="24"/>
          <w:szCs w:val="24"/>
        </w:rPr>
        <w:t xml:space="preserve"> Nulla di meno, e mai nulla di più.</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r>
        <w:br w:type="page"/>
      </w:r>
    </w:p>
    <w:p>
      <w:pPr>
        <w:pStyle w:val="Heading1"/>
        <w:spacing w:after="120" w:before="240"/>
      </w:pPr>
      <w:r>
        <w:rPr>
          <w:rFonts w:ascii="Times New Roman" w:cs="Times New Roman" w:eastAsia="Times New Roman" w:hAnsi="Times New Roman"/>
          <w:sz w:val="24"/>
          <w:szCs w:val="24"/>
        </w:rPr>
        <w:t xml:space="preserve">Appendice — Triangolazione dei tredici condannati con il corpus</w:t>
      </w:r>
    </w:p>
    <w:p>
      <w:pPr>
        <w:pStyle w:val="Heading1"/>
        <w:spacing w:after="120" w:before="240"/>
      </w:pPr>
      <w:r>
        <w:rPr>
          <w:rFonts w:ascii="Times New Roman" w:cs="Times New Roman" w:eastAsia="Times New Roman" w:hAnsi="Times New Roman"/>
          <w:sz w:val="24"/>
          <w:szCs w:val="24"/>
        </w:rPr>
        <w:t xml:space="preserve">Triangolazione dei tredici condannati con il corpus</w:t>
      </w:r>
    </w:p>
    <w:p>
      <w:pPr>
        <w:pStyle w:val="Heading2"/>
        <w:spacing w:after="100" w:before="200"/>
      </w:pPr>
      <w:r>
        <w:rPr>
          <w:rFonts w:ascii="Times New Roman" w:cs="Times New Roman" w:eastAsia="Times New Roman" w:hAnsi="Times New Roman"/>
          <w:sz w:val="24"/>
          <w:szCs w:val="24"/>
        </w:rPr>
        <w:t xml:space="preserve">Prosopografia del registro personalistico e i ponti verso gli altri domini</w:t>
      </w:r>
    </w:p>
    <w:p>
      <w:pPr>
        <w:spacing w:after="120" w:line="276"/>
        <w:jc w:val="both"/>
      </w:pPr>
      <w:r>
        <w:rPr>
          <w:rFonts w:ascii="Times New Roman" w:cs="Times New Roman" w:eastAsia="Times New Roman" w:hAnsi="Times New Roman"/>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e perimetro.</w:t>
      </w:r>
      <w:r>
        <w:rPr>
          <w:rFonts w:ascii="Times New Roman" w:cs="Times New Roman" w:eastAsia="Times New Roman" w:hAnsi="Times New Roman"/>
          <w:i w:val="false"/>
          <w:iCs w:val="false"/>
          <w:sz w:val="24"/>
          <w:szCs w:val="24"/>
        </w:rPr>
        <w:t xml:space="preserve"> Questo documento prende le </w:t>
      </w:r>
      <w:r>
        <w:rPr>
          <w:rFonts w:ascii="Times New Roman" w:cs="Times New Roman" w:eastAsia="Times New Roman" w:hAnsi="Times New Roman"/>
          <w:b/>
          <w:bCs/>
          <w:i w:val="false"/>
          <w:iCs w:val="false"/>
          <w:sz w:val="24"/>
          <w:szCs w:val="24"/>
        </w:rPr>
        <w:t xml:space="preserve">tredici persone del registro nominativo</w:t>
      </w:r>
      <w:r>
        <w:rPr>
          <w:rFonts w:ascii="Times New Roman" w:cs="Times New Roman" w:eastAsia="Times New Roman" w:hAnsi="Times New Roman"/>
          <w:i w:val="false"/>
          <w:iCs w:val="false"/>
          <w:sz w:val="24"/>
          <w:szCs w:val="24"/>
        </w:rPr>
        <w:t xml:space="preserve"> (Fase decima, cap. 79) — le sole la cui responsabilità nel caso Moro è accertata in giudicato — e ne incrocia le </w:t>
      </w:r>
      <w:r>
        <w:rPr>
          <w:rFonts w:ascii="Times New Roman" w:cs="Times New Roman" w:eastAsia="Times New Roman" w:hAnsi="Times New Roman"/>
          <w:b/>
          <w:bCs/>
          <w:i w:val="false"/>
          <w:iCs w:val="false"/>
          <w:sz w:val="24"/>
          <w:szCs w:val="24"/>
        </w:rPr>
        <w:t xml:space="preserve">biografie documentate</w:t>
      </w:r>
      <w:r>
        <w:rPr>
          <w:rFonts w:ascii="Times New Roman" w:cs="Times New Roman" w:eastAsia="Times New Roman" w:hAnsi="Times New Roman"/>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Times New Roman" w:cs="Times New Roman" w:eastAsia="Times New Roman" w:hAnsi="Times New Roman"/>
          <w:b/>
          <w:bCs/>
          <w:i w:val="false"/>
          <w:iCs w:val="false"/>
          <w:sz w:val="24"/>
          <w:szCs w:val="24"/>
        </w:rPr>
        <w:t xml:space="preserve">capire i legami</w:t>
      </w:r>
      <w:r>
        <w:rPr>
          <w:rFonts w:ascii="Times New Roman" w:cs="Times New Roman" w:eastAsia="Times New Roman" w:hAnsi="Times New Roman"/>
          <w:i w:val="false"/>
          <w:iCs w:val="false"/>
          <w:sz w:val="24"/>
          <w:szCs w:val="24"/>
        </w:rPr>
        <w:t xml:space="preserve">, non estenderli: ogni ponte qui censito è un fatto biografico o un atto documentato, e </w:t>
      </w:r>
      <w:r>
        <w:rPr>
          <w:rFonts w:ascii="Times New Roman" w:cs="Times New Roman" w:eastAsia="Times New Roman" w:hAnsi="Times New Roman"/>
          <w:b/>
          <w:bCs/>
          <w:i w:val="false"/>
          <w:iCs w:val="false"/>
          <w:sz w:val="24"/>
          <w:szCs w:val="24"/>
        </w:rPr>
        <w:t xml:space="preserve">nessun ponte aggiunge un grammo di colpa</w:t>
      </w:r>
      <w:r>
        <w:rPr>
          <w:rFonts w:ascii="Times New Roman" w:cs="Times New Roman" w:eastAsia="Times New Roman" w:hAnsi="Times New Roman"/>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Times New Roman" w:cs="Times New Roman" w:eastAsia="Times New Roman" w:hAnsi="Times New Roman"/>
          <w:b/>
          <w:bCs/>
          <w:i w:val="false"/>
          <w:iCs w:val="false"/>
          <w:sz w:val="24"/>
          <w:szCs w:val="24"/>
        </w:rPr>
        <w:t xml:space="preserve">non è toccato né richiamato</w:t>
      </w:r>
      <w:r>
        <w:rPr>
          <w:rFonts w:ascii="Times New Roman" w:cs="Times New Roman" w:eastAsia="Times New Roman" w:hAnsi="Times New Roman"/>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Sigla</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Dominio del corpus</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Documenti di riferimento</w:t>
            </w:r>
          </w:p>
        </w:tc>
      </w:tr>
      <w:tr>
        <w:tc>
          <w:tcPr>
            <w:tcW w:type="dxa" w:w="3120"/>
          </w:tcPr>
          <w:p>
            <w:pPr>
              <w:spacing w:after="20" w:before="20"/>
              <w:jc w:val="left"/>
            </w:pPr>
            <w:r>
              <w:rPr>
                <w:rFonts w:ascii="Times New Roman" w:cs="Times New Roman" w:eastAsia="Times New Roman" w:hAnsi="Times New Roman"/>
                <w:b/>
                <w:bCs/>
                <w:sz w:val="20"/>
                <w:szCs w:val="20"/>
              </w:rPr>
              <w:t xml:space="preserve">D1</w:t>
            </w:r>
          </w:p>
        </w:tc>
        <w:tc>
          <w:tcPr>
            <w:tcW w:type="dxa" w:w="3120"/>
          </w:tcPr>
          <w:p>
            <w:pPr>
              <w:spacing w:after="20" w:before="20"/>
              <w:jc w:val="left"/>
            </w:pPr>
            <w:r>
              <w:rPr>
                <w:rFonts w:ascii="Times New Roman" w:cs="Times New Roman" w:eastAsia="Times New Roman" w:hAnsi="Times New Roman"/>
                <w:sz w:val="20"/>
                <w:szCs w:val="20"/>
              </w:rPr>
              <w:t xml:space="preserve">Feltrinelli, l'editoria e i GAP</w:t>
            </w:r>
          </w:p>
        </w:tc>
        <w:tc>
          <w:tcPr>
            <w:tcW w:type="dxa" w:w="3120"/>
          </w:tcPr>
          <w:p>
            <w:pPr>
              <w:spacing w:after="20" w:before="20"/>
              <w:jc w:val="left"/>
            </w:pPr>
            <w:r>
              <w:rPr>
                <w:rFonts w:ascii="Times New Roman" w:cs="Times New Roman" w:eastAsia="Times New Roman" w:hAnsi="Times New Roman"/>
                <w:i/>
                <w:iCs/>
                <w:sz w:val="20"/>
                <w:szCs w:val="20"/>
              </w:rPr>
              <w:t xml:space="preserve">feltrinelli-il-vettore.md</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triangolazione-feltrinelli-corpus.md</w:t>
            </w:r>
          </w:p>
        </w:tc>
      </w:tr>
      <w:tr>
        <w:tc>
          <w:tcPr>
            <w:tcW w:type="dxa" w:w="3120"/>
          </w:tcPr>
          <w:p>
            <w:pPr>
              <w:spacing w:after="20" w:before="20"/>
              <w:jc w:val="left"/>
            </w:pPr>
            <w:r>
              <w:rPr>
                <w:rFonts w:ascii="Times New Roman" w:cs="Times New Roman" w:eastAsia="Times New Roman" w:hAnsi="Times New Roman"/>
                <w:b/>
                <w:bCs/>
                <w:sz w:val="20"/>
                <w:szCs w:val="20"/>
              </w:rPr>
              <w:t xml:space="preserve">D2</w:t>
            </w:r>
          </w:p>
        </w:tc>
        <w:tc>
          <w:tcPr>
            <w:tcW w:type="dxa" w:w="3120"/>
          </w:tcPr>
          <w:p>
            <w:pPr>
              <w:spacing w:after="20" w:before="20"/>
              <w:jc w:val="left"/>
            </w:pPr>
            <w:r>
              <w:rPr>
                <w:rFonts w:ascii="Times New Roman" w:cs="Times New Roman" w:eastAsia="Times New Roman" w:hAnsi="Times New Roman"/>
                <w:sz w:val="20"/>
                <w:szCs w:val="20"/>
              </w:rPr>
              <w:t xml:space="preserve">Hyperion, CPM e Superclan (le genealogie del 1969-70)</w:t>
            </w:r>
          </w:p>
        </w:tc>
        <w:tc>
          <w:tcPr>
            <w:tcW w:type="dxa" w:w="3120"/>
          </w:tcPr>
          <w:p>
            <w:pPr>
              <w:spacing w:after="20" w:before="20"/>
              <w:jc w:val="left"/>
            </w:pPr>
            <w:r>
              <w:rPr>
                <w:rFonts w:ascii="Times New Roman" w:cs="Times New Roman" w:eastAsia="Times New Roman" w:hAnsi="Times New Roman"/>
                <w:i/>
                <w:iCs/>
                <w:sz w:val="20"/>
                <w:szCs w:val="20"/>
              </w:rPr>
              <w:t xml:space="preserve">triangolazione-hyperion-corpus.md</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triangolazione-feltrinelli-hyperion.md</w:t>
            </w:r>
          </w:p>
        </w:tc>
      </w:tr>
      <w:tr>
        <w:tc>
          <w:tcPr>
            <w:tcW w:type="dxa" w:w="3120"/>
          </w:tcPr>
          <w:p>
            <w:pPr>
              <w:spacing w:after="20" w:before="20"/>
              <w:jc w:val="left"/>
            </w:pPr>
            <w:r>
              <w:rPr>
                <w:rFonts w:ascii="Times New Roman" w:cs="Times New Roman" w:eastAsia="Times New Roman" w:hAnsi="Times New Roman"/>
                <w:b/>
                <w:bCs/>
                <w:sz w:val="20"/>
                <w:szCs w:val="20"/>
              </w:rPr>
              <w:t xml:space="preserve">D3</w:t>
            </w:r>
          </w:p>
        </w:tc>
        <w:tc>
          <w:tcPr>
            <w:tcW w:type="dxa" w:w="3120"/>
          </w:tcPr>
          <w:p>
            <w:pPr>
              <w:spacing w:after="20" w:before="20"/>
              <w:jc w:val="left"/>
            </w:pPr>
            <w:r>
              <w:rPr>
                <w:rFonts w:ascii="Times New Roman" w:cs="Times New Roman" w:eastAsia="Times New Roman" w:hAnsi="Times New Roman"/>
                <w:sz w:val="20"/>
                <w:szCs w:val="20"/>
              </w:rPr>
              <w:t xml:space="preserve">Guevara, il mito del Che e l'America Latina</w:t>
            </w:r>
          </w:p>
        </w:tc>
        <w:tc>
          <w:tcPr>
            <w:tcW w:type="dxa" w:w="3120"/>
          </w:tcPr>
          <w:p>
            <w:pPr>
              <w:spacing w:after="20" w:before="20"/>
              <w:jc w:val="left"/>
            </w:pPr>
            <w:r>
              <w:rPr>
                <w:rFonts w:ascii="Times New Roman" w:cs="Times New Roman" w:eastAsia="Times New Roman" w:hAnsi="Times New Roman"/>
                <w:sz w:val="20"/>
                <w:szCs w:val="20"/>
              </w:rPr>
              <w:t xml:space="preserve">corpus guevariano, </w:t>
            </w:r>
            <w:r>
              <w:rPr>
                <w:rFonts w:ascii="Times New Roman" w:cs="Times New Roman" w:eastAsia="Times New Roman" w:hAnsi="Times New Roman"/>
                <w:i/>
                <w:iCs/>
                <w:sz w:val="20"/>
                <w:szCs w:val="20"/>
              </w:rPr>
              <w:t xml:space="preserve">cronologia-guevara-moro.html</w:t>
            </w:r>
          </w:p>
        </w:tc>
      </w:tr>
      <w:tr>
        <w:tc>
          <w:tcPr>
            <w:tcW w:type="dxa" w:w="3120"/>
          </w:tcPr>
          <w:p>
            <w:pPr>
              <w:spacing w:after="20" w:before="20"/>
              <w:jc w:val="left"/>
            </w:pPr>
            <w:r>
              <w:rPr>
                <w:rFonts w:ascii="Times New Roman" w:cs="Times New Roman" w:eastAsia="Times New Roman" w:hAnsi="Times New Roman"/>
                <w:b/>
                <w:bCs/>
                <w:sz w:val="20"/>
                <w:szCs w:val="20"/>
              </w:rPr>
              <w:t xml:space="preserve">D4</w:t>
            </w:r>
          </w:p>
        </w:tc>
        <w:tc>
          <w:tcPr>
            <w:tcW w:type="dxa" w:w="3120"/>
          </w:tcPr>
          <w:p>
            <w:pPr>
              <w:spacing w:after="20" w:before="20"/>
              <w:jc w:val="left"/>
            </w:pPr>
            <w:r>
              <w:rPr>
                <w:rFonts w:ascii="Times New Roman" w:cs="Times New Roman" w:eastAsia="Times New Roman" w:hAnsi="Times New Roman"/>
                <w:sz w:val="20"/>
                <w:szCs w:val="20"/>
              </w:rPr>
              <w:t xml:space="preserve">Il Tribunale Speciale e la giustizia d'eccezione (il filo del 1926)</w:t>
            </w:r>
          </w:p>
        </w:tc>
        <w:tc>
          <w:tcPr>
            <w:tcW w:type="dxa" w:w="3120"/>
          </w:tcPr>
          <w:p>
            <w:pPr>
              <w:spacing w:after="20" w:before="20"/>
              <w:jc w:val="left"/>
            </w:pPr>
            <w:r>
              <w:rPr>
                <w:rFonts w:ascii="Times New Roman" w:cs="Times New Roman" w:eastAsia="Times New Roman" w:hAnsi="Times New Roman"/>
                <w:i/>
                <w:iCs/>
                <w:sz w:val="20"/>
                <w:szCs w:val="20"/>
              </w:rPr>
              <w:t xml:space="preserve">tribunale-speciale-storia-istituzione.md</w:t>
            </w:r>
            <w:r>
              <w:rPr>
                <w:rFonts w:ascii="Times New Roman" w:cs="Times New Roman" w:eastAsia="Times New Roman" w:hAnsi="Times New Roman"/>
                <w:sz w:val="20"/>
                <w:szCs w:val="20"/>
              </w:rPr>
              <w:t xml:space="preserve"> e approfondimenti</w:t>
            </w:r>
          </w:p>
        </w:tc>
      </w:tr>
      <w:tr>
        <w:tc>
          <w:tcPr>
            <w:tcW w:type="dxa" w:w="3120"/>
          </w:tcPr>
          <w:p>
            <w:pPr>
              <w:spacing w:after="20" w:before="20"/>
              <w:jc w:val="left"/>
            </w:pPr>
            <w:r>
              <w:rPr>
                <w:rFonts w:ascii="Times New Roman" w:cs="Times New Roman" w:eastAsia="Times New Roman" w:hAnsi="Times New Roman"/>
                <w:b/>
                <w:bCs/>
                <w:sz w:val="20"/>
                <w:szCs w:val="20"/>
              </w:rPr>
              <w:t xml:space="preserve">D5</w:t>
            </w:r>
          </w:p>
        </w:tc>
        <w:tc>
          <w:tcPr>
            <w:tcW w:type="dxa" w:w="3120"/>
          </w:tcPr>
          <w:p>
            <w:pPr>
              <w:spacing w:after="20" w:before="20"/>
              <w:jc w:val="left"/>
            </w:pPr>
            <w:r>
              <w:rPr>
                <w:rFonts w:ascii="Times New Roman" w:cs="Times New Roman" w:eastAsia="Times New Roman" w:hAnsi="Times New Roman"/>
                <w:sz w:val="20"/>
                <w:szCs w:val="20"/>
              </w:rPr>
              <w:t xml:space="preserve">La dimensione diplomatica e vaticana (Farnesina, Santa Sede)</w:t>
            </w:r>
          </w:p>
        </w:tc>
        <w:tc>
          <w:tcPr>
            <w:tcW w:type="dxa" w:w="3120"/>
          </w:tcPr>
          <w:p>
            <w:pPr>
              <w:spacing w:after="20" w:before="20"/>
              <w:jc w:val="left"/>
            </w:pPr>
            <w:r>
              <w:rPr>
                <w:rFonts w:ascii="Times New Roman" w:cs="Times New Roman" w:eastAsia="Times New Roman" w:hAnsi="Times New Roman"/>
                <w:sz w:val="20"/>
                <w:szCs w:val="20"/>
              </w:rPr>
              <w:t xml:space="preserve">cartella </w:t>
            </w:r>
            <w:r>
              <w:rPr>
                <w:rFonts w:ascii="Times New Roman" w:cs="Times New Roman" w:eastAsia="Times New Roman" w:hAnsi="Times New Roman"/>
                <w:i/>
                <w:iCs/>
                <w:sz w:val="20"/>
                <w:szCs w:val="20"/>
              </w:rPr>
              <w:t xml:space="preserve">moro-ministro-esteri/</w:t>
            </w:r>
          </w:p>
        </w:tc>
      </w:tr>
      <w:tr>
        <w:tc>
          <w:tcPr>
            <w:tcW w:type="dxa" w:w="3120"/>
          </w:tcPr>
          <w:p>
            <w:pPr>
              <w:spacing w:after="20" w:before="20"/>
              <w:jc w:val="left"/>
            </w:pPr>
            <w:r>
              <w:rPr>
                <w:rFonts w:ascii="Times New Roman" w:cs="Times New Roman" w:eastAsia="Times New Roman" w:hAnsi="Times New Roman"/>
                <w:b/>
                <w:bCs/>
                <w:sz w:val="20"/>
                <w:szCs w:val="20"/>
              </w:rPr>
              <w:t xml:space="preserve">D6</w:t>
            </w:r>
          </w:p>
        </w:tc>
        <w:tc>
          <w:tcPr>
            <w:tcW w:type="dxa" w:w="3120"/>
          </w:tcPr>
          <w:p>
            <w:pPr>
              <w:spacing w:after="20" w:before="20"/>
              <w:jc w:val="left"/>
            </w:pPr>
            <w:r>
              <w:rPr>
                <w:rFonts w:ascii="Times New Roman" w:cs="Times New Roman" w:eastAsia="Times New Roman" w:hAnsi="Times New Roman"/>
                <w:sz w:val="20"/>
                <w:szCs w:val="20"/>
              </w:rPr>
              <w:t xml:space="preserve">I nodi interni del caso (Memoriale, trattativa, covi, memoria)</w:t>
            </w:r>
          </w:p>
        </w:tc>
        <w:tc>
          <w:tcPr>
            <w:tcW w:type="dxa" w:w="3120"/>
          </w:tcPr>
          <w:p>
            <w:pPr>
              <w:spacing w:after="20" w:before="20"/>
              <w:jc w:val="left"/>
            </w:pPr>
            <w:r>
              <w:rPr>
                <w:rFonts w:ascii="Times New Roman" w:cs="Times New Roman" w:eastAsia="Times New Roman" w:hAnsi="Times New Roman"/>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Nodo T-1 — Moretti e il ceppo del 1969: la Sit-Siemens, il CPM e la doppia discendenza (D2)</w:t>
      </w:r>
    </w:p>
    <w:p>
      <w:pPr>
        <w:spacing w:after="120" w:line="276"/>
        <w:jc w:val="both"/>
      </w:pPr>
      <w:r>
        <w:rPr>
          <w:rFonts w:ascii="Times New Roman" w:cs="Times New Roman" w:eastAsia="Times New Roman" w:hAnsi="Times New Roman"/>
          <w:sz w:val="24"/>
          <w:szCs w:val="24"/>
        </w:rPr>
        <w:t xml:space="preserve">Il ponte più solido dell'intera triangolazione è genealogico. Mario Moretti giunse a Milano all'inizio del 1968 e fu assunto alla </w:t>
      </w:r>
      <w:r>
        <w:rPr>
          <w:rFonts w:ascii="Times New Roman" w:cs="Times New Roman" w:eastAsia="Times New Roman" w:hAnsi="Times New Roman"/>
          <w:b/>
          <w:bCs/>
          <w:sz w:val="24"/>
          <w:szCs w:val="24"/>
        </w:rPr>
        <w:t xml:space="preserve">Sit-Siemens</w:t>
      </w:r>
      <w:r>
        <w:rPr>
          <w:rFonts w:ascii="Times New Roman" w:cs="Times New Roman" w:eastAsia="Times New Roman" w:hAnsi="Times New Roman"/>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Times New Roman" w:cs="Times New Roman" w:eastAsia="Times New Roman" w:hAnsi="Times New Roman"/>
          <w:b/>
          <w:bCs/>
          <w:sz w:val="24"/>
          <w:szCs w:val="24"/>
        </w:rPr>
        <w:t xml:space="preserve">Collettivo Politico Metropolitano</w:t>
      </w:r>
      <w:r>
        <w:rPr>
          <w:rFonts w:ascii="Times New Roman" w:cs="Times New Roman" w:eastAsia="Times New Roman" w:hAnsi="Times New Roman"/>
          <w:sz w:val="24"/>
          <w:szCs w:val="24"/>
        </w:rPr>
        <w:t xml:space="preserve"> di Renato Curcio e Margherita Cagol, il coordinamento fondato l'</w:t>
      </w:r>
      <w:r>
        <w:rPr>
          <w:rFonts w:ascii="Times New Roman" w:cs="Times New Roman" w:eastAsia="Times New Roman" w:hAnsi="Times New Roman"/>
          <w:b/>
          <w:bCs/>
          <w:sz w:val="24"/>
          <w:szCs w:val="24"/>
        </w:rPr>
        <w:t xml:space="preserve">8 settembre 1969</w:t>
      </w:r>
      <w:r>
        <w:rPr>
          <w:rFonts w:ascii="Times New Roman" w:cs="Times New Roman" w:eastAsia="Times New Roman" w:hAnsi="Times New Roman"/>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Times New Roman" w:cs="Times New Roman" w:eastAsia="Times New Roman" w:hAnsi="Times New Roman"/>
          <w:i/>
          <w:iCs/>
          <w:sz w:val="24"/>
          <w:szCs w:val="24"/>
        </w:rPr>
        <w:t xml:space="preserve">Brigate Rosse</w:t>
      </w:r>
      <w:r>
        <w:rPr>
          <w:rFonts w:ascii="Times New Roman" w:cs="Times New Roman" w:eastAsia="Times New Roman" w:hAnsi="Times New Roman"/>
          <w:sz w:val="24"/>
          <w:szCs w:val="24"/>
        </w:rPr>
        <w:t xml:space="preserve"> (https://it.wikipedia.org/wiki/Brigate_Rosse)).</w:t>
      </w:r>
    </w:p>
    <w:p>
      <w:pPr>
        <w:spacing w:after="120" w:line="276"/>
        <w:jc w:val="both"/>
      </w:pPr>
      <w:r>
        <w:rPr>
          <w:rFonts w:ascii="Times New Roman" w:cs="Times New Roman" w:eastAsia="Times New Roman" w:hAnsi="Times New Roman"/>
          <w:sz w:val="24"/>
          <w:szCs w:val="24"/>
        </w:rPr>
        <w:t xml:space="preserve">Il punto di triangolazione è che il CPM ebbe </w:t>
      </w:r>
      <w:r>
        <w:rPr>
          <w:rFonts w:ascii="Times New Roman" w:cs="Times New Roman" w:eastAsia="Times New Roman" w:hAnsi="Times New Roman"/>
          <w:b/>
          <w:bCs/>
          <w:sz w:val="24"/>
          <w:szCs w:val="24"/>
        </w:rPr>
        <w:t xml:space="preserve">due fondatori e due discendenze</w:t>
      </w:r>
      <w:r>
        <w:rPr>
          <w:rFonts w:ascii="Times New Roman" w:cs="Times New Roman" w:eastAsia="Times New Roman" w:hAnsi="Times New Roman"/>
          <w:sz w:val="24"/>
          <w:szCs w:val="24"/>
        </w:rPr>
        <w:t xml:space="preserve">: da Curcio discesero le Brigate Rosse; da </w:t>
      </w:r>
      <w:r>
        <w:rPr>
          <w:rFonts w:ascii="Times New Roman" w:cs="Times New Roman" w:eastAsia="Times New Roman" w:hAnsi="Times New Roman"/>
          <w:b/>
          <w:bCs/>
          <w:sz w:val="24"/>
          <w:szCs w:val="24"/>
        </w:rPr>
        <w:t xml:space="preserve">Corrado Simioni</w:t>
      </w:r>
      <w:r>
        <w:rPr>
          <w:rFonts w:ascii="Times New Roman" w:cs="Times New Roman" w:eastAsia="Times New Roman" w:hAnsi="Times New Roman"/>
          <w:sz w:val="24"/>
          <w:szCs w:val="24"/>
        </w:rPr>
        <w:t xml:space="preserve"> — l'altro fondatore — discese il Superclan e, nel 1976 a Parigi, Hyperion. È esattamente la </w:t>
      </w:r>
      <w:r>
        <w:rPr>
          <w:rFonts w:ascii="Times New Roman" w:cs="Times New Roman" w:eastAsia="Times New Roman" w:hAnsi="Times New Roman"/>
          <w:b/>
          <w:bCs/>
          <w:sz w:val="24"/>
          <w:szCs w:val="24"/>
        </w:rPr>
        <w:t xml:space="preserve">triforcazione della matrice milanese del 1969-70</w:t>
      </w:r>
      <w:r>
        <w:rPr>
          <w:rFonts w:ascii="Times New Roman" w:cs="Times New Roman" w:eastAsia="Times New Roman" w:hAnsi="Times New Roman"/>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Times New Roman" w:cs="Times New Roman" w:eastAsia="Times New Roman" w:hAnsi="Times New Roman"/>
          <w:b/>
          <w:bCs/>
          <w:sz w:val="24"/>
          <w:szCs w:val="24"/>
        </w:rPr>
        <w:t xml:space="preserve">F</w:t>
      </w:r>
      <w:r>
        <w:rPr>
          <w:rFonts w:ascii="Times New Roman" w:cs="Times New Roman" w:eastAsia="Times New Roman" w:hAnsi="Times New Roman"/>
          <w:sz w:val="24"/>
          <w:szCs w:val="24"/>
        </w:rPr>
        <w:t xml:space="preserve">), e questo </w:t>
      </w:r>
      <w:r>
        <w:rPr>
          <w:rFonts w:ascii="Times New Roman" w:cs="Times New Roman" w:eastAsia="Times New Roman" w:hAnsi="Times New Roman"/>
          <w:i/>
          <w:iCs/>
          <w:sz w:val="24"/>
          <w:szCs w:val="24"/>
        </w:rPr>
        <w:t xml:space="preserve">spiega</w:t>
      </w:r>
      <w:r>
        <w:rPr>
          <w:rFonts w:ascii="Times New Roman" w:cs="Times New Roman" w:eastAsia="Times New Roman" w:hAnsi="Times New Roman"/>
          <w:sz w:val="24"/>
          <w:szCs w:val="24"/>
        </w:rPr>
        <w:t xml:space="preserve"> la ricorrenza del suo nome nelle tesi su Hyperion.</w:t>
      </w:r>
    </w:p>
    <w:p>
      <w:pPr>
        <w:spacing w:after="120" w:line="276"/>
        <w:jc w:val="both"/>
      </w:pPr>
      <w:r>
        <w:rPr>
          <w:rFonts w:ascii="Times New Roman" w:cs="Times New Roman" w:eastAsia="Times New Roman" w:hAnsi="Times New Roman"/>
          <w:b/>
          <w:bCs/>
          <w:sz w:val="24"/>
          <w:szCs w:val="24"/>
        </w:rPr>
        <w:t xml:space="preserve">Anti-triangolazione, ferma.</w:t>
      </w:r>
      <w:r>
        <w:rPr>
          <w:rFonts w:ascii="Times New Roman" w:cs="Times New Roman" w:eastAsia="Times New Roman" w:hAnsi="Times New Roman"/>
          <w:sz w:val="24"/>
          <w:szCs w:val="24"/>
        </w:rPr>
        <w:t xml:space="preserve"> La comune origine nel CPM </w:t>
      </w:r>
      <w:r>
        <w:rPr>
          <w:rFonts w:ascii="Times New Roman" w:cs="Times New Roman" w:eastAsia="Times New Roman" w:hAnsi="Times New Roman"/>
          <w:b/>
          <w:bCs/>
          <w:sz w:val="24"/>
          <w:szCs w:val="24"/>
        </w:rPr>
        <w:t xml:space="preserve">non prova</w:t>
      </w:r>
      <w:r>
        <w:rPr>
          <w:rFonts w:ascii="Times New Roman" w:cs="Times New Roman" w:eastAsia="Times New Roman" w:hAnsi="Times New Roman"/>
          <w:sz w:val="24"/>
          <w:szCs w:val="24"/>
        </w:rPr>
        <w:t xml:space="preserve"> alcun rapporto operativo fra Moretti e Hyperion nel 1978. La tesi di Moretti «tramite» della scuola di Parigi è una </w:t>
      </w:r>
      <w:r>
        <w:rPr>
          <w:rFonts w:ascii="Times New Roman" w:cs="Times New Roman" w:eastAsia="Times New Roman" w:hAnsi="Times New Roman"/>
          <w:b/>
          <w:bCs/>
          <w:sz w:val="24"/>
          <w:szCs w:val="24"/>
        </w:rPr>
        <w:t xml:space="preserve">congettura (C)</w:t>
      </w:r>
      <w:r>
        <w:rPr>
          <w:rFonts w:ascii="Times New Roman" w:cs="Times New Roman" w:eastAsia="Times New Roman" w:hAnsi="Times New Roman"/>
          <w:sz w:val="24"/>
          <w:szCs w:val="24"/>
        </w:rPr>
        <w:t xml:space="preserve"> che il corpus ha già gradato come tale nella triangolazione Hyperion — dove sta scritto ciò che va ripetuto qui: le indagini 1979-82 si chiusero con </w:t>
      </w:r>
      <w:r>
        <w:rPr>
          <w:rFonts w:ascii="Times New Roman" w:cs="Times New Roman" w:eastAsia="Times New Roman" w:hAnsi="Times New Roman"/>
          <w:b/>
          <w:bCs/>
          <w:sz w:val="24"/>
          <w:szCs w:val="24"/>
        </w:rPr>
        <w:t xml:space="preserve">proscioglimenti per tutti</w:t>
      </w:r>
      <w:r>
        <w:rPr>
          <w:rFonts w:ascii="Times New Roman" w:cs="Times New Roman" w:eastAsia="Times New Roman" w:hAnsi="Times New Roman"/>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Times New Roman" w:cs="Times New Roman" w:eastAsia="Times New Roman" w:hAnsi="Times New Roman"/>
          <w:sz w:val="24"/>
          <w:szCs w:val="24"/>
        </w:rPr>
        <w:t xml:space="preserve">Nodo T-2 — Morucci, Faranda e il canale Pace-Piperno: da Potere Operaio alla trattativa (D6)</w:t>
      </w:r>
    </w:p>
    <w:p>
      <w:pPr>
        <w:spacing w:after="120" w:line="276"/>
        <w:jc w:val="both"/>
      </w:pPr>
      <w:r>
        <w:rPr>
          <w:rFonts w:ascii="Times New Roman" w:cs="Times New Roman" w:eastAsia="Times New Roman" w:hAnsi="Times New Roman"/>
          <w:sz w:val="24"/>
          <w:szCs w:val="24"/>
        </w:rPr>
        <w:t xml:space="preserve">Valerio Morucci e Adriana Faranda militarono in </w:t>
      </w:r>
      <w:r>
        <w:rPr>
          <w:rFonts w:ascii="Times New Roman" w:cs="Times New Roman" w:eastAsia="Times New Roman" w:hAnsi="Times New Roman"/>
          <w:b/>
          <w:bCs/>
          <w:sz w:val="24"/>
          <w:szCs w:val="24"/>
        </w:rPr>
        <w:t xml:space="preserve">Potere Operaio</w:t>
      </w:r>
      <w:r>
        <w:rPr>
          <w:rFonts w:ascii="Times New Roman" w:cs="Times New Roman" w:eastAsia="Times New Roman" w:hAnsi="Times New Roman"/>
          <w:sz w:val="24"/>
          <w:szCs w:val="24"/>
        </w:rPr>
        <w:t xml:space="preserve"> fino al suo scioglimento (1973); Morucci passò per le Formazioni Comuniste Armate, assorbite dalle BR nel 1976 (Wikipedia, </w:t>
      </w:r>
      <w:r>
        <w:rPr>
          <w:rFonts w:ascii="Times New Roman" w:cs="Times New Roman" w:eastAsia="Times New Roman" w:hAnsi="Times New Roman"/>
          <w:i/>
          <w:iCs/>
          <w:sz w:val="24"/>
          <w:szCs w:val="24"/>
        </w:rPr>
        <w:t xml:space="preserve">Valerio Morucci</w:t>
      </w:r>
      <w:r>
        <w:rPr>
          <w:rFonts w:ascii="Times New Roman" w:cs="Times New Roman" w:eastAsia="Times New Roman" w:hAnsi="Times New Roman"/>
          <w:sz w:val="24"/>
          <w:szCs w:val="24"/>
        </w:rPr>
        <w:t xml:space="preserve"> (https://en.wikipedia.org/wiki/Valerio_Morucci); Wikipedia, </w:t>
      </w:r>
      <w:r>
        <w:rPr>
          <w:rFonts w:ascii="Times New Roman" w:cs="Times New Roman" w:eastAsia="Times New Roman" w:hAnsi="Times New Roman"/>
          <w:i/>
          <w:iCs/>
          <w:sz w:val="24"/>
          <w:szCs w:val="24"/>
        </w:rPr>
        <w:t xml:space="preserve">Potere Operaio</w:t>
      </w:r>
      <w:r>
        <w:rPr>
          <w:rFonts w:ascii="Times New Roman" w:cs="Times New Roman" w:eastAsia="Times New Roman" w:hAnsi="Times New Roman"/>
          <w:sz w:val="24"/>
          <w:szCs w:val="24"/>
        </w:rPr>
        <w:t xml:space="preserve"> (https://en.wikipedia.org/wiki/Potere_Operaio)). Durante il sequestro, </w:t>
      </w:r>
      <w:r>
        <w:rPr>
          <w:rFonts w:ascii="Times New Roman" w:cs="Times New Roman" w:eastAsia="Times New Roman" w:hAnsi="Times New Roman"/>
          <w:b/>
          <w:bCs/>
          <w:sz w:val="24"/>
          <w:szCs w:val="24"/>
        </w:rPr>
        <w:t xml:space="preserve">Lanfranco Pace e Franco Piperno</w:t>
      </w:r>
      <w:r>
        <w:rPr>
          <w:rFonts w:ascii="Times New Roman" w:cs="Times New Roman" w:eastAsia="Times New Roman" w:hAnsi="Times New Roman"/>
          <w:sz w:val="24"/>
          <w:szCs w:val="24"/>
        </w:rPr>
        <w:t xml:space="preserve"> — che di Potere Operaio erano stati dirigenti — incontrarono più volte Morucci e Faranda, figure di rilievo della colonna romana (Morucci responsabile della </w:t>
      </w:r>
      <w:r>
        <w:rPr>
          <w:rFonts w:ascii="Times New Roman" w:cs="Times New Roman" w:eastAsia="Times New Roman" w:hAnsi="Times New Roman"/>
          <w:b/>
          <w:bCs/>
          <w:sz w:val="24"/>
          <w:szCs w:val="24"/>
        </w:rPr>
        <w:t xml:space="preserve">trasmissione dei comunicati e delle lettere</w:t>
      </w:r>
      <w:r>
        <w:rPr>
          <w:rFonts w:ascii="Times New Roman" w:cs="Times New Roman" w:eastAsia="Times New Roman" w:hAnsi="Times New Roman"/>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Times New Roman" w:cs="Times New Roman" w:eastAsia="Times New Roman" w:hAnsi="Times New Roman"/>
          <w:sz w:val="24"/>
          <w:szCs w:val="24"/>
        </w:rPr>
        <w:t xml:space="preserve">Questo ponte salda </w:t>
      </w:r>
      <w:r>
        <w:rPr>
          <w:rFonts w:ascii="Times New Roman" w:cs="Times New Roman" w:eastAsia="Times New Roman" w:hAnsi="Times New Roman"/>
          <w:b/>
          <w:bCs/>
          <w:sz w:val="24"/>
          <w:szCs w:val="24"/>
        </w:rPr>
        <w:t xml:space="preserve">due persone del registro</w:t>
      </w:r>
      <w:r>
        <w:rPr>
          <w:rFonts w:ascii="Times New Roman" w:cs="Times New Roman" w:eastAsia="Times New Roman" w:hAnsi="Times New Roman"/>
          <w:sz w:val="24"/>
          <w:szCs w:val="24"/>
        </w:rPr>
        <w:t xml:space="preserve"> al nodo «fermezza/trattativa» (Parte terza, cap. VI; Fase nona, cap. 74: «i canali del PSI») attraverso il dominio biografico di Potere Operaio: la militanza comune di anni prima è ciò che rese </w:t>
      </w:r>
      <w:r>
        <w:rPr>
          <w:rFonts w:ascii="Times New Roman" w:cs="Times New Roman" w:eastAsia="Times New Roman" w:hAnsi="Times New Roman"/>
          <w:i/>
          <w:iCs/>
          <w:sz w:val="24"/>
          <w:szCs w:val="24"/>
        </w:rPr>
        <w:t xml:space="preserve">possibile</w:t>
      </w:r>
      <w:r>
        <w:rPr>
          <w:rFonts w:ascii="Times New Roman" w:cs="Times New Roman" w:eastAsia="Times New Roman" w:hAnsi="Times New Roman"/>
          <w:sz w:val="24"/>
          <w:szCs w:val="24"/>
        </w:rPr>
        <w:t xml:space="preserve"> il canale del 1978. Grado </w:t>
      </w:r>
      <w:r>
        <w:rPr>
          <w:rFonts w:ascii="Times New Roman" w:cs="Times New Roman" w:eastAsia="Times New Roman" w:hAnsi="Times New Roman"/>
          <w:b/>
          <w:bCs/>
          <w:sz w:val="24"/>
          <w:szCs w:val="24"/>
        </w:rPr>
        <w:t xml:space="preserve">B</w:t>
      </w:r>
      <w:r>
        <w:rPr>
          <w:rFonts w:ascii="Times New Roman" w:cs="Times New Roman" w:eastAsia="Times New Roman" w:hAnsi="Times New Roman"/>
          <w:sz w:val="24"/>
          <w:szCs w:val="24"/>
        </w:rPr>
        <w:t xml:space="preserve"> per la dinamica del canale, </w:t>
      </w:r>
      <w:r>
        <w:rPr>
          <w:rFonts w:ascii="Times New Roman" w:cs="Times New Roman" w:eastAsia="Times New Roman" w:hAnsi="Times New Roman"/>
          <w:b/>
          <w:bCs/>
          <w:sz w:val="24"/>
          <w:szCs w:val="24"/>
        </w:rPr>
        <w:t xml:space="preserve">F</w:t>
      </w:r>
      <w:r>
        <w:rPr>
          <w:rFonts w:ascii="Times New Roman" w:cs="Times New Roman" w:eastAsia="Times New Roman" w:hAnsi="Times New Roman"/>
          <w:sz w:val="24"/>
          <w:szCs w:val="24"/>
        </w:rPr>
        <w:t xml:space="preserve"> per le militanze.</w:t>
      </w:r>
    </w:p>
    <w:p>
      <w:pPr>
        <w:spacing w:after="120" w:line="276"/>
        <w:jc w:val="both"/>
      </w:pPr>
      <w:r>
        <w:rPr>
          <w:rFonts w:ascii="Times New Roman" w:cs="Times New Roman" w:eastAsia="Times New Roman" w:hAnsi="Times New Roman"/>
          <w:b/>
          <w:bCs/>
          <w:sz w:val="24"/>
          <w:szCs w:val="24"/>
        </w:rPr>
        <w:t xml:space="preserve">Anti-triangolazione.</w:t>
      </w:r>
      <w:r>
        <w:rPr>
          <w:rFonts w:ascii="Times New Roman" w:cs="Times New Roman" w:eastAsia="Times New Roman" w:hAnsi="Times New Roman"/>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Times New Roman" w:cs="Times New Roman" w:eastAsia="Times New Roman" w:hAnsi="Times New Roman"/>
          <w:b/>
          <w:bCs/>
          <w:sz w:val="24"/>
          <w:szCs w:val="24"/>
        </w:rPr>
        <w:t xml:space="preserve">nulla aggiunge a carico dei mediatori</w:t>
      </w:r>
      <w:r>
        <w:rPr>
          <w:rFonts w:ascii="Times New Roman" w:cs="Times New Roman" w:eastAsia="Times New Roman" w:hAnsi="Times New Roman"/>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Times New Roman" w:cs="Times New Roman" w:eastAsia="Times New Roman" w:hAnsi="Times New Roman"/>
          <w:sz w:val="24"/>
          <w:szCs w:val="24"/>
        </w:rPr>
        <w:t xml:space="preserve">Nodo T-3 — Bonisoli e via Monte Nevoso: il ponte personale verso il Memoriale (D6)</w:t>
      </w:r>
    </w:p>
    <w:p>
      <w:pPr>
        <w:spacing w:after="120" w:line="276"/>
        <w:jc w:val="both"/>
      </w:pPr>
      <w:r>
        <w:rPr>
          <w:rFonts w:ascii="Times New Roman" w:cs="Times New Roman" w:eastAsia="Times New Roman" w:hAnsi="Times New Roman"/>
          <w:sz w:val="24"/>
          <w:szCs w:val="24"/>
        </w:rPr>
        <w:t xml:space="preserve">Franco Bonisoli sparò in via Fani (giudicato) e — dato verificato — </w:t>
      </w:r>
      <w:r>
        <w:rPr>
          <w:rFonts w:ascii="Times New Roman" w:cs="Times New Roman" w:eastAsia="Times New Roman" w:hAnsi="Times New Roman"/>
          <w:b/>
          <w:bCs/>
          <w:sz w:val="24"/>
          <w:szCs w:val="24"/>
        </w:rPr>
        <w:t xml:space="preserve">portò egli stesso il memoriale e le lettere di Moro al covo milanese di via Monte Nevoso 8</w:t>
      </w:r>
      <w:r>
        <w:rPr>
          <w:rFonts w:ascii="Times New Roman" w:cs="Times New Roman" w:eastAsia="Times New Roman" w:hAnsi="Times New Roman"/>
          <w:sz w:val="24"/>
          <w:szCs w:val="24"/>
        </w:rPr>
        <w:t xml:space="preserve">, dove fu arrestato il </w:t>
      </w:r>
      <w:r>
        <w:rPr>
          <w:rFonts w:ascii="Times New Roman" w:cs="Times New Roman" w:eastAsia="Times New Roman" w:hAnsi="Times New Roman"/>
          <w:b/>
          <w:bCs/>
          <w:sz w:val="24"/>
          <w:szCs w:val="24"/>
        </w:rPr>
        <w:t xml:space="preserve">1° ottobre 1978</w:t>
      </w:r>
      <w:r>
        <w:rPr>
          <w:rFonts w:ascii="Times New Roman" w:cs="Times New Roman" w:eastAsia="Times New Roman" w:hAnsi="Times New Roman"/>
          <w:sz w:val="24"/>
          <w:szCs w:val="24"/>
        </w:rPr>
        <w:t xml:space="preserve"> insieme a Lauro Azzolini e Nadia Mantovani. In quell'occasione furono trovate le </w:t>
      </w:r>
      <w:r>
        <w:rPr>
          <w:rFonts w:ascii="Times New Roman" w:cs="Times New Roman" w:eastAsia="Times New Roman" w:hAnsi="Times New Roman"/>
          <w:b/>
          <w:bCs/>
          <w:sz w:val="24"/>
          <w:szCs w:val="24"/>
        </w:rPr>
        <w:t xml:space="preserve">49 pagine dattiloscritte</w:t>
      </w:r>
      <w:r>
        <w:rPr>
          <w:rFonts w:ascii="Times New Roman" w:cs="Times New Roman" w:eastAsia="Times New Roman" w:hAnsi="Times New Roman"/>
          <w:sz w:val="24"/>
          <w:szCs w:val="24"/>
        </w:rPr>
        <w:t xml:space="preserve">; i </w:t>
      </w:r>
      <w:r>
        <w:rPr>
          <w:rFonts w:ascii="Times New Roman" w:cs="Times New Roman" w:eastAsia="Times New Roman" w:hAnsi="Times New Roman"/>
          <w:b/>
          <w:bCs/>
          <w:sz w:val="24"/>
          <w:szCs w:val="24"/>
        </w:rPr>
        <w:t xml:space="preserve">quattrocento e più fogli</w:t>
      </w:r>
      <w:r>
        <w:rPr>
          <w:rFonts w:ascii="Times New Roman" w:cs="Times New Roman" w:eastAsia="Times New Roman" w:hAnsi="Times New Roman"/>
          <w:sz w:val="24"/>
          <w:szCs w:val="24"/>
        </w:rPr>
        <w:t xml:space="preserve"> dietro il pannello emersero solo il </w:t>
      </w:r>
      <w:r>
        <w:rPr>
          <w:rFonts w:ascii="Times New Roman" w:cs="Times New Roman" w:eastAsia="Times New Roman" w:hAnsi="Times New Roman"/>
          <w:b/>
          <w:bCs/>
          <w:sz w:val="24"/>
          <w:szCs w:val="24"/>
        </w:rPr>
        <w:t xml:space="preserve">9 ottobre 1990</w:t>
      </w:r>
      <w:r>
        <w:rPr>
          <w:rFonts w:ascii="Times New Roman" w:cs="Times New Roman" w:eastAsia="Times New Roman" w:hAnsi="Times New Roman"/>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Times New Roman" w:cs="Times New Roman" w:eastAsia="Times New Roman" w:hAnsi="Times New Roman"/>
          <w:i/>
          <w:iCs/>
          <w:sz w:val="24"/>
          <w:szCs w:val="24"/>
        </w:rPr>
        <w:t xml:space="preserve">Caso Moro</w:t>
      </w:r>
      <w:r>
        <w:rPr>
          <w:rFonts w:ascii="Times New Roman" w:cs="Times New Roman" w:eastAsia="Times New Roman" w:hAnsi="Times New Roman"/>
          <w:sz w:val="24"/>
          <w:szCs w:val="24"/>
        </w:rPr>
        <w:t xml:space="preserve"> (https://it.wikipedia.org/wiki/Caso_Moro)).</w:t>
      </w:r>
    </w:p>
    <w:p>
      <w:pPr>
        <w:spacing w:after="120" w:line="276"/>
        <w:jc w:val="both"/>
      </w:pPr>
      <w:r>
        <w:rPr>
          <w:rFonts w:ascii="Times New Roman" w:cs="Times New Roman" w:eastAsia="Times New Roman" w:hAnsi="Times New Roman"/>
          <w:sz w:val="24"/>
          <w:szCs w:val="24"/>
        </w:rPr>
        <w:t xml:space="preserve">Bonisoli è dunque il </w:t>
      </w:r>
      <w:r>
        <w:rPr>
          <w:rFonts w:ascii="Times New Roman" w:cs="Times New Roman" w:eastAsia="Times New Roman" w:hAnsi="Times New Roman"/>
          <w:b/>
          <w:bCs/>
          <w:sz w:val="24"/>
          <w:szCs w:val="24"/>
        </w:rPr>
        <w:t xml:space="preserve">ponte personale</w:t>
      </w:r>
      <w:r>
        <w:rPr>
          <w:rFonts w:ascii="Times New Roman" w:cs="Times New Roman" w:eastAsia="Times New Roman" w:hAnsi="Times New Roman"/>
          <w:sz w:val="24"/>
          <w:szCs w:val="24"/>
        </w:rPr>
        <w:t xml:space="preserve"> fra il commando e il nodo documentale più controverso del caso: i due tempi del ritrovamento (A quanto ai ritrovamenti), la questione della </w:t>
      </w:r>
      <w:r>
        <w:rPr>
          <w:rFonts w:ascii="Times New Roman" w:cs="Times New Roman" w:eastAsia="Times New Roman" w:hAnsi="Times New Roman"/>
          <w:b/>
          <w:bCs/>
          <w:sz w:val="24"/>
          <w:szCs w:val="24"/>
        </w:rPr>
        <w:t xml:space="preserve">completezza</w:t>
      </w:r>
      <w:r>
        <w:rPr>
          <w:rFonts w:ascii="Times New Roman" w:cs="Times New Roman" w:eastAsia="Times New Roman" w:hAnsi="Times New Roman"/>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Times New Roman" w:cs="Times New Roman" w:eastAsia="Times New Roman" w:hAnsi="Times New Roman"/>
          <w:sz w:val="24"/>
          <w:szCs w:val="24"/>
        </w:rPr>
        <w:t xml:space="preserve">Nodo T-4 — Gallinari, Bonisoli e il «gruppo dell'appartamento»: la genealogia reggiana (D2)</w:t>
      </w:r>
    </w:p>
    <w:p>
      <w:pPr>
        <w:spacing w:after="120" w:line="276"/>
        <w:jc w:val="both"/>
      </w:pPr>
      <w:r>
        <w:rPr>
          <w:rFonts w:ascii="Times New Roman" w:cs="Times New Roman" w:eastAsia="Times New Roman" w:hAnsi="Times New Roman"/>
          <w:sz w:val="24"/>
          <w:szCs w:val="24"/>
        </w:rPr>
        <w:t xml:space="preserve">Prospero Gallinari — reggiano, di famiglia contadina — appartenne al </w:t>
      </w:r>
      <w:r>
        <w:rPr>
          <w:rFonts w:ascii="Times New Roman" w:cs="Times New Roman" w:eastAsia="Times New Roman" w:hAnsi="Times New Roman"/>
          <w:b/>
          <w:bCs/>
          <w:sz w:val="24"/>
          <w:szCs w:val="24"/>
        </w:rPr>
        <w:t xml:space="preserve">«gruppo dell'appartamento» di Reggio Emilia</w:t>
      </w:r>
      <w:r>
        <w:rPr>
          <w:rFonts w:ascii="Times New Roman" w:cs="Times New Roman" w:eastAsia="Times New Roman" w:hAnsi="Times New Roman"/>
          <w:sz w:val="24"/>
          <w:szCs w:val="24"/>
        </w:rPr>
        <w:t xml:space="preserve">: otto giovani usciti dalla FGCI che confluirono nel nucleo storico delle BR, fra cui </w:t>
      </w:r>
      <w:r>
        <w:rPr>
          <w:rFonts w:ascii="Times New Roman" w:cs="Times New Roman" w:eastAsia="Times New Roman" w:hAnsi="Times New Roman"/>
          <w:b/>
          <w:bCs/>
          <w:sz w:val="24"/>
          <w:szCs w:val="24"/>
        </w:rPr>
        <w:t xml:space="preserve">Alberto Franceschini</w:t>
      </w:r>
      <w:r>
        <w:rPr>
          <w:rFonts w:ascii="Times New Roman" w:cs="Times New Roman" w:eastAsia="Times New Roman" w:hAnsi="Times New Roman"/>
          <w:sz w:val="24"/>
          <w:szCs w:val="24"/>
        </w:rPr>
        <w:t xml:space="preserve">, Lauro Azzolini, </w:t>
      </w:r>
      <w:r>
        <w:rPr>
          <w:rFonts w:ascii="Times New Roman" w:cs="Times New Roman" w:eastAsia="Times New Roman" w:hAnsi="Times New Roman"/>
          <w:b/>
          <w:bCs/>
          <w:sz w:val="24"/>
          <w:szCs w:val="24"/>
        </w:rPr>
        <w:t xml:space="preserve">Franco Bonisoli</w:t>
      </w:r>
      <w:r>
        <w:rPr>
          <w:rFonts w:ascii="Times New Roman" w:cs="Times New Roman" w:eastAsia="Times New Roman" w:hAnsi="Times New Roman"/>
          <w:sz w:val="24"/>
          <w:szCs w:val="24"/>
        </w:rPr>
        <w:t xml:space="preserve">, Tonino Paroli, Fabrizio Pelli, Roberto Ognibene e Attilio Casaletti (Roberto Bartali, </w:t>
      </w:r>
      <w:r>
        <w:rPr>
          <w:rFonts w:ascii="Times New Roman" w:cs="Times New Roman" w:eastAsia="Times New Roman" w:hAnsi="Times New Roman"/>
          <w:i/>
          <w:iCs/>
          <w:sz w:val="24"/>
          <w:szCs w:val="24"/>
        </w:rPr>
        <w:t xml:space="preserve">Il nucleo storico delle BR</w:t>
      </w:r>
      <w:r>
        <w:rPr>
          <w:rFonts w:ascii="Times New Roman" w:cs="Times New Roman" w:eastAsia="Times New Roman" w:hAnsi="Times New Roman"/>
          <w:sz w:val="24"/>
          <w:szCs w:val="24"/>
        </w:rPr>
        <w:t xml:space="preserve"> (http://www.robertobartali.it/cap04.htm); Il Crivello, </w:t>
      </w:r>
      <w:r>
        <w:rPr>
          <w:rFonts w:ascii="Times New Roman" w:cs="Times New Roman" w:eastAsia="Times New Roman" w:hAnsi="Times New Roman"/>
          <w:i/>
          <w:iCs/>
          <w:sz w:val="24"/>
          <w:szCs w:val="24"/>
        </w:rPr>
        <w:t xml:space="preserve">Brigate Rosse a Reggio Emilia</w:t>
      </w:r>
      <w:r>
        <w:rPr>
          <w:rFonts w:ascii="Times New Roman" w:cs="Times New Roman" w:eastAsia="Times New Roman" w:hAnsi="Times New Roman"/>
          <w:sz w:val="24"/>
          <w:szCs w:val="24"/>
        </w:rPr>
        <w:t xml:space="preserve"> (http://www.ilcrivello.altervista.org/brigate_rosse_reggio_2010.htm)). </w:t>
      </w:r>
      <w:r>
        <w:rPr>
          <w:rFonts w:ascii="Times New Roman" w:cs="Times New Roman" w:eastAsia="Times New Roman" w:hAnsi="Times New Roman"/>
          <w:b/>
          <w:bCs/>
          <w:sz w:val="24"/>
          <w:szCs w:val="24"/>
        </w:rPr>
        <w:t xml:space="preserve">Due persone del registro</w:t>
      </w:r>
      <w:r>
        <w:rPr>
          <w:rFonts w:ascii="Times New Roman" w:cs="Times New Roman" w:eastAsia="Times New Roman" w:hAnsi="Times New Roman"/>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Times New Roman" w:cs="Times New Roman" w:eastAsia="Times New Roman" w:hAnsi="Times New Roman"/>
          <w:b/>
          <w:bCs/>
          <w:sz w:val="24"/>
          <w:szCs w:val="24"/>
        </w:rPr>
        <w:t xml:space="preserve">Anti-triangolazione.</w:t>
      </w:r>
      <w:r>
        <w:rPr>
          <w:rFonts w:ascii="Times New Roman" w:cs="Times New Roman" w:eastAsia="Times New Roman" w:hAnsi="Times New Roman"/>
          <w:sz w:val="24"/>
          <w:szCs w:val="24"/>
        </w:rPr>
        <w:t xml:space="preserve"> L'appartamento reggiano è </w:t>
      </w:r>
      <w:r>
        <w:rPr>
          <w:rFonts w:ascii="Times New Roman" w:cs="Times New Roman" w:eastAsia="Times New Roman" w:hAnsi="Times New Roman"/>
          <w:b/>
          <w:bCs/>
          <w:sz w:val="24"/>
          <w:szCs w:val="24"/>
        </w:rPr>
        <w:t xml:space="preserve">sociologia della militanza</w:t>
      </w:r>
      <w:r>
        <w:rPr>
          <w:rFonts w:ascii="Times New Roman" w:cs="Times New Roman" w:eastAsia="Times New Roman" w:hAnsi="Times New Roman"/>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Times New Roman" w:cs="Times New Roman" w:eastAsia="Times New Roman" w:hAnsi="Times New Roman"/>
          <w:b/>
          <w:bCs/>
          <w:sz w:val="24"/>
          <w:szCs w:val="24"/>
        </w:rPr>
        <w:t xml:space="preserve">sei anni prima</w:t>
      </w:r>
      <w:r>
        <w:rPr>
          <w:rFonts w:ascii="Times New Roman" w:cs="Times New Roman" w:eastAsia="Times New Roman" w:hAnsi="Times New Roman"/>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Times New Roman" w:cs="Times New Roman" w:eastAsia="Times New Roman" w:hAnsi="Times New Roman"/>
          <w:sz w:val="24"/>
          <w:szCs w:val="24"/>
        </w:rPr>
        <w:t xml:space="preserve">Nodo T-5 — Casimirri: la sala stampa vaticana e la rotta latinoamericana (D5 · D3)</w:t>
      </w:r>
    </w:p>
    <w:p>
      <w:pPr>
        <w:spacing w:after="120" w:line="276"/>
        <w:jc w:val="both"/>
      </w:pPr>
      <w:r>
        <w:rPr>
          <w:rFonts w:ascii="Times New Roman" w:cs="Times New Roman" w:eastAsia="Times New Roman" w:hAnsi="Times New Roman"/>
          <w:sz w:val="24"/>
          <w:szCs w:val="24"/>
        </w:rPr>
        <w:t xml:space="preserve">Il caso Casimirri è il più denso di convergenze inter-dominio, ed esige perciò la disciplina più rigida. Alessio Casimirri — sei ergastoli definitivi in contumacia per via Fani, latitante — è figlio di </w:t>
      </w:r>
      <w:r>
        <w:rPr>
          <w:rFonts w:ascii="Times New Roman" w:cs="Times New Roman" w:eastAsia="Times New Roman" w:hAnsi="Times New Roman"/>
          <w:b/>
          <w:bCs/>
          <w:sz w:val="24"/>
          <w:szCs w:val="24"/>
        </w:rPr>
        <w:t xml:space="preserve">Luciano Casimirri, capo dell'ufficio stampa dell'Osservatore Romano e responsabile della sala stampa vaticana sotto tre pontefici: Pio XII, Giovanni XXIII e Paolo VI</w:t>
      </w:r>
      <w:r>
        <w:rPr>
          <w:rFonts w:ascii="Times New Roman" w:cs="Times New Roman" w:eastAsia="Times New Roman" w:hAnsi="Times New Roman"/>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Times New Roman" w:cs="Times New Roman" w:eastAsia="Times New Roman" w:hAnsi="Times New Roman"/>
          <w:b/>
          <w:bCs/>
          <w:sz w:val="24"/>
          <w:szCs w:val="24"/>
        </w:rPr>
        <w:t xml:space="preserve">Libia e Cuba</w:t>
      </w:r>
      <w:r>
        <w:rPr>
          <w:rFonts w:ascii="Times New Roman" w:cs="Times New Roman" w:eastAsia="Times New Roman" w:hAnsi="Times New Roman"/>
          <w:sz w:val="24"/>
          <w:szCs w:val="24"/>
        </w:rPr>
        <w:t xml:space="preserve"> fino al </w:t>
      </w:r>
      <w:r>
        <w:rPr>
          <w:rFonts w:ascii="Times New Roman" w:cs="Times New Roman" w:eastAsia="Times New Roman" w:hAnsi="Times New Roman"/>
          <w:b/>
          <w:bCs/>
          <w:sz w:val="24"/>
          <w:szCs w:val="24"/>
        </w:rPr>
        <w:t xml:space="preserve">Nicaragua sandinista</w:t>
      </w:r>
      <w:r>
        <w:rPr>
          <w:rFonts w:ascii="Times New Roman" w:cs="Times New Roman" w:eastAsia="Times New Roman" w:hAnsi="Times New Roman"/>
          <w:sz w:val="24"/>
          <w:szCs w:val="24"/>
        </w:rPr>
        <w:t xml:space="preserve">, che ne ha sempre rifiutato l'estradizione.</w:t>
      </w:r>
    </w:p>
    <w:p>
      <w:pPr>
        <w:spacing w:after="120" w:line="276"/>
        <w:jc w:val="both"/>
      </w:pPr>
      <w:r>
        <w:rPr>
          <w:rFonts w:ascii="Times New Roman" w:cs="Times New Roman" w:eastAsia="Times New Roman" w:hAnsi="Times New Roman"/>
          <w:sz w:val="24"/>
          <w:szCs w:val="24"/>
        </w:rPr>
        <w:t xml:space="preserve">Le convergenze sono due, e vanno sciolte separatamente.</w:t>
      </w:r>
    </w:p>
    <w:p>
      <w:pPr>
        <w:spacing w:after="120" w:line="276"/>
        <w:jc w:val="both"/>
      </w:pPr>
      <w:r>
        <w:rPr>
          <w:rFonts w:ascii="Times New Roman" w:cs="Times New Roman" w:eastAsia="Times New Roman" w:hAnsi="Times New Roman"/>
          <w:b/>
          <w:bCs/>
          <w:sz w:val="24"/>
          <w:szCs w:val="24"/>
        </w:rPr>
        <w:t xml:space="preserve">Verso D5 (Santa Sede).</w:t>
      </w:r>
      <w:r>
        <w:rPr>
          <w:rFonts w:ascii="Times New Roman" w:cs="Times New Roman" w:eastAsia="Times New Roman" w:hAnsi="Times New Roman"/>
          <w:sz w:val="24"/>
          <w:szCs w:val="24"/>
        </w:rPr>
        <w:t xml:space="preserve"> Il figlio del portavoce di tre papi fece parte del commando che rapì l'uomo per il quale </w:t>
      </w:r>
      <w:r>
        <w:rPr>
          <w:rFonts w:ascii="Times New Roman" w:cs="Times New Roman" w:eastAsia="Times New Roman" w:hAnsi="Times New Roman"/>
          <w:b/>
          <w:bCs/>
          <w:sz w:val="24"/>
          <w:szCs w:val="24"/>
        </w:rPr>
        <w:t xml:space="preserve">Paolo VI</w:t>
      </w:r>
      <w:r>
        <w:rPr>
          <w:rFonts w:ascii="Times New Roman" w:cs="Times New Roman" w:eastAsia="Times New Roman" w:hAnsi="Times New Roman"/>
          <w:sz w:val="24"/>
          <w:szCs w:val="24"/>
        </w:rPr>
        <w:t xml:space="preserve"> — il papa che il padre aveva servito — scrisse la lettera «agli uomini delle Brigate Rosse» e per il quale si offrì «senza condizioni». È una coincidenza biografica di potenza narrativa enorme, ed è </w:t>
      </w:r>
      <w:r>
        <w:rPr>
          <w:rFonts w:ascii="Times New Roman" w:cs="Times New Roman" w:eastAsia="Times New Roman" w:hAnsi="Times New Roman"/>
          <w:b/>
          <w:bCs/>
          <w:sz w:val="24"/>
          <w:szCs w:val="24"/>
        </w:rPr>
        <w:t xml:space="preserve">esattamente il tipo di coincidenza che questa triangolazione esiste per disciplinare</w:t>
      </w:r>
      <w:r>
        <w:rPr>
          <w:rFonts w:ascii="Times New Roman" w:cs="Times New Roman" w:eastAsia="Times New Roman" w:hAnsi="Times New Roman"/>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Times New Roman" w:cs="Times New Roman" w:eastAsia="Times New Roman" w:hAnsi="Times New Roman"/>
          <w:b/>
          <w:bCs/>
          <w:sz w:val="24"/>
          <w:szCs w:val="24"/>
        </w:rPr>
        <w:t xml:space="preserve">F</w:t>
      </w:r>
      <w:r>
        <w:rPr>
          <w:rFonts w:ascii="Times New Roman" w:cs="Times New Roman" w:eastAsia="Times New Roman" w:hAnsi="Times New Roman"/>
          <w:sz w:val="24"/>
          <w:szCs w:val="24"/>
        </w:rPr>
        <w:t xml:space="preserve"> la biografia, </w:t>
      </w:r>
      <w:r>
        <w:rPr>
          <w:rFonts w:ascii="Times New Roman" w:cs="Times New Roman" w:eastAsia="Times New Roman" w:hAnsi="Times New Roman"/>
          <w:b/>
          <w:bCs/>
          <w:sz w:val="24"/>
          <w:szCs w:val="24"/>
        </w:rPr>
        <w:t xml:space="preserve">nulla</w:t>
      </w:r>
      <w:r>
        <w:rPr>
          <w:rFonts w:ascii="Times New Roman" w:cs="Times New Roman" w:eastAsia="Times New Roman" w:hAnsi="Times New Roman"/>
          <w:sz w:val="24"/>
          <w:szCs w:val="24"/>
        </w:rPr>
        <w:t xml:space="preserve"> il nesso.</w:t>
      </w:r>
    </w:p>
    <w:p>
      <w:pPr>
        <w:spacing w:after="120" w:line="276"/>
        <w:jc w:val="both"/>
      </w:pPr>
      <w:r>
        <w:rPr>
          <w:rFonts w:ascii="Times New Roman" w:cs="Times New Roman" w:eastAsia="Times New Roman" w:hAnsi="Times New Roman"/>
          <w:b/>
          <w:bCs/>
          <w:sz w:val="24"/>
          <w:szCs w:val="24"/>
        </w:rPr>
        <w:t xml:space="preserve">Verso D3 (America Latina).</w:t>
      </w:r>
      <w:r>
        <w:rPr>
          <w:rFonts w:ascii="Times New Roman" w:cs="Times New Roman" w:eastAsia="Times New Roman" w:hAnsi="Times New Roman"/>
          <w:sz w:val="24"/>
          <w:szCs w:val="24"/>
        </w:rPr>
        <w:t xml:space="preserve"> La rotta Libia-Cuba-Managua e la protezione sandinista collocano l'epilogo di Casimirri nell'ambiente latinoamericano post-rivoluzionario che il corpus conosce dal fronte guevariano. Anche qui: è </w:t>
      </w:r>
      <w:r>
        <w:rPr>
          <w:rFonts w:ascii="Times New Roman" w:cs="Times New Roman" w:eastAsia="Times New Roman" w:hAnsi="Times New Roman"/>
          <w:b/>
          <w:bCs/>
          <w:sz w:val="24"/>
          <w:szCs w:val="24"/>
        </w:rPr>
        <w:t xml:space="preserve">convergenza di ambiente</w:t>
      </w:r>
      <w:r>
        <w:rPr>
          <w:rFonts w:ascii="Times New Roman" w:cs="Times New Roman" w:eastAsia="Times New Roman" w:hAnsi="Times New Roman"/>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Times New Roman" w:cs="Times New Roman" w:eastAsia="Times New Roman" w:hAnsi="Times New Roman"/>
          <w:b/>
          <w:bCs/>
          <w:sz w:val="24"/>
          <w:szCs w:val="24"/>
        </w:rPr>
        <w:t xml:space="preserve">Il ponte reale è un terzo, più sobrio:</w:t>
      </w:r>
      <w:r>
        <w:rPr>
          <w:rFonts w:ascii="Times New Roman" w:cs="Times New Roman" w:eastAsia="Times New Roman" w:hAnsi="Times New Roman"/>
          <w:sz w:val="24"/>
          <w:szCs w:val="24"/>
        </w:rPr>
        <w:t xml:space="preserve"> l'estradizione negata è </w:t>
      </w:r>
      <w:r>
        <w:rPr>
          <w:rFonts w:ascii="Times New Roman" w:cs="Times New Roman" w:eastAsia="Times New Roman" w:hAnsi="Times New Roman"/>
          <w:b/>
          <w:bCs/>
          <w:sz w:val="24"/>
          <w:szCs w:val="24"/>
        </w:rPr>
        <w:t xml:space="preserve">materia diplomatica</w:t>
      </w:r>
      <w:r>
        <w:rPr>
          <w:rFonts w:ascii="Times New Roman" w:cs="Times New Roman" w:eastAsia="Times New Roman" w:hAnsi="Times New Roman"/>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Times New Roman" w:cs="Times New Roman" w:eastAsia="Times New Roman" w:hAnsi="Times New Roman"/>
          <w:b/>
          <w:bCs/>
          <w:sz w:val="24"/>
          <w:szCs w:val="24"/>
        </w:rPr>
        <w:t xml:space="preserve">statuto giuridico internazionale</w:t>
      </w:r>
      <w:r>
        <w:rPr>
          <w:rFonts w:ascii="Times New Roman" w:cs="Times New Roman" w:eastAsia="Times New Roman" w:hAnsi="Times New Roman"/>
          <w:sz w:val="24"/>
          <w:szCs w:val="24"/>
        </w:rPr>
        <w:t xml:space="preserve">.</w:t>
      </w:r>
    </w:p>
    <w:p>
      <w:pPr>
        <w:pStyle w:val="Heading2"/>
        <w:spacing w:after="100" w:before="200"/>
      </w:pPr>
      <w:r>
        <w:rPr>
          <w:rFonts w:ascii="Times New Roman" w:cs="Times New Roman" w:eastAsia="Times New Roman" w:hAnsi="Times New Roman"/>
          <w:sz w:val="24"/>
          <w:szCs w:val="24"/>
        </w:rPr>
        <w:t xml:space="preserve">Nodo T-6 — Lojacono: la cittadinanza elvetica e il parallelo delle pene ineseguite (D5)</w:t>
      </w:r>
    </w:p>
    <w:p>
      <w:pPr>
        <w:spacing w:after="120" w:line="276"/>
        <w:jc w:val="both"/>
      </w:pPr>
      <w:r>
        <w:rPr>
          <w:rFonts w:ascii="Times New Roman" w:cs="Times New Roman" w:eastAsia="Times New Roman" w:hAnsi="Times New Roman"/>
          <w:sz w:val="24"/>
          <w:szCs w:val="24"/>
        </w:rPr>
        <w:t xml:space="preserve">Alvaro Lojacono — condannato in via definitiva nel Moro quater (1997) per l'intero arco 16 marzo-9 maggio — riparò in </w:t>
      </w:r>
      <w:r>
        <w:rPr>
          <w:rFonts w:ascii="Times New Roman" w:cs="Times New Roman" w:eastAsia="Times New Roman" w:hAnsi="Times New Roman"/>
          <w:b/>
          <w:bCs/>
          <w:sz w:val="24"/>
          <w:szCs w:val="24"/>
        </w:rPr>
        <w:t xml:space="preserve">Svizzera nel 1986</w:t>
      </w:r>
      <w:r>
        <w:rPr>
          <w:rFonts w:ascii="Times New Roman" w:cs="Times New Roman" w:eastAsia="Times New Roman" w:hAnsi="Times New Roman"/>
          <w:sz w:val="24"/>
          <w:szCs w:val="24"/>
        </w:rPr>
        <w:t xml:space="preserve"> e vi acquisì la </w:t>
      </w:r>
      <w:r>
        <w:rPr>
          <w:rFonts w:ascii="Times New Roman" w:cs="Times New Roman" w:eastAsia="Times New Roman" w:hAnsi="Times New Roman"/>
          <w:b/>
          <w:bCs/>
          <w:sz w:val="24"/>
          <w:szCs w:val="24"/>
        </w:rPr>
        <w:t xml:space="preserve">cittadinanza per parte di madre</w:t>
      </w:r>
      <w:r>
        <w:rPr>
          <w:rFonts w:ascii="Times New Roman" w:cs="Times New Roman" w:eastAsia="Times New Roman" w:hAnsi="Times New Roman"/>
          <w:sz w:val="24"/>
          <w:szCs w:val="24"/>
        </w:rPr>
        <w:t xml:space="preserve">; la Svizzera </w:t>
      </w:r>
      <w:r>
        <w:rPr>
          <w:rFonts w:ascii="Times New Roman" w:cs="Times New Roman" w:eastAsia="Times New Roman" w:hAnsi="Times New Roman"/>
          <w:b/>
          <w:bCs/>
          <w:sz w:val="24"/>
          <w:szCs w:val="24"/>
        </w:rPr>
        <w:t xml:space="preserve">non estrada i propri cittadini</w:t>
      </w:r>
      <w:r>
        <w:rPr>
          <w:rFonts w:ascii="Times New Roman" w:cs="Times New Roman" w:eastAsia="Times New Roman" w:hAnsi="Times New Roman"/>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Times New Roman" w:cs="Times New Roman" w:eastAsia="Times New Roman" w:hAnsi="Times New Roman"/>
          <w:sz w:val="24"/>
          <w:szCs w:val="24"/>
        </w:rPr>
        <w:t xml:space="preserve">La triangolazione qui è </w:t>
      </w:r>
      <w:r>
        <w:rPr>
          <w:rFonts w:ascii="Times New Roman" w:cs="Times New Roman" w:eastAsia="Times New Roman" w:hAnsi="Times New Roman"/>
          <w:b/>
          <w:bCs/>
          <w:sz w:val="24"/>
          <w:szCs w:val="24"/>
        </w:rPr>
        <w:t xml:space="preserve">strutturale</w:t>
      </w:r>
      <w:r>
        <w:rPr>
          <w:rFonts w:ascii="Times New Roman" w:cs="Times New Roman" w:eastAsia="Times New Roman" w:hAnsi="Times New Roman"/>
          <w:sz w:val="24"/>
          <w:szCs w:val="24"/>
        </w:rPr>
        <w:t xml:space="preserve">: due persone del registro — Casimirri e Lojacono — sono condannati definitivi la cui pena non è mai stata eseguita, sottratti all'esecuzione da </w:t>
      </w:r>
      <w:r>
        <w:rPr>
          <w:rFonts w:ascii="Times New Roman" w:cs="Times New Roman" w:eastAsia="Times New Roman" w:hAnsi="Times New Roman"/>
          <w:b/>
          <w:bCs/>
          <w:sz w:val="24"/>
          <w:szCs w:val="24"/>
        </w:rPr>
        <w:t xml:space="preserve">due ordinamenti diversi per due ragioni diverse</w:t>
      </w:r>
      <w:r>
        <w:rPr>
          <w:rFonts w:ascii="Times New Roman" w:cs="Times New Roman" w:eastAsia="Times New Roman" w:hAnsi="Times New Roman"/>
          <w:sz w:val="24"/>
          <w:szCs w:val="24"/>
        </w:rPr>
        <w:t xml:space="preserve"> (protezione politica di uno Stato terzo; regola di cittadinanza di uno Stato di diritto). Il parallelo illumina un nodo che appartiene al dominio diplomatico (D5): </w:t>
      </w:r>
      <w:r>
        <w:rPr>
          <w:rFonts w:ascii="Times New Roman" w:cs="Times New Roman" w:eastAsia="Times New Roman" w:hAnsi="Times New Roman"/>
          <w:b/>
          <w:bCs/>
          <w:sz w:val="24"/>
          <w:szCs w:val="24"/>
        </w:rPr>
        <w:t xml:space="preserve">l'esecuzione del giudicato oltre confine è funzione dei rapporti fra Stati</w:t>
      </w:r>
      <w:r>
        <w:rPr>
          <w:rFonts w:ascii="Times New Roman" w:cs="Times New Roman" w:eastAsia="Times New Roman" w:hAnsi="Times New Roman"/>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Times New Roman" w:cs="Times New Roman" w:eastAsia="Times New Roman" w:hAnsi="Times New Roman"/>
          <w:sz w:val="24"/>
          <w:szCs w:val="24"/>
        </w:rPr>
        <w:t xml:space="preserve">Nodo T-7 — Braghetti e la memoria come vettore: il libro, il film, l'editore (D1 · D6)</w:t>
      </w:r>
    </w:p>
    <w:p>
      <w:pPr>
        <w:spacing w:after="120" w:line="276"/>
        <w:jc w:val="both"/>
      </w:pPr>
      <w:r>
        <w:rPr>
          <w:rFonts w:ascii="Times New Roman" w:cs="Times New Roman" w:eastAsia="Times New Roman" w:hAnsi="Times New Roman"/>
          <w:sz w:val="24"/>
          <w:szCs w:val="24"/>
        </w:rPr>
        <w:t xml:space="preserve">Anna Laura Braghetti — la custode di via Montalcini — scrisse con Paola Tavella </w:t>
      </w:r>
      <w:r>
        <w:rPr>
          <w:rFonts w:ascii="Times New Roman" w:cs="Times New Roman" w:eastAsia="Times New Roman" w:hAnsi="Times New Roman"/>
          <w:b/>
          <w:bCs/>
          <w:sz w:val="24"/>
          <w:szCs w:val="24"/>
        </w:rPr>
        <w:t xml:space="preserve">«Il prigioniero»</w:t>
      </w:r>
      <w:r>
        <w:rPr>
          <w:rFonts w:ascii="Times New Roman" w:cs="Times New Roman" w:eastAsia="Times New Roman" w:hAnsi="Times New Roman"/>
          <w:sz w:val="24"/>
          <w:szCs w:val="24"/>
        </w:rPr>
        <w:t xml:space="preserve"> (1998), il racconto dall'interno della prigione e dei cinquantacinque giorni; dal libro Marco Bellocchio trasse liberamente </w:t>
      </w:r>
      <w:r>
        <w:rPr>
          <w:rFonts w:ascii="Times New Roman" w:cs="Times New Roman" w:eastAsia="Times New Roman" w:hAnsi="Times New Roman"/>
          <w:b/>
          <w:bCs/>
          <w:sz w:val="24"/>
          <w:szCs w:val="24"/>
        </w:rPr>
        <w:t xml:space="preserve">«Buongiorno, notte»</w:t>
      </w:r>
      <w:r>
        <w:rPr>
          <w:rFonts w:ascii="Times New Roman" w:cs="Times New Roman" w:eastAsia="Times New Roman" w:hAnsi="Times New Roman"/>
          <w:sz w:val="24"/>
          <w:szCs w:val="24"/>
        </w:rPr>
        <w:t xml:space="preserve"> (2003), il cui personaggio di Chiara è ispirato a Braghetti e a Faranda (Feltrinelli Editore, scheda del libro (https://www.feltrinellieditore.it/opera/il-prigioniero/); Wikipedia, </w:t>
      </w:r>
      <w:r>
        <w:rPr>
          <w:rFonts w:ascii="Times New Roman" w:cs="Times New Roman" w:eastAsia="Times New Roman" w:hAnsi="Times New Roman"/>
          <w:i/>
          <w:iCs/>
          <w:sz w:val="24"/>
          <w:szCs w:val="24"/>
        </w:rPr>
        <w:t xml:space="preserve">Buongiorno, notte</w:t>
      </w:r>
      <w:r>
        <w:rPr>
          <w:rFonts w:ascii="Times New Roman" w:cs="Times New Roman" w:eastAsia="Times New Roman" w:hAnsi="Times New Roman"/>
          <w:sz w:val="24"/>
          <w:szCs w:val="24"/>
        </w:rPr>
        <w:t xml:space="preserve"> (https://it.wikipedia.org/wiki/Buongiorno,_notte)).</w:t>
      </w:r>
    </w:p>
    <w:p>
      <w:pPr>
        <w:spacing w:after="120" w:line="276"/>
        <w:jc w:val="both"/>
      </w:pPr>
      <w:r>
        <w:rPr>
          <w:rFonts w:ascii="Times New Roman" w:cs="Times New Roman" w:eastAsia="Times New Roman" w:hAnsi="Times New Roman"/>
          <w:sz w:val="24"/>
          <w:szCs w:val="24"/>
        </w:rPr>
        <w:t xml:space="preserve">Il punto di triangolazione è il </w:t>
      </w:r>
      <w:r>
        <w:rPr>
          <w:rFonts w:ascii="Times New Roman" w:cs="Times New Roman" w:eastAsia="Times New Roman" w:hAnsi="Times New Roman"/>
          <w:b/>
          <w:bCs/>
          <w:sz w:val="24"/>
          <w:szCs w:val="24"/>
        </w:rPr>
        <w:t xml:space="preserve">tema del vettore</w:t>
      </w:r>
      <w:r>
        <w:rPr>
          <w:rFonts w:ascii="Times New Roman" w:cs="Times New Roman" w:eastAsia="Times New Roman" w:hAnsi="Times New Roman"/>
          <w:sz w:val="24"/>
          <w:szCs w:val="24"/>
        </w:rPr>
        <w:t xml:space="preserve">, che è il cuore del fronte D1: il corpus ha ricostruito come il mito del Che fu </w:t>
      </w:r>
      <w:r>
        <w:rPr>
          <w:rFonts w:ascii="Times New Roman" w:cs="Times New Roman" w:eastAsia="Times New Roman" w:hAnsi="Times New Roman"/>
          <w:i/>
          <w:iCs/>
          <w:sz w:val="24"/>
          <w:szCs w:val="24"/>
        </w:rPr>
        <w:t xml:space="preserve">fabbricato</w:t>
      </w:r>
      <w:r>
        <w:rPr>
          <w:rFonts w:ascii="Times New Roman" w:cs="Times New Roman" w:eastAsia="Times New Roman" w:hAnsi="Times New Roman"/>
          <w:sz w:val="24"/>
          <w:szCs w:val="24"/>
        </w:rPr>
        <w:t xml:space="preserve"> da un editore (la foto di Korda, il </w:t>
      </w:r>
      <w:r>
        <w:rPr>
          <w:rFonts w:ascii="Times New Roman" w:cs="Times New Roman" w:eastAsia="Times New Roman" w:hAnsi="Times New Roman"/>
          <w:i/>
          <w:iCs/>
          <w:sz w:val="24"/>
          <w:szCs w:val="24"/>
        </w:rPr>
        <w:t xml:space="preserve">Diario</w:t>
      </w:r>
      <w:r>
        <w:rPr>
          <w:rFonts w:ascii="Times New Roman" w:cs="Times New Roman" w:eastAsia="Times New Roman" w:hAnsi="Times New Roman"/>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Times New Roman" w:cs="Times New Roman" w:eastAsia="Times New Roman" w:hAnsi="Times New Roman"/>
          <w:b/>
          <w:bCs/>
          <w:sz w:val="24"/>
          <w:szCs w:val="24"/>
        </w:rPr>
        <w:t xml:space="preserve">l'editore de «Il prigioniero» è Feltrinelli</w:t>
      </w:r>
      <w:r>
        <w:rPr>
          <w:rFonts w:ascii="Times New Roman" w:cs="Times New Roman" w:eastAsia="Times New Roman" w:hAnsi="Times New Roman"/>
          <w:sz w:val="24"/>
          <w:szCs w:val="24"/>
        </w:rPr>
        <w:t xml:space="preserve"> — la casa editrice, cioè l'impresa fondata da Giangiacomo e proseguita dopo di lui. È una convergenza </w:t>
      </w:r>
      <w:r>
        <w:rPr>
          <w:rFonts w:ascii="Times New Roman" w:cs="Times New Roman" w:eastAsia="Times New Roman" w:hAnsi="Times New Roman"/>
          <w:i/>
          <w:iCs/>
          <w:sz w:val="24"/>
          <w:szCs w:val="24"/>
        </w:rPr>
        <w:t xml:space="preserve">editoriale</w:t>
      </w:r>
      <w:r>
        <w:rPr>
          <w:rFonts w:ascii="Times New Roman" w:cs="Times New Roman" w:eastAsia="Times New Roman" w:hAnsi="Times New Roman"/>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Times New Roman" w:cs="Times New Roman" w:eastAsia="Times New Roman" w:hAnsi="Times New Roman"/>
          <w:b/>
          <w:bCs/>
          <w:sz w:val="24"/>
          <w:szCs w:val="24"/>
        </w:rPr>
        <w:t xml:space="preserve">la memoria del caso ha i suoi vettori, e i vettori hanno una storia</w:t>
      </w:r>
      <w:r>
        <w:rPr>
          <w:rFonts w:ascii="Times New Roman" w:cs="Times New Roman" w:eastAsia="Times New Roman" w:hAnsi="Times New Roman"/>
          <w:sz w:val="24"/>
          <w:szCs w:val="24"/>
        </w:rPr>
        <w:t xml:space="preserve">. A questo dominio appartiene anche il Memoriale Morucci come «testo negoziato» (B): due canali di memoria — quello editoriale e quello istruttorio — entrambi </w:t>
      </w:r>
      <w:r>
        <w:rPr>
          <w:rFonts w:ascii="Times New Roman" w:cs="Times New Roman" w:eastAsia="Times New Roman" w:hAnsi="Times New Roman"/>
          <w:i/>
          <w:iCs/>
          <w:sz w:val="24"/>
          <w:szCs w:val="24"/>
        </w:rPr>
        <w:t xml:space="preserve">costruiti</w:t>
      </w:r>
      <w:r>
        <w:rPr>
          <w:rFonts w:ascii="Times New Roman" w:cs="Times New Roman" w:eastAsia="Times New Roman" w:hAnsi="Times New Roman"/>
          <w:sz w:val="24"/>
          <w:szCs w:val="24"/>
        </w:rPr>
        <w:t xml:space="preserve">, entrambi da leggere sapendolo.</w:t>
      </w:r>
    </w:p>
    <w:p>
      <w:pPr>
        <w:pStyle w:val="Heading2"/>
        <w:spacing w:after="100" w:before="200"/>
      </w:pPr>
      <w:r>
        <w:rPr>
          <w:rFonts w:ascii="Times New Roman" w:cs="Times New Roman" w:eastAsia="Times New Roman" w:hAnsi="Times New Roman"/>
          <w:sz w:val="24"/>
          <w:szCs w:val="24"/>
        </w:rPr>
        <w:t xml:space="preserve">Nodo T-8 — Seghetti e Braghetti: le condotte successive e la tenuta del principio (interno)</w:t>
      </w:r>
    </w:p>
    <w:p>
      <w:pPr>
        <w:spacing w:after="120" w:line="276"/>
        <w:jc w:val="both"/>
      </w:pPr>
      <w:r>
        <w:rPr>
          <w:rFonts w:ascii="Times New Roman" w:cs="Times New Roman" w:eastAsia="Times New Roman" w:hAnsi="Times New Roman"/>
          <w:sz w:val="24"/>
          <w:szCs w:val="24"/>
        </w:rPr>
        <w:t xml:space="preserve">Bruno Seghetti presentò Anna Laura Braghetti a Moretti nella fase preparatoria (l'acquisto di via Montalcini, giugno 1977); i due parteciparono poi insieme, nel febbraio 1980, all'</w:t>
      </w:r>
      <w:r>
        <w:rPr>
          <w:rFonts w:ascii="Times New Roman" w:cs="Times New Roman" w:eastAsia="Times New Roman" w:hAnsi="Times New Roman"/>
          <w:b/>
          <w:bCs/>
          <w:sz w:val="24"/>
          <w:szCs w:val="24"/>
        </w:rPr>
        <w:t xml:space="preserve">omicidio di Vittorio Bachelet</w:t>
      </w:r>
      <w:r>
        <w:rPr>
          <w:rFonts w:ascii="Times New Roman" w:cs="Times New Roman" w:eastAsia="Times New Roman" w:hAnsi="Times New Roman"/>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Times New Roman" w:cs="Times New Roman" w:eastAsia="Times New Roman" w:hAnsi="Times New Roman"/>
          <w:b/>
          <w:bCs/>
          <w:sz w:val="24"/>
          <w:szCs w:val="24"/>
        </w:rPr>
        <w:t xml:space="preserve">le condotte successive hanno le loro sentenze e i loro fascicoli</w:t>
      </w:r>
      <w:r>
        <w:rPr>
          <w:rFonts w:ascii="Times New Roman" w:cs="Times New Roman" w:eastAsia="Times New Roman" w:hAnsi="Times New Roman"/>
          <w:sz w:val="24"/>
          <w:szCs w:val="24"/>
        </w:rPr>
        <w:t xml:space="preserve">, e non rifluiscono nel caso Moro né ne discendono. Il registro della Fase decima cataloga le responsabilità </w:t>
      </w:r>
      <w:r>
        <w:rPr>
          <w:rFonts w:ascii="Times New Roman" w:cs="Times New Roman" w:eastAsia="Times New Roman" w:hAnsi="Times New Roman"/>
          <w:i/>
          <w:iCs/>
          <w:sz w:val="24"/>
          <w:szCs w:val="24"/>
        </w:rPr>
        <w:t xml:space="preserve">per il caso</w:t>
      </w:r>
      <w:r>
        <w:rPr>
          <w:rFonts w:ascii="Times New Roman" w:cs="Times New Roman" w:eastAsia="Times New Roman" w:hAnsi="Times New Roman"/>
          <w:sz w:val="24"/>
          <w:szCs w:val="24"/>
        </w:rPr>
        <w:t xml:space="preserve">; Bachelet, Palma, Tartaglione e ogni altra vittima hanno il loro giudicato e il loro nome altrove. Il principio personalistico vale anche nel tempo: </w:t>
      </w:r>
      <w:r>
        <w:rPr>
          <w:rFonts w:ascii="Times New Roman" w:cs="Times New Roman" w:eastAsia="Times New Roman" w:hAnsi="Times New Roman"/>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Gli esiti negativi, dichiarati (acquisizioni di pieno valore)</w:t>
      </w:r>
    </w:p>
    <w:p>
      <w:pPr>
        <w:pStyle w:val="ListParagraph"/>
        <w:numPr>
          <w:ilvl w:val="0"/>
          <w:numId w:val="1"/>
        </w:numPr>
        <w:spacing w:after="40"/>
        <w:jc w:val="both"/>
      </w:pPr>
      <w:r>
        <w:rPr>
          <w:rFonts w:ascii="Times New Roman" w:cs="Times New Roman" w:eastAsia="Times New Roman" w:hAnsi="Times New Roman"/>
          <w:b/>
          <w:bCs/>
          <w:sz w:val="24"/>
          <w:szCs w:val="24"/>
        </w:rPr>
        <w:t xml:space="preserve">Raffaele Fiore, Barbara Balzerani, Germano Maccari, Raimondo Etro</w:t>
      </w:r>
      <w:r>
        <w:rPr>
          <w:rFonts w:ascii="Times New Roman" w:cs="Times New Roman" w:eastAsia="Times New Roman" w:hAnsi="Times New Roman"/>
          <w:sz w:val="24"/>
          <w:szCs w:val="24"/>
        </w:rPr>
        <w:t xml:space="preserve">: la ricognizione non ha trovato, per nessuno dei quattro, ponti documentati verso i domini D1-D5 oltre la militanza brigatista già giudicata. Sono, nel linguaggio del corpus, </w:t>
      </w:r>
      <w:r>
        <w:rPr>
          <w:rFonts w:ascii="Times New Roman" w:cs="Times New Roman" w:eastAsia="Times New Roman" w:hAnsi="Times New Roman"/>
          <w:b/>
          <w:bCs/>
          <w:sz w:val="24"/>
          <w:szCs w:val="24"/>
        </w:rPr>
        <w:t xml:space="preserve">posizioni a triangolazione vuota</w:t>
      </w:r>
      <w:r>
        <w:rPr>
          <w:rFonts w:ascii="Times New Roman" w:cs="Times New Roman" w:eastAsia="Times New Roman" w:hAnsi="Times New Roman"/>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Times New Roman" w:cs="Times New Roman" w:eastAsia="Times New Roman" w:hAnsi="Times New Roman"/>
          <w:b/>
          <w:bCs/>
          <w:sz w:val="24"/>
          <w:szCs w:val="24"/>
        </w:rPr>
        <w:t xml:space="preserve">D4 (Tribunale Speciale)</w:t>
      </w:r>
      <w:r>
        <w:rPr>
          <w:rFonts w:ascii="Times New Roman" w:cs="Times New Roman" w:eastAsia="Times New Roman" w:hAnsi="Times New Roman"/>
          <w:sz w:val="24"/>
          <w:szCs w:val="24"/>
        </w:rPr>
        <w:t xml:space="preserve">: nessuna triangolazione prosopografica è possibile — le epoche non si toccano. Il confronto è di </w:t>
      </w:r>
      <w:r>
        <w:rPr>
          <w:rFonts w:ascii="Times New Roman" w:cs="Times New Roman" w:eastAsia="Times New Roman" w:hAnsi="Times New Roman"/>
          <w:b/>
          <w:bCs/>
          <w:sz w:val="24"/>
          <w:szCs w:val="24"/>
        </w:rPr>
        <w:t xml:space="preserve">metodo</w:t>
      </w:r>
      <w:r>
        <w:rPr>
          <w:rFonts w:ascii="Times New Roman" w:cs="Times New Roman" w:eastAsia="Times New Roman" w:hAnsi="Times New Roman"/>
          <w:sz w:val="24"/>
          <w:szCs w:val="24"/>
        </w:rPr>
        <w:t xml:space="preserve">, e chiude il documento (v. sotto).</w:t>
      </w:r>
    </w:p>
    <w:p>
      <w:pPr>
        <w:pStyle w:val="ListParagraph"/>
        <w:numPr>
          <w:ilvl w:val="0"/>
          <w:numId w:val="1"/>
        </w:numPr>
        <w:spacing w:after="40"/>
        <w:jc w:val="both"/>
      </w:pPr>
      <w:r>
        <w:rPr>
          <w:rFonts w:ascii="Times New Roman" w:cs="Times New Roman" w:eastAsia="Times New Roman" w:hAnsi="Times New Roman"/>
          <w:b/>
          <w:bCs/>
          <w:sz w:val="24"/>
          <w:szCs w:val="24"/>
        </w:rPr>
        <w:t xml:space="preserve">D3 (fronte guevariano)</w:t>
      </w:r>
      <w:r>
        <w:rPr>
          <w:rFonts w:ascii="Times New Roman" w:cs="Times New Roman" w:eastAsia="Times New Roman" w:hAnsi="Times New Roman"/>
          <w:sz w:val="24"/>
          <w:szCs w:val="24"/>
        </w:rPr>
        <w:t xml:space="preserve">: fuori dalla rotta di Casimirri (convergenza di ambiente, non nesso), nessun ponte biografico fra i tredici e il fronte latinoamericano. Il legame fra i due fronti resta quello, </w:t>
      </w:r>
      <w:r>
        <w:rPr>
          <w:rFonts w:ascii="Times New Roman" w:cs="Times New Roman" w:eastAsia="Times New Roman" w:hAnsi="Times New Roman"/>
          <w:i/>
          <w:iCs/>
          <w:sz w:val="24"/>
          <w:szCs w:val="24"/>
        </w:rPr>
        <w:t xml:space="preserve">ideologico e di immagine</w:t>
      </w:r>
      <w:r>
        <w:rPr>
          <w:rFonts w:ascii="Times New Roman" w:cs="Times New Roman" w:eastAsia="Times New Roman" w:hAnsi="Times New Roman"/>
          <w:sz w:val="24"/>
          <w:szCs w:val="24"/>
        </w:rPr>
        <w:t xml:space="preserve">, già mappato in </w:t>
      </w:r>
      <w:r>
        <w:rPr>
          <w:rFonts w:ascii="Times New Roman" w:cs="Times New Roman" w:eastAsia="Times New Roman" w:hAnsi="Times New Roman"/>
          <w:i/>
          <w:iCs/>
          <w:sz w:val="24"/>
          <w:szCs w:val="24"/>
        </w:rPr>
        <w:t xml:space="preserve">dal-che-a-moro-una-guerra-senza-fine.md</w:t>
      </w:r>
      <w:r>
        <w:rPr>
          <w:rFonts w:ascii="Times New Roman" w:cs="Times New Roman" w:eastAsia="Times New Roman" w:hAnsi="Times New Roman"/>
          <w:sz w:val="24"/>
          <w:szCs w:val="24"/>
        </w:rPr>
        <w:t xml:space="preserve">: il mito come carburante, mai come catena di comando.</w:t>
      </w:r>
    </w:p>
    <w:p>
      <w:pPr>
        <w:pStyle w:val="ListParagraph"/>
        <w:numPr>
          <w:ilvl w:val="0"/>
          <w:numId w:val="1"/>
        </w:numPr>
        <w:spacing w:after="40"/>
        <w:jc w:val="both"/>
      </w:pPr>
      <w:r>
        <w:rPr>
          <w:rFonts w:ascii="Times New Roman" w:cs="Times New Roman" w:eastAsia="Times New Roman" w:hAnsi="Times New Roman"/>
          <w:b/>
          <w:bCs/>
          <w:sz w:val="24"/>
          <w:szCs w:val="24"/>
        </w:rPr>
        <w:t xml:space="preserve">L'attentato del 1981 (dominio della cartella Farnesina)</w:t>
      </w:r>
      <w:r>
        <w:rPr>
          <w:rFonts w:ascii="Times New Roman" w:cs="Times New Roman" w:eastAsia="Times New Roman" w:hAnsi="Times New Roman"/>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Times New Roman" w:cs="Times New Roman" w:eastAsia="Times New Roman" w:hAnsi="Times New Roman"/>
          <w:sz w:val="24"/>
          <w:szCs w:val="24"/>
        </w:rPr>
        <w:t xml:space="preserve">Le anti-triangolazioni (il presidio del metodo)</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La parentela non è canale.</w:t>
      </w:r>
      <w:r>
        <w:rPr>
          <w:rFonts w:ascii="Times New Roman" w:cs="Times New Roman" w:eastAsia="Times New Roman" w:hAnsi="Times New Roman"/>
          <w:sz w:val="24"/>
          <w:szCs w:val="24"/>
        </w:rPr>
        <w:t xml:space="preserve"> Il padre alla sala stampa vaticana non collega Casimirri alla Santa Sede, né la Santa Sede a via Fani. Le famiglie non rispondono dei figli.</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L'origine comune non è regia.</w:t>
      </w:r>
      <w:r>
        <w:rPr>
          <w:rFonts w:ascii="Times New Roman" w:cs="Times New Roman" w:eastAsia="Times New Roman" w:hAnsi="Times New Roman"/>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La rotta non è filiazione.</w:t>
      </w:r>
      <w:r>
        <w:rPr>
          <w:rFonts w:ascii="Times New Roman" w:cs="Times New Roman" w:eastAsia="Times New Roman" w:hAnsi="Times New Roman"/>
          <w:sz w:val="24"/>
          <w:szCs w:val="24"/>
        </w:rPr>
        <w:t xml:space="preserve"> Cuba e Managua sono geografia della latitanza, non genealogia del mito.</w:t>
      </w:r>
    </w:p>
    <w:p>
      <w:pPr>
        <w:spacing w:after="40"/>
        <w:ind w:left="36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b/>
          <w:bCs/>
          <w:sz w:val="24"/>
          <w:szCs w:val="24"/>
        </w:rPr>
        <w:t xml:space="preserve">Il canale non è complicità.</w:t>
      </w:r>
      <w:r>
        <w:rPr>
          <w:rFonts w:ascii="Times New Roman" w:cs="Times New Roman" w:eastAsia="Times New Roman" w:hAnsi="Times New Roman"/>
          <w:sz w:val="24"/>
          <w:szCs w:val="24"/>
        </w:rPr>
        <w:t xml:space="preserve"> L'intermediazione Pace-Piperno del 1978 è censita come tale; nulla si attribuisce a chi non è nel registro.</w:t>
      </w:r>
    </w:p>
    <w:p>
      <w:pPr>
        <w:spacing w:after="40"/>
        <w:ind w:left="36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b/>
          <w:bCs/>
          <w:sz w:val="24"/>
          <w:szCs w:val="24"/>
        </w:rPr>
        <w:t xml:space="preserve">Il registro resta chiuso.</w:t>
      </w:r>
      <w:r>
        <w:rPr>
          <w:rFonts w:ascii="Times New Roman" w:cs="Times New Roman" w:eastAsia="Times New Roman" w:hAnsi="Times New Roman"/>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Times New Roman" w:cs="Times New Roman" w:eastAsia="Times New Roman" w:hAnsi="Times New Roman"/>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Persona</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Ponte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Dominio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Grado</w:t>
            </w:r>
          </w:p>
        </w:tc>
      </w:tr>
      <w:tr>
        <w:tc>
          <w:tcPr>
            <w:tcW w:type="dxa" w:w="2340"/>
          </w:tcPr>
          <w:p>
            <w:pPr>
              <w:spacing w:after="20" w:before="20"/>
              <w:jc w:val="left"/>
            </w:pPr>
            <w:r>
              <w:rPr>
                <w:rFonts w:ascii="Times New Roman" w:cs="Times New Roman" w:eastAsia="Times New Roman" w:hAnsi="Times New Roman"/>
                <w:sz w:val="20"/>
                <w:szCs w:val="20"/>
              </w:rPr>
              <w:t xml:space="preserve">Moretti</w:t>
            </w:r>
          </w:p>
        </w:tc>
        <w:tc>
          <w:tcPr>
            <w:tcW w:type="dxa" w:w="2340"/>
          </w:tcPr>
          <w:p>
            <w:pPr>
              <w:spacing w:after="20" w:before="20"/>
              <w:jc w:val="left"/>
            </w:pPr>
            <w:r>
              <w:rPr>
                <w:rFonts w:ascii="Times New Roman" w:cs="Times New Roman" w:eastAsia="Times New Roman" w:hAnsi="Times New Roman"/>
                <w:sz w:val="20"/>
                <w:szCs w:val="20"/>
              </w:rPr>
              <w:t xml:space="preserve">Sit-Siemens → CPM di Curcio e Simioni (1969) → doppia discendenza BR/Superclan</w:t>
            </w:r>
          </w:p>
        </w:tc>
        <w:tc>
          <w:tcPr>
            <w:tcW w:type="dxa" w:w="2340"/>
          </w:tcPr>
          <w:p>
            <w:pPr>
              <w:spacing w:after="20" w:before="20"/>
              <w:jc w:val="left"/>
            </w:pPr>
            <w:r>
              <w:rPr>
                <w:rFonts w:ascii="Times New Roman" w:cs="Times New Roman" w:eastAsia="Times New Roman" w:hAnsi="Times New Roman"/>
                <w:sz w:val="20"/>
                <w:szCs w:val="20"/>
              </w:rPr>
              <w:t xml:space="preserve">D2</w:t>
            </w:r>
          </w:p>
        </w:tc>
        <w:tc>
          <w:tcPr>
            <w:tcW w:type="dxa" w:w="2340"/>
          </w:tcPr>
          <w:p>
            <w:pPr>
              <w:spacing w:after="20" w:before="20"/>
              <w:jc w:val="left"/>
            </w:pPr>
            <w:r>
              <w:rPr>
                <w:rFonts w:ascii="Times New Roman" w:cs="Times New Roman" w:eastAsia="Times New Roman" w:hAnsi="Times New Roman"/>
                <w:sz w:val="20"/>
                <w:szCs w:val="20"/>
              </w:rPr>
              <w:t xml:space="preserve">F (biografia) / C (ogni tesi operativa su Hyperion)</w:t>
            </w:r>
          </w:p>
        </w:tc>
      </w:tr>
      <w:tr>
        <w:tc>
          <w:tcPr>
            <w:tcW w:type="dxa" w:w="2340"/>
          </w:tcPr>
          <w:p>
            <w:pPr>
              <w:spacing w:after="20" w:before="20"/>
              <w:jc w:val="left"/>
            </w:pPr>
            <w:r>
              <w:rPr>
                <w:rFonts w:ascii="Times New Roman" w:cs="Times New Roman" w:eastAsia="Times New Roman" w:hAnsi="Times New Roman"/>
                <w:sz w:val="20"/>
                <w:szCs w:val="20"/>
              </w:rPr>
              <w:t xml:space="preserve">Morucci</w:t>
            </w:r>
          </w:p>
        </w:tc>
        <w:tc>
          <w:tcPr>
            <w:tcW w:type="dxa" w:w="2340"/>
          </w:tcPr>
          <w:p>
            <w:pPr>
              <w:spacing w:after="20" w:before="20"/>
              <w:jc w:val="left"/>
            </w:pPr>
            <w:r>
              <w:rPr>
                <w:rFonts w:ascii="Times New Roman" w:cs="Times New Roman" w:eastAsia="Times New Roman" w:hAnsi="Times New Roman"/>
                <w:sz w:val="20"/>
                <w:szCs w:val="20"/>
              </w:rPr>
              <w:t xml:space="preserve">Potere Operaio → canale Pace-Piperno → PSI (trattativa); trasmissione dei comunicati</w:t>
            </w:r>
          </w:p>
        </w:tc>
        <w:tc>
          <w:tcPr>
            <w:tcW w:type="dxa" w:w="2340"/>
          </w:tcPr>
          <w:p>
            <w:pPr>
              <w:spacing w:after="20" w:before="20"/>
              <w:jc w:val="left"/>
            </w:pPr>
            <w:r>
              <w:rPr>
                <w:rFonts w:ascii="Times New Roman" w:cs="Times New Roman" w:eastAsia="Times New Roman" w:hAnsi="Times New Roman"/>
                <w:sz w:val="20"/>
                <w:szCs w:val="20"/>
              </w:rPr>
              <w:t xml:space="preserve">D6</w:t>
            </w:r>
          </w:p>
        </w:tc>
        <w:tc>
          <w:tcPr>
            <w:tcW w:type="dxa" w:w="2340"/>
          </w:tcPr>
          <w:p>
            <w:pPr>
              <w:spacing w:after="20" w:before="20"/>
              <w:jc w:val="left"/>
            </w:pPr>
            <w:r>
              <w:rPr>
                <w:rFonts w:ascii="Times New Roman" w:cs="Times New Roman" w:eastAsia="Times New Roman" w:hAnsi="Times New Roman"/>
                <w:sz w:val="20"/>
                <w:szCs w:val="20"/>
              </w:rPr>
              <w:t xml:space="preserve">F / B</w:t>
            </w:r>
          </w:p>
        </w:tc>
      </w:tr>
      <w:tr>
        <w:tc>
          <w:tcPr>
            <w:tcW w:type="dxa" w:w="2340"/>
          </w:tcPr>
          <w:p>
            <w:pPr>
              <w:spacing w:after="20" w:before="20"/>
              <w:jc w:val="left"/>
            </w:pPr>
            <w:r>
              <w:rPr>
                <w:rFonts w:ascii="Times New Roman" w:cs="Times New Roman" w:eastAsia="Times New Roman" w:hAnsi="Times New Roman"/>
                <w:sz w:val="20"/>
                <w:szCs w:val="20"/>
              </w:rPr>
              <w:t xml:space="preserve">Faranda</w:t>
            </w:r>
          </w:p>
        </w:tc>
        <w:tc>
          <w:tcPr>
            <w:tcW w:type="dxa" w:w="2340"/>
          </w:tcPr>
          <w:p>
            <w:pPr>
              <w:spacing w:after="20" w:before="20"/>
              <w:jc w:val="left"/>
            </w:pPr>
            <w:r>
              <w:rPr>
                <w:rFonts w:ascii="Times New Roman" w:cs="Times New Roman" w:eastAsia="Times New Roman" w:hAnsi="Times New Roman"/>
                <w:sz w:val="20"/>
                <w:szCs w:val="20"/>
              </w:rPr>
              <w:t xml:space="preserve">Potere Operaio → canale Pace-Piperno; contraria all'uccisione</w:t>
            </w:r>
          </w:p>
        </w:tc>
        <w:tc>
          <w:tcPr>
            <w:tcW w:type="dxa" w:w="2340"/>
          </w:tcPr>
          <w:p>
            <w:pPr>
              <w:spacing w:after="20" w:before="20"/>
              <w:jc w:val="left"/>
            </w:pPr>
            <w:r>
              <w:rPr>
                <w:rFonts w:ascii="Times New Roman" w:cs="Times New Roman" w:eastAsia="Times New Roman" w:hAnsi="Times New Roman"/>
                <w:sz w:val="20"/>
                <w:szCs w:val="20"/>
              </w:rPr>
              <w:t xml:space="preserve">D6</w:t>
            </w:r>
          </w:p>
        </w:tc>
        <w:tc>
          <w:tcPr>
            <w:tcW w:type="dxa" w:w="2340"/>
          </w:tcPr>
          <w:p>
            <w:pPr>
              <w:spacing w:after="20" w:before="20"/>
              <w:jc w:val="left"/>
            </w:pPr>
            <w:r>
              <w:rPr>
                <w:rFonts w:ascii="Times New Roman" w:cs="Times New Roman" w:eastAsia="Times New Roman" w:hAnsi="Times New Roman"/>
                <w:sz w:val="20"/>
                <w:szCs w:val="20"/>
              </w:rPr>
              <w:t xml:space="preserve">F / B</w:t>
            </w:r>
          </w:p>
        </w:tc>
      </w:tr>
      <w:tr>
        <w:tc>
          <w:tcPr>
            <w:tcW w:type="dxa" w:w="2340"/>
          </w:tcPr>
          <w:p>
            <w:pPr>
              <w:spacing w:after="20" w:before="20"/>
              <w:jc w:val="left"/>
            </w:pPr>
            <w:r>
              <w:rPr>
                <w:rFonts w:ascii="Times New Roman" w:cs="Times New Roman" w:eastAsia="Times New Roman" w:hAnsi="Times New Roman"/>
                <w:sz w:val="20"/>
                <w:szCs w:val="20"/>
              </w:rPr>
              <w:t xml:space="preserve">Bonisoli</w:t>
            </w:r>
          </w:p>
        </w:tc>
        <w:tc>
          <w:tcPr>
            <w:tcW w:type="dxa" w:w="2340"/>
          </w:tcPr>
          <w:p>
            <w:pPr>
              <w:spacing w:after="20" w:before="20"/>
              <w:jc w:val="left"/>
            </w:pPr>
            <w:r>
              <w:rPr>
                <w:rFonts w:ascii="Times New Roman" w:cs="Times New Roman" w:eastAsia="Times New Roman" w:hAnsi="Times New Roman"/>
                <w:sz w:val="20"/>
                <w:szCs w:val="20"/>
              </w:rPr>
              <w:t xml:space="preserve">Portò il memoriale a via Monte Nevoso; arrestato lì (1/10/1978); gruppo reggiano</w:t>
            </w:r>
          </w:p>
        </w:tc>
        <w:tc>
          <w:tcPr>
            <w:tcW w:type="dxa" w:w="2340"/>
          </w:tcPr>
          <w:p>
            <w:pPr>
              <w:spacing w:after="20" w:before="20"/>
              <w:jc w:val="left"/>
            </w:pPr>
            <w:r>
              <w:rPr>
                <w:rFonts w:ascii="Times New Roman" w:cs="Times New Roman" w:eastAsia="Times New Roman" w:hAnsi="Times New Roman"/>
                <w:sz w:val="20"/>
                <w:szCs w:val="20"/>
              </w:rPr>
              <w:t xml:space="preserve">D6 · D2</w:t>
            </w:r>
          </w:p>
        </w:tc>
        <w:tc>
          <w:tcPr>
            <w:tcW w:type="dxa" w:w="2340"/>
          </w:tcPr>
          <w:p>
            <w:pPr>
              <w:spacing w:after="20" w:before="20"/>
              <w:jc w:val="left"/>
            </w:pPr>
            <w:r>
              <w:rPr>
                <w:rFonts w:ascii="Times New Roman" w:cs="Times New Roman" w:eastAsia="Times New Roman" w:hAnsi="Times New Roman"/>
                <w:sz w:val="20"/>
                <w:szCs w:val="20"/>
              </w:rPr>
              <w:t xml:space="preserve">A / F</w:t>
            </w:r>
          </w:p>
        </w:tc>
      </w:tr>
      <w:tr>
        <w:tc>
          <w:tcPr>
            <w:tcW w:type="dxa" w:w="2340"/>
          </w:tcPr>
          <w:p>
            <w:pPr>
              <w:spacing w:after="20" w:before="20"/>
              <w:jc w:val="left"/>
            </w:pPr>
            <w:r>
              <w:rPr>
                <w:rFonts w:ascii="Times New Roman" w:cs="Times New Roman" w:eastAsia="Times New Roman" w:hAnsi="Times New Roman"/>
                <w:sz w:val="20"/>
                <w:szCs w:val="20"/>
              </w:rPr>
              <w:t xml:space="preserve">Gallinari</w:t>
            </w:r>
          </w:p>
        </w:tc>
        <w:tc>
          <w:tcPr>
            <w:tcW w:type="dxa" w:w="2340"/>
          </w:tcPr>
          <w:p>
            <w:pPr>
              <w:spacing w:after="20" w:before="20"/>
              <w:jc w:val="left"/>
            </w:pPr>
            <w:r>
              <w:rPr>
                <w:rFonts w:ascii="Times New Roman" w:cs="Times New Roman" w:eastAsia="Times New Roman" w:hAnsi="Times New Roman"/>
                <w:sz w:val="20"/>
                <w:szCs w:val="20"/>
              </w:rPr>
              <w:t xml:space="preserve">«Gruppo dell'appartamento» di Reggio (con Franceschini) → filo verso «Nuova Resistenza» 1971</w:t>
            </w:r>
          </w:p>
        </w:tc>
        <w:tc>
          <w:tcPr>
            <w:tcW w:type="dxa" w:w="2340"/>
          </w:tcPr>
          <w:p>
            <w:pPr>
              <w:spacing w:after="20" w:before="20"/>
              <w:jc w:val="left"/>
            </w:pPr>
            <w:r>
              <w:rPr>
                <w:rFonts w:ascii="Times New Roman" w:cs="Times New Roman" w:eastAsia="Times New Roman" w:hAnsi="Times New Roman"/>
                <w:sz w:val="20"/>
                <w:szCs w:val="20"/>
              </w:rPr>
              <w:t xml:space="preserve">D2 · D1</w:t>
            </w:r>
          </w:p>
        </w:tc>
        <w:tc>
          <w:tcPr>
            <w:tcW w:type="dxa" w:w="2340"/>
          </w:tcPr>
          <w:p>
            <w:pPr>
              <w:spacing w:after="20" w:before="20"/>
              <w:jc w:val="left"/>
            </w:pPr>
            <w:r>
              <w:rPr>
                <w:rFonts w:ascii="Times New Roman" w:cs="Times New Roman" w:eastAsia="Times New Roman" w:hAnsi="Times New Roman"/>
                <w:sz w:val="20"/>
                <w:szCs w:val="20"/>
              </w:rPr>
              <w:t xml:space="preserve">F (il filo si ferma al 1971-72)</w:t>
            </w:r>
          </w:p>
        </w:tc>
      </w:tr>
      <w:tr>
        <w:tc>
          <w:tcPr>
            <w:tcW w:type="dxa" w:w="2340"/>
          </w:tcPr>
          <w:p>
            <w:pPr>
              <w:spacing w:after="20" w:before="20"/>
              <w:jc w:val="left"/>
            </w:pPr>
            <w:r>
              <w:rPr>
                <w:rFonts w:ascii="Times New Roman" w:cs="Times New Roman" w:eastAsia="Times New Roman" w:hAnsi="Times New Roman"/>
                <w:sz w:val="20"/>
                <w:szCs w:val="20"/>
              </w:rPr>
              <w:t xml:space="preserve">Braghetti</w:t>
            </w:r>
          </w:p>
        </w:tc>
        <w:tc>
          <w:tcPr>
            <w:tcW w:type="dxa" w:w="2340"/>
          </w:tcPr>
          <w:p>
            <w:pPr>
              <w:spacing w:after="20" w:before="20"/>
              <w:jc w:val="left"/>
            </w:pPr>
            <w:r>
              <w:rPr>
                <w:rFonts w:ascii="Times New Roman" w:cs="Times New Roman" w:eastAsia="Times New Roman" w:hAnsi="Times New Roman"/>
                <w:sz w:val="20"/>
                <w:szCs w:val="20"/>
              </w:rPr>
              <w:t xml:space="preserve">«Il prigioniero» (Feltrinelli, 1998) → «Buongiorno, notte» (2003): la memoria come vettore</w:t>
            </w:r>
          </w:p>
        </w:tc>
        <w:tc>
          <w:tcPr>
            <w:tcW w:type="dxa" w:w="2340"/>
          </w:tcPr>
          <w:p>
            <w:pPr>
              <w:spacing w:after="20" w:before="20"/>
              <w:jc w:val="left"/>
            </w:pPr>
            <w:r>
              <w:rPr>
                <w:rFonts w:ascii="Times New Roman" w:cs="Times New Roman" w:eastAsia="Times New Roman" w:hAnsi="Times New Roman"/>
                <w:sz w:val="20"/>
                <w:szCs w:val="20"/>
              </w:rPr>
              <w:t xml:space="preserve">D1 (tema) · D6</w:t>
            </w:r>
          </w:p>
        </w:tc>
        <w:tc>
          <w:tcPr>
            <w:tcW w:type="dxa" w:w="2340"/>
          </w:tcPr>
          <w:p>
            <w:pPr>
              <w:spacing w:after="20" w:before="20"/>
              <w:jc w:val="left"/>
            </w:pPr>
            <w:r>
              <w:rPr>
                <w:rFonts w:ascii="Times New Roman" w:cs="Times New Roman" w:eastAsia="Times New Roman" w:hAnsi="Times New Roman"/>
                <w:sz w:val="20"/>
                <w:szCs w:val="20"/>
              </w:rPr>
              <w:t xml:space="preserve">F</w:t>
            </w:r>
          </w:p>
        </w:tc>
      </w:tr>
      <w:tr>
        <w:tc>
          <w:tcPr>
            <w:tcW w:type="dxa" w:w="2340"/>
          </w:tcPr>
          <w:p>
            <w:pPr>
              <w:spacing w:after="20" w:before="20"/>
              <w:jc w:val="left"/>
            </w:pPr>
            <w:r>
              <w:rPr>
                <w:rFonts w:ascii="Times New Roman" w:cs="Times New Roman" w:eastAsia="Times New Roman" w:hAnsi="Times New Roman"/>
                <w:sz w:val="20"/>
                <w:szCs w:val="20"/>
              </w:rPr>
              <w:t xml:space="preserve">Seghetti</w:t>
            </w:r>
          </w:p>
        </w:tc>
        <w:tc>
          <w:tcPr>
            <w:tcW w:type="dxa" w:w="2340"/>
          </w:tcPr>
          <w:p>
            <w:pPr>
              <w:spacing w:after="20" w:before="20"/>
              <w:jc w:val="left"/>
            </w:pPr>
            <w:r>
              <w:rPr>
                <w:rFonts w:ascii="Times New Roman" w:cs="Times New Roman" w:eastAsia="Times New Roman" w:hAnsi="Times New Roman"/>
                <w:sz w:val="20"/>
                <w:szCs w:val="20"/>
              </w:rPr>
              <w:t xml:space="preserve">Presentò Braghetti a Moretti; condotte successive con giudicati propri</w:t>
            </w:r>
          </w:p>
        </w:tc>
        <w:tc>
          <w:tcPr>
            <w:tcW w:type="dxa" w:w="2340"/>
          </w:tcPr>
          <w:p>
            <w:pPr>
              <w:spacing w:after="20" w:before="20"/>
              <w:jc w:val="left"/>
            </w:pPr>
            <w:r>
              <w:rPr>
                <w:rFonts w:ascii="Times New Roman" w:cs="Times New Roman" w:eastAsia="Times New Roman" w:hAnsi="Times New Roman"/>
                <w:sz w:val="20"/>
                <w:szCs w:val="20"/>
              </w:rPr>
              <w:t xml:space="preserve">interno</w:t>
            </w:r>
          </w:p>
        </w:tc>
        <w:tc>
          <w:tcPr>
            <w:tcW w:type="dxa" w:w="2340"/>
          </w:tcPr>
          <w:p>
            <w:pPr>
              <w:spacing w:after="20" w:before="20"/>
              <w:jc w:val="left"/>
            </w:pPr>
            <w:r>
              <w:rPr>
                <w:rFonts w:ascii="Times New Roman" w:cs="Times New Roman" w:eastAsia="Times New Roman" w:hAnsi="Times New Roman"/>
                <w:sz w:val="20"/>
                <w:szCs w:val="20"/>
              </w:rPr>
              <w:t xml:space="preserve">F / A (altri fascicoli)</w:t>
            </w:r>
          </w:p>
        </w:tc>
      </w:tr>
      <w:tr>
        <w:tc>
          <w:tcPr>
            <w:tcW w:type="dxa" w:w="2340"/>
          </w:tcPr>
          <w:p>
            <w:pPr>
              <w:spacing w:after="20" w:before="20"/>
              <w:jc w:val="left"/>
            </w:pPr>
            <w:r>
              <w:rPr>
                <w:rFonts w:ascii="Times New Roman" w:cs="Times New Roman" w:eastAsia="Times New Roman" w:hAnsi="Times New Roman"/>
                <w:sz w:val="20"/>
                <w:szCs w:val="20"/>
              </w:rPr>
              <w:t xml:space="preserve">Casimirri</w:t>
            </w:r>
          </w:p>
        </w:tc>
        <w:tc>
          <w:tcPr>
            <w:tcW w:type="dxa" w:w="2340"/>
          </w:tcPr>
          <w:p>
            <w:pPr>
              <w:spacing w:after="20" w:before="20"/>
              <w:jc w:val="left"/>
            </w:pPr>
            <w:r>
              <w:rPr>
                <w:rFonts w:ascii="Times New Roman" w:cs="Times New Roman" w:eastAsia="Times New Roman" w:hAnsi="Times New Roman"/>
                <w:sz w:val="20"/>
                <w:szCs w:val="20"/>
              </w:rPr>
              <w:t xml:space="preserve">Padre alla sala stampa vaticana (tre papi); rotta Libia-Cuba-Nicaragua; estradizione negata</w:t>
            </w:r>
          </w:p>
        </w:tc>
        <w:tc>
          <w:tcPr>
            <w:tcW w:type="dxa" w:w="2340"/>
          </w:tcPr>
          <w:p>
            <w:pPr>
              <w:spacing w:after="20" w:before="20"/>
              <w:jc w:val="left"/>
            </w:pPr>
            <w:r>
              <w:rPr>
                <w:rFonts w:ascii="Times New Roman" w:cs="Times New Roman" w:eastAsia="Times New Roman" w:hAnsi="Times New Roman"/>
                <w:sz w:val="20"/>
                <w:szCs w:val="20"/>
              </w:rPr>
              <w:t xml:space="preserve">D5 · D3</w:t>
            </w:r>
          </w:p>
        </w:tc>
        <w:tc>
          <w:tcPr>
            <w:tcW w:type="dxa" w:w="2340"/>
          </w:tcPr>
          <w:p>
            <w:pPr>
              <w:spacing w:after="20" w:before="20"/>
              <w:jc w:val="left"/>
            </w:pPr>
            <w:r>
              <w:rPr>
                <w:rFonts w:ascii="Times New Roman" w:cs="Times New Roman" w:eastAsia="Times New Roman" w:hAnsi="Times New Roman"/>
                <w:sz w:val="20"/>
                <w:szCs w:val="20"/>
              </w:rPr>
              <w:t xml:space="preserve">F (biografia) / nesso: nessuno</w:t>
            </w:r>
          </w:p>
        </w:tc>
      </w:tr>
      <w:tr>
        <w:tc>
          <w:tcPr>
            <w:tcW w:type="dxa" w:w="2340"/>
          </w:tcPr>
          <w:p>
            <w:pPr>
              <w:spacing w:after="20" w:before="20"/>
              <w:jc w:val="left"/>
            </w:pPr>
            <w:r>
              <w:rPr>
                <w:rFonts w:ascii="Times New Roman" w:cs="Times New Roman" w:eastAsia="Times New Roman" w:hAnsi="Times New Roman"/>
                <w:sz w:val="20"/>
                <w:szCs w:val="20"/>
              </w:rPr>
              <w:t xml:space="preserve">Lojacono</w:t>
            </w:r>
          </w:p>
        </w:tc>
        <w:tc>
          <w:tcPr>
            <w:tcW w:type="dxa" w:w="2340"/>
          </w:tcPr>
          <w:p>
            <w:pPr>
              <w:spacing w:after="20" w:before="20"/>
              <w:jc w:val="left"/>
            </w:pPr>
            <w:r>
              <w:rPr>
                <w:rFonts w:ascii="Times New Roman" w:cs="Times New Roman" w:eastAsia="Times New Roman" w:hAnsi="Times New Roman"/>
                <w:sz w:val="20"/>
                <w:szCs w:val="20"/>
              </w:rPr>
              <w:t xml:space="preserve">Cittadinanza svizzera; pena ineseguita per regola di ordinamento</w:t>
            </w:r>
          </w:p>
        </w:tc>
        <w:tc>
          <w:tcPr>
            <w:tcW w:type="dxa" w:w="2340"/>
          </w:tcPr>
          <w:p>
            <w:pPr>
              <w:spacing w:after="20" w:before="20"/>
              <w:jc w:val="left"/>
            </w:pPr>
            <w:r>
              <w:rPr>
                <w:rFonts w:ascii="Times New Roman" w:cs="Times New Roman" w:eastAsia="Times New Roman" w:hAnsi="Times New Roman"/>
                <w:sz w:val="20"/>
                <w:szCs w:val="20"/>
              </w:rPr>
              <w:t xml:space="preserve">D5</w:t>
            </w:r>
          </w:p>
        </w:tc>
        <w:tc>
          <w:tcPr>
            <w:tcW w:type="dxa" w:w="2340"/>
          </w:tcPr>
          <w:p>
            <w:pPr>
              <w:spacing w:after="20" w:before="20"/>
              <w:jc w:val="left"/>
            </w:pPr>
            <w:r>
              <w:rPr>
                <w:rFonts w:ascii="Times New Roman" w:cs="Times New Roman" w:eastAsia="Times New Roman" w:hAnsi="Times New Roman"/>
                <w:sz w:val="20"/>
                <w:szCs w:val="20"/>
              </w:rPr>
              <w:t xml:space="preserve">F</w:t>
            </w:r>
          </w:p>
        </w:tc>
      </w:tr>
      <w:tr>
        <w:tc>
          <w:tcPr>
            <w:tcW w:type="dxa" w:w="2340"/>
          </w:tcPr>
          <w:p>
            <w:pPr>
              <w:spacing w:after="20" w:before="20"/>
              <w:jc w:val="left"/>
            </w:pPr>
            <w:r>
              <w:rPr>
                <w:rFonts w:ascii="Times New Roman" w:cs="Times New Roman" w:eastAsia="Times New Roman" w:hAnsi="Times New Roman"/>
                <w:sz w:val="20"/>
                <w:szCs w:val="20"/>
              </w:rPr>
              <w:t xml:space="preserve">Fiore · Balzerani · Maccari · Etro</w:t>
            </w:r>
          </w:p>
        </w:tc>
        <w:tc>
          <w:tcPr>
            <w:tcW w:type="dxa" w:w="2340"/>
          </w:tcPr>
          <w:p>
            <w:pPr>
              <w:spacing w:after="20" w:before="20"/>
              <w:jc w:val="left"/>
            </w:pPr>
            <w:r>
              <w:rPr>
                <w:rFonts w:ascii="Times New Roman" w:cs="Times New Roman" w:eastAsia="Times New Roman" w:hAnsi="Times New Roman"/>
                <w:sz w:val="20"/>
                <w:szCs w:val="20"/>
              </w:rPr>
              <w:t xml:space="preserve">— nessun ponte documentato oltre il dominio BR</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Chiusura — Il confronto col filo del 1926: due modi di giudicare i nemici</w:t>
      </w:r>
    </w:p>
    <w:p>
      <w:pPr>
        <w:spacing w:after="120" w:line="276"/>
        <w:jc w:val="both"/>
      </w:pPr>
      <w:r>
        <w:rPr>
          <w:rFonts w:ascii="Times New Roman" w:cs="Times New Roman" w:eastAsia="Times New Roman" w:hAnsi="Times New Roman"/>
          <w:sz w:val="24"/>
          <w:szCs w:val="24"/>
        </w:rPr>
        <w:t xml:space="preserve">Resta il dominio D4, dove nessuna biografia si incrocia e proprio per questo il confronto vale di più. Il branch è nato dal </w:t>
      </w:r>
      <w:r>
        <w:rPr>
          <w:rFonts w:ascii="Times New Roman" w:cs="Times New Roman" w:eastAsia="Times New Roman" w:hAnsi="Times New Roman"/>
          <w:b/>
          <w:bCs/>
          <w:sz w:val="24"/>
          <w:szCs w:val="24"/>
        </w:rPr>
        <w:t xml:space="preserve">Tribunale Speciale per la Difesa dello Stato</w:t>
      </w:r>
      <w:r>
        <w:rPr>
          <w:rFonts w:ascii="Times New Roman" w:cs="Times New Roman" w:eastAsia="Times New Roman" w:hAnsi="Times New Roman"/>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Times New Roman" w:cs="Times New Roman" w:eastAsia="Times New Roman" w:hAnsi="Times New Roman"/>
          <w:b/>
          <w:bCs/>
          <w:sz w:val="24"/>
          <w:szCs w:val="24"/>
        </w:rPr>
        <w:t xml:space="preserve">corti ordinarie</w:t>
      </w:r>
      <w:r>
        <w:rPr>
          <w:rFonts w:ascii="Times New Roman" w:cs="Times New Roman" w:eastAsia="Times New Roman" w:hAnsi="Times New Roman"/>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Times New Roman" w:cs="Times New Roman" w:eastAsia="Times New Roman" w:hAnsi="Times New Roman"/>
          <w:b/>
          <w:bCs/>
          <w:sz w:val="24"/>
          <w:szCs w:val="24"/>
        </w:rPr>
        <w:t xml:space="preserve">non eseguite senza che la Repubblica cessasse di chiederle nelle forme del diritto</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00" w:before="200"/>
    </w:pPr>
    <w:rPr>
      <w:rFonts w:ascii="Times New Roman" w:cs="Times New Roman" w:eastAsia="Times New Roman" w:hAnsi="Times New Roman"/>
      <w:b/>
      <w:bCs/>
      <w:color w:val="1F3864"/>
      <w:sz w:val="28"/>
      <w:szCs w:val="28"/>
    </w:rPr>
  </w:style>
  <w:style w:type="paragraph" w:styleId="Heading3">
    <w:name w:val="Heading 3"/>
    <w:basedOn w:val="Normal"/>
    <w:next w:val="Normal"/>
    <w:qFormat/>
    <w:pPr>
      <w:spacing w:after="80" w:before="160"/>
    </w:pPr>
    <w:rPr>
      <w:rFonts w:ascii="Times New Roman" w:cs="Times New Roman" w:eastAsia="Times New Roman" w:hAnsi="Times New Roman"/>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2026-08-25T09:09:24.756Z</dcterms:created>
  <dcterms:modified xsi:type="dcterms:W3CDTF">2026-08-25T09:09:24.756Z</dcterms:modified>
</cp:coreProperties>
</file>

<file path=docProps/custom.xml><?xml version="1.0" encoding="utf-8"?>
<Properties xmlns="http://schemas.openxmlformats.org/officeDocument/2006/custom-properties" xmlns:vt="http://schemas.openxmlformats.org/officeDocument/2006/docPropsVTypes"/>
</file>