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w:t>
      </w:r>
    </w:p>
    <w:p>
      <w:pPr>
        <w:spacing w:after="120" w:line="276"/>
        <w:jc w:val="both"/>
      </w:pPr>
      <w:r>
        <w:rPr>
          <w:rFonts w:ascii="Barlow Semi Condensed" w:cs="Barlow Semi Condensed" w:eastAsia="Barlow Semi Condensed" w:hAnsi="Barlow Semi Condensed"/>
          <w:b/>
          <w:bCs/>
          <w:sz w:val="24"/>
          <w:szCs w:val="24"/>
        </w:rPr>
        <w:t xml:space="preserve">Sessantacinque serie in due campagne — seconda edizione accresciuta — quinta opera a blocchi del branch</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Volume rilegato — 26 agosto 2026 · Branch pubblico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copertina.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«Kissinger rappresenta metaforicamente la genetica». La chiave è accolta e dichiarata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Dove la metafora spinge verso il determinismo, la tredicesima serie la ferma: in biologia il carattere si eredita, in storia la responsabilità no.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ogni territorio del corpus, uno per serie, con l’obbligo di leggerlo prima di scriverne.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restano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Henry Kissinger non fu condannato in alcun processo, non fu mai imputato né processato in alcun Paese, e nessuno dei 4.999 blocchi lo indica come responsabile di reato</w:t>
      </w:r>
      <w:r>
        <w:rPr>
          <w:rFonts w:ascii="Barlow Semi Condensed" w:cs="Barlow Semi Condensed" w:eastAsia="Barlow Semi Condensed" w:hAnsi="Barlow Semi Condensed"/>
          <w:i w:val="false"/>
          <w:iCs w:val="false"/>
          <w:sz w:val="24"/>
          <w:szCs w:val="24"/>
        </w:rPr>
        <w:t xml:space="preserve">: il corpus si ferma al giudicato. Vale la regola dei tre piani — rapporto diretto documentato, convergenza strutturale, affermazione terziaria — e un ponte è reale solo al piano 1. L'appartenenza non è prova di condotta; la contemporaneità non è prova di nesso; le divergenze si riportano e non si scelgono in silenzio; lo Stato Zero è acquisizione di pieno valore. Il presunto avvertimento del settembre 1974 è registrato come </w:t>
      </w:r>
      <w:r>
        <w:rPr>
          <w:rFonts w:ascii="Barlow Semi Condensed" w:cs="Barlow Semi Condensed" w:eastAsia="Barlow Semi Condensed" w:hAnsi="Barlow Semi Condensed"/>
          <w:b/>
          <w:bCs/>
          <w:i w:val="false"/>
          <w:iCs w:val="false"/>
          <w:sz w:val="24"/>
          <w:szCs w:val="24"/>
        </w:rPr>
        <w:t xml:space="preserve">testimonianza contestata</w:t>
      </w:r>
      <w:r>
        <w:rPr>
          <w:rFonts w:ascii="Barlow Semi Condensed" w:cs="Barlow Semi Condensed" w:eastAsia="Barlow Semi Condensed" w:hAnsi="Barlow Semi Condensed"/>
          <w:i w:val="false"/>
          <w:iCs w:val="false"/>
          <w:sz w:val="24"/>
          <w:szCs w:val="24"/>
        </w:rPr>
        <w:t xml:space="preserve">, con la smentita dell’interessato annotata.</w:t>
      </w:r>
    </w:p>
    <w:p>
      <w:r>
        <w:br w:type="page"/>
      </w:r>
    </w:p>
    <w:p>
      <w:pPr>
        <w:pStyle w:val="Heading1"/>
        <w:spacing w:after="120" w:before="240"/>
      </w:pPr>
      <w:r>
        <w:rPr>
          <w:rFonts w:ascii="Barlow Semi Condensed" w:cs="Barlow Semi Condensed" w:eastAsia="Barlow Semi Condensed" w:hAnsi="Barlow Semi Condensed"/>
          <w:sz w:val="24"/>
          <w:szCs w:val="24"/>
        </w:rPr>
        <w:t xml:space="preserve">Il frontespizio dell'opera — la chiave, lo statuto probatorio, i mille bersagli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2026-08-26T18:19:57.447Z</dcterms:created>
  <dcterms:modified xsi:type="dcterms:W3CDTF">2026-08-26T18:19:57.447Z</dcterms:modified>
</cp:coreProperties>
</file>

<file path=docProps/custom.xml><?xml version="1.0" encoding="utf-8"?>
<Properties xmlns="http://schemas.openxmlformats.org/officeDocument/2006/custom-properties" xmlns:vt="http://schemas.openxmlformats.org/officeDocument/2006/docPropsVTypes"/>
</file>