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27 agosto 2026.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2.425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101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documenti, quindici Libri,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106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687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1.043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357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235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grafici su 102 capitoli,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Questa tavola è stata aggiornata, e va detto\ da che cosa. Fino al 26 agosto vi si leggeva: opera integrale di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1.331 pagine\ e 47 documenti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39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documenti in markdown,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indirizzi distinti con\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1.002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citazioni su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344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domini,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113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grafici. Quelle cifre erano esatte\ alla loro data e sono diventate false quando l'opera è cresciuta della terza\ campagna Farnesina, dell'opera seconda sui cinquantacinque giorni e delle undici\ appendici alla Fase settima. Sono lasciate qui accanto alle nuove, e non\ cancellate, perché una scheda che si aggiorna in silenzio non permette a chi l'ha\ già ricevuta di accorgersi che i numeri sono cambiati. Chi ha in mano la\ redazione del 26 agosto legga questa riga: nessuna cifra è stata ritirata come\ sbagliata, tutte sono state superate dalla crescita del corpus. Un esemplare\ dell'allegato in quella redazione, in PDF, è stato ripresentato il 27 agosto ed è\ appunto quello che porta le cifre anteriori.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2026-08-27T13:56:12.054Z</dcterms:created>
  <dcterms:modified xsi:type="dcterms:W3CDTF">2026-08-27T13:56:12.054Z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