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Times New Roman" w:cs="Times New Roman" w:eastAsia="Times New Roman" w:hAnsi="Times New Roman"/>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Opera completa</w:t>
      </w:r>
    </w:p>
    <w:p>
      <w:pPr>
        <w:spacing w:after="120" w:line="276"/>
        <w:jc w:val="both"/>
      </w:pPr>
      <w:r>
        <w:rPr>
          <w:rFonts w:ascii="Times New Roman" w:cs="Times New Roman" w:eastAsia="Times New Roman" w:hAnsi="Times New Roman"/>
          <w:b/>
          <w:bCs/>
          <w:sz w:val="24"/>
          <w:szCs w:val="24"/>
        </w:rPr>
        <w:t xml:space="preserve">Il ritratto · la tesi · il dossier · il metodo · il registro · il repertorio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Edizione integrale rilegata — 25 agosto 2026 · Branch pubblico del corpus storico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Ordine dell'opera.</w:t>
      </w:r>
      <w:r>
        <w:rPr>
          <w:rFonts w:ascii="Times New Roman" w:cs="Times New Roman" w:eastAsia="Times New Roman" w:hAnsi="Times New Roman"/>
          <w:i w:val="false"/>
          <w:iCs w:val="false"/>
          <w:sz w:val="24"/>
          <w:szCs w:val="24"/>
        </w:rPr>
        <w:t xml:space="preserve"> Questo volume raccoglie l'intera opera «Aldo Moro — Una guerra senza fine» nell'ordine di lettura consigliato, che mette l'uomo al principio. </w:t>
      </w:r>
      <w:r>
        <w:rPr>
          <w:rFonts w:ascii="Times New Roman" w:cs="Times New Roman" w:eastAsia="Times New Roman" w:hAnsi="Times New Roman"/>
          <w:b/>
          <w:bCs/>
          <w:i w:val="false"/>
          <w:iCs w:val="false"/>
          <w:sz w:val="24"/>
          <w:szCs w:val="24"/>
        </w:rPr>
        <w:t xml:space="preserve">Fase ottava</w:t>
      </w:r>
      <w:r>
        <w:rPr>
          <w:rFonts w:ascii="Times New Roman" w:cs="Times New Roman" w:eastAsia="Times New Roman" w:hAnsi="Times New Roman"/>
          <w:i w:val="false"/>
          <w:iCs w:val="false"/>
          <w:sz w:val="24"/>
          <w:szCs w:val="24"/>
        </w:rPr>
        <w:t xml:space="preserve"> (Il ritratto): Moro l'uomo e lo statista, perché il caso non si capisce senza la persona. </w:t>
      </w:r>
      <w:r>
        <w:rPr>
          <w:rFonts w:ascii="Times New Roman" w:cs="Times New Roman" w:eastAsia="Times New Roman" w:hAnsi="Times New Roman"/>
          <w:b/>
          <w:bCs/>
          <w:i w:val="false"/>
          <w:iCs w:val="false"/>
          <w:sz w:val="24"/>
          <w:szCs w:val="24"/>
        </w:rPr>
        <w:t xml:space="preserve">Dal Che a Moro</w:t>
      </w:r>
      <w:r>
        <w:rPr>
          <w:rFonts w:ascii="Times New Roman" w:cs="Times New Roman" w:eastAsia="Times New Roman" w:hAnsi="Times New Roman"/>
          <w:i w:val="false"/>
          <w:iCs w:val="false"/>
          <w:sz w:val="24"/>
          <w:szCs w:val="24"/>
        </w:rPr>
        <w:t xml:space="preserve">: il saggio-cerniera che espone la tesi e la sua cornice (con la Parte quarta, pastiche dichiarato). </w:t>
      </w:r>
      <w:r>
        <w:rPr>
          <w:rFonts w:ascii="Times New Roman" w:cs="Times New Roman" w:eastAsia="Times New Roman" w:hAnsi="Times New Roman"/>
          <w:b/>
          <w:bCs/>
          <w:i w:val="false"/>
          <w:iCs w:val="false"/>
          <w:sz w:val="24"/>
          <w:szCs w:val="24"/>
        </w:rPr>
        <w:t xml:space="preserve">Parte terza</w:t>
      </w:r>
      <w:r>
        <w:rPr>
          <w:rFonts w:ascii="Times New Roman" w:cs="Times New Roman" w:eastAsia="Times New Roman" w:hAnsi="Times New Roman"/>
          <w:i w:val="false"/>
          <w:iCs w:val="false"/>
          <w:sz w:val="24"/>
          <w:szCs w:val="24"/>
        </w:rPr>
        <w:t xml:space="preserve"> (Il ritorno del Pollo di Popper): il dossier falsificazionista delle questioni aperte. </w:t>
      </w:r>
      <w:r>
        <w:rPr>
          <w:rFonts w:ascii="Times New Roman" w:cs="Times New Roman" w:eastAsia="Times New Roman" w:hAnsi="Times New Roman"/>
          <w:b/>
          <w:bCs/>
          <w:i w:val="false"/>
          <w:iCs w:val="false"/>
          <w:sz w:val="24"/>
          <w:szCs w:val="24"/>
        </w:rPr>
        <w:t xml:space="preserve">Fase sesta</w:t>
      </w:r>
      <w:r>
        <w:rPr>
          <w:rFonts w:ascii="Times New Roman" w:cs="Times New Roman" w:eastAsia="Times New Roman" w:hAnsi="Times New Roman"/>
          <w:i w:val="false"/>
          <w:iCs w:val="false"/>
          <w:sz w:val="24"/>
          <w:szCs w:val="24"/>
        </w:rPr>
        <w:t xml:space="preserve"> (Il presidio del garante): le quattro discipline rese operative. </w:t>
      </w:r>
      <w:r>
        <w:rPr>
          <w:rFonts w:ascii="Times New Roman" w:cs="Times New Roman" w:eastAsia="Times New Roman" w:hAnsi="Times New Roman"/>
          <w:b/>
          <w:bCs/>
          <w:i w:val="false"/>
          <w:iCs w:val="false"/>
          <w:sz w:val="24"/>
          <w:szCs w:val="24"/>
        </w:rPr>
        <w:t xml:space="preserve">Fase settima</w:t>
      </w:r>
      <w:r>
        <w:rPr>
          <w:rFonts w:ascii="Times New Roman" w:cs="Times New Roman" w:eastAsia="Times New Roman" w:hAnsi="Times New Roman"/>
          <w:i w:val="false"/>
          <w:iCs w:val="false"/>
          <w:sz w:val="24"/>
          <w:szCs w:val="24"/>
        </w:rPr>
        <w:t xml:space="preserve"> (Il registro giudiziario): i cinque processi e la Commissione Moro 2. </w:t>
      </w:r>
      <w:r>
        <w:rPr>
          <w:rFonts w:ascii="Times New Roman" w:cs="Times New Roman" w:eastAsia="Times New Roman" w:hAnsi="Times New Roman"/>
          <w:b/>
          <w:bCs/>
          <w:i w:val="false"/>
          <w:iCs w:val="false"/>
          <w:sz w:val="24"/>
          <w:szCs w:val="24"/>
        </w:rPr>
        <w:t xml:space="preserve">Fase nona</w:t>
      </w:r>
      <w:r>
        <w:rPr>
          <w:rFonts w:ascii="Times New Roman" w:cs="Times New Roman" w:eastAsia="Times New Roman" w:hAnsi="Times New Roman"/>
          <w:i w:val="false"/>
          <w:iCs w:val="false"/>
          <w:sz w:val="24"/>
          <w:szCs w:val="24"/>
        </w:rPr>
        <w:t xml:space="preserve"> (Il repertorio): tutto ciò che è attribuibile al caso, gradato. </w:t>
      </w:r>
      <w:r>
        <w:rPr>
          <w:rFonts w:ascii="Times New Roman" w:cs="Times New Roman" w:eastAsia="Times New Roman" w:hAnsi="Times New Roman"/>
          <w:b/>
          <w:bCs/>
          <w:i w:val="false"/>
          <w:iCs w:val="false"/>
          <w:sz w:val="24"/>
          <w:szCs w:val="24"/>
        </w:rPr>
        <w:t xml:space="preserve">Apparato dei gradi</w:t>
      </w:r>
      <w:r>
        <w:rPr>
          <w:rFonts w:ascii="Times New Roman" w:cs="Times New Roman" w:eastAsia="Times New Roman" w:hAnsi="Times New Roman"/>
          <w:i w:val="false"/>
          <w:iCs w:val="false"/>
          <w:sz w:val="24"/>
          <w:szCs w:val="24"/>
        </w:rPr>
        <w:t xml:space="preserve">: l'indice analitico, in appendice.</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Disciplina.</w:t>
      </w:r>
      <w:r>
        <w:rPr>
          <w:rFonts w:ascii="Times New Roman" w:cs="Times New Roman" w:eastAsia="Times New Roman" w:hAnsi="Times New Roman"/>
          <w:i w:val="false"/>
          <w:iCs w:val="false"/>
          <w:sz w:val="24"/>
          <w:szCs w:val="24"/>
        </w:rPr>
        <w:t xml:space="preserve"> Vale in ogni pagina la Regola di Ferro: si distingue sempre il </w:t>
      </w:r>
      <w:r>
        <w:rPr>
          <w:rFonts w:ascii="Times New Roman" w:cs="Times New Roman" w:eastAsia="Times New Roman" w:hAnsi="Times New Roman"/>
          <w:b/>
          <w:bCs/>
          <w:i w:val="false"/>
          <w:iCs w:val="false"/>
          <w:sz w:val="24"/>
          <w:szCs w:val="24"/>
        </w:rPr>
        <w:t xml:space="preserve">giudicato</w:t>
      </w:r>
      <w:r>
        <w:rPr>
          <w:rFonts w:ascii="Times New Roman" w:cs="Times New Roman" w:eastAsia="Times New Roman" w:hAnsi="Times New Roman"/>
          <w:i w:val="false"/>
          <w:iCs w:val="false"/>
          <w:sz w:val="24"/>
          <w:szCs w:val="24"/>
        </w:rPr>
        <w:t xml:space="preserve"> (grado A), l'</w:t>
      </w:r>
      <w:r>
        <w:rPr>
          <w:rFonts w:ascii="Times New Roman" w:cs="Times New Roman" w:eastAsia="Times New Roman" w:hAnsi="Times New Roman"/>
          <w:b/>
          <w:bCs/>
          <w:i w:val="false"/>
          <w:iCs w:val="false"/>
          <w:sz w:val="24"/>
          <w:szCs w:val="24"/>
        </w:rPr>
        <w:t xml:space="preserve">accertamento</w:t>
      </w:r>
      <w:r>
        <w:rPr>
          <w:rFonts w:ascii="Times New Roman" w:cs="Times New Roman" w:eastAsia="Times New Roman" w:hAnsi="Times New Roman"/>
          <w:i w:val="false"/>
          <w:iCs w:val="false"/>
          <w:sz w:val="24"/>
          <w:szCs w:val="24"/>
        </w:rPr>
        <w:t xml:space="preserve"> parlamentare o istruttorio (grado B), la </w:t>
      </w:r>
      <w:r>
        <w:rPr>
          <w:rFonts w:ascii="Times New Roman" w:cs="Times New Roman" w:eastAsia="Times New Roman" w:hAnsi="Times New Roman"/>
          <w:b/>
          <w:bCs/>
          <w:i w:val="false"/>
          <w:iCs w:val="false"/>
          <w:sz w:val="24"/>
          <w:szCs w:val="24"/>
        </w:rPr>
        <w:t xml:space="preserve">congettura</w:t>
      </w:r>
      <w:r>
        <w:rPr>
          <w:rFonts w:ascii="Times New Roman" w:cs="Times New Roman" w:eastAsia="Times New Roman" w:hAnsi="Times New Roman"/>
          <w:i w:val="false"/>
          <w:iCs w:val="false"/>
          <w:sz w:val="24"/>
          <w:szCs w:val="24"/>
        </w:rPr>
        <w:t xml:space="preserve"> (grado C) e il </w:t>
      </w:r>
      <w:r>
        <w:rPr>
          <w:rFonts w:ascii="Times New Roman" w:cs="Times New Roman" w:eastAsia="Times New Roman" w:hAnsi="Times New Roman"/>
          <w:b/>
          <w:bCs/>
          <w:i w:val="false"/>
          <w:iCs w:val="false"/>
          <w:sz w:val="24"/>
          <w:szCs w:val="24"/>
        </w:rPr>
        <w:t xml:space="preserve">fatto pubblico</w:t>
      </w:r>
      <w:r>
        <w:rPr>
          <w:rFonts w:ascii="Times New Roman" w:cs="Times New Roman" w:eastAsia="Times New Roman" w:hAnsi="Times New Roman"/>
          <w:i w:val="false"/>
          <w:iCs w:val="false"/>
          <w:sz w:val="24"/>
          <w:szCs w:val="24"/>
        </w:rPr>
        <w:t xml:space="preserve"> (F). Nessuna persona è nominata come responsabile al di là del giudicato; nessuna graduatoria è compilata; le sei vittime del caso stanno in cima, non in fondo. La Parte quarta di «Dal Che a Moro» è un </w:t>
      </w:r>
      <w:r>
        <w:rPr>
          <w:rFonts w:ascii="Times New Roman" w:cs="Times New Roman" w:eastAsia="Times New Roman" w:hAnsi="Times New Roman"/>
          <w:b/>
          <w:bCs/>
          <w:i w:val="false"/>
          <w:iCs w:val="false"/>
          <w:sz w:val="24"/>
          <w:szCs w:val="24"/>
        </w:rPr>
        <w:t xml:space="preserve">pastiche dichiarato</w:t>
      </w:r>
      <w:r>
        <w:rPr>
          <w:rFonts w:ascii="Times New Roman" w:cs="Times New Roman" w:eastAsia="Times New Roman" w:hAnsi="Times New Roman"/>
          <w:i w:val="false"/>
          <w:iCs w:val="false"/>
          <w:sz w:val="24"/>
          <w:szCs w:val="24"/>
        </w:rPr>
        <w:t xml:space="preserve"> (non parole di Aldo Moro); tutto il resto è prosa piana su fatti reali.</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Fase ottava — Il ritratto: l'uomo prima del caso</w:t>
      </w:r>
    </w:p>
    <w:p>
      <w:pPr>
        <w:spacing w:after="120" w:line="276"/>
        <w:jc w:val="both"/>
      </w:pPr>
      <w:r>
        <w:rPr>
          <w:rFonts w:ascii="Times New Roman" w:cs="Times New Roman" w:eastAsia="Times New Roman" w:hAnsi="Times New Roman"/>
          <w:i/>
          <w:iCs/>
          <w:sz w:val="24"/>
          <w:szCs w:val="24"/>
        </w:rPr>
        <w:t xml:space="preserve">Ampliamento dell'opera — 25 agosto 2026 · Capitoli 62-67</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ragione della Fase ottava.</w:t>
      </w:r>
      <w:r>
        <w:rPr>
          <w:rFonts w:ascii="Times New Roman" w:cs="Times New Roman" w:eastAsia="Times New Roman" w:hAnsi="Times New Roman"/>
          <w:i w:val="false"/>
          <w:iCs w:val="false"/>
          <w:sz w:val="24"/>
          <w:szCs w:val="24"/>
        </w:rPr>
        <w:t xml:space="preserve"> L'opera ha rischiato, come rischia sempre chi studia il caso Moro, di </w:t>
      </w:r>
      <w:r>
        <w:rPr>
          <w:rFonts w:ascii="Times New Roman" w:cs="Times New Roman" w:eastAsia="Times New Roman" w:hAnsi="Times New Roman"/>
          <w:b/>
          <w:bCs/>
          <w:i w:val="false"/>
          <w:iCs w:val="false"/>
          <w:sz w:val="24"/>
          <w:szCs w:val="24"/>
        </w:rPr>
        <w:t xml:space="preserve">perdere Moro</w:t>
      </w:r>
      <w:r>
        <w:rPr>
          <w:rFonts w:ascii="Times New Roman" w:cs="Times New Roman" w:eastAsia="Times New Roman" w:hAnsi="Times New Roman"/>
          <w:i w:val="false"/>
          <w:iCs w:val="false"/>
          <w:sz w:val="24"/>
          <w:szCs w:val="24"/>
        </w:rPr>
        <w:t xml:space="preserve">. A furia di seguire i fili — le Brigate Rosse, il quadro internazionale, i processi, gli apparati — l'uomo che di tutto questo è il centro finisce per diventare un pretesto, una casella vuota attorno a cui ruota la macchina del sospetto. Questa Fase corregge la rotta e rimette Aldo Moro </w:t>
      </w:r>
      <w:r>
        <w:rPr>
          <w:rFonts w:ascii="Times New Roman" w:cs="Times New Roman" w:eastAsia="Times New Roman" w:hAnsi="Times New Roman"/>
          <w:b/>
          <w:bCs/>
          <w:i w:val="false"/>
          <w:iCs w:val="false"/>
          <w:sz w:val="24"/>
          <w:szCs w:val="24"/>
        </w:rPr>
        <w:t xml:space="preserve">al principio</w:t>
      </w:r>
      <w:r>
        <w:rPr>
          <w:rFonts w:ascii="Times New Roman" w:cs="Times New Roman" w:eastAsia="Times New Roman" w:hAnsi="Times New Roman"/>
          <w:i w:val="false"/>
          <w:iCs w:val="false"/>
          <w:sz w:val="24"/>
          <w:szCs w:val="24"/>
        </w:rPr>
        <w:t xml:space="preserve">: non la vittima di un sequestro, non l'oggetto di un'inchiesta, ma </w:t>
      </w:r>
      <w:r>
        <w:rPr>
          <w:rFonts w:ascii="Times New Roman" w:cs="Times New Roman" w:eastAsia="Times New Roman" w:hAnsi="Times New Roman"/>
          <w:b/>
          <w:bCs/>
          <w:i w:val="false"/>
          <w:iCs w:val="false"/>
          <w:sz w:val="24"/>
          <w:szCs w:val="24"/>
        </w:rPr>
        <w:t xml:space="preserve">l'uomo, il giurista, lo statista, il pensatore politico</w:t>
      </w:r>
      <w:r>
        <w:rPr>
          <w:rFonts w:ascii="Times New Roman" w:cs="Times New Roman" w:eastAsia="Times New Roman" w:hAnsi="Times New Roman"/>
          <w:i w:val="false"/>
          <w:iCs w:val="false"/>
          <w:sz w:val="24"/>
          <w:szCs w:val="24"/>
        </w:rPr>
        <w:t xml:space="preserve"> che fu prima di essere un caso. Perché il senso della sua morte non si capisce se non si capisce la sua vita; e la sua vita non fu il preludio alla prigionia di via Montalcini, ma </w:t>
      </w:r>
      <w:r>
        <w:rPr>
          <w:rFonts w:ascii="Times New Roman" w:cs="Times New Roman" w:eastAsia="Times New Roman" w:hAnsi="Times New Roman"/>
          <w:b/>
          <w:bCs/>
          <w:i w:val="false"/>
          <w:iCs w:val="false"/>
          <w:sz w:val="24"/>
          <w:szCs w:val="24"/>
        </w:rPr>
        <w:t xml:space="preserve">un'opera compiuta di intelligenza politica</w:t>
      </w:r>
      <w:r>
        <w:rPr>
          <w:rFonts w:ascii="Times New Roman" w:cs="Times New Roman" w:eastAsia="Times New Roman" w:hAnsi="Times New Roman"/>
          <w:i w:val="false"/>
          <w:iCs w:val="false"/>
          <w:sz w:val="24"/>
          <w:szCs w:val="24"/>
        </w:rPr>
        <w:t xml:space="preserve">, di cui la prigionia fu l'interruzione violenta, non il compimento.  Vale qui la disciplina di tutta l'opera, con un'avvertenza in più. Si riportano i </w:t>
      </w:r>
      <w:r>
        <w:rPr>
          <w:rFonts w:ascii="Times New Roman" w:cs="Times New Roman" w:eastAsia="Times New Roman" w:hAnsi="Times New Roman"/>
          <w:b/>
          <w:bCs/>
          <w:i w:val="false"/>
          <w:iCs w:val="false"/>
          <w:sz w:val="24"/>
          <w:szCs w:val="24"/>
        </w:rPr>
        <w:t xml:space="preserve">fatti documentati</w:t>
      </w:r>
      <w:r>
        <w:rPr>
          <w:rFonts w:ascii="Times New Roman" w:cs="Times New Roman" w:eastAsia="Times New Roman" w:hAnsi="Times New Roman"/>
          <w:i w:val="false"/>
          <w:iCs w:val="false"/>
          <w:sz w:val="24"/>
          <w:szCs w:val="24"/>
        </w:rPr>
        <w:t xml:space="preserve"> della biografia e le </w:t>
      </w:r>
      <w:r>
        <w:rPr>
          <w:rFonts w:ascii="Times New Roman" w:cs="Times New Roman" w:eastAsia="Times New Roman" w:hAnsi="Times New Roman"/>
          <w:b/>
          <w:bCs/>
          <w:i w:val="false"/>
          <w:iCs w:val="false"/>
          <w:sz w:val="24"/>
          <w:szCs w:val="24"/>
        </w:rPr>
        <w:t xml:space="preserve">idee</w:t>
      </w:r>
      <w:r>
        <w:rPr>
          <w:rFonts w:ascii="Times New Roman" w:cs="Times New Roman" w:eastAsia="Times New Roman" w:hAnsi="Times New Roman"/>
          <w:i w:val="false"/>
          <w:iCs w:val="false"/>
          <w:sz w:val="24"/>
          <w:szCs w:val="24"/>
        </w:rPr>
        <w:t xml:space="preserve"> che Moro espresse in scritti e discorsi pubblici, citati come tali; non gli si attribuiscono parole che non disse. Dove l'opera, altrove, ha usato il pastiche dichiarato, qui non ce n'è: questa è </w:t>
      </w:r>
      <w:r>
        <w:rPr>
          <w:rFonts w:ascii="Times New Roman" w:cs="Times New Roman" w:eastAsia="Times New Roman" w:hAnsi="Times New Roman"/>
          <w:b/>
          <w:bCs/>
          <w:i w:val="false"/>
          <w:iCs w:val="false"/>
          <w:sz w:val="24"/>
          <w:szCs w:val="24"/>
        </w:rPr>
        <w:t xml:space="preserve">prosa piana su un uomo reale</w:t>
      </w:r>
      <w:r>
        <w:rPr>
          <w:rFonts w:ascii="Times New Roman" w:cs="Times New Roman" w:eastAsia="Times New Roman" w:hAnsi="Times New Roman"/>
          <w:i w:val="false"/>
          <w:iCs w:val="false"/>
          <w:sz w:val="24"/>
          <w:szCs w:val="24"/>
        </w:rPr>
        <w:t xml:space="preserve">, e l'unico omaggio che gli si deve è l'esattezza.</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Capitolo sessantaduesimo — Maglie, la fede, il diritto: la formazione di un'intelligenza</w:t>
      </w:r>
    </w:p>
    <w:p>
      <w:pPr>
        <w:spacing w:after="120" w:line="276"/>
        <w:jc w:val="both"/>
      </w:pPr>
      <w:r>
        <w:rPr>
          <w:rFonts w:ascii="Times New Roman" w:cs="Times New Roman" w:eastAsia="Times New Roman" w:hAnsi="Times New Roman"/>
          <w:sz w:val="24"/>
          <w:szCs w:val="24"/>
        </w:rPr>
        <w:t xml:space="preserve">Aldo Moro nacque a </w:t>
      </w:r>
      <w:r>
        <w:rPr>
          <w:rFonts w:ascii="Times New Roman" w:cs="Times New Roman" w:eastAsia="Times New Roman" w:hAnsi="Times New Roman"/>
          <w:b/>
          <w:bCs/>
          <w:sz w:val="24"/>
          <w:szCs w:val="24"/>
        </w:rPr>
        <w:t xml:space="preserve">Maglie, in provincia di Lecce, il 23 settembre 1916</w:t>
      </w:r>
      <w:r>
        <w:rPr>
          <w:rFonts w:ascii="Times New Roman" w:cs="Times New Roman" w:eastAsia="Times New Roman" w:hAnsi="Times New Roman"/>
          <w:sz w:val="24"/>
          <w:szCs w:val="24"/>
        </w:rPr>
        <w:t xml:space="preserve">, in quel Salento che gli restò dentro come misura delle cose — la lentezza, la pazienza, il senso antico della mediazione fra opposti. La famiglia era cattolica e di funzionari della scuola; l'educazione, rigorosa e religiosa. Fu </w:t>
      </w:r>
      <w:r>
        <w:rPr>
          <w:rFonts w:ascii="Times New Roman" w:cs="Times New Roman" w:eastAsia="Times New Roman" w:hAnsi="Times New Roman"/>
          <w:b/>
          <w:bCs/>
          <w:sz w:val="24"/>
          <w:szCs w:val="24"/>
        </w:rPr>
        <w:t xml:space="preserve">presidente della FUCI</w:t>
      </w:r>
      <w:r>
        <w:rPr>
          <w:rFonts w:ascii="Times New Roman" w:cs="Times New Roman" w:eastAsia="Times New Roman" w:hAnsi="Times New Roman"/>
          <w:sz w:val="24"/>
          <w:szCs w:val="24"/>
        </w:rPr>
        <w:t xml:space="preserve">, la Federazione Universitaria Cattolica Italiana, dal 1939 al 1943, e poi del Movimento dei Laureati Cattolici (1945-46): in quegli anni, sotto la guida spirituale di Giovanni Battista Montini — il futuro Paolo VI, che nel 1978 avrebbe scritto la lettera «agli uomini delle Brigate Rosse» —, Moro formò la propria idea dell'impegno del cattolico nella cosa pubblica: non come conquista, ma come </w:t>
      </w:r>
      <w:r>
        <w:rPr>
          <w:rFonts w:ascii="Times New Roman" w:cs="Times New Roman" w:eastAsia="Times New Roman" w:hAnsi="Times New Roman"/>
          <w:b/>
          <w:bCs/>
          <w:sz w:val="24"/>
          <w:szCs w:val="24"/>
        </w:rPr>
        <w:t xml:space="preserve">servizio e presenza</w:t>
      </w:r>
      <w:r>
        <w:rPr>
          <w:rFonts w:ascii="Times New Roman" w:cs="Times New Roman" w:eastAsia="Times New Roman" w:hAnsi="Times New Roman"/>
          <w:sz w:val="24"/>
          <w:szCs w:val="24"/>
        </w:rPr>
        <w:t xml:space="preserve"> (Treccani, «Aldo Moro» (https://www.treccani.it/enciclopedia/aldo-moro/)).</w:t>
      </w:r>
    </w:p>
    <w:p>
      <w:pPr>
        <w:spacing w:after="120" w:line="276"/>
        <w:jc w:val="both"/>
      </w:pPr>
      <w:r>
        <w:rPr>
          <w:rFonts w:ascii="Times New Roman" w:cs="Times New Roman" w:eastAsia="Times New Roman" w:hAnsi="Times New Roman"/>
          <w:sz w:val="24"/>
          <w:szCs w:val="24"/>
        </w:rPr>
        <w:t xml:space="preserve">Dal 1948 fu </w:t>
      </w:r>
      <w:r>
        <w:rPr>
          <w:rFonts w:ascii="Times New Roman" w:cs="Times New Roman" w:eastAsia="Times New Roman" w:hAnsi="Times New Roman"/>
          <w:b/>
          <w:bCs/>
          <w:sz w:val="24"/>
          <w:szCs w:val="24"/>
        </w:rPr>
        <w:t xml:space="preserve">professore di diritto penale all'Università di Bari</w:t>
      </w:r>
      <w:r>
        <w:rPr>
          <w:rFonts w:ascii="Times New Roman" w:cs="Times New Roman" w:eastAsia="Times New Roman" w:hAnsi="Times New Roman"/>
          <w:sz w:val="24"/>
          <w:szCs w:val="24"/>
        </w:rPr>
        <w:t xml:space="preserve"> — cattedra che non lasciò mai, nemmeno da uomo di governo, e a cui teneva più che a molte cariche. Non è dettaglio secondario: Moro fu, prima e sotto tutto, un </w:t>
      </w:r>
      <w:r>
        <w:rPr>
          <w:rFonts w:ascii="Times New Roman" w:cs="Times New Roman" w:eastAsia="Times New Roman" w:hAnsi="Times New Roman"/>
          <w:b/>
          <w:bCs/>
          <w:sz w:val="24"/>
          <w:szCs w:val="24"/>
        </w:rPr>
        <w:t xml:space="preserve">giurista</w:t>
      </w:r>
      <w:r>
        <w:rPr>
          <w:rFonts w:ascii="Times New Roman" w:cs="Times New Roman" w:eastAsia="Times New Roman" w:hAnsi="Times New Roman"/>
          <w:sz w:val="24"/>
          <w:szCs w:val="24"/>
        </w:rPr>
        <w:t xml:space="preserve">, un uomo per cui la prova, il procedimento, la garanzia non erano tecnicismi ma la sostanza stessa della civiltà. Chi ha letto le sue lettere dalla prigionia riconosce, sotto l'angoscia, la mente del penalista: la richiesta ostinata che si distingua, che si provi, che non si condanni sul sospetto. </w:t>
      </w:r>
      <w:r>
        <w:rPr>
          <w:rFonts w:ascii="Times New Roman" w:cs="Times New Roman" w:eastAsia="Times New Roman" w:hAnsi="Times New Roman"/>
          <w:b/>
          <w:bCs/>
          <w:sz w:val="24"/>
          <w:szCs w:val="24"/>
        </w:rPr>
        <w:t xml:space="preserve">Il modo in cui questo corpus lavora — i gradi di prova, il divieto di imputare oltre il giudicato — è, senza forzatura, moroteo nel metodo prima che nell'oggetto.</w:t>
      </w:r>
      <w:r>
        <w:rPr>
          <w:rFonts w:ascii="Times New Roman" w:cs="Times New Roman" w:eastAsia="Times New Roman" w:hAnsi="Times New Roman"/>
          <w:sz w:val="24"/>
          <w:szCs w:val="24"/>
        </w:rPr>
        <w:t xml:space="preserve"> L'uomo di cui si scrive avrebbe riconosciuto la disciplina con cui lo si scrive.</w:t>
      </w:r>
    </w:p>
    <w:p>
      <w:pPr>
        <w:pStyle w:val="Heading1"/>
        <w:spacing w:after="120" w:before="240"/>
      </w:pPr>
      <w:r>
        <w:rPr>
          <w:rFonts w:ascii="Times New Roman" w:cs="Times New Roman" w:eastAsia="Times New Roman" w:hAnsi="Times New Roman"/>
          <w:sz w:val="24"/>
          <w:szCs w:val="24"/>
        </w:rPr>
        <w:t xml:space="preserve">Capitolo sessantatreesimo — Il costituente e l'artefice paziente</w:t>
      </w:r>
    </w:p>
    <w:p>
      <w:pPr>
        <w:spacing w:after="120" w:line="276"/>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2 giugno 1946</w:t>
      </w:r>
      <w:r>
        <w:rPr>
          <w:rFonts w:ascii="Times New Roman" w:cs="Times New Roman" w:eastAsia="Times New Roman" w:hAnsi="Times New Roman"/>
          <w:sz w:val="24"/>
          <w:szCs w:val="24"/>
        </w:rPr>
        <w:t xml:space="preserve"> Moro fu eletto all'</w:t>
      </w:r>
      <w:r>
        <w:rPr>
          <w:rFonts w:ascii="Times New Roman" w:cs="Times New Roman" w:eastAsia="Times New Roman" w:hAnsi="Times New Roman"/>
          <w:b/>
          <w:bCs/>
          <w:sz w:val="24"/>
          <w:szCs w:val="24"/>
        </w:rPr>
        <w:t xml:space="preserve">Assemblea Costituente</w:t>
      </w:r>
      <w:r>
        <w:rPr>
          <w:rFonts w:ascii="Times New Roman" w:cs="Times New Roman" w:eastAsia="Times New Roman" w:hAnsi="Times New Roman"/>
          <w:sz w:val="24"/>
          <w:szCs w:val="24"/>
        </w:rPr>
        <w:t xml:space="preserve">, a ventinove anni, fra i più giovani. Vi lasciò un segno preciso: lavorò alla prima parte della Costituzione, quella dei princìpi e dei diritti, e alla formulazione dei rapporti fra cittadino e Stato. Il costituente Moro non fu un massimalista né un tattico: fu l'uomo che cerca la </w:t>
      </w:r>
      <w:r>
        <w:rPr>
          <w:rFonts w:ascii="Times New Roman" w:cs="Times New Roman" w:eastAsia="Times New Roman" w:hAnsi="Times New Roman"/>
          <w:b/>
          <w:bCs/>
          <w:sz w:val="24"/>
          <w:szCs w:val="24"/>
        </w:rPr>
        <w:t xml:space="preserve">formula che tiene insieme</w:t>
      </w:r>
      <w:r>
        <w:rPr>
          <w:rFonts w:ascii="Times New Roman" w:cs="Times New Roman" w:eastAsia="Times New Roman" w:hAnsi="Times New Roman"/>
          <w:sz w:val="24"/>
          <w:szCs w:val="24"/>
        </w:rPr>
        <w:t xml:space="preserve"> — il cattolico e il laico, il diritto individuale e la solidarietà sociale — senza che nessuno dei due debba sconfiggere l'altro. È già tutto Moro: la persuasione che la democrazia non sia il campo di battaglia dove una parte vince, ma </w:t>
      </w:r>
      <w:r>
        <w:rPr>
          <w:rFonts w:ascii="Times New Roman" w:cs="Times New Roman" w:eastAsia="Times New Roman" w:hAnsi="Times New Roman"/>
          <w:b/>
          <w:bCs/>
          <w:sz w:val="24"/>
          <w:szCs w:val="24"/>
        </w:rPr>
        <w:t xml:space="preserve">l'arte di far coesistere ciò che diverge</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Da qui la carriera nella Democrazia Cristiana, di cui fu fra i fondatori: segretario del partito, più volte ministro, cinque volte Presidente del Consiglio fra il 1963 e il 1976. Ma le cariche dicono poco di lui. Moro non fu un uomo di potere nel senso corrente — non amava il comando, amava il </w:t>
      </w:r>
      <w:r>
        <w:rPr>
          <w:rFonts w:ascii="Times New Roman" w:cs="Times New Roman" w:eastAsia="Times New Roman" w:hAnsi="Times New Roman"/>
          <w:b/>
          <w:bCs/>
          <w:sz w:val="24"/>
          <w:szCs w:val="24"/>
        </w:rPr>
        <w:t xml:space="preserve">processo</w:t>
      </w:r>
      <w:r>
        <w:rPr>
          <w:rFonts w:ascii="Times New Roman" w:cs="Times New Roman" w:eastAsia="Times New Roman" w:hAnsi="Times New Roman"/>
          <w:sz w:val="24"/>
          <w:szCs w:val="24"/>
        </w:rPr>
        <w:t xml:space="preserve">: la trattativa lunga, la mediazione sfibrante, la sintesi trovata all'alba dopo notti di riunioni. I suoi discorsi erano lunghi, avvolgenti, spesso oscuri per scelta: perché tenevano aperte più strade finché una non diventava percorribile. Lo si derideva per questo («il modo di dire di Moro»); era invece il suo strumento. </w:t>
      </w:r>
      <w:r>
        <w:rPr>
          <w:rFonts w:ascii="Times New Roman" w:cs="Times New Roman" w:eastAsia="Times New Roman" w:hAnsi="Times New Roman"/>
          <w:b/>
          <w:bCs/>
          <w:sz w:val="24"/>
          <w:szCs w:val="24"/>
        </w:rPr>
        <w:t xml:space="preserve">La sua oscurità era una forma di rispetto per la complessità del reale</w:t>
      </w:r>
      <w:r>
        <w:rPr>
          <w:rFonts w:ascii="Times New Roman" w:cs="Times New Roman" w:eastAsia="Times New Roman" w:hAnsi="Times New Roman"/>
          <w:sz w:val="24"/>
          <w:szCs w:val="24"/>
        </w:rPr>
        <w:t xml:space="preserve"> — l'esatto contrario della semplificazione che, in quegli stessi anni, armava le pistole.</w:t>
      </w:r>
    </w:p>
    <w:p>
      <w:pPr>
        <w:pStyle w:val="Heading1"/>
        <w:spacing w:after="120" w:before="240"/>
      </w:pPr>
      <w:r>
        <w:rPr>
          <w:rFonts w:ascii="Times New Roman" w:cs="Times New Roman" w:eastAsia="Times New Roman" w:hAnsi="Times New Roman"/>
          <w:sz w:val="24"/>
          <w:szCs w:val="24"/>
        </w:rPr>
        <w:t xml:space="preserve">Capitolo sessantaquattresimo — La strategia dell'attenzione</w:t>
      </w:r>
    </w:p>
    <w:p>
      <w:pPr>
        <w:spacing w:after="120" w:line="276"/>
        <w:jc w:val="both"/>
      </w:pPr>
      <w:r>
        <w:rPr>
          <w:rFonts w:ascii="Times New Roman" w:cs="Times New Roman" w:eastAsia="Times New Roman" w:hAnsi="Times New Roman"/>
          <w:sz w:val="24"/>
          <w:szCs w:val="24"/>
        </w:rPr>
        <w:t xml:space="preserve">Il cuore del pensiero politico di Moro ha un nome che egli stesso coniò: la </w:t>
      </w:r>
      <w:r>
        <w:rPr>
          <w:rFonts w:ascii="Times New Roman" w:cs="Times New Roman" w:eastAsia="Times New Roman" w:hAnsi="Times New Roman"/>
          <w:b/>
          <w:bCs/>
          <w:sz w:val="24"/>
          <w:szCs w:val="24"/>
        </w:rPr>
        <w:t xml:space="preserve">«strategia dell'attenzione»</w:t>
      </w:r>
      <w:r>
        <w:rPr>
          <w:rFonts w:ascii="Times New Roman" w:cs="Times New Roman" w:eastAsia="Times New Roman" w:hAnsi="Times New Roman"/>
          <w:sz w:val="24"/>
          <w:szCs w:val="24"/>
        </w:rPr>
        <w:t xml:space="preserve">. La formulò compiutamente nel discorso al primo congresso regionale pugliese della DC, a Bari, il </w:t>
      </w:r>
      <w:r>
        <w:rPr>
          <w:rFonts w:ascii="Times New Roman" w:cs="Times New Roman" w:eastAsia="Times New Roman" w:hAnsi="Times New Roman"/>
          <w:b/>
          <w:bCs/>
          <w:sz w:val="24"/>
          <w:szCs w:val="24"/>
        </w:rPr>
        <w:t xml:space="preserve">15 giugno 1969</w:t>
      </w:r>
      <w:r>
        <w:rPr>
          <w:rFonts w:ascii="Times New Roman" w:cs="Times New Roman" w:eastAsia="Times New Roman" w:hAnsi="Times New Roman"/>
          <w:sz w:val="24"/>
          <w:szCs w:val="24"/>
        </w:rPr>
        <w:t xml:space="preserve"> (Treccani (https://www.treccani.it/enciclopedia/aldo-moro/); Il progetto politico di Aldo Moro dalla Costituente alla Terza Fase, Piretti (http://www.accademiaaldomoro.org/attivita/trentennale/ConvegnoVarie/Relazioni/Piretti.pdf)). Attenzione a che cosa? All'orizzonte italiano e internazionale che cambiava: il mondo cattolico dopo il Concilio, la sinistra dopo il 1968, un Partito Comunista che si allontanava da Mosca. Moro non proponeva alleanze: proponeva di </w:t>
      </w:r>
      <w:r>
        <w:rPr>
          <w:rFonts w:ascii="Times New Roman" w:cs="Times New Roman" w:eastAsia="Times New Roman" w:hAnsi="Times New Roman"/>
          <w:b/>
          <w:bCs/>
          <w:sz w:val="24"/>
          <w:szCs w:val="24"/>
        </w:rPr>
        <w:t xml:space="preserve">guardare</w:t>
      </w:r>
      <w:r>
        <w:rPr>
          <w:rFonts w:ascii="Times New Roman" w:cs="Times New Roman" w:eastAsia="Times New Roman" w:hAnsi="Times New Roman"/>
          <w:sz w:val="24"/>
          <w:szCs w:val="24"/>
        </w:rPr>
        <w:t xml:space="preserve"> — di non chiudere pregiudizialmente la porta a forze che la storia aveva radicato nel popolo italiano, e che escludere per sempre avrebbe significato mantenere metà del paese fuori dallo Stato.</w:t>
      </w:r>
    </w:p>
    <w:p>
      <w:pPr>
        <w:spacing w:after="120" w:line="276"/>
        <w:jc w:val="both"/>
      </w:pPr>
      <w:r>
        <w:rPr>
          <w:rFonts w:ascii="Times New Roman" w:cs="Times New Roman" w:eastAsia="Times New Roman" w:hAnsi="Times New Roman"/>
          <w:sz w:val="24"/>
          <w:szCs w:val="24"/>
        </w:rPr>
        <w:t xml:space="preserve">La sua tesi, che è la chiave di tutto, la disse così: </w:t>
      </w:r>
      <w:r>
        <w:rPr>
          <w:rFonts w:ascii="Times New Roman" w:cs="Times New Roman" w:eastAsia="Times New Roman" w:hAnsi="Times New Roman"/>
          <w:i/>
          <w:iCs/>
          <w:sz w:val="24"/>
          <w:szCs w:val="24"/>
        </w:rPr>
        <w:t xml:space="preserve">quanto più le masse popolari hanno il senso dello Stato attraverso la propria integrazione, tanto più la democrazia sarà forte e si eviteranno le tentazioni autoritarie.</w:t>
      </w:r>
      <w:r>
        <w:rPr>
          <w:rFonts w:ascii="Times New Roman" w:cs="Times New Roman" w:eastAsia="Times New Roman" w:hAnsi="Times New Roman"/>
          <w:sz w:val="24"/>
          <w:szCs w:val="24"/>
        </w:rPr>
        <w:t xml:space="preserve"> Si legga con attenzione, perché è il contrario esatto della vulgata che ne fa un cedimento: Moro voleva </w:t>
      </w:r>
      <w:r>
        <w:rPr>
          <w:rFonts w:ascii="Times New Roman" w:cs="Times New Roman" w:eastAsia="Times New Roman" w:hAnsi="Times New Roman"/>
          <w:b/>
          <w:bCs/>
          <w:sz w:val="24"/>
          <w:szCs w:val="24"/>
        </w:rPr>
        <w:t xml:space="preserve">integrare per rafforzare lo Stato</w:t>
      </w:r>
      <w:r>
        <w:rPr>
          <w:rFonts w:ascii="Times New Roman" w:cs="Times New Roman" w:eastAsia="Times New Roman" w:hAnsi="Times New Roman"/>
          <w:sz w:val="24"/>
          <w:szCs w:val="24"/>
        </w:rPr>
        <w:t xml:space="preserve">, non per indebolirlo. La sua era una strategia di </w:t>
      </w:r>
      <w:r>
        <w:rPr>
          <w:rFonts w:ascii="Times New Roman" w:cs="Times New Roman" w:eastAsia="Times New Roman" w:hAnsi="Times New Roman"/>
          <w:b/>
          <w:bCs/>
          <w:sz w:val="24"/>
          <w:szCs w:val="24"/>
        </w:rPr>
        <w:t xml:space="preserve">inclusione come sicurezza</w:t>
      </w:r>
      <w:r>
        <w:rPr>
          <w:rFonts w:ascii="Times New Roman" w:cs="Times New Roman" w:eastAsia="Times New Roman" w:hAnsi="Times New Roman"/>
          <w:sz w:val="24"/>
          <w:szCs w:val="24"/>
        </w:rPr>
        <w:t xml:space="preserve">: una democrazia che tiene dentro anche chi la contesta è più solida di una che lo lascia fuori a marcire nel rancore. Chi, a destra, lo accusava di aprire ai comunisti, e chi, nell'estremismo di sinistra, lo odiava come puntello del sistema, condividevano lo stesso errore: non capivano che Moro stava </w:t>
      </w:r>
      <w:r>
        <w:rPr>
          <w:rFonts w:ascii="Times New Roman" w:cs="Times New Roman" w:eastAsia="Times New Roman" w:hAnsi="Times New Roman"/>
          <w:b/>
          <w:bCs/>
          <w:sz w:val="24"/>
          <w:szCs w:val="24"/>
        </w:rPr>
        <w:t xml:space="preserve">togliendo ossigeno alla guerra civile</w:t>
      </w:r>
      <w:r>
        <w:rPr>
          <w:rFonts w:ascii="Times New Roman" w:cs="Times New Roman" w:eastAsia="Times New Roman" w:hAnsi="Times New Roman"/>
          <w:sz w:val="24"/>
          <w:szCs w:val="24"/>
        </w:rPr>
        <w:t xml:space="preserve"> prima che divampasse. Che sia stato colpito proprio mentre ci riusciva è la tragedia, e non è un caso: era d'ostacolo a chi la guerra civile la voleva.</w:t>
      </w:r>
    </w:p>
    <w:p>
      <w:pPr>
        <w:pStyle w:val="Heading1"/>
        <w:spacing w:after="120" w:before="240"/>
      </w:pPr>
      <w:r>
        <w:rPr>
          <w:rFonts w:ascii="Times New Roman" w:cs="Times New Roman" w:eastAsia="Times New Roman" w:hAnsi="Times New Roman"/>
          <w:sz w:val="24"/>
          <w:szCs w:val="24"/>
        </w:rPr>
        <w:t xml:space="preserve">Capitolo sessantacinquesimo — La solidarietà nazionale e la «terza fase»</w:t>
      </w:r>
    </w:p>
    <w:p>
      <w:pPr>
        <w:spacing w:after="120" w:line="276"/>
        <w:jc w:val="both"/>
      </w:pPr>
      <w:r>
        <w:rPr>
          <w:rFonts w:ascii="Times New Roman" w:cs="Times New Roman" w:eastAsia="Times New Roman" w:hAnsi="Times New Roman"/>
          <w:sz w:val="24"/>
          <w:szCs w:val="24"/>
        </w:rPr>
        <w:t xml:space="preserve">Dalla strategia dell'attenzione nacque, negli anni Settanta, il disegno della </w:t>
      </w:r>
      <w:r>
        <w:rPr>
          <w:rFonts w:ascii="Times New Roman" w:cs="Times New Roman" w:eastAsia="Times New Roman" w:hAnsi="Times New Roman"/>
          <w:b/>
          <w:bCs/>
          <w:sz w:val="24"/>
          <w:szCs w:val="24"/>
        </w:rPr>
        <w:t xml:space="preserve">solidarietà nazionale</w:t>
      </w:r>
      <w:r>
        <w:rPr>
          <w:rFonts w:ascii="Times New Roman" w:cs="Times New Roman" w:eastAsia="Times New Roman" w:hAnsi="Times New Roman"/>
          <w:sz w:val="24"/>
          <w:szCs w:val="24"/>
        </w:rPr>
        <w:t xml:space="preserve">: il coinvolgimento del PCI di Enrico Berlinguer — che dal Cile del 1973 aveva tratto la lezione del </w:t>
      </w:r>
      <w:r>
        <w:rPr>
          <w:rFonts w:ascii="Times New Roman" w:cs="Times New Roman" w:eastAsia="Times New Roman" w:hAnsi="Times New Roman"/>
          <w:b/>
          <w:bCs/>
          <w:sz w:val="24"/>
          <w:szCs w:val="24"/>
        </w:rPr>
        <w:t xml:space="preserve">compromesso storico</w:t>
      </w:r>
      <w:r>
        <w:rPr>
          <w:rFonts w:ascii="Times New Roman" w:cs="Times New Roman" w:eastAsia="Times New Roman" w:hAnsi="Times New Roman"/>
          <w:sz w:val="24"/>
          <w:szCs w:val="24"/>
        </w:rPr>
        <w:t xml:space="preserve"> — nella responsabilità di governo, in una fase di emergenza economica e terroristica. Moro ne fu l'architetto democristiano: non per amore del comunismo, che gli era estraneo, ma per la convinzione che nessuna delle due grandi culture popolari italiane potesse governare da sola il paese in crisi, e che tenerle contrapposte per sempre fosse la ricetta della paralisi o della violenza.</w:t>
      </w:r>
    </w:p>
    <w:p>
      <w:pPr>
        <w:spacing w:after="120" w:line="276"/>
        <w:jc w:val="both"/>
      </w:pPr>
      <w:r>
        <w:rPr>
          <w:rFonts w:ascii="Times New Roman" w:cs="Times New Roman" w:eastAsia="Times New Roman" w:hAnsi="Times New Roman"/>
          <w:sz w:val="24"/>
          <w:szCs w:val="24"/>
        </w:rPr>
        <w:t xml:space="preserve">Oltre la solidarietà nazionale, Moro guardava già a una </w:t>
      </w:r>
      <w:r>
        <w:rPr>
          <w:rFonts w:ascii="Times New Roman" w:cs="Times New Roman" w:eastAsia="Times New Roman" w:hAnsi="Times New Roman"/>
          <w:b/>
          <w:bCs/>
          <w:sz w:val="24"/>
          <w:szCs w:val="24"/>
        </w:rPr>
        <w:t xml:space="preserve">«terza fase»</w:t>
      </w:r>
      <w:r>
        <w:rPr>
          <w:rFonts w:ascii="Times New Roman" w:cs="Times New Roman" w:eastAsia="Times New Roman" w:hAnsi="Times New Roman"/>
          <w:sz w:val="24"/>
          <w:szCs w:val="24"/>
        </w:rPr>
        <w:t xml:space="preserve"> — l'espressione è sua, in un articolo per </w:t>
      </w:r>
      <w:r>
        <w:rPr>
          <w:rFonts w:ascii="Times New Roman" w:cs="Times New Roman" w:eastAsia="Times New Roman" w:hAnsi="Times New Roman"/>
          <w:i/>
          <w:iCs/>
          <w:sz w:val="24"/>
          <w:szCs w:val="24"/>
        </w:rPr>
        <w:t xml:space="preserve">Il Giorno</w:t>
      </w:r>
      <w:r>
        <w:rPr>
          <w:rFonts w:ascii="Times New Roman" w:cs="Times New Roman" w:eastAsia="Times New Roman" w:hAnsi="Times New Roman"/>
          <w:sz w:val="24"/>
          <w:szCs w:val="24"/>
        </w:rPr>
        <w:t xml:space="preserve"> del dicembre 1976 (Piretti (http://www.accademiaaldomoro.org/attivita/trentennale/ConvegnoVarie/Relazioni/Piretti.pdf)). La prima fase era stata il centrismo degasperiano; la seconda, il centro-sinistra; la terza avrebbe dovuto stabilizzare una </w:t>
      </w:r>
      <w:r>
        <w:rPr>
          <w:rFonts w:ascii="Times New Roman" w:cs="Times New Roman" w:eastAsia="Times New Roman" w:hAnsi="Times New Roman"/>
          <w:b/>
          <w:bCs/>
          <w:sz w:val="24"/>
          <w:szCs w:val="24"/>
        </w:rPr>
        <w:t xml:space="preserve">democrazia dell'alternanza</w:t>
      </w:r>
      <w:r>
        <w:rPr>
          <w:rFonts w:ascii="Times New Roman" w:cs="Times New Roman" w:eastAsia="Times New Roman" w:hAnsi="Times New Roman"/>
          <w:sz w:val="24"/>
          <w:szCs w:val="24"/>
        </w:rPr>
        <w:t xml:space="preserve">, in cui l'integrazione delle masse nello Stato fosse compiuta e il pluralismo, finalmente, potesse funzionare senza il blocco della «democrazia bloccata» — un sistema in cui la maggioranza non poteva mai cambiare perché una parte era pregiudizialmente esclusa. Era il progetto più ambizioso della Repubblica: </w:t>
      </w:r>
      <w:r>
        <w:rPr>
          <w:rFonts w:ascii="Times New Roman" w:cs="Times New Roman" w:eastAsia="Times New Roman" w:hAnsi="Times New Roman"/>
          <w:b/>
          <w:bCs/>
          <w:sz w:val="24"/>
          <w:szCs w:val="24"/>
        </w:rPr>
        <w:t xml:space="preserve">portare a compimento la democrazia italiana</w:t>
      </w:r>
      <w:r>
        <w:rPr>
          <w:rFonts w:ascii="Times New Roman" w:cs="Times New Roman" w:eastAsia="Times New Roman" w:hAnsi="Times New Roman"/>
          <w:sz w:val="24"/>
          <w:szCs w:val="24"/>
        </w:rPr>
        <w:t xml:space="preserve">, renderla capace di ricambio senza rivoluzione. Il 16 marzo 1978 Moro andava in Parlamento a vararne il primo passo. Non vi arrivò.</w:t>
      </w:r>
    </w:p>
    <w:p>
      <w:pPr>
        <w:pStyle w:val="Heading1"/>
        <w:spacing w:after="120" w:before="240"/>
      </w:pPr>
      <w:r>
        <w:rPr>
          <w:rFonts w:ascii="Times New Roman" w:cs="Times New Roman" w:eastAsia="Times New Roman" w:hAnsi="Times New Roman"/>
          <w:sz w:val="24"/>
          <w:szCs w:val="24"/>
        </w:rPr>
        <w:t xml:space="preserve">Capitolo sessantaseiesimo — Le lettere: la scrittura di un uomo, non di un caso</w:t>
      </w:r>
    </w:p>
    <w:p>
      <w:pPr>
        <w:spacing w:after="120" w:line="276"/>
        <w:jc w:val="both"/>
      </w:pPr>
      <w:r>
        <w:rPr>
          <w:rFonts w:ascii="Times New Roman" w:cs="Times New Roman" w:eastAsia="Times New Roman" w:hAnsi="Times New Roman"/>
          <w:sz w:val="24"/>
          <w:szCs w:val="24"/>
        </w:rPr>
        <w:t xml:space="preserve">Delle circa </w:t>
      </w:r>
      <w:r>
        <w:rPr>
          <w:rFonts w:ascii="Times New Roman" w:cs="Times New Roman" w:eastAsia="Times New Roman" w:hAnsi="Times New Roman"/>
          <w:b/>
          <w:bCs/>
          <w:sz w:val="24"/>
          <w:szCs w:val="24"/>
        </w:rPr>
        <w:t xml:space="preserve">novanta lettere</w:t>
      </w:r>
      <w:r>
        <w:rPr>
          <w:rFonts w:ascii="Times New Roman" w:cs="Times New Roman" w:eastAsia="Times New Roman" w:hAnsi="Times New Roman"/>
          <w:sz w:val="24"/>
          <w:szCs w:val="24"/>
        </w:rPr>
        <w:t xml:space="preserve"> che Moro scrisse dalla «prigione del popolo» fra il marzo e il maggio 1978 il corpus ha già trattato lo statuto documentale (Parte terza, cap. IV; Fase settima, sul Memoriale). Qui se ne rivendica un'altra cosa, che l'analisi giudiziaria non coglie: sono la </w:t>
      </w:r>
      <w:r>
        <w:rPr>
          <w:rFonts w:ascii="Times New Roman" w:cs="Times New Roman" w:eastAsia="Times New Roman" w:hAnsi="Times New Roman"/>
          <w:b/>
          <w:bCs/>
          <w:sz w:val="24"/>
          <w:szCs w:val="24"/>
        </w:rPr>
        <w:t xml:space="preserve">scrittura di un uomo</w:t>
      </w:r>
      <w:r>
        <w:rPr>
          <w:rFonts w:ascii="Times New Roman" w:cs="Times New Roman" w:eastAsia="Times New Roman" w:hAnsi="Times New Roman"/>
          <w:sz w:val="24"/>
          <w:szCs w:val="24"/>
        </w:rPr>
        <w:t xml:space="preserve">. Non atti, non prove, non pedine: parole di un padre, di un marito, di un cattolico, di un giurista che, sapendo di morire, continua a ragionare, a pregare, a chiedere ai suoi che si distingua e non si condanni.</w:t>
      </w:r>
    </w:p>
    <w:p>
      <w:pPr>
        <w:spacing w:after="120" w:line="276"/>
        <w:jc w:val="both"/>
      </w:pPr>
      <w:r>
        <w:rPr>
          <w:rFonts w:ascii="Times New Roman" w:cs="Times New Roman" w:eastAsia="Times New Roman" w:hAnsi="Times New Roman"/>
          <w:sz w:val="24"/>
          <w:szCs w:val="24"/>
        </w:rPr>
        <w:t xml:space="preserve">Su quelle lettere si è consumata una violenza seconda, dopo quella dei sequestratori: la si è dichiarata «non autentica», scritta «sotto costrizione», il Moro prigioniero «non più lui». Fu una tesi comoda — il </w:t>
      </w:r>
      <w:r>
        <w:rPr>
          <w:rFonts w:ascii="Times New Roman" w:cs="Times New Roman" w:eastAsia="Times New Roman" w:hAnsi="Times New Roman"/>
          <w:b/>
          <w:bCs/>
          <w:sz w:val="24"/>
          <w:szCs w:val="24"/>
        </w:rPr>
        <w:t xml:space="preserve">partito della fermezza</w:t>
      </w:r>
      <w:r>
        <w:rPr>
          <w:rFonts w:ascii="Times New Roman" w:cs="Times New Roman" w:eastAsia="Times New Roman" w:hAnsi="Times New Roman"/>
          <w:sz w:val="24"/>
          <w:szCs w:val="24"/>
        </w:rPr>
        <w:t xml:space="preserve"> aveva bisogno che quelle lettere non contassero, per non trattare — ed è una tesi che offende l'uomo due volte: gli nega la lucidità nel momento della prova, e riduce il suo tormento a un artefatto. Questo corpus la respinge nel merito e nel metodo. </w:t>
      </w:r>
      <w:r>
        <w:rPr>
          <w:rFonts w:ascii="Times New Roman" w:cs="Times New Roman" w:eastAsia="Times New Roman" w:hAnsi="Times New Roman"/>
          <w:b/>
          <w:bCs/>
          <w:sz w:val="24"/>
          <w:szCs w:val="24"/>
        </w:rPr>
        <w:t xml:space="preserve">Nel merito</w:t>
      </w:r>
      <w:r>
        <w:rPr>
          <w:rFonts w:ascii="Times New Roman" w:cs="Times New Roman" w:eastAsia="Times New Roman" w:hAnsi="Times New Roman"/>
          <w:sz w:val="24"/>
          <w:szCs w:val="24"/>
        </w:rPr>
        <w:t xml:space="preserve">: le perizie e la stessa Commissione non hanno mai stabilito che Moro non fosse padrone delle proprie parole; scriveva sorvegliato, non dettato. </w:t>
      </w:r>
      <w:r>
        <w:rPr>
          <w:rFonts w:ascii="Times New Roman" w:cs="Times New Roman" w:eastAsia="Times New Roman" w:hAnsi="Times New Roman"/>
          <w:b/>
          <w:bCs/>
          <w:sz w:val="24"/>
          <w:szCs w:val="24"/>
        </w:rPr>
        <w:t xml:space="preserve">Nel metodo</w:t>
      </w:r>
      <w:r>
        <w:rPr>
          <w:rFonts w:ascii="Times New Roman" w:cs="Times New Roman" w:eastAsia="Times New Roman" w:hAnsi="Times New Roman"/>
          <w:sz w:val="24"/>
          <w:szCs w:val="24"/>
        </w:rPr>
        <w:t xml:space="preserve">: dichiarare non-uomo il prigioniero per non doverne ascoltare le ragioni è la mossa che il garante della Fase sesta ha il compito di impedire. Moro nella prigione fu </w:t>
      </w:r>
      <w:r>
        <w:rPr>
          <w:rFonts w:ascii="Times New Roman" w:cs="Times New Roman" w:eastAsia="Times New Roman" w:hAnsi="Times New Roman"/>
          <w:b/>
          <w:bCs/>
          <w:sz w:val="24"/>
          <w:szCs w:val="24"/>
        </w:rPr>
        <w:t xml:space="preserve">interamente Moro</w:t>
      </w:r>
      <w:r>
        <w:rPr>
          <w:rFonts w:ascii="Times New Roman" w:cs="Times New Roman" w:eastAsia="Times New Roman" w:hAnsi="Times New Roman"/>
          <w:sz w:val="24"/>
          <w:szCs w:val="24"/>
        </w:rPr>
        <w:t xml:space="preserve"> — più solo, più esposto, ma lui. Le sue lettere sono l'ultimo atto della sua intelligenza politica, non la sua smentita.</w:t>
      </w:r>
    </w:p>
    <w:p>
      <w:pPr>
        <w:spacing w:after="120" w:line="276"/>
        <w:jc w:val="both"/>
      </w:pPr>
      <w:r>
        <w:rPr>
          <w:rFonts w:ascii="Times New Roman" w:cs="Times New Roman" w:eastAsia="Times New Roman" w:hAnsi="Times New Roman"/>
          <w:sz w:val="24"/>
          <w:szCs w:val="24"/>
        </w:rPr>
        <w:t xml:space="preserve">E in quelle lettere c'è il congedo che gli spetta, e che non gli si può togliere: la richiesta che al suo funerale non venissero «né autorità dello Stato né uomini di partito», ma solo «chi mi ha veramente voluto bene». La famiglia la rispettò. Lo Stato celebrò le esequie senza la salma. È l'ultima, terribile coerenza dell'uomo della mediazione: rifiutare, da morto, la finzione di una solidarietà che da vivo gli era mancata quando contava.</w:t>
      </w:r>
    </w:p>
    <w:p>
      <w:pPr>
        <w:pStyle w:val="Heading1"/>
        <w:spacing w:after="120" w:before="240"/>
      </w:pPr>
      <w:r>
        <w:rPr>
          <w:rFonts w:ascii="Times New Roman" w:cs="Times New Roman" w:eastAsia="Times New Roman" w:hAnsi="Times New Roman"/>
          <w:sz w:val="24"/>
          <w:szCs w:val="24"/>
        </w:rPr>
        <w:t xml:space="preserve">Capitolo sessantasettesimo — Perché fu colpito lui: l'ostacolo e la sua grandezza</w:t>
      </w:r>
    </w:p>
    <w:p>
      <w:pPr>
        <w:spacing w:after="120" w:line="276"/>
        <w:jc w:val="both"/>
      </w:pPr>
      <w:r>
        <w:rPr>
          <w:rFonts w:ascii="Times New Roman" w:cs="Times New Roman" w:eastAsia="Times New Roman" w:hAnsi="Times New Roman"/>
          <w:sz w:val="24"/>
          <w:szCs w:val="24"/>
        </w:rPr>
        <w:t xml:space="preserve">Si torna, alla fine, alla domanda che apre l'intera opera — </w:t>
      </w:r>
      <w:r>
        <w:rPr>
          <w:rFonts w:ascii="Times New Roman" w:cs="Times New Roman" w:eastAsia="Times New Roman" w:hAnsi="Times New Roman"/>
          <w:i/>
          <w:iCs/>
          <w:sz w:val="24"/>
          <w:szCs w:val="24"/>
        </w:rPr>
        <w:t xml:space="preserve">perché lui?</w:t>
      </w:r>
      <w:r>
        <w:rPr>
          <w:rFonts w:ascii="Times New Roman" w:cs="Times New Roman" w:eastAsia="Times New Roman" w:hAnsi="Times New Roman"/>
          <w:sz w:val="24"/>
          <w:szCs w:val="24"/>
        </w:rPr>
        <w:t xml:space="preserve"> — ma la si può ora rispondere dal lato giusto, dal lato dell'uomo e non della trama. Moro fu colpito </w:t>
      </w:r>
      <w:r>
        <w:rPr>
          <w:rFonts w:ascii="Times New Roman" w:cs="Times New Roman" w:eastAsia="Times New Roman" w:hAnsi="Times New Roman"/>
          <w:b/>
          <w:bCs/>
          <w:sz w:val="24"/>
          <w:szCs w:val="24"/>
        </w:rPr>
        <w:t xml:space="preserve">per ciò che era</w:t>
      </w:r>
      <w:r>
        <w:rPr>
          <w:rFonts w:ascii="Times New Roman" w:cs="Times New Roman" w:eastAsia="Times New Roman" w:hAnsi="Times New Roman"/>
          <w:sz w:val="24"/>
          <w:szCs w:val="24"/>
        </w:rPr>
        <w:t xml:space="preserve">, non solo per ciò che rappresentava. Era l'uomo che stava riuscendo nella cosa più difficile: </w:t>
      </w:r>
      <w:r>
        <w:rPr>
          <w:rFonts w:ascii="Times New Roman" w:cs="Times New Roman" w:eastAsia="Times New Roman" w:hAnsi="Times New Roman"/>
          <w:b/>
          <w:bCs/>
          <w:sz w:val="24"/>
          <w:szCs w:val="24"/>
        </w:rPr>
        <w:t xml:space="preserve">spegnere con la politica la guerra che altri volevano combattere con le armi.</w:t>
      </w:r>
      <w:r>
        <w:rPr>
          <w:rFonts w:ascii="Times New Roman" w:cs="Times New Roman" w:eastAsia="Times New Roman" w:hAnsi="Times New Roman"/>
          <w:sz w:val="24"/>
          <w:szCs w:val="24"/>
        </w:rPr>
        <w:t xml:space="preserve"> Alle Brigate Rosse, che dal mito del Che avevano ereditato il disprezzo per la mediazione parlamentare (è il filo del saggio «Dal Che a Moro» di questo stesso corpus), Moro era il nemico perfetto: non un reazionario da abbattere, ma il </w:t>
      </w:r>
      <w:r>
        <w:rPr>
          <w:rFonts w:ascii="Times New Roman" w:cs="Times New Roman" w:eastAsia="Times New Roman" w:hAnsi="Times New Roman"/>
          <w:b/>
          <w:bCs/>
          <w:sz w:val="24"/>
          <w:szCs w:val="24"/>
        </w:rPr>
        <w:t xml:space="preserve">riformatore paziente</w:t>
      </w:r>
      <w:r>
        <w:rPr>
          <w:rFonts w:ascii="Times New Roman" w:cs="Times New Roman" w:eastAsia="Times New Roman" w:hAnsi="Times New Roman"/>
          <w:sz w:val="24"/>
          <w:szCs w:val="24"/>
        </w:rPr>
        <w:t xml:space="preserve"> la cui riuscita avrebbe tolto ogni ragione alla lotta armata. Uccidendo lui, colpivano l'idea che la democrazia possa includere senza spezzarsi.</w:t>
      </w:r>
    </w:p>
    <w:p>
      <w:pPr>
        <w:spacing w:after="120" w:line="276"/>
        <w:jc w:val="both"/>
      </w:pPr>
      <w:r>
        <w:rPr>
          <w:rFonts w:ascii="Times New Roman" w:cs="Times New Roman" w:eastAsia="Times New Roman" w:hAnsi="Times New Roman"/>
          <w:sz w:val="24"/>
          <w:szCs w:val="24"/>
        </w:rPr>
        <w:t xml:space="preserve">Qui il ritratto e la tesi dell'opera coincidono, e conviene dirlo con l'esattezza che a Moro si deve. </w:t>
      </w:r>
      <w:r>
        <w:rPr>
          <w:rFonts w:ascii="Times New Roman" w:cs="Times New Roman" w:eastAsia="Times New Roman" w:hAnsi="Times New Roman"/>
          <w:b/>
          <w:bCs/>
          <w:sz w:val="24"/>
          <w:szCs w:val="24"/>
        </w:rPr>
        <w:t xml:space="preserve">Non che esista un mandante unico</w:t>
      </w:r>
      <w:r>
        <w:rPr>
          <w:rFonts w:ascii="Times New Roman" w:cs="Times New Roman" w:eastAsia="Times New Roman" w:hAnsi="Times New Roman"/>
          <w:sz w:val="24"/>
          <w:szCs w:val="24"/>
        </w:rPr>
        <w:t xml:space="preserve">: il corpus lo ha negato pezzo per pezzo, e continua a negarlo. Ma che Moro fosse, per una pluralità di forze diverse e in parte avverse — i terroristi che lo processarono, chi non lo volle salvare, chi temeva il suo disegno —, </w:t>
      </w:r>
      <w:r>
        <w:rPr>
          <w:rFonts w:ascii="Times New Roman" w:cs="Times New Roman" w:eastAsia="Times New Roman" w:hAnsi="Times New Roman"/>
          <w:b/>
          <w:bCs/>
          <w:sz w:val="24"/>
          <w:szCs w:val="24"/>
        </w:rPr>
        <w:t xml:space="preserve">un ostacolo che conveniva rimuovere</w:t>
      </w:r>
      <w:r>
        <w:rPr>
          <w:rFonts w:ascii="Times New Roman" w:cs="Times New Roman" w:eastAsia="Times New Roman" w:hAnsi="Times New Roman"/>
          <w:sz w:val="24"/>
          <w:szCs w:val="24"/>
        </w:rPr>
        <w:t xml:space="preserve">: questo sì, ed è la sola continuità vera fra i due nomi del corpus. La grandezza di Moro è tutta in questo: fu ucciso non per ciò che aveva fatto di male, ma per ciò che stava per fare di bene. La solitudine dell'uomo di mediazione — odiato da chi la crede tradimento e temuto da chi la crede minaccia — è il vero luogo della tragedia. E in quella solitudine, fino all'ultima lettera, Moro rimase ciò che era sempre stato: </w:t>
      </w:r>
      <w:r>
        <w:rPr>
          <w:rFonts w:ascii="Times New Roman" w:cs="Times New Roman" w:eastAsia="Times New Roman" w:hAnsi="Times New Roman"/>
          <w:b/>
          <w:bCs/>
          <w:sz w:val="24"/>
          <w:szCs w:val="24"/>
        </w:rPr>
        <w:t xml:space="preserve">un uomo che credeva che gli uomini, anche i più lontani, potessero essere tenuti insieme.</w:t>
      </w:r>
      <w:r>
        <w:rPr>
          <w:rFonts w:ascii="Times New Roman" w:cs="Times New Roman" w:eastAsia="Times New Roman" w:hAnsi="Times New Roman"/>
          <w:sz w:val="24"/>
          <w:szCs w:val="24"/>
        </w:rPr>
        <w:t xml:space="preserve"> È morto di questa fede. È la ragione per cui vale la pena scriverne senza mentire.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Congedo della Fase ottava.</w:t>
      </w:r>
      <w:r>
        <w:rPr>
          <w:rFonts w:ascii="Times New Roman" w:cs="Times New Roman" w:eastAsia="Times New Roman" w:hAnsi="Times New Roman"/>
          <w:sz w:val="24"/>
          <w:szCs w:val="24"/>
        </w:rPr>
        <w:t xml:space="preserve"> Questa Fase non aggiunge un tassello all'inchiesta: </w:t>
      </w:r>
      <w:r>
        <w:rPr>
          <w:rFonts w:ascii="Times New Roman" w:cs="Times New Roman" w:eastAsia="Times New Roman" w:hAnsi="Times New Roman"/>
          <w:b/>
          <w:bCs/>
          <w:sz w:val="24"/>
          <w:szCs w:val="24"/>
        </w:rPr>
        <w:t xml:space="preserve">restituisce il soggetto all'opera.</w:t>
      </w:r>
      <w:r>
        <w:rPr>
          <w:rFonts w:ascii="Times New Roman" w:cs="Times New Roman" w:eastAsia="Times New Roman" w:hAnsi="Times New Roman"/>
          <w:sz w:val="24"/>
          <w:szCs w:val="24"/>
        </w:rPr>
        <w:t xml:space="preserve"> Prima del caso, prima dei processi, prima delle reti, c'è un uomo di Maglie che insegnava diritto penale e credeva nella pazienza come forma della politica. Tutto il resto — la macchina del sospetto, i gradi di prova, il divieto di imputare — ha senso solo se serve a lui: a non lasciare che l'assassinio di Aldo Moro diventi, una seconda volta, il pretesto per dimenticare Aldo Moro. La guerra senza fine ha molti nomi; ma ne ha uno che viene prima di tutti, ed è il suo. </w:t>
      </w:r>
      <w:r>
        <w:rPr>
          <w:rFonts w:ascii="Times New Roman" w:cs="Times New Roman" w:eastAsia="Times New Roman" w:hAnsi="Times New Roman"/>
          <w:i/>
          <w:iCs/>
          <w:sz w:val="24"/>
          <w:szCs w:val="24"/>
        </w:rPr>
        <w:t xml:space="preserve">A lui, e non alla trama, questa Fase è dedicata.</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Fase ottava dell'opera «Aldo Moro — Una guerra senza fine» (capp. 62-67). Rimette al centro dell'opera l'uomo e lo statista: la formazione (Maglie 1916, FUCI, il diritto penale a Bari), il costituente, la strategia dell'attenzione (Bari, 15 giugno 1969), la solidarietà nazionale e la «terza fase» (Il Giorno, dicembre 1976), le lettere come scrittura di un uomo e non atti di un caso, la ragione umana per cui fu colpito. Prosa piana su un uomo reale, senza pastiche; le idee citate dai suoi scritti e discorsi pubblici. Fonti: Treccani; gli studi dell'Accademia Aldo Moro. Nessuna imputazione oltre il giudicato; nessuna graduatoria. Il ritratto e la tesi coincidono nel solo punto documentato: Moro come ostacolo alla guerra che altri volevano.</w:t>
      </w:r>
    </w:p>
    <w:p>
      <w:r>
        <w:br w:type="page"/>
      </w:r>
    </w:p>
    <w:p>
      <w:pPr>
        <w:pStyle w:val="Heading1"/>
        <w:spacing w:after="120" w:before="240"/>
      </w:pPr>
      <w:r>
        <w:rPr>
          <w:rFonts w:ascii="Times New Roman" w:cs="Times New Roman" w:eastAsia="Times New Roman" w:hAnsi="Times New Roman"/>
          <w:sz w:val="24"/>
          <w:szCs w:val="24"/>
        </w:rPr>
        <w:t xml:space="preserve">Dal Che a Moro: una guerra senza fine</w:t>
      </w:r>
    </w:p>
    <w:p>
      <w:pPr>
        <w:spacing w:after="120" w:line="276"/>
        <w:jc w:val="both"/>
      </w:pPr>
      <w:r>
        <w:rPr>
          <w:rFonts w:ascii="Times New Roman" w:cs="Times New Roman" w:eastAsia="Times New Roman" w:hAnsi="Times New Roman"/>
          <w:i/>
          <w:iCs/>
          <w:sz w:val="24"/>
          <w:szCs w:val="24"/>
        </w:rPr>
        <w:t xml:space="preserve">Saggio di sintesi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Avvertenza necessaria, in tre punti.</w:t>
      </w:r>
      <w:r>
        <w:rPr>
          <w:rFonts w:ascii="Times New Roman" w:cs="Times New Roman" w:eastAsia="Times New Roman" w:hAnsi="Times New Roman"/>
          <w:i w:val="false"/>
          <w:iCs w:val="false"/>
          <w:sz w:val="24"/>
          <w:szCs w:val="24"/>
        </w:rPr>
        <w:t xml:space="preserve"> 1. Questo è un </w:t>
      </w:r>
      <w:r>
        <w:rPr>
          <w:rFonts w:ascii="Times New Roman" w:cs="Times New Roman" w:eastAsia="Times New Roman" w:hAnsi="Times New Roman"/>
          <w:b/>
          <w:bCs/>
          <w:i w:val="false"/>
          <w:iCs w:val="false"/>
          <w:sz w:val="24"/>
          <w:szCs w:val="24"/>
        </w:rPr>
        <w:t xml:space="preserve">saggio originale di sintesi</w:t>
      </w:r>
      <w:r>
        <w:rPr>
          <w:rFonts w:ascii="Times New Roman" w:cs="Times New Roman" w:eastAsia="Times New Roman" w:hAnsi="Times New Roman"/>
          <w:i w:val="false"/>
          <w:iCs w:val="false"/>
          <w:sz w:val="24"/>
          <w:szCs w:val="24"/>
        </w:rPr>
        <w:t xml:space="preserve">, che raccoglie i fili del corpus prodotto in questa sede (i tre studi su Ernesto Guevara, la triangolazione Guevara–Moro, la ricostruzione del vettore Feltrinelli). Non riproduce testi altrui. 2. La </w:t>
      </w:r>
      <w:r>
        <w:rPr>
          <w:rFonts w:ascii="Times New Roman" w:cs="Times New Roman" w:eastAsia="Times New Roman" w:hAnsi="Times New Roman"/>
          <w:b/>
          <w:bCs/>
          <w:i w:val="false"/>
          <w:iCs w:val="false"/>
          <w:sz w:val="24"/>
          <w:szCs w:val="24"/>
        </w:rPr>
        <w:t xml:space="preserve">Parte quarta è un pastiche letterario dichiarato</w:t>
      </w:r>
      <w:r>
        <w:rPr>
          <w:rFonts w:ascii="Times New Roman" w:cs="Times New Roman" w:eastAsia="Times New Roman" w:hAnsi="Times New Roman"/>
          <w:i w:val="false"/>
          <w:iCs w:val="false"/>
          <w:sz w:val="24"/>
          <w:szCs w:val="24"/>
        </w:rPr>
        <w:t xml:space="preserve">: una meditazione immaginata nello stile di Aldo Moro. </w:t>
      </w:r>
      <w:r>
        <w:rPr>
          <w:rFonts w:ascii="Times New Roman" w:cs="Times New Roman" w:eastAsia="Times New Roman" w:hAnsi="Times New Roman"/>
          <w:b/>
          <w:bCs/>
          <w:i w:val="false"/>
          <w:iCs w:val="false"/>
          <w:sz w:val="24"/>
          <w:szCs w:val="24"/>
        </w:rPr>
        <w:t xml:space="preserve">Non sono parole di Aldo Moro, non gli sono attribuibili, non riproducono suoi scritti.</w:t>
      </w:r>
      <w:r>
        <w:rPr>
          <w:rFonts w:ascii="Times New Roman" w:cs="Times New Roman" w:eastAsia="Times New Roman" w:hAnsi="Times New Roman"/>
          <w:i w:val="false"/>
          <w:iCs w:val="false"/>
          <w:sz w:val="24"/>
          <w:szCs w:val="24"/>
        </w:rPr>
        <w:t xml:space="preserve"> Moro fu un uomo reale, rapito e ucciso; per rispetto della sua persona e della verità, quella sezione non gli mette in bocca alcuna rivelazione di fatto: è esercizio di voce, non documento. Le affermazioni fattuali dell'opera stanno nelle parti in prosa piana, con i loro gradi di prova. 3. Vale qui la disciplina di tutto il corpus: si distingue sempre ciò che è </w:t>
      </w:r>
      <w:r>
        <w:rPr>
          <w:rFonts w:ascii="Times New Roman" w:cs="Times New Roman" w:eastAsia="Times New Roman" w:hAnsi="Times New Roman"/>
          <w:b/>
          <w:bCs/>
          <w:i w:val="false"/>
          <w:iCs w:val="false"/>
          <w:sz w:val="24"/>
          <w:szCs w:val="24"/>
        </w:rPr>
        <w:t xml:space="preserve">documentato</w:t>
      </w:r>
      <w:r>
        <w:rPr>
          <w:rFonts w:ascii="Times New Roman" w:cs="Times New Roman" w:eastAsia="Times New Roman" w:hAnsi="Times New Roman"/>
          <w:i w:val="false"/>
          <w:iCs w:val="false"/>
          <w:sz w:val="24"/>
          <w:szCs w:val="24"/>
        </w:rPr>
        <w:t xml:space="preserve"> (rapporto provato), ciò che è </w:t>
      </w:r>
      <w:r>
        <w:rPr>
          <w:rFonts w:ascii="Times New Roman" w:cs="Times New Roman" w:eastAsia="Times New Roman" w:hAnsi="Times New Roman"/>
          <w:b/>
          <w:bCs/>
          <w:i w:val="false"/>
          <w:iCs w:val="false"/>
          <w:sz w:val="24"/>
          <w:szCs w:val="24"/>
        </w:rPr>
        <w:t xml:space="preserve">convergenza</w:t>
      </w:r>
      <w:r>
        <w:rPr>
          <w:rFonts w:ascii="Times New Roman" w:cs="Times New Roman" w:eastAsia="Times New Roman" w:hAnsi="Times New Roman"/>
          <w:i w:val="false"/>
          <w:iCs w:val="false"/>
          <w:sz w:val="24"/>
          <w:szCs w:val="24"/>
        </w:rPr>
        <w:t xml:space="preserve"> (stessa cornice, stesso tempo) e ciò che è </w:t>
      </w:r>
      <w:r>
        <w:rPr>
          <w:rFonts w:ascii="Times New Roman" w:cs="Times New Roman" w:eastAsia="Times New Roman" w:hAnsi="Times New Roman"/>
          <w:b/>
          <w:bCs/>
          <w:i w:val="false"/>
          <w:iCs w:val="false"/>
          <w:sz w:val="24"/>
          <w:szCs w:val="24"/>
        </w:rPr>
        <w:t xml:space="preserve">congettura</w:t>
      </w:r>
      <w:r>
        <w:rPr>
          <w:rFonts w:ascii="Times New Roman" w:cs="Times New Roman" w:eastAsia="Times New Roman" w:hAnsi="Times New Roman"/>
          <w:i w:val="false"/>
          <w:iCs w:val="false"/>
          <w:sz w:val="24"/>
          <w:szCs w:val="24"/>
        </w:rPr>
        <w:t xml:space="preserve">. La tesi del titolo — «una guerra senza fine» — è una </w:t>
      </w:r>
      <w:r>
        <w:rPr>
          <w:rFonts w:ascii="Times New Roman" w:cs="Times New Roman" w:eastAsia="Times New Roman" w:hAnsi="Times New Roman"/>
          <w:b/>
          <w:bCs/>
          <w:i w:val="false"/>
          <w:iCs w:val="false"/>
          <w:sz w:val="24"/>
          <w:szCs w:val="24"/>
        </w:rPr>
        <w:t xml:space="preserve">chiave interpretativa</w:t>
      </w:r>
      <w:r>
        <w:rPr>
          <w:rFonts w:ascii="Times New Roman" w:cs="Times New Roman" w:eastAsia="Times New Roman" w:hAnsi="Times New Roman"/>
          <w:i w:val="false"/>
          <w:iCs w:val="false"/>
          <w:sz w:val="24"/>
          <w:szCs w:val="24"/>
        </w:rPr>
        <w:t xml:space="preserve">, non un fatto acquisito: va letta come lente, non come sentenza.</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Parte prima — La tesi, e i suoi limiti</w:t>
      </w:r>
    </w:p>
    <w:p>
      <w:pPr>
        <w:spacing w:after="120" w:line="276"/>
        <w:jc w:val="both"/>
      </w:pPr>
      <w:r>
        <w:rPr>
          <w:rFonts w:ascii="Times New Roman" w:cs="Times New Roman" w:eastAsia="Times New Roman" w:hAnsi="Times New Roman"/>
          <w:sz w:val="24"/>
          <w:szCs w:val="24"/>
        </w:rPr>
        <w:t xml:space="preserve">C'è un modo suggestivo e falso di raccontare il Novecento: come un unico complotto, una piovra che dal Cile all'Italia, da Brighton Beach all'Avana, muove i suoi tentacoli secondo un disegno. È il modo che questo corpus ha imparato a diffidare, verifica dopo verifica: dove la pubblicistica vede un organismo, la documentazione trova quasi sempre un </w:t>
      </w:r>
      <w:r>
        <w:rPr>
          <w:rFonts w:ascii="Times New Roman" w:cs="Times New Roman" w:eastAsia="Times New Roman" w:hAnsi="Times New Roman"/>
          <w:b/>
          <w:bCs/>
          <w:sz w:val="24"/>
          <w:szCs w:val="24"/>
        </w:rPr>
        <w:t xml:space="preserve">ecosistema</w:t>
      </w:r>
      <w:r>
        <w:rPr>
          <w:rFonts w:ascii="Times New Roman" w:cs="Times New Roman" w:eastAsia="Times New Roman" w:hAnsi="Times New Roman"/>
          <w:sz w:val="24"/>
          <w:szCs w:val="24"/>
        </w:rPr>
        <w:t xml:space="preserve"> — attori diversi, con risorse, gerarchie e regole proprie, che condividono il tempo, il nemico e talvolta gli uomini, ma non la struttura.</w:t>
      </w:r>
    </w:p>
    <w:p>
      <w:pPr>
        <w:spacing w:after="120" w:line="276"/>
        <w:jc w:val="both"/>
      </w:pPr>
      <w:r>
        <w:rPr>
          <w:rFonts w:ascii="Times New Roman" w:cs="Times New Roman" w:eastAsia="Times New Roman" w:hAnsi="Times New Roman"/>
          <w:sz w:val="24"/>
          <w:szCs w:val="24"/>
        </w:rPr>
        <w:t xml:space="preserve">E però resta un fatto che nessuna prudenza cancella: fra la fucilazione di Ernesto Guevara alla Higuera, il 9 ottobre 1967, e l'assassinio di Aldo Moro in via Caetani, il 9 maggio 1978, corrono meno di undici anni, la stessa lingua ideologica e — questo è il punto — </w:t>
      </w:r>
      <w:r>
        <w:rPr>
          <w:rFonts w:ascii="Times New Roman" w:cs="Times New Roman" w:eastAsia="Times New Roman" w:hAnsi="Times New Roman"/>
          <w:b/>
          <w:bCs/>
          <w:sz w:val="24"/>
          <w:szCs w:val="24"/>
        </w:rPr>
        <w:t xml:space="preserve">lo stesso campo di battaglia</w:t>
      </w:r>
      <w:r>
        <w:rPr>
          <w:rFonts w:ascii="Times New Roman" w:cs="Times New Roman" w:eastAsia="Times New Roman" w:hAnsi="Times New Roman"/>
          <w:sz w:val="24"/>
          <w:szCs w:val="24"/>
        </w:rPr>
        <w:t xml:space="preserve">. Non un complotto: una </w:t>
      </w:r>
      <w:r>
        <w:rPr>
          <w:rFonts w:ascii="Times New Roman" w:cs="Times New Roman" w:eastAsia="Times New Roman" w:hAnsi="Times New Roman"/>
          <w:b/>
          <w:bCs/>
          <w:sz w:val="24"/>
          <w:szCs w:val="24"/>
        </w:rPr>
        <w:t xml:space="preserve">guerra</w:t>
      </w:r>
      <w:r>
        <w:rPr>
          <w:rFonts w:ascii="Times New Roman" w:cs="Times New Roman" w:eastAsia="Times New Roman" w:hAnsi="Times New Roman"/>
          <w:sz w:val="24"/>
          <w:szCs w:val="24"/>
        </w:rPr>
        <w:t xml:space="preserve">. La lunga guerra civile fredda che attraversò l'Occidente dal 1945, combattuta non fra Stati ma dentro le società, con le armi della sovversione e della controsovversione, del mito e del terrore. In quella guerra il Che fu una bandiera e Moro un bersaglio; e il filo che li lega non è una catena di comando, ma una </w:t>
      </w:r>
      <w:r>
        <w:rPr>
          <w:rFonts w:ascii="Times New Roman" w:cs="Times New Roman" w:eastAsia="Times New Roman" w:hAnsi="Times New Roman"/>
          <w:b/>
          <w:bCs/>
          <w:sz w:val="24"/>
          <w:szCs w:val="24"/>
        </w:rPr>
        <w:t xml:space="preserve">eredità che degenera</w:t>
      </w:r>
      <w:r>
        <w:rPr>
          <w:rFonts w:ascii="Times New Roman" w:cs="Times New Roman" w:eastAsia="Times New Roman" w:hAnsi="Times New Roman"/>
          <w:sz w:val="24"/>
          <w:szCs w:val="24"/>
        </w:rPr>
        <w:t xml:space="preserve">: il mito rivoluzionario che, importato e travisato, si rovescia nel suo contrario.</w:t>
      </w:r>
    </w:p>
    <w:p>
      <w:pPr>
        <w:spacing w:after="120" w:line="276"/>
        <w:jc w:val="both"/>
      </w:pPr>
      <w:r>
        <w:rPr>
          <w:rFonts w:ascii="Times New Roman" w:cs="Times New Roman" w:eastAsia="Times New Roman" w:hAnsi="Times New Roman"/>
          <w:sz w:val="24"/>
          <w:szCs w:val="24"/>
        </w:rPr>
        <w:t xml:space="preserve">Questa è la tesi. La si tenga per quello che è — una lente — mentre ne verifichiamo i giunti.</w:t>
      </w:r>
    </w:p>
    <w:p>
      <w:pPr>
        <w:pStyle w:val="Heading2"/>
        <w:spacing w:after="100" w:before="200"/>
      </w:pPr>
      <w:r>
        <w:rPr>
          <w:rFonts w:ascii="Times New Roman" w:cs="Times New Roman" w:eastAsia="Times New Roman" w:hAnsi="Times New Roman"/>
          <w:sz w:val="24"/>
          <w:szCs w:val="24"/>
        </w:rPr>
        <w:t xml:space="preserve">Parte seconda — Il Che: un mito e il suo vettore</w:t>
      </w:r>
    </w:p>
    <w:p>
      <w:pPr>
        <w:spacing w:after="120" w:line="276"/>
        <w:jc w:val="both"/>
      </w:pPr>
      <w:r>
        <w:rPr>
          <w:rFonts w:ascii="Times New Roman" w:cs="Times New Roman" w:eastAsia="Times New Roman" w:hAnsi="Times New Roman"/>
          <w:sz w:val="24"/>
          <w:szCs w:val="24"/>
        </w:rPr>
        <w:t xml:space="preserve">Guevara morì due volte. La prima da uomo, in una scuola di fango della Bolivia, tradito dalla sproporzione impossibile fra la dottrina del </w:t>
      </w:r>
      <w:r>
        <w:rPr>
          <w:rFonts w:ascii="Times New Roman" w:cs="Times New Roman" w:eastAsia="Times New Roman" w:hAnsi="Times New Roman"/>
          <w:i/>
          <w:iCs/>
          <w:sz w:val="24"/>
          <w:szCs w:val="24"/>
        </w:rPr>
        <w:t xml:space="preserve">foco</w:t>
      </w:r>
      <w:r>
        <w:rPr>
          <w:rFonts w:ascii="Times New Roman" w:cs="Times New Roman" w:eastAsia="Times New Roman" w:hAnsi="Times New Roman"/>
          <w:sz w:val="24"/>
          <w:szCs w:val="24"/>
        </w:rPr>
        <w:t xml:space="preserve"> e la realtà contadina che quella dottrina presupponeva e non trovava — in Congo prima, in Bolivia poi. La seconda volta rinacque come immagine, e questa seconda vita fu opera di un uomo e di una macchina editoriale precisi.</w:t>
      </w:r>
    </w:p>
    <w:p>
      <w:pPr>
        <w:spacing w:after="120" w:line="276"/>
        <w:jc w:val="both"/>
      </w:pPr>
      <w:r>
        <w:rPr>
          <w:rFonts w:ascii="Times New Roman" w:cs="Times New Roman" w:eastAsia="Times New Roman" w:hAnsi="Times New Roman"/>
          <w:sz w:val="24"/>
          <w:szCs w:val="24"/>
        </w:rPr>
        <w:t xml:space="preserve">L'uomo è </w:t>
      </w:r>
      <w:r>
        <w:rPr>
          <w:rFonts w:ascii="Times New Roman" w:cs="Times New Roman" w:eastAsia="Times New Roman" w:hAnsi="Times New Roman"/>
          <w:b/>
          <w:bCs/>
          <w:sz w:val="24"/>
          <w:szCs w:val="24"/>
        </w:rPr>
        <w:t xml:space="preserve">Giangiacomo Feltrinelli</w:t>
      </w:r>
      <w:r>
        <w:rPr>
          <w:rFonts w:ascii="Times New Roman" w:cs="Times New Roman" w:eastAsia="Times New Roman" w:hAnsi="Times New Roman"/>
          <w:sz w:val="24"/>
          <w:szCs w:val="24"/>
        </w:rPr>
        <w:t xml:space="preserve">. La macchina è la sua casa editrice. Nel 1967 Feltrinelli fece della fotografia di Alberto Korda — il </w:t>
      </w:r>
      <w:r>
        <w:rPr>
          <w:rFonts w:ascii="Times New Roman" w:cs="Times New Roman" w:eastAsia="Times New Roman" w:hAnsi="Times New Roman"/>
          <w:i/>
          <w:iCs/>
          <w:sz w:val="24"/>
          <w:szCs w:val="24"/>
        </w:rPr>
        <w:t xml:space="preserve">Guerrillero Heroico</w:t>
      </w:r>
      <w:r>
        <w:rPr>
          <w:rFonts w:ascii="Times New Roman" w:cs="Times New Roman" w:eastAsia="Times New Roman" w:hAnsi="Times New Roman"/>
          <w:sz w:val="24"/>
          <w:szCs w:val="24"/>
        </w:rPr>
        <w:t xml:space="preserve">, scattato all'Avana nel 1960 — un </w:t>
      </w:r>
      <w:r>
        <w:rPr>
          <w:rFonts w:ascii="Times New Roman" w:cs="Times New Roman" w:eastAsia="Times New Roman" w:hAnsi="Times New Roman"/>
          <w:b/>
          <w:bCs/>
          <w:sz w:val="24"/>
          <w:szCs w:val="24"/>
        </w:rPr>
        <w:t xml:space="preserve">manifesto</w:t>
      </w:r>
      <w:r>
        <w:rPr>
          <w:rFonts w:ascii="Times New Roman" w:cs="Times New Roman" w:eastAsia="Times New Roman" w:hAnsi="Times New Roman"/>
          <w:sz w:val="24"/>
          <w:szCs w:val="24"/>
        </w:rPr>
        <w:t xml:space="preserve">; nel 1968 la pose in copertina al </w:t>
      </w:r>
      <w:r>
        <w:rPr>
          <w:rFonts w:ascii="Times New Roman" w:cs="Times New Roman" w:eastAsia="Times New Roman" w:hAnsi="Times New Roman"/>
          <w:i/>
          <w:iCs/>
          <w:sz w:val="24"/>
          <w:szCs w:val="24"/>
        </w:rPr>
        <w:t xml:space="preserve">Diario in Bolivia</w:t>
      </w:r>
      <w:r>
        <w:rPr>
          <w:rFonts w:ascii="Times New Roman" w:cs="Times New Roman" w:eastAsia="Times New Roman" w:hAnsi="Times New Roman"/>
          <w:sz w:val="24"/>
          <w:szCs w:val="24"/>
        </w:rPr>
        <w:t xml:space="preserve">, con prefazione di Fidel Castro. Da lì l'icona partì per il mondo. Ma Feltrinelli non fu soltanto un editore: fu il fondatore dei </w:t>
      </w:r>
      <w:r>
        <w:rPr>
          <w:rFonts w:ascii="Times New Roman" w:cs="Times New Roman" w:eastAsia="Times New Roman" w:hAnsi="Times New Roman"/>
          <w:b/>
          <w:bCs/>
          <w:sz w:val="24"/>
          <w:szCs w:val="24"/>
        </w:rPr>
        <w:t xml:space="preserve">Gruppi d'Azione Partigiana</w:t>
      </w:r>
      <w:r>
        <w:rPr>
          <w:rFonts w:ascii="Times New Roman" w:cs="Times New Roman" w:eastAsia="Times New Roman" w:hAnsi="Times New Roman"/>
          <w:sz w:val="24"/>
          <w:szCs w:val="24"/>
        </w:rPr>
        <w:t xml:space="preserve"> (1970), primo nucleo organizzato della lotta armata italiana, e morì nel 1972 sotto un traliccio a Segrate, saltando con l'esplosivo che maneggiava.</w:t>
      </w:r>
    </w:p>
    <w:p>
      <w:pPr>
        <w:spacing w:after="120" w:line="276"/>
        <w:jc w:val="both"/>
      </w:pPr>
      <w:r>
        <w:rPr>
          <w:rFonts w:ascii="Times New Roman" w:cs="Times New Roman" w:eastAsia="Times New Roman" w:hAnsi="Times New Roman"/>
          <w:sz w:val="24"/>
          <w:szCs w:val="24"/>
        </w:rPr>
        <w:t xml:space="preserve">Qui il corpus è netto, e il grado di prova è alto: </w:t>
      </w:r>
      <w:r>
        <w:rPr>
          <w:rFonts w:ascii="Times New Roman" w:cs="Times New Roman" w:eastAsia="Times New Roman" w:hAnsi="Times New Roman"/>
          <w:b/>
          <w:bCs/>
          <w:sz w:val="24"/>
          <w:szCs w:val="24"/>
        </w:rPr>
        <w:t xml:space="preserve">le Brigate Rosse — fondate al convegno di Pecorile nell'agosto 1970 — presero a modello individuale di riferimento proprio Ernesto Guevara</w:t>
      </w:r>
      <w:r>
        <w:rPr>
          <w:rFonts w:ascii="Times New Roman" w:cs="Times New Roman" w:eastAsia="Times New Roman" w:hAnsi="Times New Roman"/>
          <w:sz w:val="24"/>
          <w:szCs w:val="24"/>
        </w:rPr>
        <w:t xml:space="preserve">, accanto ai Tupamaros da cui mutuarono il simbolo. È Renato Curcio a dire che i brigatisti andarono «a scuola di guerriglia da Feltrinelli». Non è dietrologia: è la genealogia dichiarata di un'organizzazione che nel mito del Che riconobbe la propria matrice.</w:t>
      </w:r>
    </w:p>
    <w:p>
      <w:pPr>
        <w:spacing w:after="120" w:line="276"/>
        <w:jc w:val="both"/>
      </w:pPr>
      <w:r>
        <w:rPr>
          <w:rFonts w:ascii="Times New Roman" w:cs="Times New Roman" w:eastAsia="Times New Roman" w:hAnsi="Times New Roman"/>
          <w:sz w:val="24"/>
          <w:szCs w:val="24"/>
        </w:rPr>
        <w:t xml:space="preserve">Ecco il </w:t>
      </w:r>
      <w:r>
        <w:rPr>
          <w:rFonts w:ascii="Times New Roman" w:cs="Times New Roman" w:eastAsia="Times New Roman" w:hAnsi="Times New Roman"/>
          <w:b/>
          <w:bCs/>
          <w:sz w:val="24"/>
          <w:szCs w:val="24"/>
        </w:rPr>
        <w:t xml:space="preserve">vettore</w:t>
      </w:r>
      <w:r>
        <w:rPr>
          <w:rFonts w:ascii="Times New Roman" w:cs="Times New Roman" w:eastAsia="Times New Roman" w:hAnsi="Times New Roman"/>
          <w:sz w:val="24"/>
          <w:szCs w:val="24"/>
        </w:rPr>
        <w:t xml:space="preserve">, dunque, e va nominato con esattezza per non fargli dire più di quanto dica: non un ordine che passa dall'Avana a Roma, ma un </w:t>
      </w:r>
      <w:r>
        <w:rPr>
          <w:rFonts w:ascii="Times New Roman" w:cs="Times New Roman" w:eastAsia="Times New Roman" w:hAnsi="Times New Roman"/>
          <w:b/>
          <w:bCs/>
          <w:sz w:val="24"/>
          <w:szCs w:val="24"/>
        </w:rPr>
        <w:t xml:space="preserve">mito che si trasmette</w:t>
      </w:r>
      <w:r>
        <w:rPr>
          <w:rFonts w:ascii="Times New Roman" w:cs="Times New Roman" w:eastAsia="Times New Roman" w:hAnsi="Times New Roman"/>
          <w:sz w:val="24"/>
          <w:szCs w:val="24"/>
        </w:rPr>
        <w:t xml:space="preserve"> — un'immagine, un libro, un metodo — e che nel trasmettersi cambia natura. Il Che dei diari era un medico che aveva scelto le munizioni; il Che dei muri di Milano diventò licenza per una guerra che l'Italia non aveva.</w:t>
      </w:r>
    </w:p>
    <w:p>
      <w:pPr>
        <w:pStyle w:val="Heading2"/>
        <w:spacing w:after="100" w:before="200"/>
      </w:pPr>
      <w:r>
        <w:rPr>
          <w:rFonts w:ascii="Times New Roman" w:cs="Times New Roman" w:eastAsia="Times New Roman" w:hAnsi="Times New Roman"/>
          <w:sz w:val="24"/>
          <w:szCs w:val="24"/>
        </w:rPr>
        <w:t xml:space="preserve">Parte terza — La traversata: come un mito degenera</w:t>
      </w:r>
    </w:p>
    <w:p>
      <w:pPr>
        <w:spacing w:after="120" w:line="276"/>
        <w:jc w:val="both"/>
      </w:pPr>
      <w:r>
        <w:rPr>
          <w:rFonts w:ascii="Times New Roman" w:cs="Times New Roman" w:eastAsia="Times New Roman" w:hAnsi="Times New Roman"/>
          <w:sz w:val="24"/>
          <w:szCs w:val="24"/>
        </w:rPr>
        <w:t xml:space="preserve">Fra il guerrigliero che muore per un popolo che non lo segue e i sequestratori che uccidono un uomo di Stato disarmato c'è una distanza morale che nessuna continuità di simboli colma. Eppure la traversata avvenne, e la sua logica è ricostruibile.</w:t>
      </w:r>
    </w:p>
    <w:p>
      <w:pPr>
        <w:spacing w:after="120" w:line="276"/>
        <w:jc w:val="both"/>
      </w:pPr>
      <w:r>
        <w:rPr>
          <w:rFonts w:ascii="Times New Roman" w:cs="Times New Roman" w:eastAsia="Times New Roman" w:hAnsi="Times New Roman"/>
          <w:sz w:val="24"/>
          <w:szCs w:val="24"/>
        </w:rPr>
        <w:t xml:space="preserve">Il Cile è lo snodo. La caduta di Salvador Allende, l'11 settembre 1973 — con la responsabilità primaria, documentata, degli apparati statunitensi supervisionati da Henry Kissinger, come il corpus ha verificato su fonti primarie — «dimostrò» a due sinistre opposte due cose opposte. Alla sinistra rivoluzionaria confermò la tesi guevarista che il potere non si conquista con le urne: se anche la via cilena, legale e votata, era stata schiacciata, allora restava solo il fucile. Alla sinistra riformista, all'inverso, Enrico Berlinguer trasse la lezione del </w:t>
      </w:r>
      <w:r>
        <w:rPr>
          <w:rFonts w:ascii="Times New Roman" w:cs="Times New Roman" w:eastAsia="Times New Roman" w:hAnsi="Times New Roman"/>
          <w:b/>
          <w:bCs/>
          <w:sz w:val="24"/>
          <w:szCs w:val="24"/>
        </w:rPr>
        <w:t xml:space="preserve">compromesso storico</w:t>
      </w:r>
      <w:r>
        <w:rPr>
          <w:rFonts w:ascii="Times New Roman" w:cs="Times New Roman" w:eastAsia="Times New Roman" w:hAnsi="Times New Roman"/>
          <w:sz w:val="24"/>
          <w:szCs w:val="24"/>
        </w:rPr>
        <w:t xml:space="preserve">: nessuna maggioranza del 51 per cento è al sicuro senza un patto con le forze cattoliche e moderate.</w:t>
      </w:r>
    </w:p>
    <w:p>
      <w:pPr>
        <w:spacing w:after="120" w:line="276"/>
        <w:jc w:val="both"/>
      </w:pPr>
      <w:r>
        <w:rPr>
          <w:rFonts w:ascii="Times New Roman" w:cs="Times New Roman" w:eastAsia="Times New Roman" w:hAnsi="Times New Roman"/>
          <w:sz w:val="24"/>
          <w:szCs w:val="24"/>
        </w:rPr>
        <w:t xml:space="preserve">E il principale interlocutore democristiano di quel patto era </w:t>
      </w:r>
      <w:r>
        <w:rPr>
          <w:rFonts w:ascii="Times New Roman" w:cs="Times New Roman" w:eastAsia="Times New Roman" w:hAnsi="Times New Roman"/>
          <w:b/>
          <w:bCs/>
          <w:sz w:val="24"/>
          <w:szCs w:val="24"/>
        </w:rPr>
        <w:t xml:space="preserve">Aldo Moro</w:t>
      </w:r>
      <w:r>
        <w:rPr>
          <w:rFonts w:ascii="Times New Roman" w:cs="Times New Roman" w:eastAsia="Times New Roman" w:hAnsi="Times New Roman"/>
          <w:sz w:val="24"/>
          <w:szCs w:val="24"/>
        </w:rPr>
        <w:t xml:space="preserve">. Egli incarnava, cioè, esattamente la via che il guevarismo negava: la mediazione paziente, l'allargamento della base democratica, la «terza fase». Le Brigate Rosse, che dal Che avevano ereditato il disprezzo per quella via, lo colpirono in quanto suo architetto. Il 16 marzo 1978, in via Fani, mentre andava a votare la fiducia al primo governo della sua «solidarietà nazionale», la scorta fu massacrata e Moro rapito. Cinquantacinque giorni dopo era morto.</w:t>
      </w:r>
    </w:p>
    <w:p>
      <w:pPr>
        <w:spacing w:after="120" w:line="276"/>
        <w:jc w:val="both"/>
      </w:pPr>
      <w:r>
        <w:rPr>
          <w:rFonts w:ascii="Times New Roman" w:cs="Times New Roman" w:eastAsia="Times New Roman" w:hAnsi="Times New Roman"/>
          <w:sz w:val="24"/>
          <w:szCs w:val="24"/>
        </w:rPr>
        <w:t xml:space="preserve">La degenerazione è tutta qui, e va detta senza retorica: </w:t>
      </w:r>
      <w:r>
        <w:rPr>
          <w:rFonts w:ascii="Times New Roman" w:cs="Times New Roman" w:eastAsia="Times New Roman" w:hAnsi="Times New Roman"/>
          <w:b/>
          <w:bCs/>
          <w:sz w:val="24"/>
          <w:szCs w:val="24"/>
        </w:rPr>
        <w:t xml:space="preserve">il mito rivoluzionario importato si era rovesciato nella sua caricatura terroristica</w:t>
      </w:r>
      <w:r>
        <w:rPr>
          <w:rFonts w:ascii="Times New Roman" w:cs="Times New Roman" w:eastAsia="Times New Roman" w:hAnsi="Times New Roman"/>
          <w:sz w:val="24"/>
          <w:szCs w:val="24"/>
        </w:rPr>
        <w:t xml:space="preserve">. Ciò che nel Che era stato — nel bene e nel male — guerra a un esercito, nelle BR divenne esecuzione di un prigioniero inerme. La bandiera era la stessa; il gesto, l'opposto.</w:t>
      </w:r>
    </w:p>
    <w:p>
      <w:pPr>
        <w:pStyle w:val="Heading2"/>
        <w:spacing w:after="100" w:before="200"/>
      </w:pPr>
      <w:r>
        <w:rPr>
          <w:rFonts w:ascii="Times New Roman" w:cs="Times New Roman" w:eastAsia="Times New Roman" w:hAnsi="Times New Roman"/>
          <w:sz w:val="24"/>
          <w:szCs w:val="24"/>
        </w:rPr>
        <w:t xml:space="preserve">Parte quarta — La voce (pastiche dichiarato: non sono parole di Aldo Moro)</w:t>
      </w:r>
    </w:p>
    <w:p>
      <w:pPr>
        <w:pBdr>
          <w:left w:val="single" w:color="1F3864" w:sz="18" w:space="8"/>
        </w:pBdr>
        <w:spacing w:after="80" w:before="80"/>
        <w:ind w:left="360" w:right="360"/>
        <w:jc w:val="both"/>
      </w:pPr>
      <w:r>
        <w:rPr>
          <w:rFonts w:ascii="Times New Roman" w:cs="Times New Roman" w:eastAsia="Times New Roman" w:hAnsi="Times New Roman"/>
          <w:i w:val="false"/>
          <w:iCs w:val="false"/>
          <w:sz w:val="24"/>
          <w:szCs w:val="24"/>
        </w:rPr>
        <w:t xml:space="preserve">Quanto segue è un esercizio di stile: una meditazione immaginata, scritta a imitazione della prosa di Aldo Moro. Non è un suo testo, non gli è attribuibile, non contiene rivelazioni di fatto. È la voce che un autore presta a un personaggio, come si fa in teatro — nulla di più.</w:t>
      </w:r>
    </w:p>
    <w:p>
      <w:pPr>
        <w:spacing w:after="120" w:line="276"/>
        <w:jc w:val="both"/>
      </w:pPr>
      <w:r>
        <w:rPr>
          <w:rFonts w:ascii="Times New Roman" w:cs="Times New Roman" w:eastAsia="Times New Roman" w:hAnsi="Times New Roman"/>
          <w:sz w:val="24"/>
          <w:szCs w:val="24"/>
        </w:rPr>
        <w:t xml:space="preserve">Mi si conceda, a chi legge in un tempo che non è più il mio, una riflessione che non pretende di spiegare, ma soltanto di comprendere.</w:t>
      </w:r>
    </w:p>
    <w:p>
      <w:pPr>
        <w:spacing w:after="120" w:line="276"/>
        <w:jc w:val="both"/>
      </w:pPr>
      <w:r>
        <w:rPr>
          <w:rFonts w:ascii="Times New Roman" w:cs="Times New Roman" w:eastAsia="Times New Roman" w:hAnsi="Times New Roman"/>
          <w:sz w:val="24"/>
          <w:szCs w:val="24"/>
        </w:rPr>
        <w:t xml:space="preserve">Si è parlato, a proposito della mia vicenda e di quella lontana del rivoluzionario argentino, di una guerra senza fine. Ed è formula, lo riconosco, che ha una sua verità dolorosa; ma è verità che va maneggiata con quella cautela che le cose gravi impongono, ché nulla è più facile, e più ingiusto, che ricondurre a un unico disegno ciò che fu invece il concorrere di molte volontà distinte, e in parte fra loro avverse.</w:t>
      </w:r>
    </w:p>
    <w:p>
      <w:pPr>
        <w:spacing w:after="120" w:line="276"/>
        <w:jc w:val="both"/>
      </w:pPr>
      <w:r>
        <w:rPr>
          <w:rFonts w:ascii="Times New Roman" w:cs="Times New Roman" w:eastAsia="Times New Roman" w:hAnsi="Times New Roman"/>
          <w:sz w:val="24"/>
          <w:szCs w:val="24"/>
        </w:rPr>
        <w:t xml:space="preserve">Io non ho conosciuto quel giovane medico, né egli me. Ci separavano un oceano, una lingua, e soprattutto un'idea opposta di come si serva un popolo. Egli credette che si servisse impugnando le armi contro lo Stato; io ho creduto, e credo ancora nel punto in cui queste parole immaginarie mi collocano, che lo si serva pazientemente allargando lo Stato, facendovi entrare chi ne era escluso, componendo e non spezzando. Non è differenza da poco: è, se posso dirlo, la differenza stessa.</w:t>
      </w:r>
    </w:p>
    <w:p>
      <w:pPr>
        <w:spacing w:after="120" w:line="276"/>
        <w:jc w:val="both"/>
      </w:pPr>
      <w:r>
        <w:rPr>
          <w:rFonts w:ascii="Times New Roman" w:cs="Times New Roman" w:eastAsia="Times New Roman" w:hAnsi="Times New Roman"/>
          <w:sz w:val="24"/>
          <w:szCs w:val="24"/>
        </w:rPr>
        <w:t xml:space="preserve">E tuttavia una cosa ci accomuna, lui e me, ed è cosa che dà da pensare. Entrambi fummo, ciascuno a suo modo, ostacoli. Egli, all'ordine che voleva l'America Latina immobile; io, a chi non tollerava che il mio Paese trovasse da sé, per vie sue proprie e non dettate d'oltreoceano né d'oltrecortina, il modo di includere nella responsabilità nazionale forze che pure la storia aveva radicato nel popolo. Chi è d'ostacolo, in una guerra, si tende a rimuoverlo. Questo — non un complotto, ma questa logica sorda della rimozione — è forse il solo filo vero che lega due morti così diverse.</w:t>
      </w:r>
    </w:p>
    <w:p>
      <w:pPr>
        <w:spacing w:after="120" w:line="276"/>
        <w:jc w:val="both"/>
      </w:pPr>
      <w:r>
        <w:rPr>
          <w:rFonts w:ascii="Times New Roman" w:cs="Times New Roman" w:eastAsia="Times New Roman" w:hAnsi="Times New Roman"/>
          <w:sz w:val="24"/>
          <w:szCs w:val="24"/>
        </w:rPr>
        <w:t xml:space="preserve">Non chiedo che si trasformi questa mia riflessione in accusa: le accuse hanno bisogno di prove, e io, che alle prove ho dedicato una vita di giurista, sarei l'ultimo a volerle sostituire con il sospetto. Chiedo soltanto che non si dimentichi la lezione, che è amara e semplice: quando in una società la mediazione viene odiata da tutte le parti — da chi la crede tradimento e da chi la teme come minaccia — colui che media resta solo, e chi resta solo è perduto. Ho scritto altrove, nella mia prigione vera e non in questa finta, parole che non ripeterò qui per non confonderle con l'invenzione. Basti questo: la solitudine dell'uomo di mediazione è il vero luogo della tragedia. Il resto — chi armò, chi tacque, chi non volle — appartiene alla storia e ai suoi giudici, non a me.</w:t>
      </w:r>
    </w:p>
    <w:p>
      <w:pPr>
        <w:pStyle w:val="Heading2"/>
        <w:spacing w:after="100" w:before="200"/>
      </w:pPr>
      <w:r>
        <w:rPr>
          <w:rFonts w:ascii="Times New Roman" w:cs="Times New Roman" w:eastAsia="Times New Roman" w:hAnsi="Times New Roman"/>
          <w:sz w:val="24"/>
          <w:szCs w:val="24"/>
        </w:rPr>
        <w:t xml:space="preserve">Parte quinta — Ciò che è documentato, ciò che è convergenza</w:t>
      </w:r>
    </w:p>
    <w:p>
      <w:pPr>
        <w:spacing w:after="120" w:line="276"/>
        <w:jc w:val="both"/>
      </w:pPr>
      <w:r>
        <w:rPr>
          <w:rFonts w:ascii="Times New Roman" w:cs="Times New Roman" w:eastAsia="Times New Roman" w:hAnsi="Times New Roman"/>
          <w:sz w:val="24"/>
          <w:szCs w:val="24"/>
        </w:rPr>
        <w:t xml:space="preserve">Chiuso il pastiche, torniamo alla disciplina. Un'opera che voglia essere seria deve dire, alla fine, quanto della sua tesi regge alla prova e quanto resta suggestione. Ecco il bilancio, onesto.</w:t>
      </w:r>
    </w:p>
    <w:p>
      <w:pPr>
        <w:spacing w:after="120" w:line="276"/>
        <w:jc w:val="both"/>
      </w:pPr>
      <w:r>
        <w:rPr>
          <w:rFonts w:ascii="Times New Roman" w:cs="Times New Roman" w:eastAsia="Times New Roman" w:hAnsi="Times New Roman"/>
          <w:b/>
          <w:bCs/>
          <w:sz w:val="24"/>
          <w:szCs w:val="24"/>
        </w:rPr>
        <w:t xml:space="preserve">È documentato</w:t>
      </w:r>
      <w:r>
        <w:rPr>
          <w:rFonts w:ascii="Times New Roman" w:cs="Times New Roman" w:eastAsia="Times New Roman" w:hAnsi="Times New Roman"/>
          <w:sz w:val="24"/>
          <w:szCs w:val="24"/>
        </w:rPr>
        <w:t xml:space="preserve"> (categoria alta): che Guevara fu il modello individuale dichiarato delle BR; che Feltrinelli fu il vettore del mito (Korda 1967, </w:t>
      </w:r>
      <w:r>
        <w:rPr>
          <w:rFonts w:ascii="Times New Roman" w:cs="Times New Roman" w:eastAsia="Times New Roman" w:hAnsi="Times New Roman"/>
          <w:i/>
          <w:iCs/>
          <w:sz w:val="24"/>
          <w:szCs w:val="24"/>
        </w:rPr>
        <w:t xml:space="preserve">Diario</w:t>
      </w:r>
      <w:r>
        <w:rPr>
          <w:rFonts w:ascii="Times New Roman" w:cs="Times New Roman" w:eastAsia="Times New Roman" w:hAnsi="Times New Roman"/>
          <w:sz w:val="24"/>
          <w:szCs w:val="24"/>
        </w:rPr>
        <w:t xml:space="preserve"> 1968) e insieme un iniziatore della lotta armata italiana; che le BR rapirono e uccisero Moro; che la caduta di Allende, con responsabilità USA supervisionate da Kissinger, fu lo spartiacque che radicalizzò le due sinistre; che Moro era l'architetto democristiano del compromesso storico.</w:t>
      </w:r>
    </w:p>
    <w:p>
      <w:pPr>
        <w:spacing w:after="120" w:line="276"/>
        <w:jc w:val="both"/>
      </w:pPr>
      <w:r>
        <w:rPr>
          <w:rFonts w:ascii="Times New Roman" w:cs="Times New Roman" w:eastAsia="Times New Roman" w:hAnsi="Times New Roman"/>
          <w:b/>
          <w:bCs/>
          <w:sz w:val="24"/>
          <w:szCs w:val="24"/>
        </w:rPr>
        <w:t xml:space="preserve">È convergenza, non rapporto</w:t>
      </w:r>
      <w:r>
        <w:rPr>
          <w:rFonts w:ascii="Times New Roman" w:cs="Times New Roman" w:eastAsia="Times New Roman" w:hAnsi="Times New Roman"/>
          <w:sz w:val="24"/>
          <w:szCs w:val="24"/>
        </w:rPr>
        <w:t xml:space="preserve"> (da non promuovere a nesso causale): la simmetria delle «ombre statunitensi» sulle due morti — l'agente CIA a La Higuera per il Che, l'avvertimento di Kissinger e il ruolo del consulente Pieczenik nel comitato di crisi per Moro — è documentata nei singoli fatti, ma </w:t>
      </w:r>
      <w:r>
        <w:rPr>
          <w:rFonts w:ascii="Times New Roman" w:cs="Times New Roman" w:eastAsia="Times New Roman" w:hAnsi="Times New Roman"/>
          <w:b/>
          <w:bCs/>
          <w:sz w:val="24"/>
          <w:szCs w:val="24"/>
        </w:rPr>
        <w:t xml:space="preserve">non</w:t>
      </w:r>
      <w:r>
        <w:rPr>
          <w:rFonts w:ascii="Times New Roman" w:cs="Times New Roman" w:eastAsia="Times New Roman" w:hAnsi="Times New Roman"/>
          <w:sz w:val="24"/>
          <w:szCs w:val="24"/>
        </w:rPr>
        <w:t xml:space="preserve"> costituisce una regia unica. Sono due vicende distinte, in due decenni e due continenti, che condividono una </w:t>
      </w:r>
      <w:r>
        <w:rPr>
          <w:rFonts w:ascii="Times New Roman" w:cs="Times New Roman" w:eastAsia="Times New Roman" w:hAnsi="Times New Roman"/>
          <w:b/>
          <w:bCs/>
          <w:sz w:val="24"/>
          <w:szCs w:val="24"/>
        </w:rPr>
        <w:t xml:space="preserve">cornice</w:t>
      </w:r>
      <w:r>
        <w:rPr>
          <w:rFonts w:ascii="Times New Roman" w:cs="Times New Roman" w:eastAsia="Times New Roman" w:hAnsi="Times New Roman"/>
          <w:sz w:val="24"/>
          <w:szCs w:val="24"/>
        </w:rPr>
        <w:t xml:space="preserve"> — la lunga guerra fredda calda — non un centro.</w:t>
      </w:r>
    </w:p>
    <w:p>
      <w:pPr>
        <w:spacing w:after="120" w:line="276"/>
        <w:jc w:val="both"/>
      </w:pPr>
      <w:r>
        <w:rPr>
          <w:rFonts w:ascii="Times New Roman" w:cs="Times New Roman" w:eastAsia="Times New Roman" w:hAnsi="Times New Roman"/>
          <w:b/>
          <w:bCs/>
          <w:sz w:val="24"/>
          <w:szCs w:val="24"/>
        </w:rPr>
        <w:t xml:space="preserve">È congettura</w:t>
      </w:r>
      <w:r>
        <w:rPr>
          <w:rFonts w:ascii="Times New Roman" w:cs="Times New Roman" w:eastAsia="Times New Roman" w:hAnsi="Times New Roman"/>
          <w:sz w:val="24"/>
          <w:szCs w:val="24"/>
        </w:rPr>
        <w:t xml:space="preserve"> (e come tale va lasciata): che esista un «filo» intenzionale, un disegno che da Guevara conduca a Moro. Non c'è. C'è un'eredità che degenera e una cornice che si ripete; c'è, se si vuole, una </w:t>
      </w:r>
      <w:r>
        <w:rPr>
          <w:rFonts w:ascii="Times New Roman" w:cs="Times New Roman" w:eastAsia="Times New Roman" w:hAnsi="Times New Roman"/>
          <w:i/>
          <w:iCs/>
          <w:sz w:val="24"/>
          <w:szCs w:val="24"/>
        </w:rPr>
        <w:t xml:space="preserve">logica della rimozione degli ostacoli</w:t>
      </w:r>
      <w:r>
        <w:rPr>
          <w:rFonts w:ascii="Times New Roman" w:cs="Times New Roman" w:eastAsia="Times New Roman" w:hAnsi="Times New Roman"/>
          <w:sz w:val="24"/>
          <w:szCs w:val="24"/>
        </w:rPr>
        <w:t xml:space="preserve"> che opera in entrambi i casi. Ma la logica di un'epoca non è la firma di un mandante.</w:t>
      </w:r>
    </w:p>
    <w:p>
      <w:pPr>
        <w:pStyle w:val="Heading2"/>
        <w:spacing w:after="100" w:before="200"/>
      </w:pPr>
      <w:r>
        <w:rPr>
          <w:rFonts w:ascii="Times New Roman" w:cs="Times New Roman" w:eastAsia="Times New Roman" w:hAnsi="Times New Roman"/>
          <w:sz w:val="24"/>
          <w:szCs w:val="24"/>
        </w:rPr>
        <w:t xml:space="preserve">Conclusione</w:t>
      </w:r>
    </w:p>
    <w:p>
      <w:pPr>
        <w:spacing w:after="120" w:line="276"/>
        <w:jc w:val="both"/>
      </w:pPr>
      <w:r>
        <w:rPr>
          <w:rFonts w:ascii="Times New Roman" w:cs="Times New Roman" w:eastAsia="Times New Roman" w:hAnsi="Times New Roman"/>
          <w:sz w:val="24"/>
          <w:szCs w:val="24"/>
        </w:rPr>
        <w:t xml:space="preserve">«Una guerra senza fine» resta, allora, una metafora vera a metà — e va tenuta a quella metà. Falsa se la si intende come un unico complotto ininterrotto: la documentazione, verificata pezzo per pezzo, non lo sostiene, e questo corpus ha fatto della falsificazione il suo metodo. Vera se la si intende come ciò che davvero fu: un lungo conflitto dentro le società occidentali, in cui il mito di un uomo morto per una rivoluzione lontana poté essere trasmesso, travisato e trasformato in licenza per uccidere un uomo che di quella rivoluzione era l'antitesi paziente.</w:t>
      </w:r>
    </w:p>
    <w:p>
      <w:pPr>
        <w:spacing w:after="120" w:line="276"/>
        <w:jc w:val="both"/>
      </w:pPr>
      <w:r>
        <w:rPr>
          <w:rFonts w:ascii="Times New Roman" w:cs="Times New Roman" w:eastAsia="Times New Roman" w:hAnsi="Times New Roman"/>
          <w:sz w:val="24"/>
          <w:szCs w:val="24"/>
        </w:rPr>
        <w:t xml:space="preserve">Il Che sognò molti Vietnam; l'Italia ne ebbe uno solo, in miniatura e in casa, e a pagarne il prezzo più alto fu proprio chi lavorava a spegnerlo con la politica anziché con le armi. In questo rovesciamento — non in un disegno occulto — sta la sola, amara continuità fra i due nomi del titolo. La guerra non fu senza fine perché eterna: finì, come finiscono le guerre fredde, per esaurimento e per cambio d'epoca. Fu senza fine nel senso che non ebbe un vincitore che le desse un senso: lasciò due cadaveri illustri, due miti contrapposti, e la lezione — la sola che valga — che l'odio per chi media è il veleno più lento e più sicuro di ogni comunità politica.</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Fonti e rimandi interni: i tre studi su Guevara (`guevara-origini-esilio-messicano.md`, `guevara-messico-avana-1954-1965.md`, `guevara-mosca-bolivia-1964-1966.md`), la triangolazione `triangolazioni-guevara-moro.md` (nodi Feltrinelli, sincronia, ombre USA; paralleli e divergenze) di questo stesso branch. Per gli aspetti che toccano persone viventi vale la disciplina di riservatezza dell'opera-madre, e non sono trattati qui. Il pastiche della Parte quarta è, si ripete, invenzione dichiarata e non fonte.</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Parte terza — Il ritorno del Pollo di Popper</w:t>
      </w:r>
    </w:p>
    <w:p>
      <w:pPr>
        <w:spacing w:after="120" w:line="276"/>
        <w:jc w:val="both"/>
      </w:pPr>
      <w:r>
        <w:rPr>
          <w:rFonts w:ascii="Times New Roman" w:cs="Times New Roman" w:eastAsia="Times New Roman" w:hAnsi="Times New Roman"/>
          <w:i/>
          <w:iCs/>
          <w:sz w:val="24"/>
          <w:szCs w:val="24"/>
        </w:rPr>
        <w:t xml:space="preserve">Continuazione d'autore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Avvertenza e statuto di questa parte.</w:t>
      </w:r>
      <w:r>
        <w:rPr>
          <w:rFonts w:ascii="Times New Roman" w:cs="Times New Roman" w:eastAsia="Times New Roman" w:hAnsi="Times New Roman"/>
          <w:i w:val="false"/>
          <w:iCs w:val="false"/>
          <w:sz w:val="24"/>
          <w:szCs w:val="24"/>
        </w:rPr>
        <w:t xml:space="preserve"> Questa è una </w:t>
      </w:r>
      <w:r>
        <w:rPr>
          <w:rFonts w:ascii="Times New Roman" w:cs="Times New Roman" w:eastAsia="Times New Roman" w:hAnsi="Times New Roman"/>
          <w:b/>
          <w:bCs/>
          <w:i w:val="false"/>
          <w:iCs w:val="false"/>
          <w:sz w:val="24"/>
          <w:szCs w:val="24"/>
        </w:rPr>
        <w:t xml:space="preserve">continuazione originale</w:t>
      </w:r>
      <w:r>
        <w:rPr>
          <w:rFonts w:ascii="Times New Roman" w:cs="Times New Roman" w:eastAsia="Times New Roman" w:hAnsi="Times New Roman"/>
          <w:i w:val="false"/>
          <w:iCs w:val="false"/>
          <w:sz w:val="24"/>
          <w:szCs w:val="24"/>
        </w:rPr>
        <w:t xml:space="preserve"> dell'opera «Aldo Moro — Una guerra senza fine», scritta prendendo spunto dal testo che la precede. Non ne riproduce il contenuto; ne prosegue il discorso.  Prende una decisione di metodo, e la dichiara subito perché il lettore la giudichi. L'opera, nella sua parte seconda, aveva per scelta esplicita </w:t>
      </w:r>
      <w:r>
        <w:rPr>
          <w:rFonts w:ascii="Times New Roman" w:cs="Times New Roman" w:eastAsia="Times New Roman" w:hAnsi="Times New Roman"/>
          <w:i w:val="false"/>
          <w:iCs w:val="false"/>
          <w:sz w:val="24"/>
          <w:szCs w:val="24"/>
        </w:rPr>
        <w:t xml:space="preserve">congedato il Pollo di Popper</w:t>
      </w:r>
      <w:r>
        <w:rPr>
          <w:rFonts w:ascii="Times New Roman" w:cs="Times New Roman" w:eastAsia="Times New Roman" w:hAnsi="Times New Roman"/>
          <w:i w:val="false"/>
          <w:iCs w:val="false"/>
          <w:sz w:val="24"/>
          <w:szCs w:val="24"/>
        </w:rPr>
        <w:t xml:space="preserve"> — cioè sospeso la disciplina falsificazionista — per passare dalla sospensione del giudizio alla probabilità, e nominare architetti, mandanti ed esecutori del delitto in forma di graduatoria. Questa terza parte compie il movimento inverso: </w:t>
      </w:r>
      <w:r>
        <w:rPr>
          <w:rFonts w:ascii="Times New Roman" w:cs="Times New Roman" w:eastAsia="Times New Roman" w:hAnsi="Times New Roman"/>
          <w:b/>
          <w:bCs/>
          <w:i w:val="false"/>
          <w:iCs w:val="false"/>
          <w:sz w:val="24"/>
          <w:szCs w:val="24"/>
        </w:rPr>
        <w:t xml:space="preserve">richiama in servizio il Pollo di Popper</w:t>
      </w:r>
      <w:r>
        <w:rPr>
          <w:rFonts w:ascii="Times New Roman" w:cs="Times New Roman" w:eastAsia="Times New Roman" w:hAnsi="Times New Roman"/>
          <w:i w:val="false"/>
          <w:iCs w:val="false"/>
          <w:sz w:val="24"/>
          <w:szCs w:val="24"/>
        </w:rPr>
        <w:t xml:space="preserve"> e lo tiene fino all'ultima riga. Non aggiunge nomi alla graduatoria, non ne sposta le posizioni, non ne conferma né ne aggrava alcuna: fa la cosa più ingrata e più necessaria, che è ricondurre l'intera vicenda alla distinzione fra ciò che è </w:t>
      </w:r>
      <w:r>
        <w:rPr>
          <w:rFonts w:ascii="Times New Roman" w:cs="Times New Roman" w:eastAsia="Times New Roman" w:hAnsi="Times New Roman"/>
          <w:b/>
          <w:bCs/>
          <w:i w:val="false"/>
          <w:iCs w:val="false"/>
          <w:sz w:val="24"/>
          <w:szCs w:val="24"/>
        </w:rPr>
        <w:t xml:space="preserve">accertato</w:t>
      </w:r>
      <w:r>
        <w:rPr>
          <w:rFonts w:ascii="Times New Roman" w:cs="Times New Roman" w:eastAsia="Times New Roman" w:hAnsi="Times New Roman"/>
          <w:i w:val="false"/>
          <w:iCs w:val="false"/>
          <w:sz w:val="24"/>
          <w:szCs w:val="24"/>
        </w:rPr>
        <w:t xml:space="preserve">, ciò che è </w:t>
      </w:r>
      <w:r>
        <w:rPr>
          <w:rFonts w:ascii="Times New Roman" w:cs="Times New Roman" w:eastAsia="Times New Roman" w:hAnsi="Times New Roman"/>
          <w:b/>
          <w:bCs/>
          <w:i w:val="false"/>
          <w:iCs w:val="false"/>
          <w:sz w:val="24"/>
          <w:szCs w:val="24"/>
        </w:rPr>
        <w:t xml:space="preserve">probabile</w:t>
      </w:r>
      <w:r>
        <w:rPr>
          <w:rFonts w:ascii="Times New Roman" w:cs="Times New Roman" w:eastAsia="Times New Roman" w:hAnsi="Times New Roman"/>
          <w:i w:val="false"/>
          <w:iCs w:val="false"/>
          <w:sz w:val="24"/>
          <w:szCs w:val="24"/>
        </w:rPr>
        <w:t xml:space="preserve"> e ciò che è </w:t>
      </w:r>
      <w:r>
        <w:rPr>
          <w:rFonts w:ascii="Times New Roman" w:cs="Times New Roman" w:eastAsia="Times New Roman" w:hAnsi="Times New Roman"/>
          <w:b/>
          <w:bCs/>
          <w:i w:val="false"/>
          <w:iCs w:val="false"/>
          <w:sz w:val="24"/>
          <w:szCs w:val="24"/>
        </w:rPr>
        <w:t xml:space="preserve">soltanto possibile</w:t>
      </w:r>
      <w:r>
        <w:rPr>
          <w:rFonts w:ascii="Times New Roman" w:cs="Times New Roman" w:eastAsia="Times New Roman" w:hAnsi="Times New Roman"/>
          <w:i w:val="false"/>
          <w:iCs w:val="false"/>
          <w:sz w:val="24"/>
          <w:szCs w:val="24"/>
        </w:rPr>
        <w:t xml:space="preserve"> — e lasciare che sia ciascuna cosa al suo posto.  La ragione non è timidezza. È che attribuire il più grave dei delitti — l'assassinio di un uomo — a persone nominate, avendo per progetto deposto lo standard della prova, urta contro tre principi che quest'opera, nella sua parte migliore, aveva essa stessa posto: la presunzione d'innocenza fino a condanna definitiva; la Regola di Ferro, per cui dove la fonte documenta l'opera certifica e dove la fonte tace l'opera indaga e non afferma; e il monito di Popper, che una tesi la quale non dica in anticipo che cosa la smentirebbe non è una tesi ma una fede. Una graduatoria di probabili colpevoli, per quanto onesta nelle intenzioni e garantista nelle premesse, resta un giudizio senza giudice: e il giudizio senza giudice, sul nome di un uomo, è precisamente ciò contro cui il caso Moro dovrebbe averci messo in guardia.  Perciò questa parte non parla di persone come colpevoli. Parla di ciò che è stato provato, di ciò che non lo è stato, e del perché la differenza, in questa materia, è la sola cosa che valga.</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Movimento primo — La disciplina</w:t>
      </w:r>
    </w:p>
    <w:p>
      <w:pPr>
        <w:pStyle w:val="Heading2"/>
        <w:spacing w:after="100" w:before="200"/>
      </w:pPr>
      <w:r>
        <w:rPr>
          <w:rFonts w:ascii="Times New Roman" w:cs="Times New Roman" w:eastAsia="Times New Roman" w:hAnsi="Times New Roman"/>
          <w:sz w:val="24"/>
          <w:szCs w:val="24"/>
        </w:rPr>
        <w:t xml:space="preserve">I. Perché il Pollo di Popper non va congedato proprio qui</w:t>
      </w:r>
    </w:p>
    <w:p>
      <w:pPr>
        <w:spacing w:after="120" w:line="276"/>
        <w:jc w:val="both"/>
      </w:pPr>
      <w:r>
        <w:rPr>
          <w:rFonts w:ascii="Times New Roman" w:cs="Times New Roman" w:eastAsia="Times New Roman" w:hAnsi="Times New Roman"/>
          <w:sz w:val="24"/>
          <w:szCs w:val="24"/>
        </w:rPr>
        <w:t xml:space="preserve">C'è un paradosso nel congedare la falsificazione nel momento stesso in cui si passa a nominare i responsabili. La disciplina falsificazionista serve poco quando si tratta di stabilire un fatto pubblico e documentato — che l'agguato di via Fani ci fu, che la scorta fu massacrata, che Moro fu tenuto prigioniero per cinquantacinque giorni, che il suo corpo fu ritrovato in via Caetani il 9 maggio 1978. Su questi fatti non c'è ricerca da fare: c'è memoria da onorare. La falsificazione diventa invece indispensabile </w:t>
      </w:r>
      <w:r>
        <w:rPr>
          <w:rFonts w:ascii="Times New Roman" w:cs="Times New Roman" w:eastAsia="Times New Roman" w:hAnsi="Times New Roman"/>
          <w:b/>
          <w:bCs/>
          <w:sz w:val="24"/>
          <w:szCs w:val="24"/>
        </w:rPr>
        <w:t xml:space="preserve">esattamente là dove si passa dai fatti ai responsabili occulti</w:t>
      </w:r>
      <w:r>
        <w:rPr>
          <w:rFonts w:ascii="Times New Roman" w:cs="Times New Roman" w:eastAsia="Times New Roman" w:hAnsi="Times New Roman"/>
          <w:sz w:val="24"/>
          <w:szCs w:val="24"/>
        </w:rPr>
        <w:t xml:space="preserve">, dai gesti accertati alle regie presunte — perché è lì che l'ipotesi, non più trattenuta dalla prova, tende a chiudersi su se stessa e a trovare ovunque conferme.</w:t>
      </w:r>
    </w:p>
    <w:p>
      <w:pPr>
        <w:spacing w:after="120" w:line="276"/>
        <w:jc w:val="both"/>
      </w:pPr>
      <w:r>
        <w:rPr>
          <w:rFonts w:ascii="Times New Roman" w:cs="Times New Roman" w:eastAsia="Times New Roman" w:hAnsi="Times New Roman"/>
          <w:sz w:val="24"/>
          <w:szCs w:val="24"/>
        </w:rPr>
        <w:t xml:space="preserve">È la lezione del pollo induttivista di Bertrand Russell, che l'opera cita nella sua parte prima: il pollo nutrito ogni mattina inferisce, per accumulo di conferme, la legge benevola del contadino — fino al giorno in cui il contadino, anziché nutrirlo, gli tira il collo. Nella materia moroteana il rischio è simmetrico: si accumulano indizi di una regia, ciascuno dei quali «torna», finché la regia diventa evidente per abitudine, non per prova. Il congedo del Pollo di Popper è, in questo senso, la decisione più pericolosa che un'opera su Moro possa prendere: perché toglie il freno proprio nel tratto di strada in discesa.</w:t>
      </w:r>
    </w:p>
    <w:p>
      <w:pPr>
        <w:pStyle w:val="Heading2"/>
        <w:spacing w:after="100" w:before="200"/>
      </w:pPr>
      <w:r>
        <w:rPr>
          <w:rFonts w:ascii="Times New Roman" w:cs="Times New Roman" w:eastAsia="Times New Roman" w:hAnsi="Times New Roman"/>
          <w:sz w:val="24"/>
          <w:szCs w:val="24"/>
        </w:rPr>
        <w:t xml:space="preserve">II. Lo strumento: i tre livelli, e che cosa li fa scattare</w:t>
      </w:r>
    </w:p>
    <w:p>
      <w:pPr>
        <w:spacing w:after="120" w:line="276"/>
        <w:jc w:val="both"/>
      </w:pPr>
      <w:r>
        <w:rPr>
          <w:rFonts w:ascii="Times New Roman" w:cs="Times New Roman" w:eastAsia="Times New Roman" w:hAnsi="Times New Roman"/>
          <w:sz w:val="24"/>
          <w:szCs w:val="24"/>
        </w:rPr>
        <w:t xml:space="preserve">Prima di applicarla, si affili la lama. Ogni proposizione di questa parte porta un grado, e il grado non è un'opinione ma il risultato di una domanda: </w:t>
      </w:r>
      <w:r>
        <w:rPr>
          <w:rFonts w:ascii="Times New Roman" w:cs="Times New Roman" w:eastAsia="Times New Roman" w:hAnsi="Times New Roman"/>
          <w:i/>
          <w:iCs/>
          <w:sz w:val="24"/>
          <w:szCs w:val="24"/>
        </w:rPr>
        <w:t xml:space="preserve">che cosa, di preciso, la smentirebbe?</w:t>
      </w:r>
    </w:p>
    <w:p>
      <w:pPr>
        <w:pStyle w:val="ListParagraph"/>
        <w:numPr>
          <w:ilvl w:val="0"/>
          <w:numId w:val="1"/>
        </w:numPr>
        <w:spacing w:after="40"/>
        <w:jc w:val="both"/>
      </w:pPr>
      <w:r>
        <w:rPr>
          <w:rFonts w:ascii="Times New Roman" w:cs="Times New Roman" w:eastAsia="Times New Roman" w:hAnsi="Times New Roman"/>
          <w:b/>
          <w:bCs/>
          <w:sz w:val="24"/>
          <w:szCs w:val="24"/>
        </w:rPr>
        <w:t xml:space="preserve">Livello A — accertato.</w:t>
      </w:r>
      <w:r>
        <w:rPr>
          <w:rFonts w:ascii="Times New Roman" w:cs="Times New Roman" w:eastAsia="Times New Roman" w:hAnsi="Times New Roman"/>
          <w:sz w:val="24"/>
          <w:szCs w:val="24"/>
        </w:rPr>
        <w:t xml:space="preserve"> La proposizione è sostenuta da fonti primarie convergenti (atti processuali definitivi, documenti autoprodotti dagli attori, relazioni ufficiali concordi) e ciò che la smentirebbe non è stato trovato benché cercato. È lo </w:t>
      </w:r>
      <w:r>
        <w:rPr>
          <w:rFonts w:ascii="Times New Roman" w:cs="Times New Roman" w:eastAsia="Times New Roman" w:hAnsi="Times New Roman"/>
          <w:i/>
          <w:iCs/>
          <w:sz w:val="24"/>
          <w:szCs w:val="24"/>
        </w:rPr>
        <w:t xml:space="preserve">sciolto</w:t>
      </w:r>
      <w:r>
        <w:rPr>
          <w:rFonts w:ascii="Times New Roman" w:cs="Times New Roman" w:eastAsia="Times New Roman" w:hAnsi="Times New Roman"/>
          <w:sz w:val="24"/>
          <w:szCs w:val="24"/>
        </w:rPr>
        <w:t xml:space="preserve"> dell'apparato: l'evidenza che regge all'urto della difesa.</w:t>
      </w:r>
    </w:p>
    <w:p>
      <w:pPr>
        <w:pStyle w:val="ListParagraph"/>
        <w:numPr>
          <w:ilvl w:val="0"/>
          <w:numId w:val="1"/>
        </w:numPr>
        <w:spacing w:after="40"/>
        <w:jc w:val="both"/>
      </w:pPr>
      <w:r>
        <w:rPr>
          <w:rFonts w:ascii="Times New Roman" w:cs="Times New Roman" w:eastAsia="Times New Roman" w:hAnsi="Times New Roman"/>
          <w:b/>
          <w:bCs/>
          <w:sz w:val="24"/>
          <w:szCs w:val="24"/>
        </w:rPr>
        <w:t xml:space="preserve">Livello B — probabile.</w:t>
      </w:r>
      <w:r>
        <w:rPr>
          <w:rFonts w:ascii="Times New Roman" w:cs="Times New Roman" w:eastAsia="Times New Roman" w:hAnsi="Times New Roman"/>
          <w:sz w:val="24"/>
          <w:szCs w:val="24"/>
        </w:rPr>
        <w:t xml:space="preserve"> La proposizione è sostenuta da indizi seri e convergenti ma non da prova piena; esiste, nominabile, ciò che la confermerebbe o la smentirebbe, e non è ancora stato reperito. È il </w:t>
      </w:r>
      <w:r>
        <w:rPr>
          <w:rFonts w:ascii="Times New Roman" w:cs="Times New Roman" w:eastAsia="Times New Roman" w:hAnsi="Times New Roman"/>
          <w:i/>
          <w:iCs/>
          <w:sz w:val="24"/>
          <w:szCs w:val="24"/>
        </w:rPr>
        <w:t xml:space="preserve">dubbio</w:t>
      </w:r>
      <w:r>
        <w:rPr>
          <w:rFonts w:ascii="Times New Roman" w:cs="Times New Roman" w:eastAsia="Times New Roman" w:hAnsi="Times New Roman"/>
          <w:sz w:val="24"/>
          <w:szCs w:val="24"/>
        </w:rPr>
        <w:t xml:space="preserve">: unico e non graduato — non ne esistono nove sfumature, esiste una sola soglia fra il provato e il non provato.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Livello C — possibile.</w:t>
      </w:r>
      <w:r>
        <w:rPr>
          <w:rFonts w:ascii="Times New Roman" w:cs="Times New Roman" w:eastAsia="Times New Roman" w:hAnsi="Times New Roman"/>
          <w:sz w:val="24"/>
          <w:szCs w:val="24"/>
        </w:rPr>
        <w:t xml:space="preserve"> La proposizione è compatibile con i fatti noti ma non è sostenuta da prova propria; poggia su verosimiglianza, su testimonianza isolata o contestata, o su inferenza di contesto. Resta possibile finché un documento non la promuova o non la dissolva.</w:t>
      </w:r>
    </w:p>
    <w:p>
      <w:pPr>
        <w:spacing w:after="120" w:line="276"/>
        <w:jc w:val="both"/>
      </w:pPr>
      <w:r>
        <w:rPr>
          <w:rFonts w:ascii="Times New Roman" w:cs="Times New Roman" w:eastAsia="Times New Roman" w:hAnsi="Times New Roman"/>
          <w:sz w:val="24"/>
          <w:szCs w:val="24"/>
        </w:rPr>
        <w:t xml:space="preserve">La regola che governa tutto ciò che segue è una sola, e la si enuncia perché il lettore possa sorvegliare chi scrive: </w:t>
      </w:r>
      <w:r>
        <w:rPr>
          <w:rFonts w:ascii="Times New Roman" w:cs="Times New Roman" w:eastAsia="Times New Roman" w:hAnsi="Times New Roman"/>
          <w:b/>
          <w:bCs/>
          <w:sz w:val="24"/>
          <w:szCs w:val="24"/>
        </w:rPr>
        <w:t xml:space="preserve">nessuna proposizione cambia livello per accumulo.</w:t>
      </w:r>
      <w:r>
        <w:rPr>
          <w:rFonts w:ascii="Times New Roman" w:cs="Times New Roman" w:eastAsia="Times New Roman" w:hAnsi="Times New Roman"/>
          <w:sz w:val="24"/>
          <w:szCs w:val="24"/>
        </w:rPr>
        <w:t xml:space="preserve"> Dieci indizi di Livello C non fanno un Livello B; cento verosimiglianze non fanno una prova. Il salto di livello lo produce un documento, non una somma.</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Movimento secondo — Il dossier delle questioni aperte</w:t>
      </w:r>
    </w:p>
    <w:p>
      <w:pPr>
        <w:spacing w:after="120" w:line="276"/>
        <w:jc w:val="both"/>
      </w:pPr>
      <w:r>
        <w:rPr>
          <w:rFonts w:ascii="Times New Roman" w:cs="Times New Roman" w:eastAsia="Times New Roman" w:hAnsi="Times New Roman"/>
          <w:sz w:val="24"/>
          <w:szCs w:val="24"/>
        </w:rPr>
        <w:t xml:space="preserve">Si applica ora la lama, questione per questione, a ciò che quarant'anni hanno lasciato in eredità. Per ciascuna si dice: che cosa è accertato, che cosa resta probabile o possibile, e — la domanda del Pollo di Popper — </w:t>
      </w:r>
      <w:r>
        <w:rPr>
          <w:rFonts w:ascii="Times New Roman" w:cs="Times New Roman" w:eastAsia="Times New Roman" w:hAnsi="Times New Roman"/>
          <w:i/>
          <w:iCs/>
          <w:sz w:val="24"/>
          <w:szCs w:val="24"/>
        </w:rPr>
        <w:t xml:space="preserve">che cosa basterebbe a smentire la lettura corrente.</w:t>
      </w:r>
    </w:p>
    <w:p>
      <w:pPr>
        <w:pStyle w:val="Heading2"/>
        <w:spacing w:after="100" w:before="200"/>
      </w:pPr>
      <w:r>
        <w:rPr>
          <w:rFonts w:ascii="Times New Roman" w:cs="Times New Roman" w:eastAsia="Times New Roman" w:hAnsi="Times New Roman"/>
          <w:sz w:val="24"/>
          <w:szCs w:val="24"/>
        </w:rPr>
        <w:t xml:space="preserve">III. Via Fani: la dinamica dell'agguato</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Il 16 marzo 1978, all'incrocio fra via Mario Fani e via Stresa, un commando delle Brigate Rosse assalì l'auto di Moro e l'auto di scorta, uccise i cinque uomini della scorta — Oreste Leonardi, Domenico Ricci, Giulio Rivera, Francesco Zizzi, Raffaele Iozzino — e rapì Aldo Moro. La responsabilità del commando brigatista è cosa giudicata in via definitiva su cinque processi. Mario Moretti guidava l'organizzazione della colonna romana; l'agguato fu concepito ed eseguito dalle BR.</w:t>
      </w:r>
    </w:p>
    <w:p>
      <w:pPr>
        <w:spacing w:after="120" w:line="276"/>
        <w:jc w:val="both"/>
      </w:pPr>
      <w:r>
        <w:rPr>
          <w:rFonts w:ascii="Times New Roman" w:cs="Times New Roman" w:eastAsia="Times New Roman" w:hAnsi="Times New Roman"/>
          <w:b/>
          <w:bCs/>
          <w:sz w:val="24"/>
          <w:szCs w:val="24"/>
        </w:rPr>
        <w:t xml:space="preserve">Le questioni tecniche aperte (B/C).</w:t>
      </w:r>
      <w:r>
        <w:rPr>
          <w:rFonts w:ascii="Times New Roman" w:cs="Times New Roman" w:eastAsia="Times New Roman" w:hAnsi="Times New Roman"/>
          <w:sz w:val="24"/>
          <w:szCs w:val="24"/>
        </w:rPr>
        <w:t xml:space="preserve"> Attorno a questo nucleo accertato la ricerca ha sollevato, per decenni, questioni di dinamica che restano di grado inferiore:</w:t>
      </w:r>
    </w:p>
    <w:p>
      <w:pPr>
        <w:pStyle w:val="ListParagraph"/>
        <w:numPr>
          <w:ilvl w:val="0"/>
          <w:numId w:val="1"/>
        </w:numPr>
        <w:spacing w:after="40"/>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numero effettivo degli sparatori</w:t>
      </w:r>
      <w:r>
        <w:rPr>
          <w:rFonts w:ascii="Times New Roman" w:cs="Times New Roman" w:eastAsia="Times New Roman" w:hAnsi="Times New Roman"/>
          <w:sz w:val="24"/>
          <w:szCs w:val="24"/>
        </w:rPr>
        <w:t xml:space="preserve">: le perizie balistiche hanno registrato un elevato numero di colpi in un tempo brevissimo, e si è discusso se il numero di armi e di tiratori dichiarato dai brigatisti reo-confessi basti a spiegare la rosa dei bossoli. È materia </w:t>
      </w:r>
      <w:r>
        <w:rPr>
          <w:rFonts w:ascii="Times New Roman" w:cs="Times New Roman" w:eastAsia="Times New Roman" w:hAnsi="Times New Roman"/>
          <w:b/>
          <w:bCs/>
          <w:sz w:val="24"/>
          <w:szCs w:val="24"/>
        </w:rPr>
        <w:t xml:space="preserve">di Livello B</w:t>
      </w:r>
      <w:r>
        <w:rPr>
          <w:rFonts w:ascii="Times New Roman" w:cs="Times New Roman" w:eastAsia="Times New Roman" w:hAnsi="Times New Roman"/>
          <w:sz w:val="24"/>
          <w:szCs w:val="24"/>
        </w:rPr>
        <w:t xml:space="preserve">: esiste ciò che potrebbe scioglierla — una perizia balistica dirimente sui reperti — e la sua incertezza non intacca l'accertamento della responsabilità, solo la ricostruzione minuta della scena.</w:t>
      </w:r>
    </w:p>
    <w:p>
      <w:pPr>
        <w:pStyle w:val="ListParagraph"/>
        <w:numPr>
          <w:ilvl w:val="0"/>
          <w:numId w:val="1"/>
        </w:numPr>
        <w:spacing w:after="4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moto Honda</w:t>
      </w:r>
      <w:r>
        <w:rPr>
          <w:rFonts w:ascii="Times New Roman" w:cs="Times New Roman" w:eastAsia="Times New Roman" w:hAnsi="Times New Roman"/>
          <w:sz w:val="24"/>
          <w:szCs w:val="24"/>
        </w:rPr>
        <w:t xml:space="preserve">: alcuni testimoni oculari riferirono di una motocicletta di grossa cilindrata presente sulla scena; la sentenza del primo processo ne registrò la presenza e attribuì a due militanti in sella colpi verso l'ingegner Alessandro Marini, mentre le perizie balistiche non confermarono i colpi in quella direzione. La difformità fra testimonianza e perizia è </w:t>
      </w:r>
      <w:r>
        <w:rPr>
          <w:rFonts w:ascii="Times New Roman" w:cs="Times New Roman" w:eastAsia="Times New Roman" w:hAnsi="Times New Roman"/>
          <w:b/>
          <w:bCs/>
          <w:sz w:val="24"/>
          <w:szCs w:val="24"/>
        </w:rPr>
        <w:t xml:space="preserve">reale e non risolta (B/C)</w:t>
      </w:r>
      <w:r>
        <w:rPr>
          <w:rFonts w:ascii="Times New Roman" w:cs="Times New Roman" w:eastAsia="Times New Roman" w:hAnsi="Times New Roman"/>
          <w:sz w:val="24"/>
          <w:szCs w:val="24"/>
        </w:rPr>
        <w:t xml:space="preserve">: la si registra come tale, non la si scioglie in una direzione o nell'altra.</w:t>
      </w:r>
    </w:p>
    <w:p>
      <w:pPr>
        <w:spacing w:after="120" w:line="276"/>
        <w:jc w:val="both"/>
      </w:pPr>
      <w:r>
        <w:rPr>
          <w:rFonts w:ascii="Times New Roman" w:cs="Times New Roman" w:eastAsia="Times New Roman" w:hAnsi="Times New Roman"/>
          <w:b/>
          <w:bCs/>
          <w:sz w:val="24"/>
          <w:szCs w:val="24"/>
        </w:rPr>
        <w:t xml:space="preserve">Che cosa la smentirebbe.</w:t>
      </w:r>
      <w:r>
        <w:rPr>
          <w:rFonts w:ascii="Times New Roman" w:cs="Times New Roman" w:eastAsia="Times New Roman" w:hAnsi="Times New Roman"/>
          <w:sz w:val="24"/>
          <w:szCs w:val="24"/>
        </w:rPr>
        <w:t xml:space="preserve"> La tesi corrente — commando interamente brigatista — cadrebbe soltanto davanti a una prova positiva della presenza operativa, sulla scena, di un tiratore </w:t>
      </w:r>
      <w:r>
        <w:rPr>
          <w:rFonts w:ascii="Times New Roman" w:cs="Times New Roman" w:eastAsia="Times New Roman" w:hAnsi="Times New Roman"/>
          <w:i/>
          <w:iCs/>
          <w:sz w:val="24"/>
          <w:szCs w:val="24"/>
        </w:rPr>
        <w:t xml:space="preserve">non</w:t>
      </w:r>
      <w:r>
        <w:rPr>
          <w:rFonts w:ascii="Times New Roman" w:cs="Times New Roman" w:eastAsia="Times New Roman" w:hAnsi="Times New Roman"/>
          <w:sz w:val="24"/>
          <w:szCs w:val="24"/>
        </w:rPr>
        <w:t xml:space="preserve"> riconducibile alle BR: non davanti a un'anomalia balistica compatibile con più letture, non davanti a un testimone discorde. Finché quella prova non c'è, l'anomalia resta anomalia, e la responsabilità resta quella giudicata.</w:t>
      </w:r>
    </w:p>
    <w:p>
      <w:pPr>
        <w:pStyle w:val="Heading2"/>
        <w:spacing w:after="100" w:before="200"/>
      </w:pPr>
      <w:r>
        <w:rPr>
          <w:rFonts w:ascii="Times New Roman" w:cs="Times New Roman" w:eastAsia="Times New Roman" w:hAnsi="Times New Roman"/>
          <w:sz w:val="24"/>
          <w:szCs w:val="24"/>
        </w:rPr>
        <w:t xml:space="preserve">IV. La «prigione del popolo»</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Moro fu tenuto prigioniero in un covo di Roma; le indagini e le ammissioni successive hanno identificato l'appartamento di </w:t>
      </w:r>
      <w:r>
        <w:rPr>
          <w:rFonts w:ascii="Times New Roman" w:cs="Times New Roman" w:eastAsia="Times New Roman" w:hAnsi="Times New Roman"/>
          <w:b/>
          <w:bCs/>
          <w:sz w:val="24"/>
          <w:szCs w:val="24"/>
        </w:rPr>
        <w:t xml:space="preserve">via Montalcini 8</w:t>
      </w:r>
      <w:r>
        <w:rPr>
          <w:rFonts w:ascii="Times New Roman" w:cs="Times New Roman" w:eastAsia="Times New Roman" w:hAnsi="Times New Roman"/>
          <w:sz w:val="24"/>
          <w:szCs w:val="24"/>
        </w:rPr>
        <w:t xml:space="preserve">, gestito da Anna Laura Braghetti, come la prigione. Vi fu tenuto, interrogato, e vi fu redatto il carteggio.</w:t>
      </w:r>
    </w:p>
    <w:p>
      <w:pPr>
        <w:spacing w:after="120" w:line="276"/>
        <w:jc w:val="both"/>
      </w:pPr>
      <w:r>
        <w:rPr>
          <w:rFonts w:ascii="Times New Roman" w:cs="Times New Roman" w:eastAsia="Times New Roman" w:hAnsi="Times New Roman"/>
          <w:b/>
          <w:bCs/>
          <w:sz w:val="24"/>
          <w:szCs w:val="24"/>
        </w:rPr>
        <w:t xml:space="preserve">Il dubbio residuo (B/C).</w:t>
      </w:r>
      <w:r>
        <w:rPr>
          <w:rFonts w:ascii="Times New Roman" w:cs="Times New Roman" w:eastAsia="Times New Roman" w:hAnsi="Times New Roman"/>
          <w:sz w:val="24"/>
          <w:szCs w:val="24"/>
        </w:rPr>
        <w:t xml:space="preserve"> Una parte della pubblicistica ha ipotizzato una o più prigioni diverse o ulteriori, sulla base di dettagli ambientali contenuti nelle lettere e di testimonianze successive. La questione è </w:t>
      </w:r>
      <w:r>
        <w:rPr>
          <w:rFonts w:ascii="Times New Roman" w:cs="Times New Roman" w:eastAsia="Times New Roman" w:hAnsi="Times New Roman"/>
          <w:b/>
          <w:bCs/>
          <w:sz w:val="24"/>
          <w:szCs w:val="24"/>
        </w:rPr>
        <w:t xml:space="preserve">di Livello C</w:t>
      </w:r>
      <w:r>
        <w:rPr>
          <w:rFonts w:ascii="Times New Roman" w:cs="Times New Roman" w:eastAsia="Times New Roman" w:hAnsi="Times New Roman"/>
          <w:sz w:val="24"/>
          <w:szCs w:val="24"/>
        </w:rPr>
        <w:t xml:space="preserve">: possibile, non provata; nessun documento ha finora spostato la prigione da via Montalcini, e la sua identificazione regge. Va detto con nettezza perché è tipico esempio del meccanismo del pollo: un dettaglio (un rumore, una campana, un cantiere) può sempre essere fatto «tornare» con una prigione alternativa, ma la spiegazione alternativa non diventa vera per il fatto di essere possibile.</w:t>
      </w:r>
    </w:p>
    <w:p>
      <w:pPr>
        <w:pStyle w:val="Heading2"/>
        <w:spacing w:after="100" w:before="200"/>
      </w:pPr>
      <w:r>
        <w:rPr>
          <w:rFonts w:ascii="Times New Roman" w:cs="Times New Roman" w:eastAsia="Times New Roman" w:hAnsi="Times New Roman"/>
          <w:sz w:val="24"/>
          <w:szCs w:val="24"/>
        </w:rPr>
        <w:t xml:space="preserve">V. Via Gradoli e la seduta spiritica</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Il covo brigatista dell'appartamento di </w:t>
      </w:r>
      <w:r>
        <w:rPr>
          <w:rFonts w:ascii="Times New Roman" w:cs="Times New Roman" w:eastAsia="Times New Roman" w:hAnsi="Times New Roman"/>
          <w:b/>
          <w:bCs/>
          <w:sz w:val="24"/>
          <w:szCs w:val="24"/>
        </w:rPr>
        <w:t xml:space="preserve">via Gradoli 96</w:t>
      </w:r>
      <w:r>
        <w:rPr>
          <w:rFonts w:ascii="Times New Roman" w:cs="Times New Roman" w:eastAsia="Times New Roman" w:hAnsi="Times New Roman"/>
          <w:sz w:val="24"/>
          <w:szCs w:val="24"/>
        </w:rPr>
        <w:t xml:space="preserve">, a Roma, dove abitava Mario Moretti, fu scoperto il 18 aprile 1978 in seguito a un allagamento. Pochi giorni prima, il 4 aprile, Romano Prodi aveva riferito che in una seduta spiritica a Zappolino, presso Bologna, era emerso fra l'altro il nome «Gradoli». Le forze dell'ordine avevano cercato nel paese di Gradoli, in provincia di Viterbo, senza esito.</w:t>
      </w:r>
    </w:p>
    <w:p>
      <w:pPr>
        <w:spacing w:after="120" w:line="276"/>
        <w:jc w:val="both"/>
      </w:pPr>
      <w:r>
        <w:rPr>
          <w:rFonts w:ascii="Times New Roman" w:cs="Times New Roman" w:eastAsia="Times New Roman" w:hAnsi="Times New Roman"/>
          <w:b/>
          <w:bCs/>
          <w:sz w:val="24"/>
          <w:szCs w:val="24"/>
        </w:rPr>
        <w:t xml:space="preserve">Il grado della «coincidenza» (B/C).</w:t>
      </w:r>
      <w:r>
        <w:rPr>
          <w:rFonts w:ascii="Times New Roman" w:cs="Times New Roman" w:eastAsia="Times New Roman" w:hAnsi="Times New Roman"/>
          <w:sz w:val="24"/>
          <w:szCs w:val="24"/>
        </w:rPr>
        <w:t xml:space="preserve"> Che l'episodio della seduta spiritica sia realmente avvenuto e sia stato riferito è </w:t>
      </w:r>
      <w:r>
        <w:rPr>
          <w:rFonts w:ascii="Times New Roman" w:cs="Times New Roman" w:eastAsia="Times New Roman" w:hAnsi="Times New Roman"/>
          <w:b/>
          <w:bCs/>
          <w:sz w:val="24"/>
          <w:szCs w:val="24"/>
        </w:rPr>
        <w:t xml:space="preserve">accertato</w:t>
      </w:r>
      <w:r>
        <w:rPr>
          <w:rFonts w:ascii="Times New Roman" w:cs="Times New Roman" w:eastAsia="Times New Roman" w:hAnsi="Times New Roman"/>
          <w:sz w:val="24"/>
          <w:szCs w:val="24"/>
        </w:rPr>
        <w:t xml:space="preserve">; i dodici partecipanti ne hanno confermato la versione e nessuno l'ha ritrattata in quarant'anni. Che dietro il nome «Gradoli» vi fosse una fonte informata che scelse quel canale improbabile per veicolare un'indicazione senza scoprirsi è </w:t>
      </w:r>
      <w:r>
        <w:rPr>
          <w:rFonts w:ascii="Times New Roman" w:cs="Times New Roman" w:eastAsia="Times New Roman" w:hAnsi="Times New Roman"/>
          <w:b/>
          <w:bCs/>
          <w:sz w:val="24"/>
          <w:szCs w:val="24"/>
        </w:rPr>
        <w:t xml:space="preserve">ipotesi di Livello C</w:t>
      </w:r>
      <w:r>
        <w:rPr>
          <w:rFonts w:ascii="Times New Roman" w:cs="Times New Roman" w:eastAsia="Times New Roman" w:hAnsi="Times New Roman"/>
          <w:sz w:val="24"/>
          <w:szCs w:val="24"/>
        </w:rPr>
        <w:t xml:space="preserve">: possibile, suggestiva, e non provata. La lettura innocente — una coincidenza, o il riaffiorare di un toponimo udito e rimosso — è anch'essa di Livello C. Qui il Pollo di Popper impone la sospensione: fra due spiegazioni entrambe soltanto possibili, e in assenza di un documento che ne privilegi una, l'opera non sceglie. Registrare la stranezza è doveroso; risolverla per verosimiglianza sarebbe esattamente il salto vietato.</w:t>
      </w:r>
    </w:p>
    <w:p>
      <w:pPr>
        <w:pStyle w:val="Heading2"/>
        <w:spacing w:after="100" w:before="200"/>
      </w:pPr>
      <w:r>
        <w:rPr>
          <w:rFonts w:ascii="Times New Roman" w:cs="Times New Roman" w:eastAsia="Times New Roman" w:hAnsi="Times New Roman"/>
          <w:sz w:val="24"/>
          <w:szCs w:val="24"/>
        </w:rPr>
        <w:t xml:space="preserve">VI. La linea della fermezza e la trattativa</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Lo Stato, nella sua maggioranza politica, adottò la </w:t>
      </w:r>
      <w:r>
        <w:rPr>
          <w:rFonts w:ascii="Times New Roman" w:cs="Times New Roman" w:eastAsia="Times New Roman" w:hAnsi="Times New Roman"/>
          <w:b/>
          <w:bCs/>
          <w:sz w:val="24"/>
          <w:szCs w:val="24"/>
        </w:rPr>
        <w:t xml:space="preserve">linea della fermezza</w:t>
      </w:r>
      <w:r>
        <w:rPr>
          <w:rFonts w:ascii="Times New Roman" w:cs="Times New Roman" w:eastAsia="Times New Roman" w:hAnsi="Times New Roman"/>
          <w:sz w:val="24"/>
          <w:szCs w:val="24"/>
        </w:rPr>
        <w:t xml:space="preserve">: nessuna trattativa che riconoscesse le BR come controparte. Fu una scelta pubblica, dibattuta in Parlamento e sulla stampa, con una minoranza — parte del PSI di Craxi, settori del mondo cattolico, voci dello stesso entourage moroteo — favorevole a una qualche forma di trattativa umanitaria. Le lettere di Moro dalla prigionia invocarono ripetutamente la trattativa e polemizzarono con la fermezza.</w:t>
      </w:r>
    </w:p>
    <w:p>
      <w:pPr>
        <w:spacing w:after="120" w:line="276"/>
        <w:jc w:val="both"/>
      </w:pPr>
      <w:r>
        <w:rPr>
          <w:rFonts w:ascii="Times New Roman" w:cs="Times New Roman" w:eastAsia="Times New Roman" w:hAnsi="Times New Roman"/>
          <w:b/>
          <w:bCs/>
          <w:sz w:val="24"/>
          <w:szCs w:val="24"/>
        </w:rPr>
        <w:t xml:space="preserve">Ciò che resta interpretazione (B/C).</w:t>
      </w:r>
      <w:r>
        <w:rPr>
          <w:rFonts w:ascii="Times New Roman" w:cs="Times New Roman" w:eastAsia="Times New Roman" w:hAnsi="Times New Roman"/>
          <w:sz w:val="24"/>
          <w:szCs w:val="24"/>
        </w:rPr>
        <w:t xml:space="preserve"> Se una trattativa avrebbe salvato Moro è </w:t>
      </w:r>
      <w:r>
        <w:rPr>
          <w:rFonts w:ascii="Times New Roman" w:cs="Times New Roman" w:eastAsia="Times New Roman" w:hAnsi="Times New Roman"/>
          <w:b/>
          <w:bCs/>
          <w:sz w:val="24"/>
          <w:szCs w:val="24"/>
        </w:rPr>
        <w:t xml:space="preserve">contro-fattuale</w:t>
      </w:r>
      <w:r>
        <w:rPr>
          <w:rFonts w:ascii="Times New Roman" w:cs="Times New Roman" w:eastAsia="Times New Roman" w:hAnsi="Times New Roman"/>
          <w:sz w:val="24"/>
          <w:szCs w:val="24"/>
        </w:rPr>
        <w:t xml:space="preserve">, e i contro-fattuali non hanno livello di prova: sono, per definizione, non falsificabili. Che alcune aperture di canale siano state avviate e poi interrotte è documentato in parte; </w:t>
      </w:r>
      <w:r>
        <w:rPr>
          <w:rFonts w:ascii="Times New Roman" w:cs="Times New Roman" w:eastAsia="Times New Roman" w:hAnsi="Times New Roman"/>
          <w:i/>
          <w:iCs/>
          <w:sz w:val="24"/>
          <w:szCs w:val="24"/>
        </w:rPr>
        <w:t xml:space="preserve">perché</w:t>
      </w:r>
      <w:r>
        <w:rPr>
          <w:rFonts w:ascii="Times New Roman" w:cs="Times New Roman" w:eastAsia="Times New Roman" w:hAnsi="Times New Roman"/>
          <w:sz w:val="24"/>
          <w:szCs w:val="24"/>
        </w:rPr>
        <w:t xml:space="preserve"> si interruppero, e con quale grado di sincerità furono percorse, è materia di Livello B/C su cui le Commissioni hanno raccolto versioni non del tutto concordi. L'opera registra la scelta della fermezza come fatto e le sue conseguenze come storia; ma non trasforma la legittima critica politica a quella scelta in prova di un disegno di eliminazione. Volere Moro salvo o accettarne il sacrificio come «male minore» sono posizioni politiche documentate; </w:t>
      </w:r>
      <w:r>
        <w:rPr>
          <w:rFonts w:ascii="Times New Roman" w:cs="Times New Roman" w:eastAsia="Times New Roman" w:hAnsi="Times New Roman"/>
          <w:i/>
          <w:iCs/>
          <w:sz w:val="24"/>
          <w:szCs w:val="24"/>
        </w:rPr>
        <w:t xml:space="preserve">ordinarne</w:t>
      </w:r>
      <w:r>
        <w:rPr>
          <w:rFonts w:ascii="Times New Roman" w:cs="Times New Roman" w:eastAsia="Times New Roman" w:hAnsi="Times New Roman"/>
          <w:sz w:val="24"/>
          <w:szCs w:val="24"/>
        </w:rPr>
        <w:t xml:space="preserve"> la morte è un'altra cosa, e nessun atto la documenta a carico dei sostenitori della fermezza.</w:t>
      </w:r>
    </w:p>
    <w:p>
      <w:pPr>
        <w:pStyle w:val="Heading2"/>
        <w:spacing w:after="100" w:before="200"/>
      </w:pPr>
      <w:r>
        <w:rPr>
          <w:rFonts w:ascii="Times New Roman" w:cs="Times New Roman" w:eastAsia="Times New Roman" w:hAnsi="Times New Roman"/>
          <w:sz w:val="24"/>
          <w:szCs w:val="24"/>
        </w:rPr>
        <w:t xml:space="preserve">VII. Le occasioni mancate e i ritardi</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Le ricerche dei cinquantacinque giorni furono, in più punti, inefficaci: covi non individuati, segnalazioni non seguite, il caso di via Gradoli. La Commissione Fioroni (2014-2018) ha documentato «quarant'anni di indagini mal condotte e vere campagne di disinformazione».</w:t>
      </w:r>
    </w:p>
    <w:p>
      <w:pPr>
        <w:spacing w:after="120" w:line="276"/>
        <w:jc w:val="both"/>
      </w:pPr>
      <w:r>
        <w:rPr>
          <w:rFonts w:ascii="Times New Roman" w:cs="Times New Roman" w:eastAsia="Times New Roman" w:hAnsi="Times New Roman"/>
          <w:b/>
          <w:bCs/>
          <w:sz w:val="24"/>
          <w:szCs w:val="24"/>
        </w:rPr>
        <w:t xml:space="preserve">Il crinale fra inefficienza e dolo (B/C).</w:t>
      </w:r>
      <w:r>
        <w:rPr>
          <w:rFonts w:ascii="Times New Roman" w:cs="Times New Roman" w:eastAsia="Times New Roman" w:hAnsi="Times New Roman"/>
          <w:sz w:val="24"/>
          <w:szCs w:val="24"/>
        </w:rPr>
        <w:t xml:space="preserve"> Qui si gioca la partita più delicata dell'intero caso, ed è la partita in cui il Pollo di Popper conta di più. Un ritardo, un covo mancato, una segnalazione ignorata sono </w:t>
      </w:r>
      <w:r>
        <w:rPr>
          <w:rFonts w:ascii="Times New Roman" w:cs="Times New Roman" w:eastAsia="Times New Roman" w:hAnsi="Times New Roman"/>
          <w:b/>
          <w:bCs/>
          <w:sz w:val="24"/>
          <w:szCs w:val="24"/>
        </w:rPr>
        <w:t xml:space="preserve">compatibili con due letture radicalmente diverse</w:t>
      </w:r>
      <w:r>
        <w:rPr>
          <w:rFonts w:ascii="Times New Roman" w:cs="Times New Roman" w:eastAsia="Times New Roman" w:hAnsi="Times New Roman"/>
          <w:sz w:val="24"/>
          <w:szCs w:val="24"/>
        </w:rPr>
        <w:t xml:space="preserve">: l'inefficienza di un apparato allora impreparato al terrorismo, e il sabotaggio deliberato. La prima è di Livello A come </w:t>
      </w:r>
      <w:r>
        <w:rPr>
          <w:rFonts w:ascii="Times New Roman" w:cs="Times New Roman" w:eastAsia="Times New Roman" w:hAnsi="Times New Roman"/>
          <w:i/>
          <w:iCs/>
          <w:sz w:val="24"/>
          <w:szCs w:val="24"/>
        </w:rPr>
        <w:t xml:space="preserve">fatto</w:t>
      </w:r>
      <w:r>
        <w:rPr>
          <w:rFonts w:ascii="Times New Roman" w:cs="Times New Roman" w:eastAsia="Times New Roman" w:hAnsi="Times New Roman"/>
          <w:sz w:val="24"/>
          <w:szCs w:val="24"/>
        </w:rPr>
        <w:t xml:space="preserve"> (i ritardi ci furono); la seconda è di Livello C come </w:t>
      </w:r>
      <w:r>
        <w:rPr>
          <w:rFonts w:ascii="Times New Roman" w:cs="Times New Roman" w:eastAsia="Times New Roman" w:hAnsi="Times New Roman"/>
          <w:i/>
          <w:iCs/>
          <w:sz w:val="24"/>
          <w:szCs w:val="24"/>
        </w:rPr>
        <w:t xml:space="preserve">spiegazione</w:t>
      </w:r>
      <w:r>
        <w:rPr>
          <w:rFonts w:ascii="Times New Roman" w:cs="Times New Roman" w:eastAsia="Times New Roman" w:hAnsi="Times New Roman"/>
          <w:sz w:val="24"/>
          <w:szCs w:val="24"/>
        </w:rPr>
        <w:t xml:space="preserve"> (il dolo non è provato caso per caso). La tentazione combinatoria è di sommare le inefficienze finché la loro quantità «dimostra» il dolo. Ma la Regola di Ferro lo vieta: dieci negligenze non provano un piano, come dieci indizi di Livello C non fanno un Livello B. Ciascun ritardo va provato dolo per dolo, con un documento, non inferito dal numero.</w:t>
      </w:r>
    </w:p>
    <w:p>
      <w:pPr>
        <w:pStyle w:val="Heading2"/>
        <w:spacing w:after="100" w:before="200"/>
      </w:pPr>
      <w:r>
        <w:rPr>
          <w:rFonts w:ascii="Times New Roman" w:cs="Times New Roman" w:eastAsia="Times New Roman" w:hAnsi="Times New Roman"/>
          <w:sz w:val="24"/>
          <w:szCs w:val="24"/>
        </w:rPr>
        <w:t xml:space="preserve">VIII. Il memoriale di via Monte Nevoso, in due tempi</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Nel covo di </w:t>
      </w:r>
      <w:r>
        <w:rPr>
          <w:rFonts w:ascii="Times New Roman" w:cs="Times New Roman" w:eastAsia="Times New Roman" w:hAnsi="Times New Roman"/>
          <w:b/>
          <w:bCs/>
          <w:sz w:val="24"/>
          <w:szCs w:val="24"/>
        </w:rPr>
        <w:t xml:space="preserve">via Monte Nevoso 8</w:t>
      </w:r>
      <w:r>
        <w:rPr>
          <w:rFonts w:ascii="Times New Roman" w:cs="Times New Roman" w:eastAsia="Times New Roman" w:hAnsi="Times New Roman"/>
          <w:sz w:val="24"/>
          <w:szCs w:val="24"/>
        </w:rPr>
        <w:t xml:space="preserve">, a Milano, furono rinvenuti scritti della prigionia di Moro (trascrizioni dattiloscritte e fotocopie di pagine autografe) </w:t>
      </w:r>
      <w:r>
        <w:rPr>
          <w:rFonts w:ascii="Times New Roman" w:cs="Times New Roman" w:eastAsia="Times New Roman" w:hAnsi="Times New Roman"/>
          <w:b/>
          <w:bCs/>
          <w:sz w:val="24"/>
          <w:szCs w:val="24"/>
        </w:rPr>
        <w:t xml:space="preserve">in due momenti distinti</w:t>
      </w:r>
      <w:r>
        <w:rPr>
          <w:rFonts w:ascii="Times New Roman" w:cs="Times New Roman" w:eastAsia="Times New Roman" w:hAnsi="Times New Roman"/>
          <w:sz w:val="24"/>
          <w:szCs w:val="24"/>
        </w:rPr>
        <w:t xml:space="preserve">: nell'ottobre 1978 una versione parziale, e nell'ottobre 1990 — dietro un pannello di cartongesso, durante lavori di ristrutturazione — una versione assai più ampia. Gli originali non furono mai trovati.</w:t>
      </w:r>
    </w:p>
    <w:p>
      <w:pPr>
        <w:spacing w:after="120" w:line="276"/>
        <w:jc w:val="both"/>
      </w:pPr>
      <w:r>
        <w:rPr>
          <w:rFonts w:ascii="Times New Roman" w:cs="Times New Roman" w:eastAsia="Times New Roman" w:hAnsi="Times New Roman"/>
          <w:b/>
          <w:bCs/>
          <w:sz w:val="24"/>
          <w:szCs w:val="24"/>
        </w:rPr>
        <w:t xml:space="preserve">Il grado del «doppio ritrovamento» (B/C).</w:t>
      </w:r>
      <w:r>
        <w:rPr>
          <w:rFonts w:ascii="Times New Roman" w:cs="Times New Roman" w:eastAsia="Times New Roman" w:hAnsi="Times New Roman"/>
          <w:sz w:val="24"/>
          <w:szCs w:val="24"/>
        </w:rPr>
        <w:t xml:space="preserve"> Che il ritrovamento sia avvenuto in due tempi è </w:t>
      </w:r>
      <w:r>
        <w:rPr>
          <w:rFonts w:ascii="Times New Roman" w:cs="Times New Roman" w:eastAsia="Times New Roman" w:hAnsi="Times New Roman"/>
          <w:b/>
          <w:bCs/>
          <w:sz w:val="24"/>
          <w:szCs w:val="24"/>
        </w:rPr>
        <w:t xml:space="preserve">accertato</w:t>
      </w:r>
      <w:r>
        <w:rPr>
          <w:rFonts w:ascii="Times New Roman" w:cs="Times New Roman" w:eastAsia="Times New Roman" w:hAnsi="Times New Roman"/>
          <w:sz w:val="24"/>
          <w:szCs w:val="24"/>
        </w:rPr>
        <w:t xml:space="preserve">. Che la versione del 1978 fosse </w:t>
      </w:r>
      <w:r>
        <w:rPr>
          <w:rFonts w:ascii="Times New Roman" w:cs="Times New Roman" w:eastAsia="Times New Roman" w:hAnsi="Times New Roman"/>
          <w:i/>
          <w:iCs/>
          <w:sz w:val="24"/>
          <w:szCs w:val="24"/>
        </w:rPr>
        <w:t xml:space="preserve">deliberatamente</w:t>
      </w:r>
      <w:r>
        <w:rPr>
          <w:rFonts w:ascii="Times New Roman" w:cs="Times New Roman" w:eastAsia="Times New Roman" w:hAnsi="Times New Roman"/>
          <w:sz w:val="24"/>
          <w:szCs w:val="24"/>
        </w:rPr>
        <w:t xml:space="preserve"> incompleta e che parte delle carte sia stata sottratta o manipolata è </w:t>
      </w:r>
      <w:r>
        <w:rPr>
          <w:rFonts w:ascii="Times New Roman" w:cs="Times New Roman" w:eastAsia="Times New Roman" w:hAnsi="Times New Roman"/>
          <w:b/>
          <w:bCs/>
          <w:sz w:val="24"/>
          <w:szCs w:val="24"/>
        </w:rPr>
        <w:t xml:space="preserve">ipotesi di Livello B</w:t>
      </w:r>
      <w:r>
        <w:rPr>
          <w:rFonts w:ascii="Times New Roman" w:cs="Times New Roman" w:eastAsia="Times New Roman" w:hAnsi="Times New Roman"/>
          <w:sz w:val="24"/>
          <w:szCs w:val="24"/>
        </w:rPr>
        <w:t xml:space="preserve">: sostenuta da indizi seri (la constatazione, riferita, che al capitano Arlati furono restituite meno carte di quante ne fossero uscite dal covo) ma non conclusa da prova piena su chi e perché. È il punto in cui il sospetto di depistaggio ha la sua base documentale più solida — e proprio per questo va tenuto al suo livello esatto: un depistaggio </w:t>
      </w:r>
      <w:r>
        <w:rPr>
          <w:rFonts w:ascii="Times New Roman" w:cs="Times New Roman" w:eastAsia="Times New Roman" w:hAnsi="Times New Roman"/>
          <w:i/>
          <w:iCs/>
          <w:sz w:val="24"/>
          <w:szCs w:val="24"/>
        </w:rPr>
        <w:t xml:space="preserve">documentario</w:t>
      </w:r>
      <w:r>
        <w:rPr>
          <w:rFonts w:ascii="Times New Roman" w:cs="Times New Roman" w:eastAsia="Times New Roman" w:hAnsi="Times New Roman"/>
          <w:sz w:val="24"/>
          <w:szCs w:val="24"/>
        </w:rPr>
        <w:t xml:space="preserve"> probabile, non ancora un mandante nominato. La differenza fra «qualcuno alterò le carte» (B, verso A) e «il tale le alterò per conto del tale» (C) è tutta la differenza fra un fatto e un'accusa.</w:t>
      </w:r>
    </w:p>
    <w:p>
      <w:pPr>
        <w:pStyle w:val="Heading2"/>
        <w:spacing w:after="100" w:before="200"/>
      </w:pPr>
      <w:r>
        <w:rPr>
          <w:rFonts w:ascii="Times New Roman" w:cs="Times New Roman" w:eastAsia="Times New Roman" w:hAnsi="Times New Roman"/>
          <w:sz w:val="24"/>
          <w:szCs w:val="24"/>
        </w:rPr>
        <w:t xml:space="preserve">IX. Il quadro internazionale</w:t>
      </w:r>
    </w:p>
    <w:p>
      <w:pPr>
        <w:spacing w:after="120" w:line="276"/>
        <w:jc w:val="both"/>
      </w:pPr>
      <w:r>
        <w:rPr>
          <w:rFonts w:ascii="Times New Roman" w:cs="Times New Roman" w:eastAsia="Times New Roman" w:hAnsi="Times New Roman"/>
          <w:b/>
          <w:bCs/>
          <w:sz w:val="24"/>
          <w:szCs w:val="24"/>
        </w:rPr>
        <w:t xml:space="preserve">Accertato (A) come contesto.</w:t>
      </w:r>
      <w:r>
        <w:rPr>
          <w:rFonts w:ascii="Times New Roman" w:cs="Times New Roman" w:eastAsia="Times New Roman" w:hAnsi="Times New Roman"/>
          <w:sz w:val="24"/>
          <w:szCs w:val="24"/>
        </w:rPr>
        <w:t xml:space="preserve"> È documentata l'ostilità di settori dell'alleanza atlantica all'ingresso dei comunisti nell'area di governo italiana; è documentato l'avvertimento riferito da Corrado Guerzoni e confermato da Eleonora Chiavarelli Moro (Washington, collocato al 25 settembre 1974), sempre smentito da Kissinger; è documentata la presenza del consulente statunitense Steve Pieczenik nel comitato di crisi al fianco del ministro Cossiga.</w:t>
      </w:r>
    </w:p>
    <w:p>
      <w:pPr>
        <w:spacing w:after="120" w:line="276"/>
        <w:jc w:val="both"/>
      </w:pPr>
      <w:r>
        <w:rPr>
          <w:rFonts w:ascii="Times New Roman" w:cs="Times New Roman" w:eastAsia="Times New Roman" w:hAnsi="Times New Roman"/>
          <w:b/>
          <w:bCs/>
          <w:sz w:val="24"/>
          <w:szCs w:val="24"/>
        </w:rPr>
        <w:t xml:space="preserve">Il salto vietato (C).</w:t>
      </w:r>
      <w:r>
        <w:rPr>
          <w:rFonts w:ascii="Times New Roman" w:cs="Times New Roman" w:eastAsia="Times New Roman" w:hAnsi="Times New Roman"/>
          <w:sz w:val="24"/>
          <w:szCs w:val="24"/>
        </w:rPr>
        <w:t xml:space="preserve"> Dal contesto ostile </w:t>
      </w:r>
      <w:r>
        <w:rPr>
          <w:rFonts w:ascii="Times New Roman" w:cs="Times New Roman" w:eastAsia="Times New Roman" w:hAnsi="Times New Roman"/>
          <w:i/>
          <w:iCs/>
          <w:sz w:val="24"/>
          <w:szCs w:val="24"/>
        </w:rPr>
        <w:t xml:space="preserve">non discende</w:t>
      </w:r>
      <w:r>
        <w:rPr>
          <w:rFonts w:ascii="Times New Roman" w:cs="Times New Roman" w:eastAsia="Times New Roman" w:hAnsi="Times New Roman"/>
          <w:sz w:val="24"/>
          <w:szCs w:val="24"/>
        </w:rPr>
        <w:t xml:space="preserve"> la catena di comando. Che nemici politici di Moro esistessero, e potenti, è di Livello A; che uno di essi abbia armato o guidato la mano brigatista è di Livello C, e nessun documento — italiano o statunitense — lo attesta. La triangolazione condotta nel corpus di questa ricerca (il fascicolo su Kissinger) mostra il principio in forma pura: gli archi documentati di Kissinger sono statali e verticali (Cile, Angola, i fondi ai servizi italiani), mentre verso l'eversione nera privata restano soltanto convergenze di cornice. Applicato a Moro, il principio dice: </w:t>
      </w:r>
      <w:r>
        <w:rPr>
          <w:rFonts w:ascii="Times New Roman" w:cs="Times New Roman" w:eastAsia="Times New Roman" w:hAnsi="Times New Roman"/>
          <w:b/>
          <w:bCs/>
          <w:sz w:val="24"/>
          <w:szCs w:val="24"/>
        </w:rPr>
        <w:t xml:space="preserve">la prossimità di un nemico non è il suo mandato.</w:t>
      </w:r>
      <w:r>
        <w:rPr>
          <w:rFonts w:ascii="Times New Roman" w:cs="Times New Roman" w:eastAsia="Times New Roman" w:hAnsi="Times New Roman"/>
          <w:sz w:val="24"/>
          <w:szCs w:val="24"/>
        </w:rPr>
        <w:t xml:space="preserve"> Il movente internazionale spiega perché la mediazione di Moro fosse osteggiata; non prova chi lo abbia ucciso, che le sentenze indicano nelle Brigate Rosse.</w:t>
      </w:r>
    </w:p>
    <w:p>
      <w:pPr>
        <w:pStyle w:val="Heading2"/>
        <w:spacing w:after="100" w:before="200"/>
      </w:pPr>
      <w:r>
        <w:rPr>
          <w:rFonts w:ascii="Times New Roman" w:cs="Times New Roman" w:eastAsia="Times New Roman" w:hAnsi="Times New Roman"/>
          <w:sz w:val="24"/>
          <w:szCs w:val="24"/>
        </w:rPr>
        <w:t xml:space="preserve">X. I depistaggi e la «verità dicibile»</w:t>
      </w:r>
    </w:p>
    <w:p>
      <w:pPr>
        <w:spacing w:after="120" w:line="276"/>
        <w:jc w:val="both"/>
      </w:pPr>
      <w:r>
        <w:rPr>
          <w:rFonts w:ascii="Times New Roman" w:cs="Times New Roman" w:eastAsia="Times New Roman" w:hAnsi="Times New Roman"/>
          <w:b/>
          <w:bCs/>
          <w:sz w:val="24"/>
          <w:szCs w:val="24"/>
        </w:rPr>
        <w:t xml:space="preserve">Accertato (A).</w:t>
      </w:r>
      <w:r>
        <w:rPr>
          <w:rFonts w:ascii="Times New Roman" w:cs="Times New Roman" w:eastAsia="Times New Roman" w:hAnsi="Times New Roman"/>
          <w:sz w:val="24"/>
          <w:szCs w:val="24"/>
        </w:rPr>
        <w:t xml:space="preserve"> La Commissione Fioroni ha concluso che ciò che si è saputo del caso è, con la formula del suo presidente, una </w:t>
      </w:r>
      <w:r>
        <w:rPr>
          <w:rFonts w:ascii="Times New Roman" w:cs="Times New Roman" w:eastAsia="Times New Roman" w:hAnsi="Times New Roman"/>
          <w:b/>
          <w:bCs/>
          <w:sz w:val="24"/>
          <w:szCs w:val="24"/>
        </w:rPr>
        <w:t xml:space="preserve">«verità dicibile»</w:t>
      </w:r>
      <w:r>
        <w:rPr>
          <w:rFonts w:ascii="Times New Roman" w:cs="Times New Roman" w:eastAsia="Times New Roman" w:hAnsi="Times New Roman"/>
          <w:sz w:val="24"/>
          <w:szCs w:val="24"/>
        </w:rPr>
        <w:t xml:space="preserve">: quella che si poté raccontare per chiudere la stagione del terrorismo. Ha documentato depistaggi, silenzi e opacità di apparati; ha desecretato migliaia di documenti e raccolto centinaia di nuove testimonianze.</w:t>
      </w:r>
    </w:p>
    <w:p>
      <w:pPr>
        <w:spacing w:after="120" w:line="276"/>
        <w:jc w:val="both"/>
      </w:pPr>
      <w:r>
        <w:rPr>
          <w:rFonts w:ascii="Times New Roman" w:cs="Times New Roman" w:eastAsia="Times New Roman" w:hAnsi="Times New Roman"/>
          <w:b/>
          <w:bCs/>
          <w:sz w:val="24"/>
          <w:szCs w:val="24"/>
        </w:rPr>
        <w:t xml:space="preserve">Ciò che «verità dicibile» significa, e ciò che non significa.</w:t>
      </w:r>
      <w:r>
        <w:rPr>
          <w:rFonts w:ascii="Times New Roman" w:cs="Times New Roman" w:eastAsia="Times New Roman" w:hAnsi="Times New Roman"/>
          <w:sz w:val="24"/>
          <w:szCs w:val="24"/>
        </w:rPr>
        <w:t xml:space="preserve"> Significa, di Livello A, che la verità giudiziaria è </w:t>
      </w:r>
      <w:r>
        <w:rPr>
          <w:rFonts w:ascii="Times New Roman" w:cs="Times New Roman" w:eastAsia="Times New Roman" w:hAnsi="Times New Roman"/>
          <w:b/>
          <w:bCs/>
          <w:sz w:val="24"/>
          <w:szCs w:val="24"/>
        </w:rPr>
        <w:t xml:space="preserve">incompleta</w:t>
      </w:r>
      <w:r>
        <w:rPr>
          <w:rFonts w:ascii="Times New Roman" w:cs="Times New Roman" w:eastAsia="Times New Roman" w:hAnsi="Times New Roman"/>
          <w:sz w:val="24"/>
          <w:szCs w:val="24"/>
        </w:rPr>
        <w:t xml:space="preserve"> e che vi furono coperture. </w:t>
      </w:r>
      <w:r>
        <w:rPr>
          <w:rFonts w:ascii="Times New Roman" w:cs="Times New Roman" w:eastAsia="Times New Roman" w:hAnsi="Times New Roman"/>
          <w:i/>
          <w:iCs/>
          <w:sz w:val="24"/>
          <w:szCs w:val="24"/>
        </w:rPr>
        <w:t xml:space="preserve">Non</w:t>
      </w:r>
      <w:r>
        <w:rPr>
          <w:rFonts w:ascii="Times New Roman" w:cs="Times New Roman" w:eastAsia="Times New Roman" w:hAnsi="Times New Roman"/>
          <w:sz w:val="24"/>
          <w:szCs w:val="24"/>
        </w:rPr>
        <w:t xml:space="preserve"> significa, di per sé, che esista una verità </w:t>
      </w:r>
      <w:r>
        <w:rPr>
          <w:rFonts w:ascii="Times New Roman" w:cs="Times New Roman" w:eastAsia="Times New Roman" w:hAnsi="Times New Roman"/>
          <w:i/>
          <w:iCs/>
          <w:sz w:val="24"/>
          <w:szCs w:val="24"/>
        </w:rPr>
        <w:t xml:space="preserve">diversa</w:t>
      </w:r>
      <w:r>
        <w:rPr>
          <w:rFonts w:ascii="Times New Roman" w:cs="Times New Roman" w:eastAsia="Times New Roman" w:hAnsi="Times New Roman"/>
          <w:sz w:val="24"/>
          <w:szCs w:val="24"/>
        </w:rPr>
        <w:t xml:space="preserve"> già nota e taciuta: significa che restano zone di buio. La distinzione è capitale e il Pollo di Popper la impone. «Non sappiamo tutto» è un fatto accertato; «sappiamo che dietro c'è il tale» è un'inferenza che «non sappiamo tutto» non autorizza. Il vuoto documentato è un invito allo scavo, non una licenza al nome. Chi riempie il vuoto con un mandante compie, sul piano logico, lo stesso gesto del pollo: scambia l'assenza di smentita per presenza di prova.</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Movimento terzo — Il rifiuto e la sua ragione</w:t>
      </w:r>
    </w:p>
    <w:p>
      <w:pPr>
        <w:pStyle w:val="Heading2"/>
        <w:spacing w:after="100" w:before="200"/>
      </w:pPr>
      <w:r>
        <w:rPr>
          <w:rFonts w:ascii="Times New Roman" w:cs="Times New Roman" w:eastAsia="Times New Roman" w:hAnsi="Times New Roman"/>
          <w:sz w:val="24"/>
          <w:szCs w:val="24"/>
        </w:rPr>
        <w:t xml:space="preserve">XI. Contro la graduatoria: perché non si numera un sospetto</w:t>
      </w:r>
    </w:p>
    <w:p>
      <w:pPr>
        <w:spacing w:after="120" w:line="276"/>
        <w:jc w:val="both"/>
      </w:pPr>
      <w:r>
        <w:rPr>
          <w:rFonts w:ascii="Times New Roman" w:cs="Times New Roman" w:eastAsia="Times New Roman" w:hAnsi="Times New Roman"/>
          <w:sz w:val="24"/>
          <w:szCs w:val="24"/>
        </w:rPr>
        <w:t xml:space="preserve">Il cuore di questa continuazione è un rifiuto, e va motivato fino in fondo, perché non sia scambiato per reticenza.</w:t>
      </w:r>
    </w:p>
    <w:p>
      <w:pPr>
        <w:spacing w:after="120" w:line="276"/>
        <w:jc w:val="both"/>
      </w:pPr>
      <w:r>
        <w:rPr>
          <w:rFonts w:ascii="Times New Roman" w:cs="Times New Roman" w:eastAsia="Times New Roman" w:hAnsi="Times New Roman"/>
          <w:sz w:val="24"/>
          <w:szCs w:val="24"/>
        </w:rPr>
        <w:t xml:space="preserve">Una graduatoria di probabili responsabili — anche la più scrupolosa, anche quella che premette a sé una clausola garantista — compie un'operazione che il diritto conosce e vieta: </w:t>
      </w:r>
      <w:r>
        <w:rPr>
          <w:rFonts w:ascii="Times New Roman" w:cs="Times New Roman" w:eastAsia="Times New Roman" w:hAnsi="Times New Roman"/>
          <w:b/>
          <w:bCs/>
          <w:sz w:val="24"/>
          <w:szCs w:val="24"/>
        </w:rPr>
        <w:t xml:space="preserve">trasforma il sospetto in un ordinale</w:t>
      </w:r>
      <w:r>
        <w:rPr>
          <w:rFonts w:ascii="Times New Roman" w:cs="Times New Roman" w:eastAsia="Times New Roman" w:hAnsi="Times New Roman"/>
          <w:sz w:val="24"/>
          <w:szCs w:val="24"/>
        </w:rPr>
        <w:t xml:space="preserve">. Dire «il tale è il responsabile più probabile» significa assegnargli un posto in una classifica di colpevolezza senza il solo strumento che può assegnarlo legittimamente, che è il processo con le sue garanzie: il contraddittorio, la difesa, la prova che regge all'urto della difesa. Fuori da quel recinto, la probabilità sul nome di una persona non è un grado di conoscenza: è un marchio. E il marchio, una volta impresso, non conosce assoluzione — perché nessun tribunale lo ha comminato, nessun tribunale può revocarlo.</w:t>
      </w:r>
    </w:p>
    <w:p>
      <w:pPr>
        <w:spacing w:after="120" w:line="276"/>
        <w:jc w:val="both"/>
      </w:pPr>
      <w:r>
        <w:rPr>
          <w:rFonts w:ascii="Times New Roman" w:cs="Times New Roman" w:eastAsia="Times New Roman" w:hAnsi="Times New Roman"/>
          <w:sz w:val="24"/>
          <w:szCs w:val="24"/>
        </w:rPr>
        <w:t xml:space="preserve">Vi è di più, e tocca la sostanza del metodo che quest'opera si è dato. L'apparato che la governa — la Regola di Ferro, i tre stati di Cartesio, il presidio del ferreo — stabilisce che una convergenza non si promuove mai a rapporto, che la sincronia non è prova, che la federazione dei casi accresce l'attestazione e non trasporta lo stato di un nodo. Ebbene: una graduatoria di mandanti è, in termini di quell'apparato, la promozione vietata per eccellenza. Prende nodi che stanno allo stato del </w:t>
      </w:r>
      <w:r>
        <w:rPr>
          <w:rFonts w:ascii="Times New Roman" w:cs="Times New Roman" w:eastAsia="Times New Roman" w:hAnsi="Times New Roman"/>
          <w:i/>
          <w:iCs/>
          <w:sz w:val="24"/>
          <w:szCs w:val="24"/>
        </w:rPr>
        <w:t xml:space="preserve">dubbio</w:t>
      </w:r>
      <w:r>
        <w:rPr>
          <w:rFonts w:ascii="Times New Roman" w:cs="Times New Roman" w:eastAsia="Times New Roman" w:hAnsi="Times New Roman"/>
          <w:sz w:val="24"/>
          <w:szCs w:val="24"/>
        </w:rPr>
        <w:t xml:space="preserve"> — l'indagato, non l'affermato — e li dispone come se fossero allo stato dello </w:t>
      </w:r>
      <w:r>
        <w:rPr>
          <w:rFonts w:ascii="Times New Roman" w:cs="Times New Roman" w:eastAsia="Times New Roman" w:hAnsi="Times New Roman"/>
          <w:i/>
          <w:iCs/>
          <w:sz w:val="24"/>
          <w:szCs w:val="24"/>
        </w:rPr>
        <w:t xml:space="preserve">sciolto</w:t>
      </w:r>
      <w:r>
        <w:rPr>
          <w:rFonts w:ascii="Times New Roman" w:cs="Times New Roman" w:eastAsia="Times New Roman" w:hAnsi="Times New Roman"/>
          <w:sz w:val="24"/>
          <w:szCs w:val="24"/>
        </w:rPr>
        <w:t xml:space="preserve">, l'accertato. Il numero d'ordine è la promozione clandestina di uno stato all'altro. E l'apparato, che l'autore stesso ha scritto, la proibisce.</w:t>
      </w:r>
    </w:p>
    <w:p>
      <w:pPr>
        <w:pStyle w:val="Heading2"/>
        <w:spacing w:after="100" w:before="200"/>
      </w:pPr>
      <w:r>
        <w:rPr>
          <w:rFonts w:ascii="Times New Roman" w:cs="Times New Roman" w:eastAsia="Times New Roman" w:hAnsi="Times New Roman"/>
          <w:sz w:val="24"/>
          <w:szCs w:val="24"/>
        </w:rPr>
        <w:t xml:space="preserve">XII. L'obiezione, e la risposta</w:t>
      </w:r>
    </w:p>
    <w:p>
      <w:pPr>
        <w:spacing w:after="120" w:line="276"/>
        <w:jc w:val="both"/>
      </w:pPr>
      <w:r>
        <w:rPr>
          <w:rFonts w:ascii="Times New Roman" w:cs="Times New Roman" w:eastAsia="Times New Roman" w:hAnsi="Times New Roman"/>
          <w:sz w:val="24"/>
          <w:szCs w:val="24"/>
        </w:rPr>
        <w:t xml:space="preserve">Si dirà: ma allora ci si condanna al silenzio, e il silenzio ha coperto per quarant'anni proprio i colpevoli. L'obiezione è seria e merita risposta piena, perché in essa si annida la giustificazione di ogni scorciatoia.</w:t>
      </w:r>
    </w:p>
    <w:p>
      <w:pPr>
        <w:spacing w:after="120" w:line="276"/>
        <w:jc w:val="both"/>
      </w:pPr>
      <w:r>
        <w:rPr>
          <w:rFonts w:ascii="Times New Roman" w:cs="Times New Roman" w:eastAsia="Times New Roman" w:hAnsi="Times New Roman"/>
          <w:sz w:val="24"/>
          <w:szCs w:val="24"/>
        </w:rPr>
        <w:t xml:space="preserve">La risposta è che </w:t>
      </w:r>
      <w:r>
        <w:rPr>
          <w:rFonts w:ascii="Times New Roman" w:cs="Times New Roman" w:eastAsia="Times New Roman" w:hAnsi="Times New Roman"/>
          <w:b/>
          <w:bCs/>
          <w:sz w:val="24"/>
          <w:szCs w:val="24"/>
        </w:rPr>
        <w:t xml:space="preserve">fra il silenzio e la graduatoria esiste un terzo termine, ed è il lavoro</w:t>
      </w:r>
      <w:r>
        <w:rPr>
          <w:rFonts w:ascii="Times New Roman" w:cs="Times New Roman" w:eastAsia="Times New Roman" w:hAnsi="Times New Roman"/>
          <w:sz w:val="24"/>
          <w:szCs w:val="24"/>
        </w:rPr>
        <w:t xml:space="preserve">. Non tacere: indicare con precisione i vuoti, nominarli, dire dove il documento manca e quale documento manca, tenere il fascicolo aperto e la pressione alta perché quel documento venga desecretato o cercato. Questo non è silenzio: è il contrario del silenzio. È la voce che chiede prove invece di fabbricarle. La Commissione Fioroni, desecretando migliaia di atti, ha fatto avanzare la verità di Moro assai più di qualunque graduatoria mai compilata — perché ha lavorato al livello A, non al livello C. Ogni verità che sul caso Moro è emersa in quarant'anni è emersa da un fascicolo riaperto, mai da una classifica. Il silenzio non è ciò che questa parte propone; è, semmai, ciò che la graduatoria produce, perché una volta fatto il nome la ricerca si ferma, appagata, e il documento che avrebbe potuto provare o smentire non viene più cercato.</w:t>
      </w:r>
    </w:p>
    <w:p>
      <w:pPr>
        <w:pStyle w:val="Heading2"/>
        <w:spacing w:after="100" w:before="200"/>
      </w:pPr>
      <w:r>
        <w:rPr>
          <w:rFonts w:ascii="Times New Roman" w:cs="Times New Roman" w:eastAsia="Times New Roman" w:hAnsi="Times New Roman"/>
          <w:sz w:val="24"/>
          <w:szCs w:val="24"/>
        </w:rPr>
        <w:t xml:space="preserve">XIII. Che cosa resta da fare — e non è poco</w:t>
      </w:r>
    </w:p>
    <w:p>
      <w:pPr>
        <w:spacing w:after="120" w:line="276"/>
        <w:jc w:val="both"/>
      </w:pPr>
      <w:r>
        <w:rPr>
          <w:rFonts w:ascii="Times New Roman" w:cs="Times New Roman" w:eastAsia="Times New Roman" w:hAnsi="Times New Roman"/>
          <w:sz w:val="24"/>
          <w:szCs w:val="24"/>
        </w:rPr>
        <w:t xml:space="preserve">Rinunciare alla graduatoria non è rinunciare alla verità: è cercarla dove può essere trovata. Il lavoro che resta, e che sarebbe la vera continuazione dell'opera, non ha la forma della classifica ma quella dello scavo: la desecretazione integrale dei fondi ancora chiusi; il confronto sistematico fra le versioni delle Commissioni; la ricostruzione documentale — non congetturale — delle catene di custodia dei reperti, del memoriale, delle perizie balistiche di via Fani. È lavoro d'archivio, lento, ingrato, senza il lampo del nome fatto. Ma è il solo che, sul caso Moro, abbia mai spostato di un millimetro il confine fra il probabile e l'accertato.</w:t>
      </w:r>
    </w:p>
    <w:p>
      <w:pPr>
        <w:spacing w:after="120" w:line="276"/>
        <w:jc w:val="both"/>
      </w:pPr>
      <w:r>
        <w:rPr>
          <w:rFonts w:ascii="Times New Roman" w:cs="Times New Roman" w:eastAsia="Times New Roman" w:hAnsi="Times New Roman"/>
          <w:sz w:val="24"/>
          <w:szCs w:val="24"/>
        </w:rPr>
        <w:t xml:space="preserve">Questa è la macchia d'olio di cui parlava la parte prima, ripresa nel suo verso giusto: non l'allargarsi dell'ipotesi finché copre tutto, ma l'allargarsi paziente della zona accertata, un documento alla volta, contro la zona del buio.</w:t>
      </w:r>
    </w:p>
    <w:p>
      <w:pPr>
        <w:pStyle w:val="Heading2"/>
        <w:spacing w:after="100" w:before="200"/>
      </w:pPr>
      <w:r>
        <w:rPr>
          <w:rFonts w:ascii="Times New Roman" w:cs="Times New Roman" w:eastAsia="Times New Roman" w:hAnsi="Times New Roman"/>
          <w:sz w:val="24"/>
          <w:szCs w:val="24"/>
        </w:rPr>
        <w:t xml:space="preserve">XIV. Congedo — con l'epigrafe</w:t>
      </w:r>
    </w:p>
    <w:p>
      <w:pPr>
        <w:spacing w:after="120" w:line="276"/>
        <w:jc w:val="both"/>
      </w:pPr>
      <w:r>
        <w:rPr>
          <w:rFonts w:ascii="Times New Roman" w:cs="Times New Roman" w:eastAsia="Times New Roman" w:hAnsi="Times New Roman"/>
          <w:sz w:val="24"/>
          <w:szCs w:val="24"/>
        </w:rPr>
        <w:t xml:space="preserve">L'opera si apriva con un verso: «È l'ignoranza che crea la violenza». È giusto che si chiuda meditandolo, perché contiene, se lo si prende sul serio, la condanna di ogni scorciatoia.</w:t>
      </w:r>
    </w:p>
    <w:p>
      <w:pPr>
        <w:spacing w:after="120" w:line="276"/>
        <w:jc w:val="both"/>
      </w:pPr>
      <w:r>
        <w:rPr>
          <w:rFonts w:ascii="Times New Roman" w:cs="Times New Roman" w:eastAsia="Times New Roman" w:hAnsi="Times New Roman"/>
          <w:sz w:val="24"/>
          <w:szCs w:val="24"/>
        </w:rPr>
        <w:t xml:space="preserve">Se è l'ignoranza a creare la violenza, allora la risposta alla violenza non può essere un'altra forma d'ignoranza — e la certezza senza prova è una forma d'ignoranza, forse la più insidiosa, perché indossa l'abito della conoscenza. Attribuire un delitto a chi non è stato giudicato, per quanto se ne sia convinti, non riscatta la vittima: le aggiunge, in un certo senso, la propria — perché ripete, sul piano del giudizio, lo stesso gesto che si vorrebbe condannare, cioè la condanna senza processo. Moro, che era un giurista prima che un politico, e che dalla sua prigione continuò a invocare il diritto contro la ragion di Stato, sarebbe l'ultimo a volere che il suo nome giustificasse un tribunale del sospetto.</w:t>
      </w:r>
    </w:p>
    <w:p>
      <w:pPr>
        <w:spacing w:after="120" w:line="276"/>
        <w:jc w:val="both"/>
      </w:pPr>
      <w:r>
        <w:rPr>
          <w:rFonts w:ascii="Times New Roman" w:cs="Times New Roman" w:eastAsia="Times New Roman" w:hAnsi="Times New Roman"/>
          <w:sz w:val="24"/>
          <w:szCs w:val="24"/>
        </w:rPr>
        <w:t xml:space="preserve">La guerra fu senza fine non perché eterna, ma perché non ebbe un vincitore che le desse un senso: lasciò un uomo ucciso, uno Stato ferito, e una domanda che quarant'anni non hanno chiuso. La si onori come si onora una domanda vera: continuando a cercare, negli archivi e non nelle classifiche, e resistendo alla tentazione — dolce, e per questo pericolosa — di chiuderla con un nome. La verità, su Moro, verrà dai documenti o non verrà. E fino a quel giorno, la cosa più fedele che si possa fare alla sua memoria è tenere aperta la ricerca e chiusa la bocca sull'accusa che non si può provare.</w:t>
      </w:r>
    </w:p>
    <w:p>
      <w:pPr>
        <w:spacing w:after="120" w:line="276"/>
        <w:jc w:val="both"/>
      </w:pPr>
      <w:r>
        <w:rPr>
          <w:rFonts w:ascii="Times New Roman" w:cs="Times New Roman" w:eastAsia="Times New Roman" w:hAnsi="Times New Roman"/>
          <w:sz w:val="24"/>
          <w:szCs w:val="24"/>
        </w:rPr>
        <w:t xml:space="preserve">Qui l'autore di questa terza parte si congeda, lasciando l'opera dov'era: davanti a un fascicolo mai chiuso.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Questa terza parte è una continuazione originale e non riproduce il testo dell'opera che la precede. Le uniche affermazioni presentate come fatti sono di Livello A (accertamento giudiziario e storiografico); tutto il resto è dichiarato probabile o possibile. Nessuna persona è qui indicata come responsabile di reato oltre quanto stabilito in via definitiva dalla giustizia. I riscontri fattuali (Commissione Fioroni 2014-2018; ritrovamenti di via Monte Nevoso 1978 e 1990; episodio di via Gradoli e della seduta spiritica; dinamica di via Fani) sono ancorati agli atti parlamentari e alla documentazione pubblica. Per gli aspetti che toccano persone viventi vale la disciplina di riservatezza dell'apparato Italia Nera.</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Fase sesta — Il presidio del garante e l'apparato critico</w:t>
      </w:r>
    </w:p>
    <w:p>
      <w:pPr>
        <w:spacing w:after="120" w:line="276"/>
        <w:jc w:val="both"/>
      </w:pPr>
      <w:r>
        <w:rPr>
          <w:rFonts w:ascii="Times New Roman" w:cs="Times New Roman" w:eastAsia="Times New Roman" w:hAnsi="Times New Roman"/>
          <w:i/>
          <w:iCs/>
          <w:sz w:val="24"/>
          <w:szCs w:val="24"/>
        </w:rPr>
        <w:t xml:space="preserve">Continuazione — 24 agosto 2026 · Capitoli cinquantunesimo – cinquantacinquesimo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di questa fase.</w:t>
      </w:r>
      <w:r>
        <w:rPr>
          <w:rFonts w:ascii="Times New Roman" w:cs="Times New Roman" w:eastAsia="Times New Roman" w:hAnsi="Times New Roman"/>
          <w:i w:val="false"/>
          <w:iCs w:val="false"/>
          <w:sz w:val="24"/>
          <w:szCs w:val="24"/>
        </w:rPr>
        <w:t xml:space="preserve"> Questa è una </w:t>
      </w:r>
      <w:r>
        <w:rPr>
          <w:rFonts w:ascii="Times New Roman" w:cs="Times New Roman" w:eastAsia="Times New Roman" w:hAnsi="Times New Roman"/>
          <w:b/>
          <w:bCs/>
          <w:i w:val="false"/>
          <w:iCs w:val="false"/>
          <w:sz w:val="24"/>
          <w:szCs w:val="24"/>
        </w:rPr>
        <w:t xml:space="preserve">continuazione originale</w:t>
      </w:r>
      <w:r>
        <w:rPr>
          <w:rFonts w:ascii="Times New Roman" w:cs="Times New Roman" w:eastAsia="Times New Roman" w:hAnsi="Times New Roman"/>
          <w:i w:val="false"/>
          <w:iCs w:val="false"/>
          <w:sz w:val="24"/>
          <w:szCs w:val="24"/>
        </w:rPr>
        <w:t xml:space="preserve"> dell'edizione in cinquanta capitoli dell'opera «Aldo Moro — Una guerra senza fine». Ne prende spunto e ne prosegue il discorso; non ne riproduce il testo. Si aggiunge dopo il Congedo (capitolo cinquantesimo) non per contraddire l'opera ma per servire una sua promessa: quella, dichiarata nel capitolo primo, delle </w:t>
      </w:r>
      <w:r>
        <w:rPr>
          <w:rFonts w:ascii="Times New Roman" w:cs="Times New Roman" w:eastAsia="Times New Roman" w:hAnsi="Times New Roman"/>
          <w:b/>
          <w:bCs/>
          <w:i w:val="false"/>
          <w:iCs w:val="false"/>
          <w:sz w:val="24"/>
          <w:szCs w:val="24"/>
        </w:rPr>
        <w:t xml:space="preserve">quattro discipline</w:t>
      </w:r>
      <w:r>
        <w:rPr>
          <w:rFonts w:ascii="Times New Roman" w:cs="Times New Roman" w:eastAsia="Times New Roman" w:hAnsi="Times New Roman"/>
          <w:i w:val="false"/>
          <w:iCs w:val="false"/>
          <w:sz w:val="24"/>
          <w:szCs w:val="24"/>
        </w:rPr>
        <w:t xml:space="preserve"> — del grado, delle assenze, delle persone viventi, e della tracciabilità. Una promessa così esigente merita un apparato che la renda verificabile pagina per pagina; e merita, alla fine, un garante che vegli sul confine più delicato dell'opera, quello fra le sue prime quattro fasi e la quinta.  Questa fase non nomina alcuna persona come responsabile di reato oltre il giudicato definitivo. Ogni affermazione presentata come fatto è di Livello A. Il resto è dichiarato per ciò che è.</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Capitolo cinquantunesimo — Perché un'opera che si vieta di imputare contiene una graduatoria: la tensione dichiarata</w:t>
      </w:r>
    </w:p>
    <w:p>
      <w:pPr>
        <w:spacing w:after="120" w:line="276"/>
        <w:jc w:val="both"/>
      </w:pPr>
      <w:r>
        <w:rPr>
          <w:rFonts w:ascii="Times New Roman" w:cs="Times New Roman" w:eastAsia="Times New Roman" w:hAnsi="Times New Roman"/>
          <w:sz w:val="24"/>
          <w:szCs w:val="24"/>
        </w:rPr>
        <w:t xml:space="preserve">Un lettore attento, giunto in fondo, si trova fra le mani una contraddizione apparente, e ha diritto che gliela si nomini invece di lasciarla implicita. Il capitolo primo dichiara, fra le quattro discipline, che l'opera «non imputa e anzi si vieta di imputare», e che delle persone viventi riferisce «esclusivamente fatti pubblici documentati». La Fase quinta, per contro, per scelta esplicita dell'autore, congeda il Pollo di Popper e costruisce una graduatoria di architetti, mandanti ed esecutori. Le due cose stanno nella stessa opera. Come si compongono?</w:t>
      </w:r>
    </w:p>
    <w:p>
      <w:pPr>
        <w:spacing w:after="120" w:line="276"/>
        <w:jc w:val="both"/>
      </w:pPr>
      <w:r>
        <w:rPr>
          <w:rFonts w:ascii="Times New Roman" w:cs="Times New Roman" w:eastAsia="Times New Roman" w:hAnsi="Times New Roman"/>
          <w:sz w:val="24"/>
          <w:szCs w:val="24"/>
        </w:rPr>
        <w:t xml:space="preserve">Si compongono, e la composizione è essa stessa una lezione di metodo, purché la si renda esplicita. La graduatoria della Fase quinta non è, nelle intenzioni dichiarate, un atto d'imputazione giudiziaria: è un </w:t>
      </w:r>
      <w:r>
        <w:rPr>
          <w:rFonts w:ascii="Times New Roman" w:cs="Times New Roman" w:eastAsia="Times New Roman" w:hAnsi="Times New Roman"/>
          <w:b/>
          <w:bCs/>
          <w:sz w:val="24"/>
          <w:szCs w:val="24"/>
        </w:rPr>
        <w:t xml:space="preserve">esercizio di probabilità storiografica dichiaratamente ipotetico</w:t>
      </w:r>
      <w:r>
        <w:rPr>
          <w:rFonts w:ascii="Times New Roman" w:cs="Times New Roman" w:eastAsia="Times New Roman" w:hAnsi="Times New Roman"/>
          <w:sz w:val="24"/>
          <w:szCs w:val="24"/>
        </w:rPr>
        <w:t xml:space="preserve">, che l'opera separa con un solco tipografico e concettuale dal corpo delle prime quattro fasi. Il patto che l'opera propone al lettore è: fino alla Fase quarta si cammina sul terreno del documentato e del suo perimetro negativo; dalla Fase quinta si entra, avvertiti, in una regione di congettura ordinata. È un patto legittimo, a una condizione — che il solco tenga. E il solco tiene solo se qualcuno lo presidia. Questa fase è il presidio.</w:t>
      </w:r>
    </w:p>
    <w:p>
      <w:pPr>
        <w:spacing w:after="120" w:line="276"/>
        <w:jc w:val="both"/>
      </w:pPr>
      <w:r>
        <w:rPr>
          <w:rFonts w:ascii="Times New Roman" w:cs="Times New Roman" w:eastAsia="Times New Roman" w:hAnsi="Times New Roman"/>
          <w:sz w:val="24"/>
          <w:szCs w:val="24"/>
        </w:rPr>
        <w:t xml:space="preserve">Il rischio, altrimenti, è quello che l'opera stessa, nel capitolo secondo, chiama immunizzazione: che la graduatoria, nata ipotetica, venga letta come conclusione, e che la premessa garantista — «questi sono i responsabili più probabili, non i responsabili accertati» — scivoli via nella memoria del lettore, lasciando i soli nomi. È un fenomeno noto e documentato della psicologia della lettura: la cornice si dimentica, il contenuto resta. Un'opera che nomina, anche in forma ipotetica, deve perciò fare i conti con il fatto che i suoi nomi vivranno più a lungo delle sue cautele. Questa è la ragione per cui il garante non è un ornamento morale ma una necessità strutturale: senza di lui, la Fase quinta cessa di essere ciò che dichiara di essere e diventa ciò che dichiara di non essere.</w:t>
      </w:r>
    </w:p>
    <w:p>
      <w:pPr>
        <w:pStyle w:val="Heading1"/>
        <w:spacing w:after="120" w:before="240"/>
      </w:pPr>
      <w:r>
        <w:rPr>
          <w:rFonts w:ascii="Times New Roman" w:cs="Times New Roman" w:eastAsia="Times New Roman" w:hAnsi="Times New Roman"/>
          <w:sz w:val="24"/>
          <w:szCs w:val="24"/>
        </w:rPr>
        <w:t xml:space="preserve">Capitolo cinquantaduesimo — Le quattro discipline, rese operative</w:t>
      </w:r>
    </w:p>
    <w:p>
      <w:pPr>
        <w:spacing w:after="120" w:line="276"/>
        <w:jc w:val="both"/>
      </w:pPr>
      <w:r>
        <w:rPr>
          <w:rFonts w:ascii="Times New Roman" w:cs="Times New Roman" w:eastAsia="Times New Roman" w:hAnsi="Times New Roman"/>
          <w:sz w:val="24"/>
          <w:szCs w:val="24"/>
        </w:rPr>
        <w:t xml:space="preserve">Le quattro discipline dichiarate nel capitolo primo sono principi; qui si rendono procedura, perché un principio che non diventa procedura è un proposito.</w:t>
      </w:r>
    </w:p>
    <w:p>
      <w:pPr>
        <w:spacing w:after="120" w:line="276"/>
        <w:jc w:val="both"/>
      </w:pPr>
      <w:r>
        <w:rPr>
          <w:rFonts w:ascii="Times New Roman" w:cs="Times New Roman" w:eastAsia="Times New Roman" w:hAnsi="Times New Roman"/>
          <w:b/>
          <w:bCs/>
          <w:sz w:val="24"/>
          <w:szCs w:val="24"/>
        </w:rPr>
        <w:t xml:space="preserve">La disciplina del grado.</w:t>
      </w:r>
      <w:r>
        <w:rPr>
          <w:rFonts w:ascii="Times New Roman" w:cs="Times New Roman" w:eastAsia="Times New Roman" w:hAnsi="Times New Roman"/>
          <w:sz w:val="24"/>
          <w:szCs w:val="24"/>
        </w:rPr>
        <w:t xml:space="preserve"> Ogni affermazione porta il proprio livello — A accertato, B probabile, C possibile. La procedura che la rende verificabile è una sola domanda, ripetuta senza eccezioni: </w:t>
      </w:r>
      <w:r>
        <w:rPr>
          <w:rFonts w:ascii="Times New Roman" w:cs="Times New Roman" w:eastAsia="Times New Roman" w:hAnsi="Times New Roman"/>
          <w:i/>
          <w:iCs/>
          <w:sz w:val="24"/>
          <w:szCs w:val="24"/>
        </w:rPr>
        <w:t xml:space="preserve">che cosa la ucciderebbe?</w:t>
      </w:r>
      <w:r>
        <w:rPr>
          <w:rFonts w:ascii="Times New Roman" w:cs="Times New Roman" w:eastAsia="Times New Roman" w:hAnsi="Times New Roman"/>
          <w:sz w:val="24"/>
          <w:szCs w:val="24"/>
        </w:rPr>
        <w:t xml:space="preserve"> Un'affermazione di Livello A è quella per cui la risposta esiste, è precisa, ed è stata cercata senza trovarla (la responsabilità brigatista del sequestro cadrebbe davanti a un documento coevo, esterno e autenticato che attesti l'eterodirezione: cercato, non trovato). Un'affermazione di Livello B è quella per cui la risposta esiste ed è precisa ma non è ancora stata cercata fino in fondo (la manipolazione del memoriale cadrebbe, o si confermerebbe, davanti alla catena di custodia integrale delle carte di via Monte Nevoso: parzialmente ricostruita). Un'affermazione di Livello C è quella per cui la risposta o non esiste — la proposizione non è falsificabile — o è irraggiungibile in via di principio. La disciplina del grado è, in fondo, la disciplina di questa domanda.</w:t>
      </w:r>
    </w:p>
    <w:p>
      <w:pPr>
        <w:spacing w:after="120" w:line="276"/>
        <w:jc w:val="both"/>
      </w:pPr>
      <w:r>
        <w:rPr>
          <w:rFonts w:ascii="Times New Roman" w:cs="Times New Roman" w:eastAsia="Times New Roman" w:hAnsi="Times New Roman"/>
          <w:b/>
          <w:bCs/>
          <w:sz w:val="24"/>
          <w:szCs w:val="24"/>
        </w:rPr>
        <w:t xml:space="preserve">La disciplina delle assenze.</w:t>
      </w:r>
      <w:r>
        <w:rPr>
          <w:rFonts w:ascii="Times New Roman" w:cs="Times New Roman" w:eastAsia="Times New Roman" w:hAnsi="Times New Roman"/>
          <w:sz w:val="24"/>
          <w:szCs w:val="24"/>
        </w:rPr>
        <w:t xml:space="preserve"> In questo campo la mappa dei vuoti vale quanto la mappa dei pieni. La procedura è il </w:t>
      </w:r>
      <w:r>
        <w:rPr>
          <w:rFonts w:ascii="Times New Roman" w:cs="Times New Roman" w:eastAsia="Times New Roman" w:hAnsi="Times New Roman"/>
          <w:b/>
          <w:bCs/>
          <w:sz w:val="24"/>
          <w:szCs w:val="24"/>
        </w:rPr>
        <w:t xml:space="preserve">perimetro negativo</w:t>
      </w:r>
      <w:r>
        <w:rPr>
          <w:rFonts w:ascii="Times New Roman" w:cs="Times New Roman" w:eastAsia="Times New Roman" w:hAnsi="Times New Roman"/>
          <w:sz w:val="24"/>
          <w:szCs w:val="24"/>
        </w:rPr>
        <w:t xml:space="preserve">: nominare esplicitamente ciò che si è cercato e non trovato — gli Stati Zero del capitolo trentanovesimo — con la stessa cura con cui si nomina ciò che si è trovato. Un'assenza dichiarata è un dato; un'assenza taciuta è una menzogna per omissione. Dire «non esiste, allo stato, alcun documento che provi X» è un'affermazione di Livello A sul mondo, non una reticenza: è la forma più onesta che la conoscenza può prendere di fronte al buio.</w:t>
      </w:r>
    </w:p>
    <w:p>
      <w:pPr>
        <w:spacing w:after="120" w:line="276"/>
        <w:jc w:val="both"/>
      </w:pPr>
      <w:r>
        <w:rPr>
          <w:rFonts w:ascii="Times New Roman" w:cs="Times New Roman" w:eastAsia="Times New Roman" w:hAnsi="Times New Roman"/>
          <w:b/>
          <w:bCs/>
          <w:sz w:val="24"/>
          <w:szCs w:val="24"/>
        </w:rPr>
        <w:t xml:space="preserve">La disciplina delle persone viventi.</w:t>
      </w:r>
      <w:r>
        <w:rPr>
          <w:rFonts w:ascii="Times New Roman" w:cs="Times New Roman" w:eastAsia="Times New Roman" w:hAnsi="Times New Roman"/>
          <w:sz w:val="24"/>
          <w:szCs w:val="24"/>
        </w:rPr>
        <w:t xml:space="preserve"> Di chi è in vita l'opera riferisce solo fatti pubblici documentati, atti giudiziari, dichiarazioni rese. La procedura è il </w:t>
      </w:r>
      <w:r>
        <w:rPr>
          <w:rFonts w:ascii="Times New Roman" w:cs="Times New Roman" w:eastAsia="Times New Roman" w:hAnsi="Times New Roman"/>
          <w:b/>
          <w:bCs/>
          <w:sz w:val="24"/>
          <w:szCs w:val="24"/>
        </w:rPr>
        <w:t xml:space="preserve">doppio filtro</w:t>
      </w:r>
      <w:r>
        <w:rPr>
          <w:rFonts w:ascii="Times New Roman" w:cs="Times New Roman" w:eastAsia="Times New Roman" w:hAnsi="Times New Roman"/>
          <w:sz w:val="24"/>
          <w:szCs w:val="24"/>
        </w:rPr>
        <w:t xml:space="preserve">: prima del nome, la domanda «questo fatto è pubblico e documentato?»; prima dell'attribuzione, la domanda «questa attribuzione è stata pronunciata da un giudice?». Se la seconda risposta è no, il nome può comparire solo come soggetto di fatti, mai come predicato di colpe. È il filtro che separa la cronaca dalla calunnia, e vale doppio nella Fase quinta, dove la tentazione è massima.</w:t>
      </w:r>
    </w:p>
    <w:p>
      <w:pPr>
        <w:spacing w:after="120" w:line="276"/>
        <w:jc w:val="both"/>
      </w:pPr>
      <w:r>
        <w:rPr>
          <w:rFonts w:ascii="Times New Roman" w:cs="Times New Roman" w:eastAsia="Times New Roman" w:hAnsi="Times New Roman"/>
          <w:b/>
          <w:bCs/>
          <w:sz w:val="24"/>
          <w:szCs w:val="24"/>
        </w:rPr>
        <w:t xml:space="preserve">La disciplina della tracciabilità.</w:t>
      </w:r>
      <w:r>
        <w:rPr>
          <w:rFonts w:ascii="Times New Roman" w:cs="Times New Roman" w:eastAsia="Times New Roman" w:hAnsi="Times New Roman"/>
          <w:sz w:val="24"/>
          <w:szCs w:val="24"/>
        </w:rPr>
        <w:t xml:space="preserve"> Ogni affermazione dichiara la propria fonte e il proprio grado, così che il lettore possa rifare il cammino. La procedura è l'apparato critico — quello che segue nel capitolo cinquantaquattresimo — che rende la promessa un indice consultabile e non una dichiarazione d'intenti.</w:t>
      </w:r>
    </w:p>
    <w:p>
      <w:pPr>
        <w:pStyle w:val="Heading1"/>
        <w:spacing w:after="120" w:before="240"/>
      </w:pPr>
      <w:r>
        <w:rPr>
          <w:rFonts w:ascii="Times New Roman" w:cs="Times New Roman" w:eastAsia="Times New Roman" w:hAnsi="Times New Roman"/>
          <w:sz w:val="24"/>
          <w:szCs w:val="24"/>
        </w:rPr>
        <w:t xml:space="preserve">Capitolo cinquantatreesimo — Il confine, di nuovo: che cosa distingue la Fase quinta dalle prime quattro</w:t>
      </w:r>
    </w:p>
    <w:p>
      <w:pPr>
        <w:spacing w:after="120" w:line="276"/>
        <w:jc w:val="both"/>
      </w:pPr>
      <w:r>
        <w:rPr>
          <w:rFonts w:ascii="Times New Roman" w:cs="Times New Roman" w:eastAsia="Times New Roman" w:hAnsi="Times New Roman"/>
          <w:sz w:val="24"/>
          <w:szCs w:val="24"/>
        </w:rPr>
        <w:t xml:space="preserve">Il capitolo quarantesimo dell'opera si intitola «dove il Pollo di Popper si arresta». Vale la pena dire, con la massima precisione di cui si è capaci, che cosa accade a quel confine, perché è il punto su cui l'intera onestà dell'opera si gioca.</w:t>
      </w:r>
    </w:p>
    <w:p>
      <w:pPr>
        <w:spacing w:after="120" w:line="276"/>
        <w:jc w:val="both"/>
      </w:pPr>
      <w:r>
        <w:rPr>
          <w:rFonts w:ascii="Times New Roman" w:cs="Times New Roman" w:eastAsia="Times New Roman" w:hAnsi="Times New Roman"/>
          <w:sz w:val="24"/>
          <w:szCs w:val="24"/>
        </w:rPr>
        <w:t xml:space="preserve">Nelle prime quattro fasi l'opera fa una cosa sola: </w:t>
      </w:r>
      <w:r>
        <w:rPr>
          <w:rFonts w:ascii="Times New Roman" w:cs="Times New Roman" w:eastAsia="Times New Roman" w:hAnsi="Times New Roman"/>
          <w:b/>
          <w:bCs/>
          <w:sz w:val="24"/>
          <w:szCs w:val="24"/>
        </w:rPr>
        <w:t xml:space="preserve">stabilisce che cosa è accertato e recinta ciò che non lo è</w:t>
      </w:r>
      <w:r>
        <w:rPr>
          <w:rFonts w:ascii="Times New Roman" w:cs="Times New Roman" w:eastAsia="Times New Roman" w:hAnsi="Times New Roman"/>
          <w:sz w:val="24"/>
          <w:szCs w:val="24"/>
        </w:rPr>
        <w:t xml:space="preserve">. Dice: il sequestro e l'omicidio furono opera delle Brigate Rosse (A); vi furono omissioni e depistaggi documentati (A); la manipolazione del memoriale è probabile (B); il movente internazionale è documentato come contesto (A) e non come catena di comando (C, anzi Stato Zero quanto al mandato provato). È un lavoro di </w:t>
      </w:r>
      <w:r>
        <w:rPr>
          <w:rFonts w:ascii="Times New Roman" w:cs="Times New Roman" w:eastAsia="Times New Roman" w:hAnsi="Times New Roman"/>
          <w:i/>
          <w:iCs/>
          <w:sz w:val="24"/>
          <w:szCs w:val="24"/>
        </w:rPr>
        <w:t xml:space="preserve">delimitazione</w:t>
      </w:r>
      <w:r>
        <w:rPr>
          <w:rFonts w:ascii="Times New Roman" w:cs="Times New Roman" w:eastAsia="Times New Roman" w:hAnsi="Times New Roman"/>
          <w:sz w:val="24"/>
          <w:szCs w:val="24"/>
        </w:rPr>
        <w:t xml:space="preserve">: traccia la linea di costa fra la terra ferma del provato e il mare del non provato, e la traccia con onestà, chiamando mare il mare.</w:t>
      </w:r>
    </w:p>
    <w:p>
      <w:pPr>
        <w:spacing w:after="120" w:line="276"/>
        <w:jc w:val="both"/>
      </w:pPr>
      <w:r>
        <w:rPr>
          <w:rFonts w:ascii="Times New Roman" w:cs="Times New Roman" w:eastAsia="Times New Roman" w:hAnsi="Times New Roman"/>
          <w:sz w:val="24"/>
          <w:szCs w:val="24"/>
        </w:rPr>
        <w:t xml:space="preserve">Nella Fase quinta l'opera fa una cosa diversa: </w:t>
      </w:r>
      <w:r>
        <w:rPr>
          <w:rFonts w:ascii="Times New Roman" w:cs="Times New Roman" w:eastAsia="Times New Roman" w:hAnsi="Times New Roman"/>
          <w:b/>
          <w:bCs/>
          <w:sz w:val="24"/>
          <w:szCs w:val="24"/>
        </w:rPr>
        <w:t xml:space="preserve">naviga il mare</w:t>
      </w:r>
      <w:r>
        <w:rPr>
          <w:rFonts w:ascii="Times New Roman" w:cs="Times New Roman" w:eastAsia="Times New Roman" w:hAnsi="Times New Roman"/>
          <w:sz w:val="24"/>
          <w:szCs w:val="24"/>
        </w:rPr>
        <w:t xml:space="preserve">. Prende le ipotesi che nelle prime quattro fasi stavano allo stato del possibile, e le ordina per verosimiglianza con dieci strumenti di calcolo. È navigazione, non più cartografia della costa. E la navigazione, per quanto esperta, non produce terra ferma: produce rotte più o meno plausibili sopra un fondale che resta acqua. Il garante veglia esattamente su questo: che il lettore non scambi la rotta per la costa, la verosimiglianza per la prova, l'ordinale della graduatoria per un verdetto. La premessa garantista della Fase quinta è la carta nautica che dichiara «qui il fondale è mare»; il presidio consiste nel non lasciarla cadere.</w:t>
      </w:r>
    </w:p>
    <w:p>
      <w:pPr>
        <w:spacing w:after="120" w:line="276"/>
        <w:jc w:val="both"/>
      </w:pPr>
      <w:r>
        <w:rPr>
          <w:rFonts w:ascii="Times New Roman" w:cs="Times New Roman" w:eastAsia="Times New Roman" w:hAnsi="Times New Roman"/>
          <w:sz w:val="24"/>
          <w:szCs w:val="24"/>
        </w:rPr>
        <w:t xml:space="preserve">Detto altrimenti, e in termini dell'apparato che governa il lavoro maggiore da cui l'opera discende: le prime quattro fasi lavorano allo stato dello </w:t>
      </w:r>
      <w:r>
        <w:rPr>
          <w:rFonts w:ascii="Times New Roman" w:cs="Times New Roman" w:eastAsia="Times New Roman" w:hAnsi="Times New Roman"/>
          <w:i/>
          <w:iCs/>
          <w:sz w:val="24"/>
          <w:szCs w:val="24"/>
        </w:rPr>
        <w:t xml:space="preserve">sciolto</w:t>
      </w:r>
      <w:r>
        <w:rPr>
          <w:rFonts w:ascii="Times New Roman" w:cs="Times New Roman" w:eastAsia="Times New Roman" w:hAnsi="Times New Roman"/>
          <w:sz w:val="24"/>
          <w:szCs w:val="24"/>
        </w:rPr>
        <w:t xml:space="preserve"> e del </w:t>
      </w:r>
      <w:r>
        <w:rPr>
          <w:rFonts w:ascii="Times New Roman" w:cs="Times New Roman" w:eastAsia="Times New Roman" w:hAnsi="Times New Roman"/>
          <w:i/>
          <w:iCs/>
          <w:sz w:val="24"/>
          <w:szCs w:val="24"/>
        </w:rPr>
        <w:t xml:space="preserve">dubbio</w:t>
      </w:r>
      <w:r>
        <w:rPr>
          <w:rFonts w:ascii="Times New Roman" w:cs="Times New Roman" w:eastAsia="Times New Roman" w:hAnsi="Times New Roman"/>
          <w:sz w:val="24"/>
          <w:szCs w:val="24"/>
        </w:rPr>
        <w:t xml:space="preserve">; la Fase quinta lavora nel dubbio ma lo dispone in ordine, e l'ordine — è questa la sola avvertenza che conti — </w:t>
      </w:r>
      <w:r>
        <w:rPr>
          <w:rFonts w:ascii="Times New Roman" w:cs="Times New Roman" w:eastAsia="Times New Roman" w:hAnsi="Times New Roman"/>
          <w:b/>
          <w:bCs/>
          <w:sz w:val="24"/>
          <w:szCs w:val="24"/>
        </w:rPr>
        <w:t xml:space="preserve">non promuove il dubbio ad accertato</w:t>
      </w:r>
      <w:r>
        <w:rPr>
          <w:rFonts w:ascii="Times New Roman" w:cs="Times New Roman" w:eastAsia="Times New Roman" w:hAnsi="Times New Roman"/>
          <w:sz w:val="24"/>
          <w:szCs w:val="24"/>
        </w:rPr>
        <w:t xml:space="preserve">. Un sospetto messo al primo posto resta un sospetto: ha soltanto un numero accanto. Il numero è un aiuto alla riflessione, non un grado di prova. Chi legge il numero come prova ha infranto il patto; chi lo scrive facendo di tutto perché sia letto come prova ha infranto qualcosa di più.</w:t>
      </w:r>
    </w:p>
    <w:p>
      <w:pPr>
        <w:pStyle w:val="Heading1"/>
        <w:spacing w:after="120" w:before="240"/>
      </w:pPr>
      <w:r>
        <w:rPr>
          <w:rFonts w:ascii="Times New Roman" w:cs="Times New Roman" w:eastAsia="Times New Roman" w:hAnsi="Times New Roman"/>
          <w:sz w:val="24"/>
          <w:szCs w:val="24"/>
        </w:rPr>
        <w:t xml:space="preserve">Capitolo cinquantaquattresimo — L'apparato critico: la mappa dei gradi</w:t>
      </w:r>
    </w:p>
    <w:p>
      <w:pPr>
        <w:spacing w:after="120" w:line="276"/>
        <w:jc w:val="both"/>
      </w:pPr>
      <w:r>
        <w:rPr>
          <w:rFonts w:ascii="Times New Roman" w:cs="Times New Roman" w:eastAsia="Times New Roman" w:hAnsi="Times New Roman"/>
          <w:sz w:val="24"/>
          <w:szCs w:val="24"/>
        </w:rPr>
        <w:t xml:space="preserve">La disciplina della tracciabilità chiede un apparato. Eccolo, nella forma che l'opera consente: non una nota a piè di pagina per ciascuna riga — sarebbe illeggibile — ma una </w:t>
      </w:r>
      <w:r>
        <w:rPr>
          <w:rFonts w:ascii="Times New Roman" w:cs="Times New Roman" w:eastAsia="Times New Roman" w:hAnsi="Times New Roman"/>
          <w:b/>
          <w:bCs/>
          <w:sz w:val="24"/>
          <w:szCs w:val="24"/>
        </w:rPr>
        <w:t xml:space="preserve">mappa dei gradi</w:t>
      </w:r>
      <w:r>
        <w:rPr>
          <w:rFonts w:ascii="Times New Roman" w:cs="Times New Roman" w:eastAsia="Times New Roman" w:hAnsi="Times New Roman"/>
          <w:sz w:val="24"/>
          <w:szCs w:val="24"/>
        </w:rPr>
        <w:t xml:space="preserve"> che dichiara, per i nodi maggiori dell'intera opera, a quale livello ciascuno sta e quale documento lo terrebbe o lo abbatterebbe. È l'indice che rende le quattro discipline verificabili.</w:t>
      </w:r>
    </w:p>
    <w:p>
      <w:pPr>
        <w:spacing w:after="120" w:line="276"/>
        <w:jc w:val="both"/>
      </w:pPr>
      <w:r>
        <w:rPr>
          <w:rFonts w:ascii="Times New Roman" w:cs="Times New Roman" w:eastAsia="Times New Roman" w:hAnsi="Times New Roman"/>
          <w:b/>
          <w:bCs/>
          <w:sz w:val="24"/>
          <w:szCs w:val="24"/>
        </w:rPr>
        <w:t xml:space="preserve">Livello A — accertato (ciò che regge in giudizio e alla storiografia concorde).</w:t>
      </w:r>
      <w:r>
        <w:rPr>
          <w:rFonts w:ascii="Times New Roman" w:cs="Times New Roman" w:eastAsia="Times New Roman" w:hAnsi="Times New Roman"/>
          <w:sz w:val="24"/>
          <w:szCs w:val="24"/>
        </w:rPr>
        <w:t xml:space="preserve"> La responsabilità delle Brigate Rosse per l'agguato di via Fani, il sequestro e l'omicidio (cinque processi definitivi). L'identità dei cinque caduti della scorta. La prigionia e la sua durata. La redazione del carteggio dalla prigionia. La scelta politica della linea della fermezza. Il ritrovamento di via Gradoli il 18 aprile 1978 in seguito all'allagamento. Il doppio ritrovamento del memoriale a via Monte Nevoso (1978 e 1990). L'esistenza di omissioni, ritardi e depistaggi documentati dalle Commissioni. La formula della «verità dicibile» come conclusione della Commissione Fioroni. </w:t>
      </w:r>
      <w:r>
        <w:rPr>
          <w:rFonts w:ascii="Times New Roman" w:cs="Times New Roman" w:eastAsia="Times New Roman" w:hAnsi="Times New Roman"/>
          <w:i/>
          <w:iCs/>
          <w:sz w:val="24"/>
          <w:szCs w:val="24"/>
        </w:rPr>
        <w:t xml:space="preserve">Ciò che abbatterebbe uno di questi nodi:</w:t>
      </w:r>
      <w:r>
        <w:rPr>
          <w:rFonts w:ascii="Times New Roman" w:cs="Times New Roman" w:eastAsia="Times New Roman" w:hAnsi="Times New Roman"/>
          <w:sz w:val="24"/>
          <w:szCs w:val="24"/>
        </w:rPr>
        <w:t xml:space="preserve"> un documento coevo, esterno e autenticato di segno contrario — cercato, non trovato.</w:t>
      </w:r>
    </w:p>
    <w:p>
      <w:pPr>
        <w:spacing w:after="120" w:line="276"/>
        <w:jc w:val="both"/>
      </w:pPr>
      <w:r>
        <w:rPr>
          <w:rFonts w:ascii="Times New Roman" w:cs="Times New Roman" w:eastAsia="Times New Roman" w:hAnsi="Times New Roman"/>
          <w:b/>
          <w:bCs/>
          <w:sz w:val="24"/>
          <w:szCs w:val="24"/>
        </w:rPr>
        <w:t xml:space="preserve">Livello B — probabile (indizi seri, prova non piena).</w:t>
      </w:r>
      <w:r>
        <w:rPr>
          <w:rFonts w:ascii="Times New Roman" w:cs="Times New Roman" w:eastAsia="Times New Roman" w:hAnsi="Times New Roman"/>
          <w:sz w:val="24"/>
          <w:szCs w:val="24"/>
        </w:rPr>
        <w:t xml:space="preserve"> La manipolazione o l'incompletezza deliberata della prima versione del memoriale. Il carattere non del tutto sincero di alcune aperture di trattativa. La rilevanza operativa di singole omissioni oltre la soglia della mera inefficienza. </w:t>
      </w:r>
      <w:r>
        <w:rPr>
          <w:rFonts w:ascii="Times New Roman" w:cs="Times New Roman" w:eastAsia="Times New Roman" w:hAnsi="Times New Roman"/>
          <w:i/>
          <w:iCs/>
          <w:sz w:val="24"/>
          <w:szCs w:val="24"/>
        </w:rPr>
        <w:t xml:space="preserve">Ciò che li muoverebbe verso A o verso C:</w:t>
      </w:r>
      <w:r>
        <w:rPr>
          <w:rFonts w:ascii="Times New Roman" w:cs="Times New Roman" w:eastAsia="Times New Roman" w:hAnsi="Times New Roman"/>
          <w:sz w:val="24"/>
          <w:szCs w:val="24"/>
        </w:rPr>
        <w:t xml:space="preserve"> per il memoriale, la catena di custodia integrale delle carte; per le trattative, gli atti riservati dei canali; per le omissioni, il collegamento documentato fra una specifica ostruzione e una specifica direttiva.</w:t>
      </w:r>
    </w:p>
    <w:p>
      <w:pPr>
        <w:spacing w:after="120" w:line="276"/>
        <w:jc w:val="both"/>
      </w:pPr>
      <w:r>
        <w:rPr>
          <w:rFonts w:ascii="Times New Roman" w:cs="Times New Roman" w:eastAsia="Times New Roman" w:hAnsi="Times New Roman"/>
          <w:b/>
          <w:bCs/>
          <w:sz w:val="24"/>
          <w:szCs w:val="24"/>
        </w:rPr>
        <w:t xml:space="preserve">Livello C — possibile (compatibile coi fatti, senza prova propria).</w:t>
      </w:r>
      <w:r>
        <w:rPr>
          <w:rFonts w:ascii="Times New Roman" w:cs="Times New Roman" w:eastAsia="Times New Roman" w:hAnsi="Times New Roman"/>
          <w:sz w:val="24"/>
          <w:szCs w:val="24"/>
        </w:rPr>
        <w:t xml:space="preserve"> Le prigioni alternative o ulteriori. La lettura non innocente dell'episodio di via Gradoli e della seduta spiritica. Le regie internazionali del sequestro come catena di comando. Il mandato esterno alle Brigate Rosse. </w:t>
      </w:r>
      <w:r>
        <w:rPr>
          <w:rFonts w:ascii="Times New Roman" w:cs="Times New Roman" w:eastAsia="Times New Roman" w:hAnsi="Times New Roman"/>
          <w:i/>
          <w:iCs/>
          <w:sz w:val="24"/>
          <w:szCs w:val="24"/>
        </w:rPr>
        <w:t xml:space="preserve">Ciò che li promuoverebbe:</w:t>
      </w:r>
      <w:r>
        <w:rPr>
          <w:rFonts w:ascii="Times New Roman" w:cs="Times New Roman" w:eastAsia="Times New Roman" w:hAnsi="Times New Roman"/>
          <w:sz w:val="24"/>
          <w:szCs w:val="24"/>
        </w:rPr>
        <w:t xml:space="preserve"> per ciascuno, un documento che oggi non esiste; ed è per questo che restano possibili e non probabili.</w:t>
      </w:r>
    </w:p>
    <w:p>
      <w:pPr>
        <w:spacing w:after="120" w:line="276"/>
        <w:jc w:val="both"/>
      </w:pPr>
      <w:r>
        <w:rPr>
          <w:rFonts w:ascii="Times New Roman" w:cs="Times New Roman" w:eastAsia="Times New Roman" w:hAnsi="Times New Roman"/>
          <w:b/>
          <w:bCs/>
          <w:sz w:val="24"/>
          <w:szCs w:val="24"/>
        </w:rPr>
        <w:t xml:space="preserve">Stato Zero — cercato e non trovato (il perimetro negativo, capitolo trentanovesimo).</w:t>
      </w:r>
      <w:r>
        <w:rPr>
          <w:rFonts w:ascii="Times New Roman" w:cs="Times New Roman" w:eastAsia="Times New Roman" w:hAnsi="Times New Roman"/>
          <w:sz w:val="24"/>
          <w:szCs w:val="24"/>
        </w:rPr>
        <w:t xml:space="preserve"> Il documento che provi l'eterodirezione del sequestro. Il documento che leghi Kissinger-persona, o qualunque apparato straniero nominato, alla catena di comando del delitto. Il documento che provi l'isomorfismo fra le reti anticomuniste evocate e la struttura operativa del sequestro. Questi non sono dubbi: sono ricerche condotte e chiuse in negativo, e vanno dichiarate con la stessa forza dei Livelli A, perché un'assenza accertata è essa stessa una conoscenza.</w:t>
      </w:r>
    </w:p>
    <w:p>
      <w:pPr>
        <w:spacing w:after="120" w:line="276"/>
        <w:jc w:val="both"/>
      </w:pPr>
      <w:r>
        <w:rPr>
          <w:rFonts w:ascii="Times New Roman" w:cs="Times New Roman" w:eastAsia="Times New Roman" w:hAnsi="Times New Roman"/>
          <w:sz w:val="24"/>
          <w:szCs w:val="24"/>
        </w:rPr>
        <w:t xml:space="preserve">Questa mappa non chiude il caso. Fa una cosa più modesta e più utile: consente al lettore di sapere, in ogni punto dell'opera, su che cosa poggia i piedi. È la forma minuta dell'onestà, ed è l'unica che, in questa materia, non tradisca.</w:t>
      </w:r>
    </w:p>
    <w:p>
      <w:pPr>
        <w:pStyle w:val="Heading1"/>
        <w:spacing w:after="120" w:before="240"/>
      </w:pPr>
      <w:r>
        <w:rPr>
          <w:rFonts w:ascii="Times New Roman" w:cs="Times New Roman" w:eastAsia="Times New Roman" w:hAnsi="Times New Roman"/>
          <w:sz w:val="24"/>
          <w:szCs w:val="24"/>
        </w:rPr>
        <w:t xml:space="preserve">Capitolo cinquantacinquesimo — Congedo del garante</w:t>
      </w:r>
    </w:p>
    <w:p>
      <w:pPr>
        <w:spacing w:after="120" w:line="276"/>
        <w:jc w:val="both"/>
      </w:pPr>
      <w:r>
        <w:rPr>
          <w:rFonts w:ascii="Times New Roman" w:cs="Times New Roman" w:eastAsia="Times New Roman" w:hAnsi="Times New Roman"/>
          <w:sz w:val="24"/>
          <w:szCs w:val="24"/>
        </w:rPr>
        <w:t xml:space="preserve">L'opera aveva già il suo congedo, al capitolo cinquantesimo. Questo è il congedo di chi è venuto dopo per vegliare sul confine, e sarà breve, perché il garante che parla troppo tradisce la propria funzione.</w:t>
      </w:r>
    </w:p>
    <w:p>
      <w:pPr>
        <w:spacing w:after="120" w:line="276"/>
        <w:jc w:val="both"/>
      </w:pPr>
      <w:r>
        <w:rPr>
          <w:rFonts w:ascii="Times New Roman" w:cs="Times New Roman" w:eastAsia="Times New Roman" w:hAnsi="Times New Roman"/>
          <w:sz w:val="24"/>
          <w:szCs w:val="24"/>
        </w:rPr>
        <w:t xml:space="preserve">Si è detto, all'inizio di questa fase, che i nomi vivono più a lungo delle cautele. È la ragione per cui esiste, nel diritto e nella civiltà che ne discende, la presunzione d'innocenza: non perché si creda innocenti tutti, ma perché si sa che il marchio, una volta impresso fuori dal processo, non ha chi lo tolga. Un'opera che tratti il caso Moro con l'onestà che questa dichiara e in gran parte pratica ha, verso questa verità, un dovere particolare — perché il caso Moro è, fra le altre cose, la storia di ciò che accade quando la ragion di Stato si arroga il diritto di decidere della vita di un uomo fuori dalle regole. Ripetere quel gesto sul piano del giudizio storico, condannando fuori dal processo, sarebbe la più involontaria e la più amara delle ironie.</w:t>
      </w:r>
    </w:p>
    <w:p>
      <w:pPr>
        <w:spacing w:after="120" w:line="276"/>
        <w:jc w:val="both"/>
      </w:pPr>
      <w:r>
        <w:rPr>
          <w:rFonts w:ascii="Times New Roman" w:cs="Times New Roman" w:eastAsia="Times New Roman" w:hAnsi="Times New Roman"/>
          <w:sz w:val="24"/>
          <w:szCs w:val="24"/>
        </w:rPr>
        <w:t xml:space="preserve">L'epigrafe dell'opera dice che è l'ignoranza a creare la violenza. Il garante aggiunge, congedandosi, la sola postilla che gli competa: che anche la certezza senza prova è una forma d'ignoranza, e che la disciplina del dubbio — tenere il fascicolo aperto, dichiarare i gradi, nominare le assenze, rispettare i viventi — non è debolezza della conoscenza ma la sua forma adulta. L'opera che si è letta ha cinquanta capitoli e una vasta ambizione; il garante le chiede una cosa sola, e gliela lascia come si lascia un testimone: che il solco fra le sue prime quattro fasi e la quinta resti visibile a chiunque, per sempre, e che nessun lettore possa mai, in buona fede, scambiare una rotta tracciata sull'acqua per la terra ferma su cui l'opera, nella sua parte migliore, ha davvero camminato.</w:t>
      </w:r>
    </w:p>
    <w:p>
      <w:pPr>
        <w:spacing w:after="120" w:line="276"/>
        <w:jc w:val="both"/>
      </w:pPr>
      <w:r>
        <w:rPr>
          <w:rFonts w:ascii="Times New Roman" w:cs="Times New Roman" w:eastAsia="Times New Roman" w:hAnsi="Times New Roman"/>
          <w:sz w:val="24"/>
          <w:szCs w:val="24"/>
        </w:rPr>
        <w:t xml:space="preserve">Qui il garante si congeda. Il fascicolo, come deve, resta aperto.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Fase sesta dell'opera «Aldo Moro — Una guerra senza fine», continuazione originale dell'edizione in cinquanta capitoli. Non riproduce il testo dell'opera e non nomina alcuna persona come responsabile di reato oltre il giudicato definitivo. Le affermazioni presentate come fatti sono di Livello A; il resto è dichiarato probabile, possibile o Stato Zero. I riscontri (Commissione Fioroni; ritrovamenti di via Monte Nevoso 1978 e 1990; via Gradoli; dinamica di via Fani) sono ancorati agli atti parlamentari e alla documentazione pubblica. Per gli aspetti che toccano persone viventi vale la disciplina di riservatezza dell'apparato Italia Nera.</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Fase settima — Il registro giudiziario e il vaglio della Commissione Moro 2</w:t>
      </w:r>
    </w:p>
    <w:p>
      <w:pPr>
        <w:spacing w:after="120" w:line="276"/>
        <w:jc w:val="both"/>
      </w:pPr>
      <w:r>
        <w:rPr>
          <w:rFonts w:ascii="Times New Roman" w:cs="Times New Roman" w:eastAsia="Times New Roman" w:hAnsi="Times New Roman"/>
          <w:i/>
          <w:iCs/>
          <w:sz w:val="24"/>
          <w:szCs w:val="24"/>
        </w:rPr>
        <w:t xml:space="preserve">Ampliamento dell'opera — 25 agosto 2026 · Capitoli 56-61</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della Fase settima.</w:t>
      </w:r>
      <w:r>
        <w:rPr>
          <w:rFonts w:ascii="Times New Roman" w:cs="Times New Roman" w:eastAsia="Times New Roman" w:hAnsi="Times New Roman"/>
          <w:i w:val="false"/>
          <w:iCs w:val="false"/>
          <w:sz w:val="24"/>
          <w:szCs w:val="24"/>
        </w:rPr>
        <w:t xml:space="preserve"> Le Parti precedenti hanno lavorato per temi (Parte terza, il dossier delle questioni aperte) e per metodo (Fase sesta, l'apparato dei gradi). Manca a questa architettura lo </w:t>
      </w:r>
      <w:r>
        <w:rPr>
          <w:rFonts w:ascii="Times New Roman" w:cs="Times New Roman" w:eastAsia="Times New Roman" w:hAnsi="Times New Roman"/>
          <w:b/>
          <w:bCs/>
          <w:i w:val="false"/>
          <w:iCs w:val="false"/>
          <w:sz w:val="24"/>
          <w:szCs w:val="24"/>
        </w:rPr>
        <w:t xml:space="preserve">strato che le regge entrambe da sotto</w:t>
      </w:r>
      <w:r>
        <w:rPr>
          <w:rFonts w:ascii="Times New Roman" w:cs="Times New Roman" w:eastAsia="Times New Roman" w:hAnsi="Times New Roman"/>
          <w:i w:val="false"/>
          <w:iCs w:val="false"/>
          <w:sz w:val="24"/>
          <w:szCs w:val="24"/>
        </w:rPr>
        <w:t xml:space="preserve">: quello </w:t>
      </w:r>
      <w:r>
        <w:rPr>
          <w:rFonts w:ascii="Times New Roman" w:cs="Times New Roman" w:eastAsia="Times New Roman" w:hAnsi="Times New Roman"/>
          <w:b/>
          <w:bCs/>
          <w:i w:val="false"/>
          <w:iCs w:val="false"/>
          <w:sz w:val="24"/>
          <w:szCs w:val="24"/>
        </w:rPr>
        <w:t xml:space="preserve">giudiziario e istruttorio</w:t>
      </w:r>
      <w:r>
        <w:rPr>
          <w:rFonts w:ascii="Times New Roman" w:cs="Times New Roman" w:eastAsia="Times New Roman" w:hAnsi="Times New Roman"/>
          <w:i w:val="false"/>
          <w:iCs w:val="false"/>
          <w:sz w:val="24"/>
          <w:szCs w:val="24"/>
        </w:rPr>
        <w:t xml:space="preserve">. Questa Fase lo aggiunge. Prende come spina i </w:t>
      </w:r>
      <w:r>
        <w:rPr>
          <w:rFonts w:ascii="Times New Roman" w:cs="Times New Roman" w:eastAsia="Times New Roman" w:hAnsi="Times New Roman"/>
          <w:b/>
          <w:bCs/>
          <w:i w:val="false"/>
          <w:iCs w:val="false"/>
          <w:sz w:val="24"/>
          <w:szCs w:val="24"/>
        </w:rPr>
        <w:t xml:space="preserve">cinque processi Moro</w:t>
      </w:r>
      <w:r>
        <w:rPr>
          <w:rFonts w:ascii="Times New Roman" w:cs="Times New Roman" w:eastAsia="Times New Roman" w:hAnsi="Times New Roman"/>
          <w:i w:val="false"/>
          <w:iCs w:val="false"/>
          <w:sz w:val="24"/>
          <w:szCs w:val="24"/>
        </w:rPr>
        <w:t xml:space="preserve"> e le </w:t>
      </w:r>
      <w:r>
        <w:rPr>
          <w:rFonts w:ascii="Times New Roman" w:cs="Times New Roman" w:eastAsia="Times New Roman" w:hAnsi="Times New Roman"/>
          <w:b/>
          <w:bCs/>
          <w:i w:val="false"/>
          <w:iCs w:val="false"/>
          <w:sz w:val="24"/>
          <w:szCs w:val="24"/>
        </w:rPr>
        <w:t xml:space="preserve">due Commissioni parlamentari d'inchiesta</w:t>
      </w:r>
      <w:r>
        <w:rPr>
          <w:rFonts w:ascii="Times New Roman" w:cs="Times New Roman" w:eastAsia="Times New Roman" w:hAnsi="Times New Roman"/>
          <w:i w:val="false"/>
          <w:iCs w:val="false"/>
          <w:sz w:val="24"/>
          <w:szCs w:val="24"/>
        </w:rPr>
        <w:t xml:space="preserve"> e stabilisce, per ciascuna delle questioni aperte già trattate, che cosa è </w:t>
      </w:r>
      <w:r>
        <w:rPr>
          <w:rFonts w:ascii="Times New Roman" w:cs="Times New Roman" w:eastAsia="Times New Roman" w:hAnsi="Times New Roman"/>
          <w:b/>
          <w:bCs/>
          <w:i w:val="false"/>
          <w:iCs w:val="false"/>
          <w:sz w:val="24"/>
          <w:szCs w:val="24"/>
        </w:rPr>
        <w:t xml:space="preserve">passato in giudicato</w:t>
      </w:r>
      <w:r>
        <w:rPr>
          <w:rFonts w:ascii="Times New Roman" w:cs="Times New Roman" w:eastAsia="Times New Roman" w:hAnsi="Times New Roman"/>
          <w:i w:val="false"/>
          <w:iCs w:val="false"/>
          <w:sz w:val="24"/>
          <w:szCs w:val="24"/>
        </w:rPr>
        <w:t xml:space="preserve"> (grado A, il più alto: fatto accertato con sentenza definitiva), che cosa è stato </w:t>
      </w:r>
      <w:r>
        <w:rPr>
          <w:rFonts w:ascii="Times New Roman" w:cs="Times New Roman" w:eastAsia="Times New Roman" w:hAnsi="Times New Roman"/>
          <w:b/>
          <w:bCs/>
          <w:i w:val="false"/>
          <w:iCs w:val="false"/>
          <w:sz w:val="24"/>
          <w:szCs w:val="24"/>
        </w:rPr>
        <w:t xml:space="preserve">accertato in sede parlamentare</w:t>
      </w:r>
      <w:r>
        <w:rPr>
          <w:rFonts w:ascii="Times New Roman" w:cs="Times New Roman" w:eastAsia="Times New Roman" w:hAnsi="Times New Roman"/>
          <w:i w:val="false"/>
          <w:iCs w:val="false"/>
          <w:sz w:val="24"/>
          <w:szCs w:val="24"/>
        </w:rPr>
        <w:t xml:space="preserve"> dalla Commissione Moro 2 (2014-2017) — che è documentazione seria ma </w:t>
      </w:r>
      <w:r>
        <w:rPr>
          <w:rFonts w:ascii="Times New Roman" w:cs="Times New Roman" w:eastAsia="Times New Roman" w:hAnsi="Times New Roman"/>
          <w:b/>
          <w:bCs/>
          <w:i w:val="false"/>
          <w:iCs w:val="false"/>
          <w:sz w:val="24"/>
          <w:szCs w:val="24"/>
        </w:rPr>
        <w:t xml:space="preserve">non giudiziaria</w:t>
      </w:r>
      <w:r>
        <w:rPr>
          <w:rFonts w:ascii="Times New Roman" w:cs="Times New Roman" w:eastAsia="Times New Roman" w:hAnsi="Times New Roman"/>
          <w:i w:val="false"/>
          <w:iCs w:val="false"/>
          <w:sz w:val="24"/>
          <w:szCs w:val="24"/>
        </w:rPr>
        <w:t xml:space="preserve">, e quindi grado B —, e che cosa resta </w:t>
      </w:r>
      <w:r>
        <w:rPr>
          <w:rFonts w:ascii="Times New Roman" w:cs="Times New Roman" w:eastAsia="Times New Roman" w:hAnsi="Times New Roman"/>
          <w:b/>
          <w:bCs/>
          <w:i w:val="false"/>
          <w:iCs w:val="false"/>
          <w:sz w:val="24"/>
          <w:szCs w:val="24"/>
        </w:rPr>
        <w:t xml:space="preserve">congettura</w:t>
      </w:r>
      <w:r>
        <w:rPr>
          <w:rFonts w:ascii="Times New Roman" w:cs="Times New Roman" w:eastAsia="Times New Roman" w:hAnsi="Times New Roman"/>
          <w:i w:val="false"/>
          <w:iCs w:val="false"/>
          <w:sz w:val="24"/>
          <w:szCs w:val="24"/>
        </w:rPr>
        <w:t xml:space="preserve"> (grado C).  Una distinzione governa ogni riga, ed è la stessa che governa tutto il corpus: </w:t>
      </w:r>
      <w:r>
        <w:rPr>
          <w:rFonts w:ascii="Times New Roman" w:cs="Times New Roman" w:eastAsia="Times New Roman" w:hAnsi="Times New Roman"/>
          <w:b/>
          <w:bCs/>
          <w:i w:val="false"/>
          <w:iCs w:val="false"/>
          <w:sz w:val="24"/>
          <w:szCs w:val="24"/>
        </w:rPr>
        <w:t xml:space="preserve">una Commissione parlamentare non è un tribunale.</w:t>
      </w:r>
      <w:r>
        <w:rPr>
          <w:rFonts w:ascii="Times New Roman" w:cs="Times New Roman" w:eastAsia="Times New Roman" w:hAnsi="Times New Roman"/>
          <w:i w:val="false"/>
          <w:iCs w:val="false"/>
          <w:sz w:val="24"/>
          <w:szCs w:val="24"/>
        </w:rPr>
        <w:t xml:space="preserve"> Accerta fatti sul piano storico-politico, non stabilisce responsabilità penali; le sue conclusioni pesano molto sul piano della verità storica e nulla sul piano dell'imputazione. Perciò qui, come sempre, </w:t>
      </w:r>
      <w:r>
        <w:rPr>
          <w:rFonts w:ascii="Times New Roman" w:cs="Times New Roman" w:eastAsia="Times New Roman" w:hAnsi="Times New Roman"/>
          <w:b/>
          <w:bCs/>
          <w:i w:val="false"/>
          <w:iCs w:val="false"/>
          <w:sz w:val="24"/>
          <w:szCs w:val="24"/>
        </w:rPr>
        <w:t xml:space="preserve">nessuno è nominato come responsabile al di là del giudicato</w:t>
      </w:r>
      <w:r>
        <w:rPr>
          <w:rFonts w:ascii="Times New Roman" w:cs="Times New Roman" w:eastAsia="Times New Roman" w:hAnsi="Times New Roman"/>
          <w:i w:val="false"/>
          <w:iCs w:val="false"/>
          <w:sz w:val="24"/>
          <w:szCs w:val="24"/>
        </w:rPr>
        <w:t xml:space="preserve">, e ciò che i brigatisti hanno ammesso o si sono visti attribuire da sentenza definitiva si cita come tale — perché è tale.</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Capitolo cinquantaseiesimo — I cinque processi Moro: la spina del giudicato</w:t>
      </w:r>
    </w:p>
    <w:p>
      <w:pPr>
        <w:spacing w:after="120" w:line="276"/>
        <w:jc w:val="both"/>
      </w:pPr>
      <w:r>
        <w:rPr>
          <w:rFonts w:ascii="Times New Roman" w:cs="Times New Roman" w:eastAsia="Times New Roman" w:hAnsi="Times New Roman"/>
          <w:sz w:val="24"/>
          <w:szCs w:val="24"/>
        </w:rPr>
        <w:t xml:space="preserve">Il caso Moro non ha avuto un processo, ne ha avuti </w:t>
      </w:r>
      <w:r>
        <w:rPr>
          <w:rFonts w:ascii="Times New Roman" w:cs="Times New Roman" w:eastAsia="Times New Roman" w:hAnsi="Times New Roman"/>
          <w:b/>
          <w:bCs/>
          <w:sz w:val="24"/>
          <w:szCs w:val="24"/>
        </w:rPr>
        <w:t xml:space="preserve">cinque</w:t>
      </w:r>
      <w:r>
        <w:rPr>
          <w:rFonts w:ascii="Times New Roman" w:cs="Times New Roman" w:eastAsia="Times New Roman" w:hAnsi="Times New Roman"/>
          <w:sz w:val="24"/>
          <w:szCs w:val="24"/>
        </w:rPr>
        <w:t xml:space="preserve">, celebrati nell'arco di vent'anni: Moro </w:t>
      </w:r>
      <w:r>
        <w:rPr>
          <w:rFonts w:ascii="Times New Roman" w:cs="Times New Roman" w:eastAsia="Times New Roman" w:hAnsi="Times New Roman"/>
          <w:b/>
          <w:bCs/>
          <w:sz w:val="24"/>
          <w:szCs w:val="24"/>
        </w:rPr>
        <w:t xml:space="preserve">uno</w:t>
      </w:r>
      <w:r>
        <w:rPr>
          <w:rFonts w:ascii="Times New Roman" w:cs="Times New Roman" w:eastAsia="Times New Roman" w:hAnsi="Times New Roman"/>
          <w:sz w:val="24"/>
          <w:szCs w:val="24"/>
        </w:rPr>
        <w:t xml:space="preserve"> (il grande processo alle Brigate Rosse, 1982-1983), Moro </w:t>
      </w:r>
      <w:r>
        <w:rPr>
          <w:rFonts w:ascii="Times New Roman" w:cs="Times New Roman" w:eastAsia="Times New Roman" w:hAnsi="Times New Roman"/>
          <w:b/>
          <w:bCs/>
          <w:sz w:val="24"/>
          <w:szCs w:val="24"/>
        </w:rPr>
        <w:t xml:space="preserve">bis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quater</w:t>
      </w:r>
      <w:r>
        <w:rPr>
          <w:rFonts w:ascii="Times New Roman" w:cs="Times New Roman" w:eastAsia="Times New Roman" w:hAnsi="Times New Roman"/>
          <w:sz w:val="24"/>
          <w:szCs w:val="24"/>
        </w:rPr>
        <w:t xml:space="preserve"> e </w:t>
      </w:r>
      <w:r>
        <w:rPr>
          <w:rFonts w:ascii="Times New Roman" w:cs="Times New Roman" w:eastAsia="Times New Roman" w:hAnsi="Times New Roman"/>
          <w:b/>
          <w:bCs/>
          <w:sz w:val="24"/>
          <w:szCs w:val="24"/>
        </w:rPr>
        <w:t xml:space="preserve">quinquies</w:t>
      </w:r>
      <w:r>
        <w:rPr>
          <w:rFonts w:ascii="Times New Roman" w:cs="Times New Roman" w:eastAsia="Times New Roman" w:hAnsi="Times New Roman"/>
          <w:sz w:val="24"/>
          <w:szCs w:val="24"/>
        </w:rPr>
        <w:t xml:space="preserve">. Questa stratificazione è essa stessa un dato: la verità giudiziaria del caso si è depositata </w:t>
      </w:r>
      <w:r>
        <w:rPr>
          <w:rFonts w:ascii="Times New Roman" w:cs="Times New Roman" w:eastAsia="Times New Roman" w:hAnsi="Times New Roman"/>
          <w:b/>
          <w:bCs/>
          <w:sz w:val="24"/>
          <w:szCs w:val="24"/>
        </w:rPr>
        <w:t xml:space="preserve">per sedimentazione</w:t>
      </w:r>
      <w:r>
        <w:rPr>
          <w:rFonts w:ascii="Times New Roman" w:cs="Times New Roman" w:eastAsia="Times New Roman" w:hAnsi="Times New Roman"/>
          <w:sz w:val="24"/>
          <w:szCs w:val="24"/>
        </w:rPr>
        <w:t xml:space="preserve">, non in un'unica sentenza, e ogni processo ha chiuso alcune questioni riaprendone altre.</w:t>
      </w:r>
    </w:p>
    <w:p>
      <w:pPr>
        <w:spacing w:after="120" w:line="276"/>
        <w:jc w:val="both"/>
      </w:pPr>
      <w:r>
        <w:rPr>
          <w:rFonts w:ascii="Times New Roman" w:cs="Times New Roman" w:eastAsia="Times New Roman" w:hAnsi="Times New Roman"/>
          <w:sz w:val="24"/>
          <w:szCs w:val="24"/>
        </w:rPr>
        <w:t xml:space="preserve">Ciò che i cinque processi hanno stabilito, in via definitiva e dunque </w:t>
      </w:r>
      <w:r>
        <w:rPr>
          <w:rFonts w:ascii="Times New Roman" w:cs="Times New Roman" w:eastAsia="Times New Roman" w:hAnsi="Times New Roman"/>
          <w:b/>
          <w:bCs/>
          <w:sz w:val="24"/>
          <w:szCs w:val="24"/>
        </w:rPr>
        <w:t xml:space="preserve">al grado A</w:t>
      </w:r>
      <w:r>
        <w:rPr>
          <w:rFonts w:ascii="Times New Roman" w:cs="Times New Roman" w:eastAsia="Times New Roman" w:hAnsi="Times New Roman"/>
          <w:sz w:val="24"/>
          <w:szCs w:val="24"/>
        </w:rPr>
        <w:t xml:space="preserve">, è l'ossatura fattuale del sequestro: che </w:t>
      </w:r>
      <w:r>
        <w:rPr>
          <w:rFonts w:ascii="Times New Roman" w:cs="Times New Roman" w:eastAsia="Times New Roman" w:hAnsi="Times New Roman"/>
          <w:b/>
          <w:bCs/>
          <w:sz w:val="24"/>
          <w:szCs w:val="24"/>
        </w:rPr>
        <w:t xml:space="preserve">le Brigate Rosse</w:t>
      </w:r>
      <w:r>
        <w:rPr>
          <w:rFonts w:ascii="Times New Roman" w:cs="Times New Roman" w:eastAsia="Times New Roman" w:hAnsi="Times New Roman"/>
          <w:sz w:val="24"/>
          <w:szCs w:val="24"/>
        </w:rPr>
        <w:t xml:space="preserve"> organizzarono ed eseguirono l'agguato di via Fani (16 marzo 1978), la prigionia e l'uccisione di Aldo Moro (9 maggio 1978); che </w:t>
      </w:r>
      <w:r>
        <w:rPr>
          <w:rFonts w:ascii="Times New Roman" w:cs="Times New Roman" w:eastAsia="Times New Roman" w:hAnsi="Times New Roman"/>
          <w:b/>
          <w:bCs/>
          <w:sz w:val="24"/>
          <w:szCs w:val="24"/>
        </w:rPr>
        <w:t xml:space="preserve">Mario Moretti</w:t>
      </w:r>
      <w:r>
        <w:rPr>
          <w:rFonts w:ascii="Times New Roman" w:cs="Times New Roman" w:eastAsia="Times New Roman" w:hAnsi="Times New Roman"/>
          <w:sz w:val="24"/>
          <w:szCs w:val="24"/>
        </w:rPr>
        <w:t xml:space="preserve"> diresse l'operazione e — per sua stessa ammissione, poi recepita dal giudicato — fu l'esecutore materiale; che il commando di via Fani comprese, fra gli altri, </w:t>
      </w:r>
      <w:r>
        <w:rPr>
          <w:rFonts w:ascii="Times New Roman" w:cs="Times New Roman" w:eastAsia="Times New Roman" w:hAnsi="Times New Roman"/>
          <w:b/>
          <w:bCs/>
          <w:sz w:val="24"/>
          <w:szCs w:val="24"/>
        </w:rPr>
        <w:t xml:space="preserve">Valerio Morucci, Adriana Faranda, Raffaele Fiore, Prospero Gallinari, Franco Bonisoli, Barbara Balzerani</w:t>
      </w:r>
      <w:r>
        <w:rPr>
          <w:rFonts w:ascii="Times New Roman" w:cs="Times New Roman" w:eastAsia="Times New Roman" w:hAnsi="Times New Roman"/>
          <w:sz w:val="24"/>
          <w:szCs w:val="24"/>
        </w:rPr>
        <w:t xml:space="preserve">; che nel processo </w:t>
      </w:r>
      <w:r>
        <w:rPr>
          <w:rFonts w:ascii="Times New Roman" w:cs="Times New Roman" w:eastAsia="Times New Roman" w:hAnsi="Times New Roman"/>
          <w:b/>
          <w:bCs/>
          <w:sz w:val="24"/>
          <w:szCs w:val="24"/>
        </w:rPr>
        <w:t xml:space="preserve">Moro quater</w:t>
      </w:r>
      <w:r>
        <w:rPr>
          <w:rFonts w:ascii="Times New Roman" w:cs="Times New Roman" w:eastAsia="Times New Roman" w:hAnsi="Times New Roman"/>
          <w:sz w:val="24"/>
          <w:szCs w:val="24"/>
        </w:rPr>
        <w:t xml:space="preserve"> (primo grado 1994, Cassazione 14 maggio 1997) fu accertata la responsabilità di </w:t>
      </w:r>
      <w:r>
        <w:rPr>
          <w:rFonts w:ascii="Times New Roman" w:cs="Times New Roman" w:eastAsia="Times New Roman" w:hAnsi="Times New Roman"/>
          <w:b/>
          <w:bCs/>
          <w:sz w:val="24"/>
          <w:szCs w:val="24"/>
        </w:rPr>
        <w:t xml:space="preserve">Alvaro Lojacono</w:t>
      </w:r>
      <w:r>
        <w:rPr>
          <w:rFonts w:ascii="Times New Roman" w:cs="Times New Roman" w:eastAsia="Times New Roman" w:hAnsi="Times New Roman"/>
          <w:sz w:val="24"/>
          <w:szCs w:val="24"/>
        </w:rPr>
        <w:t xml:space="preserve"> per l'intero arco 16 marzo-9 maggio; che nel </w:t>
      </w:r>
      <w:r>
        <w:rPr>
          <w:rFonts w:ascii="Times New Roman" w:cs="Times New Roman" w:eastAsia="Times New Roman" w:hAnsi="Times New Roman"/>
          <w:b/>
          <w:bCs/>
          <w:sz w:val="24"/>
          <w:szCs w:val="24"/>
        </w:rPr>
        <w:t xml:space="preserve">Moro quinquies</w:t>
      </w:r>
      <w:r>
        <w:rPr>
          <w:rFonts w:ascii="Times New Roman" w:cs="Times New Roman" w:eastAsia="Times New Roman" w:hAnsi="Times New Roman"/>
          <w:sz w:val="24"/>
          <w:szCs w:val="24"/>
        </w:rPr>
        <w:t xml:space="preserve"> (primo grado 16 luglio 1996, definitivo 1999) fu accertata quella di </w:t>
      </w:r>
      <w:r>
        <w:rPr>
          <w:rFonts w:ascii="Times New Roman" w:cs="Times New Roman" w:eastAsia="Times New Roman" w:hAnsi="Times New Roman"/>
          <w:b/>
          <w:bCs/>
          <w:sz w:val="24"/>
          <w:szCs w:val="24"/>
        </w:rPr>
        <w:t xml:space="preserve">Germano Maccari</w:t>
      </w:r>
      <w:r>
        <w:rPr>
          <w:rFonts w:ascii="Times New Roman" w:cs="Times New Roman" w:eastAsia="Times New Roman" w:hAnsi="Times New Roman"/>
          <w:sz w:val="24"/>
          <w:szCs w:val="24"/>
        </w:rPr>
        <w:t xml:space="preserve"> — il «quarto uomo» del covo di via Montalcini — e di Raimondo Etro (Questione Giustizia, «Il caso Moro. Per un'analisi delle sentenze» (https://www.questionegiustizia.it/articolo/il-caso-moro-per-un-analisi-delle-sentenze-parte-prima); Wikipedia, </w:t>
      </w:r>
      <w:r>
        <w:rPr>
          <w:rFonts w:ascii="Times New Roman" w:cs="Times New Roman" w:eastAsia="Times New Roman" w:hAnsi="Times New Roman"/>
          <w:i/>
          <w:iCs/>
          <w:sz w:val="24"/>
          <w:szCs w:val="24"/>
        </w:rPr>
        <w:t xml:space="preserve">Caso Moro</w:t>
      </w:r>
      <w:r>
        <w:rPr>
          <w:rFonts w:ascii="Times New Roman" w:cs="Times New Roman" w:eastAsia="Times New Roman" w:hAnsi="Times New Roman"/>
          <w:sz w:val="24"/>
          <w:szCs w:val="24"/>
        </w:rPr>
        <w:t xml:space="preserve"> (https://it.wikipedia.org/wiki/Caso_Moro)).</w:t>
      </w:r>
    </w:p>
    <w:p>
      <w:pPr>
        <w:spacing w:after="120" w:line="276"/>
        <w:jc w:val="both"/>
      </w:pPr>
      <w:r>
        <w:rPr>
          <w:rFonts w:ascii="Times New Roman" w:cs="Times New Roman" w:eastAsia="Times New Roman" w:hAnsi="Times New Roman"/>
          <w:sz w:val="24"/>
          <w:szCs w:val="24"/>
        </w:rPr>
        <w:t xml:space="preserve">Questo è il </w:t>
      </w:r>
      <w:r>
        <w:rPr>
          <w:rFonts w:ascii="Times New Roman" w:cs="Times New Roman" w:eastAsia="Times New Roman" w:hAnsi="Times New Roman"/>
          <w:b/>
          <w:bCs/>
          <w:sz w:val="24"/>
          <w:szCs w:val="24"/>
        </w:rPr>
        <w:t xml:space="preserve">pavimento</w:t>
      </w:r>
      <w:r>
        <w:rPr>
          <w:rFonts w:ascii="Times New Roman" w:cs="Times New Roman" w:eastAsia="Times New Roman" w:hAnsi="Times New Roman"/>
          <w:sz w:val="24"/>
          <w:szCs w:val="24"/>
        </w:rPr>
        <w:t xml:space="preserve"> del caso: sotto questa soglia non si scende, perché è giudicato. Chi voglia sostenere qualcosa di diverso da ciò che i cinque processi hanno accertato deve portare prove almeno pari a quelle su cui quelle sentenze si fondano. È la prima applicazione della disciplina della Fase sesta: </w:t>
      </w:r>
      <w:r>
        <w:rPr>
          <w:rFonts w:ascii="Times New Roman" w:cs="Times New Roman" w:eastAsia="Times New Roman" w:hAnsi="Times New Roman"/>
          <w:b/>
          <w:bCs/>
          <w:sz w:val="24"/>
          <w:szCs w:val="24"/>
        </w:rPr>
        <w:t xml:space="preserve">il giudicato è il punto d'appoggio, non un'opinione fra le altre.</w:t>
      </w:r>
    </w:p>
    <w:p>
      <w:pPr>
        <w:pStyle w:val="Heading1"/>
        <w:spacing w:after="120" w:before="240"/>
      </w:pPr>
      <w:r>
        <w:rPr>
          <w:rFonts w:ascii="Times New Roman" w:cs="Times New Roman" w:eastAsia="Times New Roman" w:hAnsi="Times New Roman"/>
          <w:sz w:val="24"/>
          <w:szCs w:val="24"/>
        </w:rPr>
        <w:t xml:space="preserve">Capitolo cinquantasettesimo — Le due Commissioni: che cosa aggiunge un'inchiesta parlamentare, e con che peso</w:t>
      </w:r>
    </w:p>
    <w:p>
      <w:pPr>
        <w:spacing w:after="120" w:line="276"/>
        <w:jc w:val="both"/>
      </w:pPr>
      <w:r>
        <w:rPr>
          <w:rFonts w:ascii="Times New Roman" w:cs="Times New Roman" w:eastAsia="Times New Roman" w:hAnsi="Times New Roman"/>
          <w:sz w:val="24"/>
          <w:szCs w:val="24"/>
        </w:rPr>
        <w:t xml:space="preserve">Accanto ai processi corrono due </w:t>
      </w:r>
      <w:r>
        <w:rPr>
          <w:rFonts w:ascii="Times New Roman" w:cs="Times New Roman" w:eastAsia="Times New Roman" w:hAnsi="Times New Roman"/>
          <w:b/>
          <w:bCs/>
          <w:sz w:val="24"/>
          <w:szCs w:val="24"/>
        </w:rPr>
        <w:t xml:space="preserve">Commissioni parlamentari d'inchiesta</w:t>
      </w:r>
      <w:r>
        <w:rPr>
          <w:rFonts w:ascii="Times New Roman" w:cs="Times New Roman" w:eastAsia="Times New Roman" w:hAnsi="Times New Roman"/>
          <w:sz w:val="24"/>
          <w:szCs w:val="24"/>
        </w:rPr>
        <w:t xml:space="preserve">: la prima (1979-1983, la «Commissione Moro» propriamente detta, poi confluita nella Commissione Stragi) e la seconda, la </w:t>
      </w:r>
      <w:r>
        <w:rPr>
          <w:rFonts w:ascii="Times New Roman" w:cs="Times New Roman" w:eastAsia="Times New Roman" w:hAnsi="Times New Roman"/>
          <w:b/>
          <w:bCs/>
          <w:sz w:val="24"/>
          <w:szCs w:val="24"/>
        </w:rPr>
        <w:t xml:space="preserve">Commissione Moro 2</w:t>
      </w:r>
      <w:r>
        <w:rPr>
          <w:rFonts w:ascii="Times New Roman" w:cs="Times New Roman" w:eastAsia="Times New Roman" w:hAnsi="Times New Roman"/>
          <w:sz w:val="24"/>
          <w:szCs w:val="24"/>
        </w:rPr>
        <w:t xml:space="preserve">, istituita con la </w:t>
      </w:r>
      <w:r>
        <w:rPr>
          <w:rFonts w:ascii="Times New Roman" w:cs="Times New Roman" w:eastAsia="Times New Roman" w:hAnsi="Times New Roman"/>
          <w:b/>
          <w:bCs/>
          <w:sz w:val="24"/>
          <w:szCs w:val="24"/>
        </w:rPr>
        <w:t xml:space="preserve">legge 30 maggio 2014, n. 82</w:t>
      </w:r>
      <w:r>
        <w:rPr>
          <w:rFonts w:ascii="Times New Roman" w:cs="Times New Roman" w:eastAsia="Times New Roman" w:hAnsi="Times New Roman"/>
          <w:sz w:val="24"/>
          <w:szCs w:val="24"/>
        </w:rPr>
        <w:t xml:space="preserve">, costituita il 2 ottobre 2014 sotto la presidenza di </w:t>
      </w:r>
      <w:r>
        <w:rPr>
          <w:rFonts w:ascii="Times New Roman" w:cs="Times New Roman" w:eastAsia="Times New Roman" w:hAnsi="Times New Roman"/>
          <w:b/>
          <w:bCs/>
          <w:sz w:val="24"/>
          <w:szCs w:val="24"/>
        </w:rPr>
        <w:t xml:space="preserve">Giuseppe Fioroni</w:t>
      </w:r>
      <w:r>
        <w:rPr>
          <w:rFonts w:ascii="Times New Roman" w:cs="Times New Roman" w:eastAsia="Times New Roman" w:hAnsi="Times New Roman"/>
          <w:sz w:val="24"/>
          <w:szCs w:val="24"/>
        </w:rPr>
        <w:t xml:space="preserve">, e conclusa con la relazione finale (Doc. XXIII, n. 29) approvata il </w:t>
      </w:r>
      <w:r>
        <w:rPr>
          <w:rFonts w:ascii="Times New Roman" w:cs="Times New Roman" w:eastAsia="Times New Roman" w:hAnsi="Times New Roman"/>
          <w:b/>
          <w:bCs/>
          <w:sz w:val="24"/>
          <w:szCs w:val="24"/>
        </w:rPr>
        <w:t xml:space="preserve">6 dicembre 2017</w:t>
      </w:r>
      <w:r>
        <w:rPr>
          <w:rFonts w:ascii="Times New Roman" w:cs="Times New Roman" w:eastAsia="Times New Roman" w:hAnsi="Times New Roman"/>
          <w:sz w:val="24"/>
          <w:szCs w:val="24"/>
        </w:rPr>
        <w:t xml:space="preserve"> (Archivio storico della Camera (https://archivio.camera.it/patrimonio/main-page/commissione-parlamentare-inchiesta-sul-rapimento-e-sulla-morte-aldo-moro-2014-2018); inchieste.camera.it/moro (https://inchieste.camera.it/moro/home.html?leg=17&amp;legLabel=XVII+legislatura)).</w:t>
      </w:r>
    </w:p>
    <w:p>
      <w:pPr>
        <w:spacing w:after="120" w:line="276"/>
        <w:jc w:val="both"/>
      </w:pPr>
      <w:r>
        <w:rPr>
          <w:rFonts w:ascii="Times New Roman" w:cs="Times New Roman" w:eastAsia="Times New Roman" w:hAnsi="Times New Roman"/>
          <w:sz w:val="24"/>
          <w:szCs w:val="24"/>
        </w:rPr>
        <w:t xml:space="preserve">Il peso probatorio di una Commissione va enunciato con esattezza, perché è la chiave di tutta la Fase. Una Commissione d'inchiesta ha, per Costituzione (art. 82), «gli stessi poteri e le stesse limitazioni dell'autorità giudiziaria» quanto agli </w:t>
      </w:r>
      <w:r>
        <w:rPr>
          <w:rFonts w:ascii="Times New Roman" w:cs="Times New Roman" w:eastAsia="Times New Roman" w:hAnsi="Times New Roman"/>
          <w:b/>
          <w:bCs/>
          <w:sz w:val="24"/>
          <w:szCs w:val="24"/>
        </w:rPr>
        <w:t xml:space="preserve">strumenti</w:t>
      </w:r>
      <w:r>
        <w:rPr>
          <w:rFonts w:ascii="Times New Roman" w:cs="Times New Roman" w:eastAsia="Times New Roman" w:hAnsi="Times New Roman"/>
          <w:sz w:val="24"/>
          <w:szCs w:val="24"/>
        </w:rPr>
        <w:t xml:space="preserve"> — può convocare, acquisire, disporre perizie —, ma </w:t>
      </w:r>
      <w:r>
        <w:rPr>
          <w:rFonts w:ascii="Times New Roman" w:cs="Times New Roman" w:eastAsia="Times New Roman" w:hAnsi="Times New Roman"/>
          <w:b/>
          <w:bCs/>
          <w:sz w:val="24"/>
          <w:szCs w:val="24"/>
        </w:rPr>
        <w:t xml:space="preserve">non ha la funzione del giudice</w:t>
      </w:r>
      <w:r>
        <w:rPr>
          <w:rFonts w:ascii="Times New Roman" w:cs="Times New Roman" w:eastAsia="Times New Roman" w:hAnsi="Times New Roman"/>
          <w:sz w:val="24"/>
          <w:szCs w:val="24"/>
        </w:rPr>
        <w:t xml:space="preserve">: non emette sentenze, non accerta responsabilità penali, non condanna né assolve. Ciò che produce è una </w:t>
      </w:r>
      <w:r>
        <w:rPr>
          <w:rFonts w:ascii="Times New Roman" w:cs="Times New Roman" w:eastAsia="Times New Roman" w:hAnsi="Times New Roman"/>
          <w:b/>
          <w:bCs/>
          <w:sz w:val="24"/>
          <w:szCs w:val="24"/>
        </w:rPr>
        <w:t xml:space="preserve">verità storico-politica documentata</w:t>
      </w:r>
      <w:r>
        <w:rPr>
          <w:rFonts w:ascii="Times New Roman" w:cs="Times New Roman" w:eastAsia="Times New Roman" w:hAnsi="Times New Roman"/>
          <w:sz w:val="24"/>
          <w:szCs w:val="24"/>
        </w:rPr>
        <w:t xml:space="preserve">, di grande autorità e di nessun effetto penale. Nel nostro apparato dei gradi essa occupa perciò un livello preciso: </w:t>
      </w:r>
      <w:r>
        <w:rPr>
          <w:rFonts w:ascii="Times New Roman" w:cs="Times New Roman" w:eastAsia="Times New Roman" w:hAnsi="Times New Roman"/>
          <w:b/>
          <w:bCs/>
          <w:sz w:val="24"/>
          <w:szCs w:val="24"/>
        </w:rPr>
        <w:t xml:space="preserve">grado B</w:t>
      </w:r>
      <w:r>
        <w:rPr>
          <w:rFonts w:ascii="Times New Roman" w:cs="Times New Roman" w:eastAsia="Times New Roman" w:hAnsi="Times New Roman"/>
          <w:sz w:val="24"/>
          <w:szCs w:val="24"/>
        </w:rPr>
        <w:t xml:space="preserve"> — più della congettura, meno del giudicato. I suoi accertamenti si citano come «la Commissione ha documentato che…», mai come «è provato in giudizio che…».</w:t>
      </w:r>
    </w:p>
    <w:p>
      <w:pPr>
        <w:spacing w:after="120" w:line="276"/>
        <w:jc w:val="both"/>
      </w:pPr>
      <w:r>
        <w:rPr>
          <w:rFonts w:ascii="Times New Roman" w:cs="Times New Roman" w:eastAsia="Times New Roman" w:hAnsi="Times New Roman"/>
          <w:sz w:val="24"/>
          <w:szCs w:val="24"/>
        </w:rPr>
        <w:t xml:space="preserve">La Commissione Moro 2 ha approvato </w:t>
      </w:r>
      <w:r>
        <w:rPr>
          <w:rFonts w:ascii="Times New Roman" w:cs="Times New Roman" w:eastAsia="Times New Roman" w:hAnsi="Times New Roman"/>
          <w:b/>
          <w:bCs/>
          <w:sz w:val="24"/>
          <w:szCs w:val="24"/>
        </w:rPr>
        <w:t xml:space="preserve">tre relazioni</w:t>
      </w:r>
      <w:r>
        <w:rPr>
          <w:rFonts w:ascii="Times New Roman" w:cs="Times New Roman" w:eastAsia="Times New Roman" w:hAnsi="Times New Roman"/>
          <w:sz w:val="24"/>
          <w:szCs w:val="24"/>
        </w:rPr>
        <w:t xml:space="preserve">; la sua eredità non è una nuova verità sostitutiva di quella dei processi, ma un </w:t>
      </w:r>
      <w:r>
        <w:rPr>
          <w:rFonts w:ascii="Times New Roman" w:cs="Times New Roman" w:eastAsia="Times New Roman" w:hAnsi="Times New Roman"/>
          <w:b/>
          <w:bCs/>
          <w:sz w:val="24"/>
          <w:szCs w:val="24"/>
        </w:rPr>
        <w:t xml:space="preserve">fascio di accertamenti puntuali</w:t>
      </w:r>
      <w:r>
        <w:rPr>
          <w:rFonts w:ascii="Times New Roman" w:cs="Times New Roman" w:eastAsia="Times New Roman" w:hAnsi="Times New Roman"/>
          <w:sz w:val="24"/>
          <w:szCs w:val="24"/>
        </w:rPr>
        <w:t xml:space="preserve"> che riaprono, su base documentale, alcuni dei nodi che la Parte terza aveva lasciati aperti. I capitoli seguenti li recepiscono uno per uno, con il loro grado.</w:t>
      </w:r>
    </w:p>
    <w:p>
      <w:pPr>
        <w:pStyle w:val="Heading1"/>
        <w:spacing w:after="120" w:before="240"/>
      </w:pPr>
      <w:r>
        <w:rPr>
          <w:rFonts w:ascii="Times New Roman" w:cs="Times New Roman" w:eastAsia="Times New Roman" w:hAnsi="Times New Roman"/>
          <w:sz w:val="24"/>
          <w:szCs w:val="24"/>
        </w:rPr>
        <w:t xml:space="preserve">Capitolo cinquantottesimo — Via Fani rivisitata: le due moto, i quattro «centauri», i testimoni mai sentiti</w:t>
      </w:r>
    </w:p>
    <w:p>
      <w:pPr>
        <w:spacing w:after="120" w:line="276"/>
        <w:jc w:val="both"/>
      </w:pPr>
      <w:r>
        <w:rPr>
          <w:rFonts w:ascii="Times New Roman" w:cs="Times New Roman" w:eastAsia="Times New Roman" w:hAnsi="Times New Roman"/>
          <w:sz w:val="24"/>
          <w:szCs w:val="24"/>
        </w:rPr>
        <w:t xml:space="preserve">La Parte terza (cap. III) aveva registrato, sulla dinamica di via Fani, uno scarto fra la ricostruzione processuale e le testimonianze superstiti. La Commissione Moro 2 ha lavorato </w:t>
      </w:r>
      <w:r>
        <w:rPr>
          <w:rFonts w:ascii="Times New Roman" w:cs="Times New Roman" w:eastAsia="Times New Roman" w:hAnsi="Times New Roman"/>
          <w:b/>
          <w:bCs/>
          <w:sz w:val="24"/>
          <w:szCs w:val="24"/>
        </w:rPr>
        <w:t xml:space="preserve">proprio su questo scarto</w:t>
      </w:r>
      <w:r>
        <w:rPr>
          <w:rFonts w:ascii="Times New Roman" w:cs="Times New Roman" w:eastAsia="Times New Roman" w:hAnsi="Times New Roman"/>
          <w:sz w:val="24"/>
          <w:szCs w:val="24"/>
        </w:rPr>
        <w:t xml:space="preserve">, e i suoi accertamenti vanno collocati con precisione al </w:t>
      </w:r>
      <w:r>
        <w:rPr>
          <w:rFonts w:ascii="Times New Roman" w:cs="Times New Roman" w:eastAsia="Times New Roman" w:hAnsi="Times New Roman"/>
          <w:b/>
          <w:bCs/>
          <w:sz w:val="24"/>
          <w:szCs w:val="24"/>
        </w:rPr>
        <w:t xml:space="preserve">grado B</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La Commissione ha ritenuto </w:t>
      </w:r>
      <w:r>
        <w:rPr>
          <w:rFonts w:ascii="Times New Roman" w:cs="Times New Roman" w:eastAsia="Times New Roman" w:hAnsi="Times New Roman"/>
          <w:b/>
          <w:bCs/>
          <w:sz w:val="24"/>
          <w:szCs w:val="24"/>
        </w:rPr>
        <w:t xml:space="preserve">da approfondire la presenza di due motociclette</w:t>
      </w:r>
      <w:r>
        <w:rPr>
          <w:rFonts w:ascii="Times New Roman" w:cs="Times New Roman" w:eastAsia="Times New Roman" w:hAnsi="Times New Roman"/>
          <w:sz w:val="24"/>
          <w:szCs w:val="24"/>
        </w:rPr>
        <w:t xml:space="preserve"> in via Fani — non una — con un totale di </w:t>
      </w:r>
      <w:r>
        <w:rPr>
          <w:rFonts w:ascii="Times New Roman" w:cs="Times New Roman" w:eastAsia="Times New Roman" w:hAnsi="Times New Roman"/>
          <w:b/>
          <w:bCs/>
          <w:sz w:val="24"/>
          <w:szCs w:val="24"/>
        </w:rPr>
        <w:t xml:space="preserve">quattro persone</w:t>
      </w:r>
      <w:r>
        <w:rPr>
          <w:rFonts w:ascii="Times New Roman" w:cs="Times New Roman" w:eastAsia="Times New Roman" w:hAnsi="Times New Roman"/>
          <w:sz w:val="24"/>
          <w:szCs w:val="24"/>
        </w:rPr>
        <w:t xml:space="preserve"> a bordo («centauri»): una moto nella parte alta della via, in fuga verso via Stresa, l'altra attardatasi sul luogo dell'agguato (Il Messaggero, «In via Fani due moto» (https://www.ilmessaggero.it/primo_piano/cronaca/caso_moro_commissione_via_fani_moto_indagini_sui_4_centauri-1401478.html)). Ha inoltre </w:t>
      </w:r>
      <w:r>
        <w:rPr>
          <w:rFonts w:ascii="Times New Roman" w:cs="Times New Roman" w:eastAsia="Times New Roman" w:hAnsi="Times New Roman"/>
          <w:b/>
          <w:bCs/>
          <w:sz w:val="24"/>
          <w:szCs w:val="24"/>
        </w:rPr>
        <w:t xml:space="preserve">audito due testimoni oculari mai sentiti prima</w:t>
      </w:r>
      <w:r>
        <w:rPr>
          <w:rFonts w:ascii="Times New Roman" w:cs="Times New Roman" w:eastAsia="Times New Roman" w:hAnsi="Times New Roman"/>
          <w:sz w:val="24"/>
          <w:szCs w:val="24"/>
        </w:rPr>
        <w:t xml:space="preserve"> in quarant'anni: </w:t>
      </w:r>
      <w:r>
        <w:rPr>
          <w:rFonts w:ascii="Times New Roman" w:cs="Times New Roman" w:eastAsia="Times New Roman" w:hAnsi="Times New Roman"/>
          <w:b/>
          <w:bCs/>
          <w:sz w:val="24"/>
          <w:szCs w:val="24"/>
        </w:rPr>
        <w:t xml:space="preserve">Giovanni De Chiara</w:t>
      </w:r>
      <w:r>
        <w:rPr>
          <w:rFonts w:ascii="Times New Roman" w:cs="Times New Roman" w:eastAsia="Times New Roman" w:hAnsi="Times New Roman"/>
          <w:sz w:val="24"/>
          <w:szCs w:val="24"/>
        </w:rPr>
        <w:t xml:space="preserve">, residente in via Fani 106, e l'ingegner </w:t>
      </w:r>
      <w:r>
        <w:rPr>
          <w:rFonts w:ascii="Times New Roman" w:cs="Times New Roman" w:eastAsia="Times New Roman" w:hAnsi="Times New Roman"/>
          <w:b/>
          <w:bCs/>
          <w:sz w:val="24"/>
          <w:szCs w:val="24"/>
        </w:rPr>
        <w:t xml:space="preserve">Alessandro Marini</w:t>
      </w:r>
      <w:r>
        <w:rPr>
          <w:rFonts w:ascii="Times New Roman" w:cs="Times New Roman" w:eastAsia="Times New Roman" w:hAnsi="Times New Roman"/>
          <w:sz w:val="24"/>
          <w:szCs w:val="24"/>
        </w:rPr>
        <w:t xml:space="preserve">, che riferì di una </w:t>
      </w:r>
      <w:r>
        <w:rPr>
          <w:rFonts w:ascii="Times New Roman" w:cs="Times New Roman" w:eastAsia="Times New Roman" w:hAnsi="Times New Roman"/>
          <w:b/>
          <w:bCs/>
          <w:sz w:val="24"/>
          <w:szCs w:val="24"/>
        </w:rPr>
        <w:t xml:space="preserve">motocicletta Honda</w:t>
      </w:r>
      <w:r>
        <w:rPr>
          <w:rFonts w:ascii="Times New Roman" w:cs="Times New Roman" w:eastAsia="Times New Roman" w:hAnsi="Times New Roman"/>
          <w:sz w:val="24"/>
          <w:szCs w:val="24"/>
        </w:rPr>
        <w:t xml:space="preserve"> e di colpi esplosi nella sua direzione (relazione Moro 2, sintesi stampa (https://www.ilfattoquotidiano.it/2017/12/12/commissione-moro-cio-che-abbiamo-saputo-finora-e-una-verita-dicibile-servi-chiudere-la-stagione-del-terrorismo/4033574/)).</w:t>
      </w:r>
    </w:p>
    <w:p>
      <w:pPr>
        <w:spacing w:after="120" w:line="276"/>
        <w:jc w:val="both"/>
      </w:pPr>
      <w:r>
        <w:rPr>
          <w:rFonts w:ascii="Times New Roman" w:cs="Times New Roman" w:eastAsia="Times New Roman" w:hAnsi="Times New Roman"/>
          <w:sz w:val="24"/>
          <w:szCs w:val="24"/>
        </w:rPr>
        <w:t xml:space="preserve">Il grado di queste acquisizioni va tenuto fermo, in entrambe le direzioni. </w:t>
      </w:r>
      <w:r>
        <w:rPr>
          <w:rFonts w:ascii="Times New Roman" w:cs="Times New Roman" w:eastAsia="Times New Roman" w:hAnsi="Times New Roman"/>
          <w:b/>
          <w:bCs/>
          <w:sz w:val="24"/>
          <w:szCs w:val="24"/>
        </w:rPr>
        <w:t xml:space="preserve">Non è giudicato</w:t>
      </w:r>
      <w:r>
        <w:rPr>
          <w:rFonts w:ascii="Times New Roman" w:cs="Times New Roman" w:eastAsia="Times New Roman" w:hAnsi="Times New Roman"/>
          <w:sz w:val="24"/>
          <w:szCs w:val="24"/>
        </w:rPr>
        <w:t xml:space="preserve">: nessuna sentenza ha stabilito che a via Fani vi fossero due moto e quattro centauri estranei al commando BR accertato, e la Commissione stessa parla di elementi «da approfondire», non di fatti provati. </w:t>
      </w:r>
      <w:r>
        <w:rPr>
          <w:rFonts w:ascii="Times New Roman" w:cs="Times New Roman" w:eastAsia="Times New Roman" w:hAnsi="Times New Roman"/>
          <w:b/>
          <w:bCs/>
          <w:sz w:val="24"/>
          <w:szCs w:val="24"/>
        </w:rPr>
        <w:t xml:space="preserve">Ma non è neppure fantasia</w:t>
      </w:r>
      <w:r>
        <w:rPr>
          <w:rFonts w:ascii="Times New Roman" w:cs="Times New Roman" w:eastAsia="Times New Roman" w:hAnsi="Times New Roman"/>
          <w:sz w:val="24"/>
          <w:szCs w:val="24"/>
        </w:rPr>
        <w:t xml:space="preserve">: sono testimonianze oculari raccolte da un organo dello Stato sotto giuramento, e la loro esistenza è essa stessa un fatto. Il criterio di smentita, coerentemente, è preciso: la ricostruzione delle «due moto» cadrebbe se una perizia balistica o una testimonianza dirimente riconducesse tutti i colpi e tutti i mezzi al commando già giudicato. Finché ciò non avviene, </w:t>
      </w:r>
      <w:r>
        <w:rPr>
          <w:rFonts w:ascii="Times New Roman" w:cs="Times New Roman" w:eastAsia="Times New Roman" w:hAnsi="Times New Roman"/>
          <w:b/>
          <w:bCs/>
          <w:sz w:val="24"/>
          <w:szCs w:val="24"/>
        </w:rPr>
        <w:t xml:space="preserve">la questione è aperta al grado B</w:t>
      </w:r>
      <w:r>
        <w:rPr>
          <w:rFonts w:ascii="Times New Roman" w:cs="Times New Roman" w:eastAsia="Times New Roman" w:hAnsi="Times New Roman"/>
          <w:sz w:val="24"/>
          <w:szCs w:val="24"/>
        </w:rPr>
        <w:t xml:space="preserve">: documentata come acquisizione parlamentare, non promossa a verità processuale. È esattamente ciò che la disciplina impone — né il silenzio scettico, né il salto dietrologico.</w:t>
      </w:r>
    </w:p>
    <w:p>
      <w:pPr>
        <w:pStyle w:val="Heading1"/>
        <w:spacing w:after="120" w:before="240"/>
      </w:pPr>
      <w:r>
        <w:rPr>
          <w:rFonts w:ascii="Times New Roman" w:cs="Times New Roman" w:eastAsia="Times New Roman" w:hAnsi="Times New Roman"/>
          <w:sz w:val="24"/>
          <w:szCs w:val="24"/>
        </w:rPr>
        <w:t xml:space="preserve">Capitolo cinquantanovesimo — Il Memoriale Morucci e la «verità dicibile»: la Commissione fa propria la formula del corpus</w:t>
      </w:r>
    </w:p>
    <w:p>
      <w:pPr>
        <w:spacing w:after="120" w:line="276"/>
        <w:jc w:val="both"/>
      </w:pPr>
      <w:r>
        <w:rPr>
          <w:rFonts w:ascii="Times New Roman" w:cs="Times New Roman" w:eastAsia="Times New Roman" w:hAnsi="Times New Roman"/>
          <w:sz w:val="24"/>
          <w:szCs w:val="24"/>
        </w:rPr>
        <w:t xml:space="preserve">La Parte terza (cap. X) aveva usato l'espressione «verità dicibile» come chiave critica: ciò che di un caso può essere reso pubblico senza scardinare gli equilibri che quel caso aveva minacciato. La Fase settima registra un fatto notevole: </w:t>
      </w:r>
      <w:r>
        <w:rPr>
          <w:rFonts w:ascii="Times New Roman" w:cs="Times New Roman" w:eastAsia="Times New Roman" w:hAnsi="Times New Roman"/>
          <w:b/>
          <w:bCs/>
          <w:sz w:val="24"/>
          <w:szCs w:val="24"/>
        </w:rPr>
        <w:t xml:space="preserve">quella formula non è del corpus, è della Commissione stessa.</w:t>
      </w:r>
      <w:r>
        <w:rPr>
          <w:rFonts w:ascii="Times New Roman" w:cs="Times New Roman" w:eastAsia="Times New Roman" w:hAnsi="Times New Roman"/>
          <w:sz w:val="24"/>
          <w:szCs w:val="24"/>
        </w:rPr>
        <w:t xml:space="preserve"> Nella presentazione della relazione, la Commissione Moro 2 ha qualificato quanto si era saputo fino ad allora come una «</w:t>
      </w:r>
      <w:r>
        <w:rPr>
          <w:rFonts w:ascii="Times New Roman" w:cs="Times New Roman" w:eastAsia="Times New Roman" w:hAnsi="Times New Roman"/>
          <w:b/>
          <w:bCs/>
          <w:sz w:val="24"/>
          <w:szCs w:val="24"/>
        </w:rPr>
        <w:t xml:space="preserve">verità dicibile</w:t>
      </w:r>
      <w:r>
        <w:rPr>
          <w:rFonts w:ascii="Times New Roman" w:cs="Times New Roman" w:eastAsia="Times New Roman" w:hAnsi="Times New Roman"/>
          <w:sz w:val="24"/>
          <w:szCs w:val="24"/>
        </w:rPr>
        <w:t xml:space="preserve">», che «servì a chiudere la stagione del terrorismo» (Il Fatto Quotidiano, 12 dicembre 2017 (https://www.ilfattoquotidiano.it/2017/12/12/commissione-moro-cio-che-abbiamo-saputo-finora-e-una-verita-dicibile-servi-chiudere-la-stagione-del-terrorismo/4033574/)). Che un organo parlamentare adoperi quel lessico è, di per sé, un dato di grado B sulla natura della verità disponibile.</w:t>
      </w:r>
    </w:p>
    <w:p>
      <w:pPr>
        <w:spacing w:after="120" w:line="276"/>
        <w:jc w:val="both"/>
      </w:pPr>
      <w:r>
        <w:rPr>
          <w:rFonts w:ascii="Times New Roman" w:cs="Times New Roman" w:eastAsia="Times New Roman" w:hAnsi="Times New Roman"/>
          <w:sz w:val="24"/>
          <w:szCs w:val="24"/>
        </w:rPr>
        <w:t xml:space="preserve">Il punto d'appoggio documentale della formula è il </w:t>
      </w:r>
      <w:r>
        <w:rPr>
          <w:rFonts w:ascii="Times New Roman" w:cs="Times New Roman" w:eastAsia="Times New Roman" w:hAnsi="Times New Roman"/>
          <w:b/>
          <w:bCs/>
          <w:sz w:val="24"/>
          <w:szCs w:val="24"/>
        </w:rPr>
        <w:t xml:space="preserve">Memoriale Morucci</w:t>
      </w:r>
      <w:r>
        <w:rPr>
          <w:rFonts w:ascii="Times New Roman" w:cs="Times New Roman" w:eastAsia="Times New Roman" w:hAnsi="Times New Roman"/>
          <w:sz w:val="24"/>
          <w:szCs w:val="24"/>
        </w:rPr>
        <w:t xml:space="preserve">. La Commissione ha accertato che il cosiddetto Memoriale — a lungo trattato come confessione spontanea e definitiva del brigatista — fu in realtà «</w:t>
      </w:r>
      <w:r>
        <w:rPr>
          <w:rFonts w:ascii="Times New Roman" w:cs="Times New Roman" w:eastAsia="Times New Roman" w:hAnsi="Times New Roman"/>
          <w:b/>
          <w:bCs/>
          <w:sz w:val="24"/>
          <w:szCs w:val="24"/>
        </w:rPr>
        <w:t xml:space="preserve">il risultato di una collaborazione sviluppatasi lungo gli anni Ottanta</w:t>
      </w:r>
      <w:r>
        <w:rPr>
          <w:rFonts w:ascii="Times New Roman" w:cs="Times New Roman" w:eastAsia="Times New Roman" w:hAnsi="Times New Roman"/>
          <w:sz w:val="24"/>
          <w:szCs w:val="24"/>
        </w:rPr>
        <w:t xml:space="preserve">» fra Morucci e Faranda, apparati dello Stato e altre figure, fra cui magistrati inquirenti, il SISDE, esponenti politici e una religiosa inviata da Cossiga (relazione Moro 2 (https://www.ilfattoquotidiano.it/2017/12/12/commissione-moro-cio-che-abbiamo-saputo-finora-e-una-verita-dicibile-servi-chiudere-la-stagione-del-terrorismo/4033574/)). Il grado dell'accertamento è B, ma la sua portata è considerevole: significa che </w:t>
      </w:r>
      <w:r>
        <w:rPr>
          <w:rFonts w:ascii="Times New Roman" w:cs="Times New Roman" w:eastAsia="Times New Roman" w:hAnsi="Times New Roman"/>
          <w:b/>
          <w:bCs/>
          <w:sz w:val="24"/>
          <w:szCs w:val="24"/>
        </w:rPr>
        <w:t xml:space="preserve">la principale fonte narrativa interna sul sequestro non è un dato grezzo, ma un testo negoziato</w:t>
      </w:r>
      <w:r>
        <w:rPr>
          <w:rFonts w:ascii="Times New Roman" w:cs="Times New Roman" w:eastAsia="Times New Roman" w:hAnsi="Times New Roman"/>
          <w:sz w:val="24"/>
          <w:szCs w:val="24"/>
        </w:rPr>
        <w:t xml:space="preserve"> — non falso, ma costruito, e costruito con il concorso delle stesse istituzioni che il testo doveva rassicurare.</w:t>
      </w:r>
    </w:p>
    <w:p>
      <w:pPr>
        <w:spacing w:after="120" w:line="276"/>
        <w:jc w:val="both"/>
      </w:pPr>
      <w:r>
        <w:rPr>
          <w:rFonts w:ascii="Times New Roman" w:cs="Times New Roman" w:eastAsia="Times New Roman" w:hAnsi="Times New Roman"/>
          <w:sz w:val="24"/>
          <w:szCs w:val="24"/>
        </w:rPr>
        <w:t xml:space="preserve">Qui la Fase settima raccorda la storia al metodo. La Fase sesta aveva enunciato il divieto di scambiare una fonte per un fatto; la Commissione Moro 2 ne dà, sul Memoriale, la conferma documentale: </w:t>
      </w:r>
      <w:r>
        <w:rPr>
          <w:rFonts w:ascii="Times New Roman" w:cs="Times New Roman" w:eastAsia="Times New Roman" w:hAnsi="Times New Roman"/>
          <w:b/>
          <w:bCs/>
          <w:sz w:val="24"/>
          <w:szCs w:val="24"/>
        </w:rPr>
        <w:t xml:space="preserve">una fonte gestita politicamente va usata sapendo che è tale.</w:t>
      </w:r>
      <w:r>
        <w:rPr>
          <w:rFonts w:ascii="Times New Roman" w:cs="Times New Roman" w:eastAsia="Times New Roman" w:hAnsi="Times New Roman"/>
          <w:sz w:val="24"/>
          <w:szCs w:val="24"/>
        </w:rPr>
        <w:t xml:space="preserve"> Non la si getta via — resta la ricostruzione interna più dettagliata di cui disponiamo — ma la si legge con la consapevolezza della sua genesi. È la differenza, ancora una volta, fra il documento e il documentato.</w:t>
      </w:r>
    </w:p>
    <w:p>
      <w:pPr>
        <w:pStyle w:val="Heading1"/>
        <w:spacing w:after="120" w:before="240"/>
      </w:pPr>
      <w:r>
        <w:rPr>
          <w:rFonts w:ascii="Times New Roman" w:cs="Times New Roman" w:eastAsia="Times New Roman" w:hAnsi="Times New Roman"/>
          <w:sz w:val="24"/>
          <w:szCs w:val="24"/>
        </w:rPr>
        <w:t xml:space="preserve">Capitolo sessantesimo — Il nodo del 18 aprile, e ciò che la Commissione non ha sciolto</w:t>
      </w:r>
    </w:p>
    <w:p>
      <w:pPr>
        <w:spacing w:after="120" w:line="276"/>
        <w:jc w:val="both"/>
      </w:pPr>
      <w:r>
        <w:rPr>
          <w:rFonts w:ascii="Times New Roman" w:cs="Times New Roman" w:eastAsia="Times New Roman" w:hAnsi="Times New Roman"/>
          <w:sz w:val="24"/>
          <w:szCs w:val="24"/>
        </w:rPr>
        <w:t xml:space="preserve">Un'inchiesta si giudica anche da ciò che lascia insoluto, e da ciò che sceglie di non affrontare. La critica più seria mossa alla Commissione Moro 2 è di essersi concentrata «</w:t>
      </w:r>
      <w:r>
        <w:rPr>
          <w:rFonts w:ascii="Times New Roman" w:cs="Times New Roman" w:eastAsia="Times New Roman" w:hAnsi="Times New Roman"/>
          <w:b/>
          <w:bCs/>
          <w:sz w:val="24"/>
          <w:szCs w:val="24"/>
        </w:rPr>
        <w:t xml:space="preserve">quasi solo sull'agguato di via Fani, senza affrontare il nodo del 18 aprile</w:t>
      </w:r>
      <w:r>
        <w:rPr>
          <w:rFonts w:ascii="Times New Roman" w:cs="Times New Roman" w:eastAsia="Times New Roman" w:hAnsi="Times New Roman"/>
          <w:sz w:val="24"/>
          <w:szCs w:val="24"/>
        </w:rPr>
        <w:t xml:space="preserve">»: la scoperta del covo di </w:t>
      </w:r>
      <w:r>
        <w:rPr>
          <w:rFonts w:ascii="Times New Roman" w:cs="Times New Roman" w:eastAsia="Times New Roman" w:hAnsi="Times New Roman"/>
          <w:b/>
          <w:bCs/>
          <w:sz w:val="24"/>
          <w:szCs w:val="24"/>
        </w:rPr>
        <w:t xml:space="preserve">via Gradoli</w:t>
      </w:r>
      <w:r>
        <w:rPr>
          <w:rFonts w:ascii="Times New Roman" w:cs="Times New Roman" w:eastAsia="Times New Roman" w:hAnsi="Times New Roman"/>
          <w:sz w:val="24"/>
          <w:szCs w:val="24"/>
        </w:rPr>
        <w:t xml:space="preserve"> e il </w:t>
      </w:r>
      <w:r>
        <w:rPr>
          <w:rFonts w:ascii="Times New Roman" w:cs="Times New Roman" w:eastAsia="Times New Roman" w:hAnsi="Times New Roman"/>
          <w:b/>
          <w:bCs/>
          <w:sz w:val="24"/>
          <w:szCs w:val="24"/>
        </w:rPr>
        <w:t xml:space="preserve">falso comunicato del lago della Duchessa</w:t>
      </w:r>
      <w:r>
        <w:rPr>
          <w:rFonts w:ascii="Times New Roman" w:cs="Times New Roman" w:eastAsia="Times New Roman" w:hAnsi="Times New Roman"/>
          <w:sz w:val="24"/>
          <w:szCs w:val="24"/>
        </w:rPr>
        <w:t xml:space="preserve"> (sintesi critica sulla relazione (https://ristretti.org/index.php?option=com_content&amp;view=article&amp;id=84929)). La Parte terza aveva dedicato a via Gradoli e alla «seduta spiritica» il proprio capitolo V; la Fase settima registra che, su quel nodo, </w:t>
      </w:r>
      <w:r>
        <w:rPr>
          <w:rFonts w:ascii="Times New Roman" w:cs="Times New Roman" w:eastAsia="Times New Roman" w:hAnsi="Times New Roman"/>
          <w:b/>
          <w:bCs/>
          <w:sz w:val="24"/>
          <w:szCs w:val="24"/>
        </w:rPr>
        <w:t xml:space="preserve">la Commissione Moro 2 non ha prodotto un accertamento risolutivo</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Questo è un dato prezioso, e va enunciato senza piegarlo. Non significa che dietro il 18 aprile «ci sia» qualcosa che la Commissione avrebbe nascosto — sarebbe un salto al grado C mascherato da rilievo procedurale. Significa una cosa più sobria e più solida: che </w:t>
      </w:r>
      <w:r>
        <w:rPr>
          <w:rFonts w:ascii="Times New Roman" w:cs="Times New Roman" w:eastAsia="Times New Roman" w:hAnsi="Times New Roman"/>
          <w:b/>
          <w:bCs/>
          <w:sz w:val="24"/>
          <w:szCs w:val="24"/>
        </w:rPr>
        <w:t xml:space="preserve">la questione di via Gradoli resta, dopo la Commissione Moro 2, al grado in cui la Parte terza l'aveva lasciata</w:t>
      </w:r>
      <w:r>
        <w:rPr>
          <w:rFonts w:ascii="Times New Roman" w:cs="Times New Roman" w:eastAsia="Times New Roman" w:hAnsi="Times New Roman"/>
          <w:sz w:val="24"/>
          <w:szCs w:val="24"/>
        </w:rPr>
        <w:t xml:space="preserve"> — aperta, non chiarita, e non chiarita nemmeno dall'ultimo e più recente sforzo istituzionale. Il criterio di smentita del capitolo V resta quello: la coincidenza fra la «seduta spiritica» e l'indirizzo reale del covo attende ancora una spiegazione documentale che né i processi né le due Commissioni hanno fornito. La Fase settima non la fornisce: la </w:t>
      </w:r>
      <w:r>
        <w:rPr>
          <w:rFonts w:ascii="Times New Roman" w:cs="Times New Roman" w:eastAsia="Times New Roman" w:hAnsi="Times New Roman"/>
          <w:b/>
          <w:bCs/>
          <w:sz w:val="24"/>
          <w:szCs w:val="24"/>
        </w:rPr>
        <w:t xml:space="preserve">certifica come tuttora mancante</w:t>
      </w:r>
      <w:r>
        <w:rPr>
          <w:rFonts w:ascii="Times New Roman" w:cs="Times New Roman" w:eastAsia="Times New Roman" w:hAnsi="Times New Roman"/>
          <w:sz w:val="24"/>
          <w:szCs w:val="24"/>
        </w:rPr>
        <w:t xml:space="preserve">, che è il massimo che la disciplina consente.</w:t>
      </w:r>
    </w:p>
    <w:p>
      <w:pPr>
        <w:pStyle w:val="Heading1"/>
        <w:spacing w:after="120" w:before="240"/>
      </w:pPr>
      <w:r>
        <w:rPr>
          <w:rFonts w:ascii="Times New Roman" w:cs="Times New Roman" w:eastAsia="Times New Roman" w:hAnsi="Times New Roman"/>
          <w:sz w:val="24"/>
          <w:szCs w:val="24"/>
        </w:rPr>
        <w:t xml:space="preserve">Capitolo sessantunesimo — Tavola di raccordo: le questioni aperte davanti al registro giudiziario</w:t>
      </w:r>
    </w:p>
    <w:p>
      <w:pPr>
        <w:spacing w:after="120" w:line="276"/>
        <w:jc w:val="both"/>
      </w:pPr>
      <w:r>
        <w:rPr>
          <w:rFonts w:ascii="Times New Roman" w:cs="Times New Roman" w:eastAsia="Times New Roman" w:hAnsi="Times New Roman"/>
          <w:sz w:val="24"/>
          <w:szCs w:val="24"/>
        </w:rPr>
        <w:t xml:space="preserve">Si chiude la Fase riportando ciascuna delle otto questioni del dossier (Parte terza, Movimento secondo) davanti al registro giudiziario e parlamentare, con il grado risultante. È l'aggiornamento dell'apparato dei gradi (Fase sesta) alla luce dello strato istruttorio.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Questione (Parte terza)</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Giudicato (grado A)</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Commissione Moro 2 (grado B)</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Residuo (grado C)</w:t>
            </w:r>
          </w:p>
        </w:tc>
      </w:tr>
      <w:tr>
        <w:tc>
          <w:tcPr>
            <w:tcW w:type="dxa" w:w="2340"/>
          </w:tcPr>
          <w:p>
            <w:pPr>
              <w:spacing w:after="20" w:before="20"/>
              <w:jc w:val="left"/>
            </w:pPr>
            <w:r>
              <w:rPr>
                <w:rFonts w:ascii="Times New Roman" w:cs="Times New Roman" w:eastAsia="Times New Roman" w:hAnsi="Times New Roman"/>
                <w:b/>
                <w:bCs/>
                <w:sz w:val="20"/>
                <w:szCs w:val="20"/>
              </w:rPr>
              <w:t xml:space="preserve">III. Via Fani</w:t>
            </w:r>
          </w:p>
        </w:tc>
        <w:tc>
          <w:tcPr>
            <w:tcW w:type="dxa" w:w="2340"/>
          </w:tcPr>
          <w:p>
            <w:pPr>
              <w:spacing w:after="20" w:before="20"/>
              <w:jc w:val="left"/>
            </w:pPr>
            <w:r>
              <w:rPr>
                <w:rFonts w:ascii="Times New Roman" w:cs="Times New Roman" w:eastAsia="Times New Roman" w:hAnsi="Times New Roman"/>
                <w:sz w:val="20"/>
                <w:szCs w:val="20"/>
              </w:rPr>
              <w:t xml:space="preserve">Agguato eseguito dal commando BR; esecutori accertati</w:t>
            </w:r>
          </w:p>
        </w:tc>
        <w:tc>
          <w:tcPr>
            <w:tcW w:type="dxa" w:w="2340"/>
          </w:tcPr>
          <w:p>
            <w:pPr>
              <w:spacing w:after="20" w:before="20"/>
              <w:jc w:val="left"/>
            </w:pPr>
            <w:r>
              <w:rPr>
                <w:rFonts w:ascii="Times New Roman" w:cs="Times New Roman" w:eastAsia="Times New Roman" w:hAnsi="Times New Roman"/>
                <w:sz w:val="20"/>
                <w:szCs w:val="20"/>
              </w:rPr>
              <w:t xml:space="preserve">Due moto e quattro centauri «da approfondire»; due testimoni nuovi</w:t>
            </w:r>
          </w:p>
        </w:tc>
        <w:tc>
          <w:tcPr>
            <w:tcW w:type="dxa" w:w="2340"/>
          </w:tcPr>
          <w:p>
            <w:pPr>
              <w:spacing w:after="20" w:before="20"/>
              <w:jc w:val="left"/>
            </w:pPr>
            <w:r>
              <w:rPr>
                <w:rFonts w:ascii="Times New Roman" w:cs="Times New Roman" w:eastAsia="Times New Roman" w:hAnsi="Times New Roman"/>
                <w:sz w:val="20"/>
                <w:szCs w:val="20"/>
              </w:rPr>
              <w:t xml:space="preserve">Identità e ruolo degli eventuali centauri estranei</w:t>
            </w:r>
          </w:p>
        </w:tc>
      </w:tr>
      <w:tr>
        <w:tc>
          <w:tcPr>
            <w:tcW w:type="dxa" w:w="2340"/>
          </w:tcPr>
          <w:p>
            <w:pPr>
              <w:spacing w:after="20" w:before="20"/>
              <w:jc w:val="left"/>
            </w:pPr>
            <w:r>
              <w:rPr>
                <w:rFonts w:ascii="Times New Roman" w:cs="Times New Roman" w:eastAsia="Times New Roman" w:hAnsi="Times New Roman"/>
                <w:b/>
                <w:bCs/>
                <w:sz w:val="20"/>
                <w:szCs w:val="20"/>
              </w:rPr>
              <w:t xml:space="preserve">IV. La prigione</w:t>
            </w:r>
          </w:p>
        </w:tc>
        <w:tc>
          <w:tcPr>
            <w:tcW w:type="dxa" w:w="2340"/>
          </w:tcPr>
          <w:p>
            <w:pPr>
              <w:spacing w:after="20" w:before="20"/>
              <w:jc w:val="left"/>
            </w:pPr>
            <w:r>
              <w:rPr>
                <w:rFonts w:ascii="Times New Roman" w:cs="Times New Roman" w:eastAsia="Times New Roman" w:hAnsi="Times New Roman"/>
                <w:sz w:val="20"/>
                <w:szCs w:val="20"/>
              </w:rPr>
              <w:t xml:space="preserve">Covo di via Montalcini; Maccari «quarto uomo» (Moro quinquies)</w:t>
            </w:r>
          </w:p>
        </w:tc>
        <w:tc>
          <w:tcPr>
            <w:tcW w:type="dxa" w:w="2340"/>
          </w:tcPr>
          <w:p>
            <w:pPr>
              <w:spacing w:after="20" w:before="20"/>
              <w:jc w:val="left"/>
            </w:pPr>
            <w:r>
              <w:rPr>
                <w:rFonts w:ascii="Times New Roman" w:cs="Times New Roman" w:eastAsia="Times New Roman" w:hAnsi="Times New Roman"/>
                <w:sz w:val="20"/>
                <w:szCs w:val="20"/>
              </w:rPr>
              <w:t xml:space="preserve">Ricostruzioni logistiche integrate</w:t>
            </w:r>
          </w:p>
        </w:tc>
        <w:tc>
          <w:tcPr>
            <w:tcW w:type="dxa" w:w="2340"/>
          </w:tcPr>
          <w:p>
            <w:pPr>
              <w:spacing w:after="20" w:before="20"/>
              <w:jc w:val="left"/>
            </w:pPr>
            <w:r>
              <w:rPr>
                <w:rFonts w:ascii="Times New Roman" w:cs="Times New Roman" w:eastAsia="Times New Roman" w:hAnsi="Times New Roman"/>
                <w:sz w:val="20"/>
                <w:szCs w:val="20"/>
              </w:rPr>
              <w:t xml:space="preserve">Se vi fu una seconda prigione: non provato</w:t>
            </w:r>
          </w:p>
        </w:tc>
      </w:tr>
      <w:tr>
        <w:tc>
          <w:tcPr>
            <w:tcW w:type="dxa" w:w="2340"/>
          </w:tcPr>
          <w:p>
            <w:pPr>
              <w:spacing w:after="20" w:before="20"/>
              <w:jc w:val="left"/>
            </w:pPr>
            <w:r>
              <w:rPr>
                <w:rFonts w:ascii="Times New Roman" w:cs="Times New Roman" w:eastAsia="Times New Roman" w:hAnsi="Times New Roman"/>
                <w:b/>
                <w:bCs/>
                <w:sz w:val="20"/>
                <w:szCs w:val="20"/>
              </w:rPr>
              <w:t xml:space="preserve">V. Via Gradoli / seduta</w:t>
            </w:r>
          </w:p>
        </w:tc>
        <w:tc>
          <w:tcPr>
            <w:tcW w:type="dxa" w:w="2340"/>
          </w:tcPr>
          <w:p>
            <w:pPr>
              <w:spacing w:after="20" w:before="20"/>
              <w:jc w:val="left"/>
            </w:pPr>
            <w:r>
              <w:rPr>
                <w:rFonts w:ascii="Times New Roman" w:cs="Times New Roman" w:eastAsia="Times New Roman" w:hAnsi="Times New Roman"/>
                <w:sz w:val="20"/>
                <w:szCs w:val="20"/>
              </w:rPr>
              <w:t xml:space="preserve">— (nessun giudicato risolutivo)</w:t>
            </w:r>
          </w:p>
        </w:tc>
        <w:tc>
          <w:tcPr>
            <w:tcW w:type="dxa" w:w="2340"/>
          </w:tcPr>
          <w:p>
            <w:pPr>
              <w:spacing w:after="20" w:before="20"/>
              <w:jc w:val="left"/>
            </w:pPr>
            <w:r>
              <w:rPr>
                <w:rFonts w:ascii="Times New Roman" w:cs="Times New Roman" w:eastAsia="Times New Roman" w:hAnsi="Times New Roman"/>
                <w:b/>
                <w:bCs/>
                <w:sz w:val="20"/>
                <w:szCs w:val="20"/>
              </w:rPr>
              <w:t xml:space="preserve">Non sciolto</w:t>
            </w:r>
            <w:r>
              <w:rPr>
                <w:rFonts w:ascii="Times New Roman" w:cs="Times New Roman" w:eastAsia="Times New Roman" w:hAnsi="Times New Roman"/>
                <w:sz w:val="20"/>
                <w:szCs w:val="20"/>
              </w:rPr>
              <w:t xml:space="preserve"> dalla Commissione</w:t>
            </w:r>
          </w:p>
        </w:tc>
        <w:tc>
          <w:tcPr>
            <w:tcW w:type="dxa" w:w="2340"/>
          </w:tcPr>
          <w:p>
            <w:pPr>
              <w:spacing w:after="20" w:before="20"/>
              <w:jc w:val="left"/>
            </w:pPr>
            <w:r>
              <w:rPr>
                <w:rFonts w:ascii="Times New Roman" w:cs="Times New Roman" w:eastAsia="Times New Roman" w:hAnsi="Times New Roman"/>
                <w:sz w:val="20"/>
                <w:szCs w:val="20"/>
              </w:rPr>
              <w:t xml:space="preserve">La coincidenza resta senza spiegazione documentale</w:t>
            </w:r>
          </w:p>
        </w:tc>
      </w:tr>
      <w:tr>
        <w:tc>
          <w:tcPr>
            <w:tcW w:type="dxa" w:w="2340"/>
          </w:tcPr>
          <w:p>
            <w:pPr>
              <w:spacing w:after="20" w:before="20"/>
              <w:jc w:val="left"/>
            </w:pPr>
            <w:r>
              <w:rPr>
                <w:rFonts w:ascii="Times New Roman" w:cs="Times New Roman" w:eastAsia="Times New Roman" w:hAnsi="Times New Roman"/>
                <w:b/>
                <w:bCs/>
                <w:sz w:val="20"/>
                <w:szCs w:val="20"/>
              </w:rPr>
              <w:t xml:space="preserve">VI. Fermezza / trattativa</w:t>
            </w:r>
          </w:p>
        </w:tc>
        <w:tc>
          <w:tcPr>
            <w:tcW w:type="dxa" w:w="2340"/>
          </w:tcPr>
          <w:p>
            <w:pPr>
              <w:spacing w:after="20" w:before="20"/>
              <w:jc w:val="left"/>
            </w:pPr>
            <w:r>
              <w:rPr>
                <w:rFonts w:ascii="Times New Roman" w:cs="Times New Roman" w:eastAsia="Times New Roman" w:hAnsi="Times New Roman"/>
                <w:sz w:val="20"/>
                <w:szCs w:val="20"/>
              </w:rPr>
              <w:t xml:space="preserve">Fatti dei canali di mediazione accertati nei processi</w:t>
            </w:r>
          </w:p>
        </w:tc>
        <w:tc>
          <w:tcPr>
            <w:tcW w:type="dxa" w:w="2340"/>
          </w:tcPr>
          <w:p>
            <w:pPr>
              <w:spacing w:after="20" w:before="20"/>
              <w:jc w:val="left"/>
            </w:pPr>
            <w:r>
              <w:rPr>
                <w:rFonts w:ascii="Times New Roman" w:cs="Times New Roman" w:eastAsia="Times New Roman" w:hAnsi="Times New Roman"/>
                <w:sz w:val="20"/>
                <w:szCs w:val="20"/>
              </w:rPr>
              <w:t xml:space="preserve">Ruolo degli apparati nella gestione documentato</w:t>
            </w:r>
          </w:p>
        </w:tc>
        <w:tc>
          <w:tcPr>
            <w:tcW w:type="dxa" w:w="2340"/>
          </w:tcPr>
          <w:p>
            <w:pPr>
              <w:spacing w:after="20" w:before="20"/>
              <w:jc w:val="left"/>
            </w:pPr>
            <w:r>
              <w:rPr>
                <w:rFonts w:ascii="Times New Roman" w:cs="Times New Roman" w:eastAsia="Times New Roman" w:hAnsi="Times New Roman"/>
                <w:sz w:val="20"/>
                <w:szCs w:val="20"/>
              </w:rPr>
              <w:t xml:space="preserve">Se una trattativa fosse possibile: giudizio storico, non fatto</w:t>
            </w:r>
          </w:p>
        </w:tc>
      </w:tr>
      <w:tr>
        <w:tc>
          <w:tcPr>
            <w:tcW w:type="dxa" w:w="2340"/>
          </w:tcPr>
          <w:p>
            <w:pPr>
              <w:spacing w:after="20" w:before="20"/>
              <w:jc w:val="left"/>
            </w:pPr>
            <w:r>
              <w:rPr>
                <w:rFonts w:ascii="Times New Roman" w:cs="Times New Roman" w:eastAsia="Times New Roman" w:hAnsi="Times New Roman"/>
                <w:b/>
                <w:bCs/>
                <w:sz w:val="20"/>
                <w:szCs w:val="20"/>
              </w:rPr>
              <w:t xml:space="preserve">VII. Occasioni mancate</w:t>
            </w:r>
          </w:p>
        </w:tc>
        <w:tc>
          <w:tcPr>
            <w:tcW w:type="dxa" w:w="2340"/>
          </w:tcPr>
          <w:p>
            <w:pPr>
              <w:spacing w:after="20" w:before="20"/>
              <w:jc w:val="left"/>
            </w:pPr>
            <w:r>
              <w:rPr>
                <w:rFonts w:ascii="Times New Roman" w:cs="Times New Roman" w:eastAsia="Times New Roman" w:hAnsi="Times New Roman"/>
                <w:sz w:val="20"/>
                <w:szCs w:val="20"/>
              </w:rPr>
              <w:t xml:space="preserve">Cronologia dei mancati rinvenimenti accertata</w:t>
            </w:r>
          </w:p>
        </w:tc>
        <w:tc>
          <w:tcPr>
            <w:tcW w:type="dxa" w:w="2340"/>
          </w:tcPr>
          <w:p>
            <w:pPr>
              <w:spacing w:after="20" w:before="20"/>
              <w:jc w:val="left"/>
            </w:pPr>
            <w:r>
              <w:rPr>
                <w:rFonts w:ascii="Times New Roman" w:cs="Times New Roman" w:eastAsia="Times New Roman" w:hAnsi="Times New Roman"/>
                <w:sz w:val="20"/>
                <w:szCs w:val="20"/>
              </w:rPr>
              <w:t xml:space="preserve">Responsabilità di ritardi e omissioni analizzate</w:t>
            </w:r>
          </w:p>
        </w:tc>
        <w:tc>
          <w:tcPr>
            <w:tcW w:type="dxa" w:w="2340"/>
          </w:tcPr>
          <w:p>
            <w:pPr>
              <w:spacing w:after="20" w:before="20"/>
              <w:jc w:val="left"/>
            </w:pPr>
            <w:r>
              <w:rPr>
                <w:rFonts w:ascii="Times New Roman" w:cs="Times New Roman" w:eastAsia="Times New Roman" w:hAnsi="Times New Roman"/>
                <w:sz w:val="20"/>
                <w:szCs w:val="20"/>
              </w:rPr>
              <w:t xml:space="preserve">Dolo vs inefficienza: non deciso</w:t>
            </w:r>
          </w:p>
        </w:tc>
      </w:tr>
      <w:tr>
        <w:tc>
          <w:tcPr>
            <w:tcW w:type="dxa" w:w="2340"/>
          </w:tcPr>
          <w:p>
            <w:pPr>
              <w:spacing w:after="20" w:before="20"/>
              <w:jc w:val="left"/>
            </w:pPr>
            <w:r>
              <w:rPr>
                <w:rFonts w:ascii="Times New Roman" w:cs="Times New Roman" w:eastAsia="Times New Roman" w:hAnsi="Times New Roman"/>
                <w:b/>
                <w:bCs/>
                <w:sz w:val="20"/>
                <w:szCs w:val="20"/>
              </w:rPr>
              <w:t xml:space="preserve">VIII. Memoriale Monte Nevoso</w:t>
            </w:r>
          </w:p>
        </w:tc>
        <w:tc>
          <w:tcPr>
            <w:tcW w:type="dxa" w:w="2340"/>
          </w:tcPr>
          <w:p>
            <w:pPr>
              <w:spacing w:after="20" w:before="20"/>
              <w:jc w:val="left"/>
            </w:pPr>
            <w:r>
              <w:rPr>
                <w:rFonts w:ascii="Times New Roman" w:cs="Times New Roman" w:eastAsia="Times New Roman" w:hAnsi="Times New Roman"/>
                <w:sz w:val="20"/>
                <w:szCs w:val="20"/>
              </w:rPr>
              <w:t xml:space="preserve">Ritrovamenti (1978 e 1990) accertati</w:t>
            </w:r>
          </w:p>
        </w:tc>
        <w:tc>
          <w:tcPr>
            <w:tcW w:type="dxa" w:w="2340"/>
          </w:tcPr>
          <w:p>
            <w:pPr>
              <w:spacing w:after="20" w:before="20"/>
              <w:jc w:val="left"/>
            </w:pPr>
            <w:r>
              <w:rPr>
                <w:rFonts w:ascii="Times New Roman" w:cs="Times New Roman" w:eastAsia="Times New Roman" w:hAnsi="Times New Roman"/>
                <w:b/>
                <w:bCs/>
                <w:sz w:val="20"/>
                <w:szCs w:val="20"/>
              </w:rPr>
              <w:t xml:space="preserve">Memoriale Morucci = testo negoziato anni '80</w:t>
            </w:r>
          </w:p>
        </w:tc>
        <w:tc>
          <w:tcPr>
            <w:tcW w:type="dxa" w:w="2340"/>
          </w:tcPr>
          <w:p>
            <w:pPr>
              <w:spacing w:after="20" w:before="20"/>
              <w:jc w:val="left"/>
            </w:pPr>
            <w:r>
              <w:rPr>
                <w:rFonts w:ascii="Times New Roman" w:cs="Times New Roman" w:eastAsia="Times New Roman" w:hAnsi="Times New Roman"/>
                <w:sz w:val="20"/>
                <w:szCs w:val="20"/>
              </w:rPr>
              <w:t xml:space="preserve">Che cosa manchi ancora: indeterminato</w:t>
            </w:r>
          </w:p>
        </w:tc>
      </w:tr>
      <w:tr>
        <w:tc>
          <w:tcPr>
            <w:tcW w:type="dxa" w:w="2340"/>
          </w:tcPr>
          <w:p>
            <w:pPr>
              <w:spacing w:after="20" w:before="20"/>
              <w:jc w:val="left"/>
            </w:pPr>
            <w:r>
              <w:rPr>
                <w:rFonts w:ascii="Times New Roman" w:cs="Times New Roman" w:eastAsia="Times New Roman" w:hAnsi="Times New Roman"/>
                <w:b/>
                <w:bCs/>
                <w:sz w:val="20"/>
                <w:szCs w:val="20"/>
              </w:rPr>
              <w:t xml:space="preserve">IX. Quadro internazionale</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Elementi acquisiti, nessun nesso causale stabilito</w:t>
            </w:r>
          </w:p>
        </w:tc>
        <w:tc>
          <w:tcPr>
            <w:tcW w:type="dxa" w:w="2340"/>
          </w:tcPr>
          <w:p>
            <w:pPr>
              <w:spacing w:after="20" w:before="20"/>
              <w:jc w:val="left"/>
            </w:pPr>
            <w:r>
              <w:rPr>
                <w:rFonts w:ascii="Times New Roman" w:cs="Times New Roman" w:eastAsia="Times New Roman" w:hAnsi="Times New Roman"/>
                <w:sz w:val="20"/>
                <w:szCs w:val="20"/>
              </w:rPr>
              <w:t xml:space="preserve">La regia estera: congettura (cfr. Hyperion, </w:t>
            </w:r>
            <w:r>
              <w:rPr>
                <w:rFonts w:ascii="Times New Roman" w:cs="Times New Roman" w:eastAsia="Times New Roman" w:hAnsi="Times New Roman"/>
                <w:i/>
                <w:iCs/>
                <w:sz w:val="20"/>
                <w:szCs w:val="20"/>
              </w:rPr>
              <w:t xml:space="preserve">triangolazione-hyperion-corpus.md</w:t>
            </w: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b/>
                <w:bCs/>
                <w:sz w:val="20"/>
                <w:szCs w:val="20"/>
              </w:rPr>
              <w:t xml:space="preserve">X. Depistaggi / verità dicibile</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b/>
                <w:bCs/>
                <w:sz w:val="20"/>
                <w:szCs w:val="20"/>
              </w:rPr>
              <w:t xml:space="preserve">Formula «verità dicibile» fatta propria dalla Commissione</w:t>
            </w:r>
          </w:p>
        </w:tc>
        <w:tc>
          <w:tcPr>
            <w:tcW w:type="dxa" w:w="2340"/>
          </w:tcPr>
          <w:p>
            <w:pPr>
              <w:spacing w:after="20" w:before="20"/>
              <w:jc w:val="left"/>
            </w:pPr>
            <w:r>
              <w:rPr>
                <w:rFonts w:ascii="Times New Roman" w:cs="Times New Roman" w:eastAsia="Times New Roman" w:hAnsi="Times New Roman"/>
                <w:sz w:val="20"/>
                <w:szCs w:val="20"/>
              </w:rPr>
              <w:t xml:space="preserve">L'ampiezza dell'indicibile: per definizione non misurabile</w:t>
            </w:r>
          </w:p>
        </w:tc>
      </w:tr>
    </w:tbl>
    <w:p>
      <w:pPr>
        <w:spacing w:after="80"/>
      </w:pPr>
    </w:p>
    <w:p>
      <w:pPr>
        <w:spacing w:after="120" w:line="276"/>
        <w:jc w:val="both"/>
      </w:pPr>
      <w:r>
        <w:rPr>
          <w:rFonts w:ascii="Times New Roman" w:cs="Times New Roman" w:eastAsia="Times New Roman" w:hAnsi="Times New Roman"/>
          <w:sz w:val="24"/>
          <w:szCs w:val="24"/>
        </w:rPr>
        <w:t xml:space="preserve">La tavola dice, in una sola immagine, ciò che la Fase settima aggiunge all'opera: </w:t>
      </w:r>
      <w:r>
        <w:rPr>
          <w:rFonts w:ascii="Times New Roman" w:cs="Times New Roman" w:eastAsia="Times New Roman" w:hAnsi="Times New Roman"/>
          <w:b/>
          <w:bCs/>
          <w:sz w:val="24"/>
          <w:szCs w:val="24"/>
        </w:rPr>
        <w:t xml:space="preserve">quasi nessuna delle questioni aperte è stata chiusa dal giudicato; molte sono state documentate — non risolte — dalla Commissione Moro 2; nessuna è stata promossa a verità causale.</w:t>
      </w:r>
      <w:r>
        <w:rPr>
          <w:rFonts w:ascii="Times New Roman" w:cs="Times New Roman" w:eastAsia="Times New Roman" w:hAnsi="Times New Roman"/>
          <w:sz w:val="24"/>
          <w:szCs w:val="24"/>
        </w:rPr>
        <w:t xml:space="preserve"> Il caso Moro, dopo cinque processi e due Commissioni, ha un pavimento solido di fatti accertati e un soffitto aperto di questioni documentate ma non concluse. Riconoscere con esattezza dove passa la linea fra i due — fra il grado A del giudicato e il grado B dell'accertamento parlamentare, e fra questi e il grado C della congettura — è tutto ciò che un'opera onesta può fare. Non è poco: è la differenza fra la storia e la sua contraffazione.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Congedo della Fase settima.</w:t>
      </w:r>
      <w:r>
        <w:rPr>
          <w:rFonts w:ascii="Times New Roman" w:cs="Times New Roman" w:eastAsia="Times New Roman" w:hAnsi="Times New Roman"/>
          <w:sz w:val="24"/>
          <w:szCs w:val="24"/>
        </w:rPr>
        <w:t xml:space="preserve"> Il garante che ha parlato nella Fase sesta torna qui a tacere, avendo fatto la sola cosa che gli competeva: </w:t>
      </w:r>
      <w:r>
        <w:rPr>
          <w:rFonts w:ascii="Times New Roman" w:cs="Times New Roman" w:eastAsia="Times New Roman" w:hAnsi="Times New Roman"/>
          <w:b/>
          <w:bCs/>
          <w:sz w:val="24"/>
          <w:szCs w:val="24"/>
        </w:rPr>
        <w:t xml:space="preserve">ancorare il dossier al registro degli atti</w:t>
      </w:r>
      <w:r>
        <w:rPr>
          <w:rFonts w:ascii="Times New Roman" w:cs="Times New Roman" w:eastAsia="Times New Roman" w:hAnsi="Times New Roman"/>
          <w:sz w:val="24"/>
          <w:szCs w:val="24"/>
        </w:rPr>
        <w:t xml:space="preserve">. Le questioni restano aperte quanto lo erano; ma ora si sa, per ciascuna, su quale gradino del sapere poggia — se sul giudicato, se sull'inchiesta, se sulla sola congettura. Ed è sapendo questo, e non dimenticandolo mai, che si può continuare a cercare senza mentire. Nessun nome è stato aggiunto a quelli che le sentenze hanno scritto; nessuna graduatoria è stata compilata; nessuna verità è stata proclamata più alta di quella che le prove reggono. La guerra senza fine non finisce qui — ma qui, almeno, ha una mappa dei propri confini provati.</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Fase settima dell'opera «Aldo Moro — Una guerra senza fine» (capp. 56-61). Aggiunge lo strato giudiziario e istruttorio: i cinque processi Moro come pavimento del giudicato, la Commissione Moro 2 (2014-2017) come accertamento parlamentare di grado B, la tavola di raccordo delle otto questioni aperte. Distinzione ferrea fra giudicato, accertamento parlamentare e congettura; nessuna imputazione oltre il giudicato; nessuna graduatoria. Fonti: sentenze dei processi Moro (Questione Giustizia); relazione della Commissione Moro 2 del 6 dicembre 2017 (atti della Camera). Ricostruzione storica, senza dietrologia né il suo rovescio.</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Fase nona — Il repertorio del caso: tutto ciò che è attribuibile, e con che grado</w:t>
      </w:r>
    </w:p>
    <w:p>
      <w:pPr>
        <w:spacing w:after="120" w:line="276"/>
        <w:jc w:val="both"/>
      </w:pPr>
      <w:r>
        <w:rPr>
          <w:rFonts w:ascii="Times New Roman" w:cs="Times New Roman" w:eastAsia="Times New Roman" w:hAnsi="Times New Roman"/>
          <w:i/>
          <w:iCs/>
          <w:sz w:val="24"/>
          <w:szCs w:val="24"/>
        </w:rPr>
        <w:t xml:space="preserve">Ampliamento dell'opera — 25 agosto 2026 · Capitoli 68-76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uso del repertorio.</w:t>
      </w:r>
      <w:r>
        <w:rPr>
          <w:rFonts w:ascii="Times New Roman" w:cs="Times New Roman" w:eastAsia="Times New Roman" w:hAnsi="Times New Roman"/>
          <w:i w:val="false"/>
          <w:iCs w:val="false"/>
          <w:sz w:val="24"/>
          <w:szCs w:val="24"/>
        </w:rPr>
        <w:t xml:space="preserve"> Questa Fase raccoglie, in forma ordinata e gradata, </w:t>
      </w:r>
      <w:r>
        <w:rPr>
          <w:rFonts w:ascii="Times New Roman" w:cs="Times New Roman" w:eastAsia="Times New Roman" w:hAnsi="Times New Roman"/>
          <w:b/>
          <w:bCs/>
          <w:i w:val="false"/>
          <w:iCs w:val="false"/>
          <w:sz w:val="24"/>
          <w:szCs w:val="24"/>
        </w:rPr>
        <w:t xml:space="preserve">tutto ciò che è attribuibile al caso Moro</w:t>
      </w:r>
      <w:r>
        <w:rPr>
          <w:rFonts w:ascii="Times New Roman" w:cs="Times New Roman" w:eastAsia="Times New Roman" w:hAnsi="Times New Roman"/>
          <w:i w:val="false"/>
          <w:iCs w:val="false"/>
          <w:sz w:val="24"/>
          <w:szCs w:val="24"/>
        </w:rPr>
        <w:t xml:space="preserve"> su base documentata: le persone, i luoghi, le date, i documenti, gli atti giudiziari e parlamentari, i nodi aperti. Non è un racconto: è un </w:t>
      </w:r>
      <w:r>
        <w:rPr>
          <w:rFonts w:ascii="Times New Roman" w:cs="Times New Roman" w:eastAsia="Times New Roman" w:hAnsi="Times New Roman"/>
          <w:b/>
          <w:bCs/>
          <w:i w:val="false"/>
          <w:iCs w:val="false"/>
          <w:sz w:val="24"/>
          <w:szCs w:val="24"/>
        </w:rPr>
        <w:t xml:space="preserve">repertorio</w:t>
      </w:r>
      <w:r>
        <w:rPr>
          <w:rFonts w:ascii="Times New Roman" w:cs="Times New Roman" w:eastAsia="Times New Roman" w:hAnsi="Times New Roman"/>
          <w:i w:val="false"/>
          <w:iCs w:val="false"/>
          <w:sz w:val="24"/>
          <w:szCs w:val="24"/>
        </w:rPr>
        <w:t xml:space="preserve"> — uno strumento di consultazione che dice, per ogni voce, </w:t>
      </w:r>
      <w:r>
        <w:rPr>
          <w:rFonts w:ascii="Times New Roman" w:cs="Times New Roman" w:eastAsia="Times New Roman" w:hAnsi="Times New Roman"/>
          <w:i w:val="false"/>
          <w:iCs w:val="false"/>
          <w:sz w:val="24"/>
          <w:szCs w:val="24"/>
        </w:rPr>
        <w:t xml:space="preserve">che cosa è</w:t>
      </w:r>
      <w:r>
        <w:rPr>
          <w:rFonts w:ascii="Times New Roman" w:cs="Times New Roman" w:eastAsia="Times New Roman" w:hAnsi="Times New Roman"/>
          <w:i w:val="false"/>
          <w:iCs w:val="false"/>
          <w:sz w:val="24"/>
          <w:szCs w:val="24"/>
        </w:rPr>
        <w:t xml:space="preserve"> e </w:t>
      </w:r>
      <w:r>
        <w:rPr>
          <w:rFonts w:ascii="Times New Roman" w:cs="Times New Roman" w:eastAsia="Times New Roman" w:hAnsi="Times New Roman"/>
          <w:i w:val="false"/>
          <w:iCs w:val="false"/>
          <w:sz w:val="24"/>
          <w:szCs w:val="24"/>
        </w:rPr>
        <w:t xml:space="preserve">su quale grado poggia</w:t>
      </w:r>
      <w:r>
        <w:rPr>
          <w:rFonts w:ascii="Times New Roman" w:cs="Times New Roman" w:eastAsia="Times New Roman" w:hAnsi="Times New Roman"/>
          <w:i w:val="false"/>
          <w:iCs w:val="false"/>
          <w:sz w:val="24"/>
          <w:szCs w:val="24"/>
        </w:rPr>
        <w:t xml:space="preserve">. I gradi sono quelli dell'apparato (Fase sesta), qui applicati voce per voce: - </w:t>
      </w:r>
      <w:r>
        <w:rPr>
          <w:rFonts w:ascii="Times New Roman" w:cs="Times New Roman" w:eastAsia="Times New Roman" w:hAnsi="Times New Roman"/>
          <w:b/>
          <w:bCs/>
          <w:i w:val="false"/>
          <w:iCs w:val="false"/>
          <w:sz w:val="24"/>
          <w:szCs w:val="24"/>
        </w:rPr>
        <w:t xml:space="preserve">A · Giudicato</w:t>
      </w:r>
      <w:r>
        <w:rPr>
          <w:rFonts w:ascii="Times New Roman" w:cs="Times New Roman" w:eastAsia="Times New Roman" w:hAnsi="Times New Roman"/>
          <w:i w:val="false"/>
          <w:iCs w:val="false"/>
          <w:sz w:val="24"/>
          <w:szCs w:val="24"/>
        </w:rPr>
        <w:t xml:space="preserve"> — accertato con sentenza definitiva. Fatto. - </w:t>
      </w:r>
      <w:r>
        <w:rPr>
          <w:rFonts w:ascii="Times New Roman" w:cs="Times New Roman" w:eastAsia="Times New Roman" w:hAnsi="Times New Roman"/>
          <w:b/>
          <w:bCs/>
          <w:i w:val="false"/>
          <w:iCs w:val="false"/>
          <w:sz w:val="24"/>
          <w:szCs w:val="24"/>
        </w:rPr>
        <w:t xml:space="preserve">B · Accertamento</w:t>
      </w:r>
      <w:r>
        <w:rPr>
          <w:rFonts w:ascii="Times New Roman" w:cs="Times New Roman" w:eastAsia="Times New Roman" w:hAnsi="Times New Roman"/>
          <w:i w:val="false"/>
          <w:iCs w:val="false"/>
          <w:sz w:val="24"/>
          <w:szCs w:val="24"/>
        </w:rPr>
        <w:t xml:space="preserve"> — documentato da atti istruttori o dalle Commissioni parlamentari (Moro 2, 2014-2017): serio, non giudiziario. - </w:t>
      </w:r>
      <w:r>
        <w:rPr>
          <w:rFonts w:ascii="Times New Roman" w:cs="Times New Roman" w:eastAsia="Times New Roman" w:hAnsi="Times New Roman"/>
          <w:b/>
          <w:bCs/>
          <w:i w:val="false"/>
          <w:iCs w:val="false"/>
          <w:sz w:val="24"/>
          <w:szCs w:val="24"/>
        </w:rPr>
        <w:t xml:space="preserve">C · Congettura</w:t>
      </w:r>
      <w:r>
        <w:rPr>
          <w:rFonts w:ascii="Times New Roman" w:cs="Times New Roman" w:eastAsia="Times New Roman" w:hAnsi="Times New Roman"/>
          <w:i w:val="false"/>
          <w:iCs w:val="false"/>
          <w:sz w:val="24"/>
          <w:szCs w:val="24"/>
        </w:rPr>
        <w:t xml:space="preserve"> — ipotesi ordinata, non provata; lasciata come tale. - </w:t>
      </w:r>
      <w:r>
        <w:rPr>
          <w:rFonts w:ascii="Times New Roman" w:cs="Times New Roman" w:eastAsia="Times New Roman" w:hAnsi="Times New Roman"/>
          <w:b/>
          <w:bCs/>
          <w:i w:val="false"/>
          <w:iCs w:val="false"/>
          <w:sz w:val="24"/>
          <w:szCs w:val="24"/>
        </w:rPr>
        <w:t xml:space="preserve">F · Fatto pubblico</w:t>
      </w:r>
      <w:r>
        <w:rPr>
          <w:rFonts w:ascii="Times New Roman" w:cs="Times New Roman" w:eastAsia="Times New Roman" w:hAnsi="Times New Roman"/>
          <w:i w:val="false"/>
          <w:iCs w:val="false"/>
          <w:sz w:val="24"/>
          <w:szCs w:val="24"/>
        </w:rPr>
        <w:t xml:space="preserve"> — dato di cronaca o biografico non controverso (nomi, date, luoghi).  La regola è ferrea e non ammette eccezioni nemmeno in un repertorio: </w:t>
      </w:r>
      <w:r>
        <w:rPr>
          <w:rFonts w:ascii="Times New Roman" w:cs="Times New Roman" w:eastAsia="Times New Roman" w:hAnsi="Times New Roman"/>
          <w:b/>
          <w:bCs/>
          <w:i w:val="false"/>
          <w:iCs w:val="false"/>
          <w:sz w:val="24"/>
          <w:szCs w:val="24"/>
        </w:rPr>
        <w:t xml:space="preserve">si nominano come responsabili solo coloro che una sentenza definitiva ha condannato</w:t>
      </w:r>
      <w:r>
        <w:rPr>
          <w:rFonts w:ascii="Times New Roman" w:cs="Times New Roman" w:eastAsia="Times New Roman" w:hAnsi="Times New Roman"/>
          <w:i w:val="false"/>
          <w:iCs w:val="false"/>
          <w:sz w:val="24"/>
          <w:szCs w:val="24"/>
        </w:rPr>
        <w:t xml:space="preserve">; per tutti gli altri vale la presunzione d'innocenza, e ciò che è congettura resta congettura per quanto ricorra spesso. Il repertorio </w:t>
      </w:r>
      <w:r>
        <w:rPr>
          <w:rFonts w:ascii="Times New Roman" w:cs="Times New Roman" w:eastAsia="Times New Roman" w:hAnsi="Times New Roman"/>
          <w:i w:val="false"/>
          <w:iCs w:val="false"/>
          <w:sz w:val="24"/>
          <w:szCs w:val="24"/>
        </w:rPr>
        <w:t xml:space="preserve">cataloga</w:t>
      </w:r>
      <w:r>
        <w:rPr>
          <w:rFonts w:ascii="Times New Roman" w:cs="Times New Roman" w:eastAsia="Times New Roman" w:hAnsi="Times New Roman"/>
          <w:i w:val="false"/>
          <w:iCs w:val="false"/>
          <w:sz w:val="24"/>
          <w:szCs w:val="24"/>
        </w:rPr>
        <w:t xml:space="preserve">, non </w:t>
      </w:r>
      <w:r>
        <w:rPr>
          <w:rFonts w:ascii="Times New Roman" w:cs="Times New Roman" w:eastAsia="Times New Roman" w:hAnsi="Times New Roman"/>
          <w:i w:val="false"/>
          <w:iCs w:val="false"/>
          <w:sz w:val="24"/>
          <w:szCs w:val="24"/>
        </w:rPr>
        <w:t xml:space="preserve">accusa</w:t>
      </w:r>
      <w:r>
        <w:rPr>
          <w:rFonts w:ascii="Times New Roman" w:cs="Times New Roman" w:eastAsia="Times New Roman" w:hAnsi="Times New Roman"/>
          <w:i w:val="false"/>
          <w:iCs w:val="false"/>
          <w:sz w:val="24"/>
          <w:szCs w:val="24"/>
        </w:rPr>
        <w:t xml:space="preserve">. È «tutto ciò che è attribuibile» nel solo senso lecito: tutto ciò che si può ancorare a una fonte, con il grado dichiarato.</w:t>
      </w:r>
    </w:p>
    <w:p>
      <w:pPr>
        <w:pBdr>
          <w:bottom w:val="single" w:color="999999" w:sz="6" w:space="1"/>
        </w:pBdr>
        <w:spacing w:after="80"/>
      </w:pPr>
    </w:p>
    <w:p>
      <w:pPr>
        <w:pStyle w:val="Heading1"/>
        <w:spacing w:after="120" w:before="240"/>
      </w:pPr>
      <w:r>
        <w:rPr>
          <w:rFonts w:ascii="Times New Roman" w:cs="Times New Roman" w:eastAsia="Times New Roman" w:hAnsi="Times New Roman"/>
          <w:sz w:val="24"/>
          <w:szCs w:val="24"/>
        </w:rPr>
        <w:t xml:space="preserve">Capitolo sessantottesimo — La cronologia essenziale dei cinquantacinque giorni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Data</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Evento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r>
      <w:tr>
        <w:tc>
          <w:tcPr>
            <w:tcW w:type="dxa" w:w="3120"/>
          </w:tcPr>
          <w:p>
            <w:pPr>
              <w:spacing w:after="20" w:before="20"/>
              <w:jc w:val="left"/>
            </w:pPr>
            <w:r>
              <w:rPr>
                <w:rFonts w:ascii="Times New Roman" w:cs="Times New Roman" w:eastAsia="Times New Roman" w:hAnsi="Times New Roman"/>
                <w:b/>
                <w:bCs/>
                <w:sz w:val="20"/>
                <w:szCs w:val="20"/>
              </w:rPr>
              <w:t xml:space="preserve">16 marzo 1978, mattina</w:t>
            </w:r>
          </w:p>
        </w:tc>
        <w:tc>
          <w:tcPr>
            <w:tcW w:type="dxa" w:w="3120"/>
          </w:tcPr>
          <w:p>
            <w:pPr>
              <w:spacing w:after="20" w:before="20"/>
              <w:jc w:val="left"/>
            </w:pPr>
            <w:r>
              <w:rPr>
                <w:rFonts w:ascii="Times New Roman" w:cs="Times New Roman" w:eastAsia="Times New Roman" w:hAnsi="Times New Roman"/>
                <w:sz w:val="20"/>
                <w:szCs w:val="20"/>
              </w:rPr>
              <w:t xml:space="preserve">Agguato di </w:t>
            </w:r>
            <w:r>
              <w:rPr>
                <w:rFonts w:ascii="Times New Roman" w:cs="Times New Roman" w:eastAsia="Times New Roman" w:hAnsi="Times New Roman"/>
                <w:b/>
                <w:bCs/>
                <w:sz w:val="20"/>
                <w:szCs w:val="20"/>
              </w:rPr>
              <w:t xml:space="preserve">via Fani</w:t>
            </w:r>
            <w:r>
              <w:rPr>
                <w:rFonts w:ascii="Times New Roman" w:cs="Times New Roman" w:eastAsia="Times New Roman" w:hAnsi="Times New Roman"/>
                <w:sz w:val="20"/>
                <w:szCs w:val="20"/>
              </w:rPr>
              <w:t xml:space="preserve"> (Roma): il commando BR blocca le due auto; è rapito Aldo Moro; è sterminata la scorta</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sz w:val="20"/>
                <w:szCs w:val="20"/>
              </w:rPr>
              <w:t xml:space="preserve">16 marzo 1978</w:t>
            </w:r>
          </w:p>
        </w:tc>
        <w:tc>
          <w:tcPr>
            <w:tcW w:type="dxa" w:w="3120"/>
          </w:tcPr>
          <w:p>
            <w:pPr>
              <w:spacing w:after="20" w:before="20"/>
              <w:jc w:val="left"/>
            </w:pPr>
            <w:r>
              <w:rPr>
                <w:rFonts w:ascii="Times New Roman" w:cs="Times New Roman" w:eastAsia="Times New Roman" w:hAnsi="Times New Roman"/>
                <w:sz w:val="20"/>
                <w:szCs w:val="20"/>
              </w:rPr>
              <w:t xml:space="preserve">Insediamento del governo Andreotti IV (della «solidarietà nazionale»), che Moro andava a votare</w:t>
            </w:r>
          </w:p>
        </w:tc>
        <w:tc>
          <w:tcPr>
            <w:tcW w:type="dxa" w:w="3120"/>
          </w:tcPr>
          <w:p>
            <w:pPr>
              <w:spacing w:after="20" w:before="20"/>
              <w:jc w:val="left"/>
            </w:pPr>
            <w:r>
              <w:rPr>
                <w:rFonts w:ascii="Times New Roman" w:cs="Times New Roman" w:eastAsia="Times New Roman" w:hAnsi="Times New Roman"/>
                <w:sz w:val="20"/>
                <w:szCs w:val="20"/>
              </w:rPr>
              <w:t xml:space="preserve">F</w:t>
            </w:r>
          </w:p>
        </w:tc>
      </w:tr>
      <w:tr>
        <w:tc>
          <w:tcPr>
            <w:tcW w:type="dxa" w:w="3120"/>
          </w:tcPr>
          <w:p>
            <w:pPr>
              <w:spacing w:after="20" w:before="20"/>
              <w:jc w:val="left"/>
            </w:pPr>
            <w:r>
              <w:rPr>
                <w:rFonts w:ascii="Times New Roman" w:cs="Times New Roman" w:eastAsia="Times New Roman" w:hAnsi="Times New Roman"/>
                <w:sz w:val="20"/>
                <w:szCs w:val="20"/>
              </w:rPr>
              <w:t xml:space="preserve">18 marzo 1978</w:t>
            </w:r>
          </w:p>
        </w:tc>
        <w:tc>
          <w:tcPr>
            <w:tcW w:type="dxa" w:w="3120"/>
          </w:tcPr>
          <w:p>
            <w:pPr>
              <w:spacing w:after="20" w:before="20"/>
              <w:jc w:val="left"/>
            </w:pPr>
            <w:r>
              <w:rPr>
                <w:rFonts w:ascii="Times New Roman" w:cs="Times New Roman" w:eastAsia="Times New Roman" w:hAnsi="Times New Roman"/>
                <w:b/>
                <w:bCs/>
                <w:sz w:val="20"/>
                <w:szCs w:val="20"/>
              </w:rPr>
              <w:t xml:space="preserve">Comunicato n. 1</w:t>
            </w:r>
            <w:r>
              <w:rPr>
                <w:rFonts w:ascii="Times New Roman" w:cs="Times New Roman" w:eastAsia="Times New Roman" w:hAnsi="Times New Roman"/>
                <w:sz w:val="20"/>
                <w:szCs w:val="20"/>
              </w:rPr>
              <w:t xml:space="preserve"> delle BR: Moro «processato dal tribunale del popolo»</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sz w:val="20"/>
                <w:szCs w:val="20"/>
              </w:rPr>
              <w:t xml:space="preserve">25 marzo – 4 aprile</w:t>
            </w:r>
          </w:p>
        </w:tc>
        <w:tc>
          <w:tcPr>
            <w:tcW w:type="dxa" w:w="3120"/>
          </w:tcPr>
          <w:p>
            <w:pPr>
              <w:spacing w:after="20" w:before="20"/>
              <w:jc w:val="left"/>
            </w:pPr>
            <w:r>
              <w:rPr>
                <w:rFonts w:ascii="Times New Roman" w:cs="Times New Roman" w:eastAsia="Times New Roman" w:hAnsi="Times New Roman"/>
                <w:sz w:val="20"/>
                <w:szCs w:val="20"/>
              </w:rPr>
              <w:t xml:space="preserve">Comunicati successivi; prime lettere di Moro rese pubbliche</w:t>
            </w:r>
          </w:p>
        </w:tc>
        <w:tc>
          <w:tcPr>
            <w:tcW w:type="dxa" w:w="3120"/>
          </w:tcPr>
          <w:p>
            <w:pPr>
              <w:spacing w:after="20" w:before="20"/>
              <w:jc w:val="left"/>
            </w:pPr>
            <w:r>
              <w:rPr>
                <w:rFonts w:ascii="Times New Roman" w:cs="Times New Roman" w:eastAsia="Times New Roman" w:hAnsi="Times New Roman"/>
                <w:sz w:val="20"/>
                <w:szCs w:val="20"/>
              </w:rPr>
              <w:t xml:space="preserve">A/B</w:t>
            </w:r>
          </w:p>
        </w:tc>
      </w:tr>
      <w:tr>
        <w:tc>
          <w:tcPr>
            <w:tcW w:type="dxa" w:w="3120"/>
          </w:tcPr>
          <w:p>
            <w:pPr>
              <w:spacing w:after="20" w:before="20"/>
              <w:jc w:val="left"/>
            </w:pPr>
            <w:r>
              <w:rPr>
                <w:rFonts w:ascii="Times New Roman" w:cs="Times New Roman" w:eastAsia="Times New Roman" w:hAnsi="Times New Roman"/>
                <w:b/>
                <w:bCs/>
                <w:sz w:val="20"/>
                <w:szCs w:val="20"/>
              </w:rPr>
              <w:t xml:space="preserve">18 aprile 1978</w:t>
            </w:r>
          </w:p>
        </w:tc>
        <w:tc>
          <w:tcPr>
            <w:tcW w:type="dxa" w:w="3120"/>
          </w:tcPr>
          <w:p>
            <w:pPr>
              <w:spacing w:after="20" w:before="20"/>
              <w:jc w:val="left"/>
            </w:pPr>
            <w:r>
              <w:rPr>
                <w:rFonts w:ascii="Times New Roman" w:cs="Times New Roman" w:eastAsia="Times New Roman" w:hAnsi="Times New Roman"/>
                <w:b/>
                <w:bCs/>
                <w:sz w:val="20"/>
                <w:szCs w:val="20"/>
              </w:rPr>
              <w:t xml:space="preserve">Falso comunicato n. 7</w:t>
            </w:r>
            <w:r>
              <w:rPr>
                <w:rFonts w:ascii="Times New Roman" w:cs="Times New Roman" w:eastAsia="Times New Roman" w:hAnsi="Times New Roman"/>
                <w:sz w:val="20"/>
                <w:szCs w:val="20"/>
              </w:rPr>
              <w:t xml:space="preserve"> («lago della Duchessa»): annuncia la morte di Moro. Lo stesso giorno è scoperto il covo di </w:t>
            </w:r>
            <w:r>
              <w:rPr>
                <w:rFonts w:ascii="Times New Roman" w:cs="Times New Roman" w:eastAsia="Times New Roman" w:hAnsi="Times New Roman"/>
                <w:b/>
                <w:bCs/>
                <w:sz w:val="20"/>
                <w:szCs w:val="20"/>
              </w:rPr>
              <w:t xml:space="preserve">via Gradoli</w:t>
            </w:r>
          </w:p>
        </w:tc>
        <w:tc>
          <w:tcPr>
            <w:tcW w:type="dxa" w:w="3120"/>
          </w:tcPr>
          <w:p>
            <w:pPr>
              <w:spacing w:after="20" w:before="20"/>
              <w:jc w:val="left"/>
            </w:pPr>
            <w:r>
              <w:rPr>
                <w:rFonts w:ascii="Times New Roman" w:cs="Times New Roman" w:eastAsia="Times New Roman" w:hAnsi="Times New Roman"/>
                <w:sz w:val="20"/>
                <w:szCs w:val="20"/>
              </w:rPr>
              <w:t xml:space="preserve">A (falso accertato) / B</w:t>
            </w:r>
          </w:p>
        </w:tc>
      </w:tr>
      <w:tr>
        <w:tc>
          <w:tcPr>
            <w:tcW w:type="dxa" w:w="3120"/>
          </w:tcPr>
          <w:p>
            <w:pPr>
              <w:spacing w:after="20" w:before="20"/>
              <w:jc w:val="left"/>
            </w:pPr>
            <w:r>
              <w:rPr>
                <w:rFonts w:ascii="Times New Roman" w:cs="Times New Roman" w:eastAsia="Times New Roman" w:hAnsi="Times New Roman"/>
                <w:sz w:val="20"/>
                <w:szCs w:val="20"/>
              </w:rPr>
              <w:t xml:space="preserve">24 aprile 1978</w:t>
            </w:r>
          </w:p>
        </w:tc>
        <w:tc>
          <w:tcPr>
            <w:tcW w:type="dxa" w:w="3120"/>
          </w:tcPr>
          <w:p>
            <w:pPr>
              <w:spacing w:after="20" w:before="20"/>
              <w:jc w:val="left"/>
            </w:pPr>
            <w:r>
              <w:rPr>
                <w:rFonts w:ascii="Times New Roman" w:cs="Times New Roman" w:eastAsia="Times New Roman" w:hAnsi="Times New Roman"/>
                <w:sz w:val="20"/>
                <w:szCs w:val="20"/>
              </w:rPr>
              <w:t xml:space="preserve">Comunicato n. 9: le BR chiedono lo scambio con tredici detenuti</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sz w:val="20"/>
                <w:szCs w:val="20"/>
              </w:rPr>
              <w:t xml:space="preserve">5 maggio 1978</w:t>
            </w:r>
          </w:p>
        </w:tc>
        <w:tc>
          <w:tcPr>
            <w:tcW w:type="dxa" w:w="3120"/>
          </w:tcPr>
          <w:p>
            <w:pPr>
              <w:spacing w:after="20" w:before="20"/>
              <w:jc w:val="left"/>
            </w:pPr>
            <w:r>
              <w:rPr>
                <w:rFonts w:ascii="Times New Roman" w:cs="Times New Roman" w:eastAsia="Times New Roman" w:hAnsi="Times New Roman"/>
                <w:sz w:val="20"/>
                <w:szCs w:val="20"/>
              </w:rPr>
              <w:t xml:space="preserve">Ultimo comunicato: annuncio dell'esecuzione</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b/>
                <w:bCs/>
                <w:sz w:val="20"/>
                <w:szCs w:val="20"/>
              </w:rPr>
              <w:t xml:space="preserve">9 maggio 1978</w:t>
            </w:r>
          </w:p>
        </w:tc>
        <w:tc>
          <w:tcPr>
            <w:tcW w:type="dxa" w:w="3120"/>
          </w:tcPr>
          <w:p>
            <w:pPr>
              <w:spacing w:after="20" w:before="20"/>
              <w:jc w:val="left"/>
            </w:pPr>
            <w:r>
              <w:rPr>
                <w:rFonts w:ascii="Times New Roman" w:cs="Times New Roman" w:eastAsia="Times New Roman" w:hAnsi="Times New Roman"/>
                <w:sz w:val="20"/>
                <w:szCs w:val="20"/>
              </w:rPr>
              <w:t xml:space="preserve">Il corpo di Moro è ritrovato in una </w:t>
            </w:r>
            <w:r>
              <w:rPr>
                <w:rFonts w:ascii="Times New Roman" w:cs="Times New Roman" w:eastAsia="Times New Roman" w:hAnsi="Times New Roman"/>
                <w:b/>
                <w:bCs/>
                <w:sz w:val="20"/>
                <w:szCs w:val="20"/>
              </w:rPr>
              <w:t xml:space="preserve">Renault 4 rossa in via Caetani</w:t>
            </w:r>
            <w:r>
              <w:rPr>
                <w:rFonts w:ascii="Times New Roman" w:cs="Times New Roman" w:eastAsia="Times New Roman" w:hAnsi="Times New Roman"/>
                <w:sz w:val="20"/>
                <w:szCs w:val="20"/>
              </w:rPr>
              <w:t xml:space="preserve">, fra le sedi di PCI e DC</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sz w:val="20"/>
                <w:szCs w:val="20"/>
              </w:rPr>
              <w:t xml:space="preserve">13 maggio 1978</w:t>
            </w:r>
          </w:p>
        </w:tc>
        <w:tc>
          <w:tcPr>
            <w:tcW w:type="dxa" w:w="3120"/>
          </w:tcPr>
          <w:p>
            <w:pPr>
              <w:spacing w:after="20" w:before="20"/>
              <w:jc w:val="left"/>
            </w:pPr>
            <w:r>
              <w:rPr>
                <w:rFonts w:ascii="Times New Roman" w:cs="Times New Roman" w:eastAsia="Times New Roman" w:hAnsi="Times New Roman"/>
                <w:sz w:val="20"/>
                <w:szCs w:val="20"/>
              </w:rPr>
              <w:t xml:space="preserve">Funerali di Stato in San Giovanni, </w:t>
            </w:r>
            <w:r>
              <w:rPr>
                <w:rFonts w:ascii="Times New Roman" w:cs="Times New Roman" w:eastAsia="Times New Roman" w:hAnsi="Times New Roman"/>
                <w:b/>
                <w:bCs/>
                <w:sz w:val="20"/>
                <w:szCs w:val="20"/>
              </w:rPr>
              <w:t xml:space="preserve">senza la salma</w:t>
            </w:r>
            <w:r>
              <w:rPr>
                <w:rFonts w:ascii="Times New Roman" w:cs="Times New Roman" w:eastAsia="Times New Roman" w:hAnsi="Times New Roman"/>
                <w:sz w:val="20"/>
                <w:szCs w:val="20"/>
              </w:rPr>
              <w:t xml:space="preserve">, per volontà della famiglia</w:t>
            </w:r>
          </w:p>
        </w:tc>
        <w:tc>
          <w:tcPr>
            <w:tcW w:type="dxa" w:w="3120"/>
          </w:tcPr>
          <w:p>
            <w:pPr>
              <w:spacing w:after="20" w:before="20"/>
              <w:jc w:val="left"/>
            </w:pPr>
            <w:r>
              <w:rPr>
                <w:rFonts w:ascii="Times New Roman" w:cs="Times New Roman" w:eastAsia="Times New Roman" w:hAnsi="Times New Roman"/>
                <w:sz w:val="20"/>
                <w:szCs w:val="20"/>
              </w:rPr>
              <w:t xml:space="preserve">F</w:t>
            </w:r>
          </w:p>
        </w:tc>
      </w:tr>
    </w:tbl>
    <w:p>
      <w:pPr>
        <w:spacing w:after="80"/>
      </w:pPr>
    </w:p>
    <w:p>
      <w:pPr>
        <w:pStyle w:val="Heading1"/>
        <w:spacing w:after="120" w:before="240"/>
      </w:pPr>
      <w:r>
        <w:rPr>
          <w:rFonts w:ascii="Times New Roman" w:cs="Times New Roman" w:eastAsia="Times New Roman" w:hAnsi="Times New Roman"/>
          <w:sz w:val="24"/>
          <w:szCs w:val="24"/>
        </w:rPr>
        <w:t xml:space="preserve">Capitolo sessantanovesimo — Le vittime di via Fani (grado A · giudicato · da nominare per prime)</w:t>
      </w:r>
    </w:p>
    <w:p>
      <w:pPr>
        <w:spacing w:after="120" w:line="276"/>
        <w:jc w:val="both"/>
      </w:pPr>
      <w:r>
        <w:rPr>
          <w:rFonts w:ascii="Times New Roman" w:cs="Times New Roman" w:eastAsia="Times New Roman" w:hAnsi="Times New Roman"/>
          <w:sz w:val="24"/>
          <w:szCs w:val="24"/>
        </w:rPr>
        <w:t xml:space="preserve">Il repertorio comincia da loro, perché è giusto e perché sono la parte del caso su cui non esiste ombra. I cinque uomini della scorta uccisi a via Fani il 16 marzo 1978 (Ministero dell'Interno (https://www.interno.gov.it/it/notizie/16-marzo-1978-rapimento-aldo-moro-e-lassassinio-dei-cinque-uomini-sua-scorta)):</w:t>
      </w:r>
    </w:p>
    <w:p>
      <w:pPr>
        <w:pStyle w:val="ListParagraph"/>
        <w:numPr>
          <w:ilvl w:val="0"/>
          <w:numId w:val="1"/>
        </w:numPr>
        <w:spacing w:after="40"/>
        <w:jc w:val="both"/>
      </w:pPr>
      <w:r>
        <w:rPr>
          <w:rFonts w:ascii="Times New Roman" w:cs="Times New Roman" w:eastAsia="Times New Roman" w:hAnsi="Times New Roman"/>
          <w:b/>
          <w:bCs/>
          <w:sz w:val="24"/>
          <w:szCs w:val="24"/>
        </w:rPr>
        <w:t xml:space="preserve">Oreste Leonardi</w:t>
      </w:r>
      <w:r>
        <w:rPr>
          <w:rFonts w:ascii="Times New Roman" w:cs="Times New Roman" w:eastAsia="Times New Roman" w:hAnsi="Times New Roman"/>
          <w:sz w:val="24"/>
          <w:szCs w:val="24"/>
        </w:rPr>
        <w:t xml:space="preserve">, maresciallo dei Carabinieri, capo-scorta;</w:t>
      </w:r>
    </w:p>
    <w:p>
      <w:pPr>
        <w:pStyle w:val="ListParagraph"/>
        <w:numPr>
          <w:ilvl w:val="0"/>
          <w:numId w:val="1"/>
        </w:numPr>
        <w:spacing w:after="40"/>
        <w:jc w:val="both"/>
      </w:pPr>
      <w:r>
        <w:rPr>
          <w:rFonts w:ascii="Times New Roman" w:cs="Times New Roman" w:eastAsia="Times New Roman" w:hAnsi="Times New Roman"/>
          <w:b/>
          <w:bCs/>
          <w:sz w:val="24"/>
          <w:szCs w:val="24"/>
        </w:rPr>
        <w:t xml:space="preserve">Domenico Ricci</w:t>
      </w:r>
      <w:r>
        <w:rPr>
          <w:rFonts w:ascii="Times New Roman" w:cs="Times New Roman" w:eastAsia="Times New Roman" w:hAnsi="Times New Roman"/>
          <w:sz w:val="24"/>
          <w:szCs w:val="24"/>
        </w:rPr>
        <w:t xml:space="preserve">, appuntato dei Carabinieri, autista;</w:t>
      </w:r>
    </w:p>
    <w:p>
      <w:pPr>
        <w:pStyle w:val="ListParagraph"/>
        <w:numPr>
          <w:ilvl w:val="0"/>
          <w:numId w:val="1"/>
        </w:numPr>
        <w:spacing w:after="40"/>
        <w:jc w:val="both"/>
      </w:pPr>
      <w:r>
        <w:rPr>
          <w:rFonts w:ascii="Times New Roman" w:cs="Times New Roman" w:eastAsia="Times New Roman" w:hAnsi="Times New Roman"/>
          <w:b/>
          <w:bCs/>
          <w:sz w:val="24"/>
          <w:szCs w:val="24"/>
        </w:rPr>
        <w:t xml:space="preserve">Giulio Rivera</w:t>
      </w:r>
      <w:r>
        <w:rPr>
          <w:rFonts w:ascii="Times New Roman" w:cs="Times New Roman" w:eastAsia="Times New Roman" w:hAnsi="Times New Roman"/>
          <w:sz w:val="24"/>
          <w:szCs w:val="24"/>
        </w:rPr>
        <w:t xml:space="preserve">, agente di Pubblica Sicurezza;</w:t>
      </w:r>
    </w:p>
    <w:p>
      <w:pPr>
        <w:pStyle w:val="ListParagraph"/>
        <w:numPr>
          <w:ilvl w:val="0"/>
          <w:numId w:val="1"/>
        </w:numPr>
        <w:spacing w:after="40"/>
        <w:jc w:val="both"/>
      </w:pPr>
      <w:r>
        <w:rPr>
          <w:rFonts w:ascii="Times New Roman" w:cs="Times New Roman" w:eastAsia="Times New Roman" w:hAnsi="Times New Roman"/>
          <w:b/>
          <w:bCs/>
          <w:sz w:val="24"/>
          <w:szCs w:val="24"/>
        </w:rPr>
        <w:t xml:space="preserve">Francesco Zizzi</w:t>
      </w:r>
      <w:r>
        <w:rPr>
          <w:rFonts w:ascii="Times New Roman" w:cs="Times New Roman" w:eastAsia="Times New Roman" w:hAnsi="Times New Roman"/>
          <w:sz w:val="24"/>
          <w:szCs w:val="24"/>
        </w:rPr>
        <w:t xml:space="preserve">, vice brigadiere di P.S. (morì poco dopo in ospedale);</w:t>
      </w:r>
    </w:p>
    <w:p>
      <w:pPr>
        <w:pStyle w:val="ListParagraph"/>
        <w:numPr>
          <w:ilvl w:val="0"/>
          <w:numId w:val="1"/>
        </w:numPr>
        <w:spacing w:after="40"/>
        <w:jc w:val="both"/>
      </w:pPr>
      <w:r>
        <w:rPr>
          <w:rFonts w:ascii="Times New Roman" w:cs="Times New Roman" w:eastAsia="Times New Roman" w:hAnsi="Times New Roman"/>
          <w:b/>
          <w:bCs/>
          <w:sz w:val="24"/>
          <w:szCs w:val="24"/>
        </w:rPr>
        <w:t xml:space="preserve">Raffaele Iozzino</w:t>
      </w:r>
      <w:r>
        <w:rPr>
          <w:rFonts w:ascii="Times New Roman" w:cs="Times New Roman" w:eastAsia="Times New Roman" w:hAnsi="Times New Roman"/>
          <w:sz w:val="24"/>
          <w:szCs w:val="24"/>
        </w:rPr>
        <w:t xml:space="preserve">, agente di P.S., l'unico che riuscì a scendere e a rispondere al fuoco.</w:t>
      </w:r>
    </w:p>
    <w:p>
      <w:pPr>
        <w:spacing w:after="120" w:line="276"/>
        <w:jc w:val="both"/>
      </w:pPr>
      <w:r>
        <w:rPr>
          <w:rFonts w:ascii="Times New Roman" w:cs="Times New Roman" w:eastAsia="Times New Roman" w:hAnsi="Times New Roman"/>
          <w:sz w:val="24"/>
          <w:szCs w:val="24"/>
        </w:rPr>
        <w:t xml:space="preserve">Sono, con Moro, le sei vittime del caso. Il repertorio le tiene in testa perché nessuna disquisizione sui «livelli» del sequestro può farle scivolare a nota a piè di pagina: furono uomini uccisi al loro posto, e la loro morte è il primo fatto del caso.</w:t>
      </w:r>
    </w:p>
    <w:p>
      <w:pPr>
        <w:pStyle w:val="Heading1"/>
        <w:spacing w:after="120" w:before="240"/>
      </w:pPr>
      <w:r>
        <w:rPr>
          <w:rFonts w:ascii="Times New Roman" w:cs="Times New Roman" w:eastAsia="Times New Roman" w:hAnsi="Times New Roman"/>
          <w:sz w:val="24"/>
          <w:szCs w:val="24"/>
        </w:rPr>
        <w:t xml:space="preserve">Capitolo settantesimo — Gli autori accertati (grado A · giudicato)</w:t>
      </w:r>
    </w:p>
    <w:p>
      <w:pPr>
        <w:spacing w:after="120" w:line="276"/>
        <w:jc w:val="both"/>
      </w:pPr>
      <w:r>
        <w:rPr>
          <w:rFonts w:ascii="Times New Roman" w:cs="Times New Roman" w:eastAsia="Times New Roman" w:hAnsi="Times New Roman"/>
          <w:sz w:val="24"/>
          <w:szCs w:val="24"/>
        </w:rPr>
        <w:t xml:space="preserve">Si nominano qui, e </w:t>
      </w:r>
      <w:r>
        <w:rPr>
          <w:rFonts w:ascii="Times New Roman" w:cs="Times New Roman" w:eastAsia="Times New Roman" w:hAnsi="Times New Roman"/>
          <w:b/>
          <w:bCs/>
          <w:sz w:val="24"/>
          <w:szCs w:val="24"/>
        </w:rPr>
        <w:t xml:space="preserve">solo</w:t>
      </w:r>
      <w:r>
        <w:rPr>
          <w:rFonts w:ascii="Times New Roman" w:cs="Times New Roman" w:eastAsia="Times New Roman" w:hAnsi="Times New Roman"/>
          <w:sz w:val="24"/>
          <w:szCs w:val="24"/>
        </w:rPr>
        <w:t xml:space="preserve"> qui, le persone la cui responsabilità nel sequestro e nell'omicidio è stata accertata da </w:t>
      </w:r>
      <w:r>
        <w:rPr>
          <w:rFonts w:ascii="Times New Roman" w:cs="Times New Roman" w:eastAsia="Times New Roman" w:hAnsi="Times New Roman"/>
          <w:b/>
          <w:bCs/>
          <w:sz w:val="24"/>
          <w:szCs w:val="24"/>
        </w:rPr>
        <w:t xml:space="preserve">sentenza definitiva</w:t>
      </w:r>
      <w:r>
        <w:rPr>
          <w:rFonts w:ascii="Times New Roman" w:cs="Times New Roman" w:eastAsia="Times New Roman" w:hAnsi="Times New Roman"/>
          <w:sz w:val="24"/>
          <w:szCs w:val="24"/>
        </w:rPr>
        <w:t xml:space="preserve"> nei cinque processi Moro (cfr. Fase settima). Nominarle non viola il divieto di imputare: le ha già imputate lo Stato, in via irrevocabile.</w:t>
      </w:r>
    </w:p>
    <w:p>
      <w:pPr>
        <w:pStyle w:val="ListParagraph"/>
        <w:numPr>
          <w:ilvl w:val="0"/>
          <w:numId w:val="1"/>
        </w:numPr>
        <w:spacing w:after="40"/>
        <w:jc w:val="both"/>
      </w:pPr>
      <w:r>
        <w:rPr>
          <w:rFonts w:ascii="Times New Roman" w:cs="Times New Roman" w:eastAsia="Times New Roman" w:hAnsi="Times New Roman"/>
          <w:b/>
          <w:bCs/>
          <w:sz w:val="24"/>
          <w:szCs w:val="24"/>
        </w:rPr>
        <w:t xml:space="preserve">Mario Moretti</w:t>
      </w:r>
      <w:r>
        <w:rPr>
          <w:rFonts w:ascii="Times New Roman" w:cs="Times New Roman" w:eastAsia="Times New Roman" w:hAnsi="Times New Roman"/>
          <w:sz w:val="24"/>
          <w:szCs w:val="24"/>
        </w:rPr>
        <w:t xml:space="preserve"> — direzione dell'operazione ed esecuzione materiale dell'omicidio (per sua ammissione, recepita dal giudicato).</w:t>
      </w:r>
    </w:p>
    <w:p>
      <w:pPr>
        <w:pStyle w:val="ListParagraph"/>
        <w:numPr>
          <w:ilvl w:val="0"/>
          <w:numId w:val="1"/>
        </w:numPr>
        <w:spacing w:after="40"/>
        <w:jc w:val="both"/>
      </w:pPr>
      <w:r>
        <w:rPr>
          <w:rFonts w:ascii="Times New Roman" w:cs="Times New Roman" w:eastAsia="Times New Roman" w:hAnsi="Times New Roman"/>
          <w:b/>
          <w:bCs/>
          <w:sz w:val="24"/>
          <w:szCs w:val="24"/>
        </w:rPr>
        <w:t xml:space="preserve">Valerio Morucci, Adriana Faranda, Raffaele Fiore, Prospero Gallinari, Franco Bonisoli, Barbara Balzerani</w:t>
      </w:r>
      <w:r>
        <w:rPr>
          <w:rFonts w:ascii="Times New Roman" w:cs="Times New Roman" w:eastAsia="Times New Roman" w:hAnsi="Times New Roman"/>
          <w:sz w:val="24"/>
          <w:szCs w:val="24"/>
        </w:rPr>
        <w:t xml:space="preserve"> — fra i componenti del commando di via Fani e della gestione del sequestro.</w:t>
      </w:r>
    </w:p>
    <w:p>
      <w:pPr>
        <w:pStyle w:val="ListParagraph"/>
        <w:numPr>
          <w:ilvl w:val="0"/>
          <w:numId w:val="1"/>
        </w:numPr>
        <w:spacing w:after="40"/>
        <w:jc w:val="both"/>
      </w:pPr>
      <w:r>
        <w:rPr>
          <w:rFonts w:ascii="Times New Roman" w:cs="Times New Roman" w:eastAsia="Times New Roman" w:hAnsi="Times New Roman"/>
          <w:b/>
          <w:bCs/>
          <w:sz w:val="24"/>
          <w:szCs w:val="24"/>
        </w:rPr>
        <w:t xml:space="preserve">Alvaro Lojacono</w:t>
      </w:r>
      <w:r>
        <w:rPr>
          <w:rFonts w:ascii="Times New Roman" w:cs="Times New Roman" w:eastAsia="Times New Roman" w:hAnsi="Times New Roman"/>
          <w:sz w:val="24"/>
          <w:szCs w:val="24"/>
        </w:rPr>
        <w:t xml:space="preserve"> — responsabilità per l'intero arco 16 marzo-9 maggio (Moro quater, definitivo 1997).</w:t>
      </w:r>
    </w:p>
    <w:p>
      <w:pPr>
        <w:pStyle w:val="ListParagraph"/>
        <w:numPr>
          <w:ilvl w:val="0"/>
          <w:numId w:val="1"/>
        </w:numPr>
        <w:spacing w:after="40"/>
        <w:jc w:val="both"/>
      </w:pPr>
      <w:r>
        <w:rPr>
          <w:rFonts w:ascii="Times New Roman" w:cs="Times New Roman" w:eastAsia="Times New Roman" w:hAnsi="Times New Roman"/>
          <w:b/>
          <w:bCs/>
          <w:sz w:val="24"/>
          <w:szCs w:val="24"/>
        </w:rPr>
        <w:t xml:space="preserve">Germano Maccari</w:t>
      </w:r>
      <w:r>
        <w:rPr>
          <w:rFonts w:ascii="Times New Roman" w:cs="Times New Roman" w:eastAsia="Times New Roman" w:hAnsi="Times New Roman"/>
          <w:sz w:val="24"/>
          <w:szCs w:val="24"/>
        </w:rPr>
        <w:t xml:space="preserve"> — il «quarto uomo» del covo di via Montalcini (Moro quinquies, definitivo 1999); </w:t>
      </w:r>
      <w:r>
        <w:rPr>
          <w:rFonts w:ascii="Times New Roman" w:cs="Times New Roman" w:eastAsia="Times New Roman" w:hAnsi="Times New Roman"/>
          <w:b/>
          <w:bCs/>
          <w:sz w:val="24"/>
          <w:szCs w:val="24"/>
        </w:rPr>
        <w:t xml:space="preserve">Raimondo Etro</w:t>
      </w:r>
      <w:r>
        <w:rPr>
          <w:rFonts w:ascii="Times New Roman" w:cs="Times New Roman" w:eastAsia="Times New Roman" w:hAnsi="Times New Roman"/>
          <w:sz w:val="24"/>
          <w:szCs w:val="24"/>
        </w:rPr>
        <w:t xml:space="preserve">, per fasi collaterali.</w:t>
      </w:r>
    </w:p>
    <w:p>
      <w:pPr>
        <w:spacing w:after="120" w:line="276"/>
        <w:jc w:val="both"/>
      </w:pPr>
      <w:r>
        <w:rPr>
          <w:rFonts w:ascii="Times New Roman" w:cs="Times New Roman" w:eastAsia="Times New Roman" w:hAnsi="Times New Roman"/>
          <w:sz w:val="24"/>
          <w:szCs w:val="24"/>
        </w:rPr>
        <w:t xml:space="preserve">Oltre questo elenco, il repertorio </w:t>
      </w:r>
      <w:r>
        <w:rPr>
          <w:rFonts w:ascii="Times New Roman" w:cs="Times New Roman" w:eastAsia="Times New Roman" w:hAnsi="Times New Roman"/>
          <w:b/>
          <w:bCs/>
          <w:sz w:val="24"/>
          <w:szCs w:val="24"/>
        </w:rPr>
        <w:t xml:space="preserve">non aggiunge nomi</w:t>
      </w:r>
      <w:r>
        <w:rPr>
          <w:rFonts w:ascii="Times New Roman" w:cs="Times New Roman" w:eastAsia="Times New Roman" w:hAnsi="Times New Roman"/>
          <w:sz w:val="24"/>
          <w:szCs w:val="24"/>
        </w:rPr>
        <w:t xml:space="preserve">. Chiunque altro sia stato evocato — mandanti, complici, presenze — appartiene, allo stato degli atti, al grado B o C, e vi resta.</w:t>
      </w:r>
    </w:p>
    <w:p>
      <w:pPr>
        <w:pStyle w:val="Heading1"/>
        <w:spacing w:after="120" w:before="240"/>
      </w:pPr>
      <w:r>
        <w:rPr>
          <w:rFonts w:ascii="Times New Roman" w:cs="Times New Roman" w:eastAsia="Times New Roman" w:hAnsi="Times New Roman"/>
          <w:sz w:val="24"/>
          <w:szCs w:val="24"/>
        </w:rPr>
        <w:t xml:space="preserve">Capitolo settantunesimo — I luoghi (grado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Luogo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Funzione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r>
      <w:tr>
        <w:tc>
          <w:tcPr>
            <w:tcW w:type="dxa" w:w="3120"/>
          </w:tcPr>
          <w:p>
            <w:pPr>
              <w:spacing w:after="20" w:before="20"/>
              <w:jc w:val="left"/>
            </w:pPr>
            <w:r>
              <w:rPr>
                <w:rFonts w:ascii="Times New Roman" w:cs="Times New Roman" w:eastAsia="Times New Roman" w:hAnsi="Times New Roman"/>
                <w:b/>
                <w:bCs/>
                <w:sz w:val="20"/>
                <w:szCs w:val="20"/>
              </w:rPr>
              <w:t xml:space="preserve">Via Mario Fani</w:t>
            </w:r>
            <w:r>
              <w:rPr>
                <w:rFonts w:ascii="Times New Roman" w:cs="Times New Roman" w:eastAsia="Times New Roman" w:hAnsi="Times New Roman"/>
                <w:sz w:val="20"/>
                <w:szCs w:val="20"/>
              </w:rPr>
              <w:t xml:space="preserve"> (Roma, Monte Mario)</w:t>
            </w:r>
          </w:p>
        </w:tc>
        <w:tc>
          <w:tcPr>
            <w:tcW w:type="dxa" w:w="3120"/>
          </w:tcPr>
          <w:p>
            <w:pPr>
              <w:spacing w:after="20" w:before="20"/>
              <w:jc w:val="left"/>
            </w:pPr>
            <w:r>
              <w:rPr>
                <w:rFonts w:ascii="Times New Roman" w:cs="Times New Roman" w:eastAsia="Times New Roman" w:hAnsi="Times New Roman"/>
                <w:sz w:val="20"/>
                <w:szCs w:val="20"/>
              </w:rPr>
              <w:t xml:space="preserve">L'agguato del 16 marzo</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b/>
                <w:bCs/>
                <w:sz w:val="20"/>
                <w:szCs w:val="20"/>
              </w:rPr>
              <w:t xml:space="preserve">Via Camillo Montalcini 8</w:t>
            </w:r>
            <w:r>
              <w:rPr>
                <w:rFonts w:ascii="Times New Roman" w:cs="Times New Roman" w:eastAsia="Times New Roman" w:hAnsi="Times New Roman"/>
                <w:sz w:val="20"/>
                <w:szCs w:val="20"/>
              </w:rPr>
              <w:t xml:space="preserve"> (Roma)</w:t>
            </w:r>
          </w:p>
        </w:tc>
        <w:tc>
          <w:tcPr>
            <w:tcW w:type="dxa" w:w="3120"/>
          </w:tcPr>
          <w:p>
            <w:pPr>
              <w:spacing w:after="20" w:before="20"/>
              <w:jc w:val="left"/>
            </w:pPr>
            <w:r>
              <w:rPr>
                <w:rFonts w:ascii="Times New Roman" w:cs="Times New Roman" w:eastAsia="Times New Roman" w:hAnsi="Times New Roman"/>
                <w:sz w:val="20"/>
                <w:szCs w:val="20"/>
              </w:rPr>
              <w:t xml:space="preserve">La «prigione del popolo»: unico covo di detenzione accertato in giudizio (Moro quinquies)</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b/>
                <w:bCs/>
                <w:sz w:val="20"/>
                <w:szCs w:val="20"/>
              </w:rPr>
              <w:t xml:space="preserve">Via Gradoli 96</w:t>
            </w:r>
            <w:r>
              <w:rPr>
                <w:rFonts w:ascii="Times New Roman" w:cs="Times New Roman" w:eastAsia="Times New Roman" w:hAnsi="Times New Roman"/>
                <w:sz w:val="20"/>
                <w:szCs w:val="20"/>
              </w:rPr>
              <w:t xml:space="preserve"> (Roma)</w:t>
            </w:r>
          </w:p>
        </w:tc>
        <w:tc>
          <w:tcPr>
            <w:tcW w:type="dxa" w:w="3120"/>
          </w:tcPr>
          <w:p>
            <w:pPr>
              <w:spacing w:after="20" w:before="20"/>
              <w:jc w:val="left"/>
            </w:pPr>
            <w:r>
              <w:rPr>
                <w:rFonts w:ascii="Times New Roman" w:cs="Times New Roman" w:eastAsia="Times New Roman" w:hAnsi="Times New Roman"/>
                <w:sz w:val="20"/>
                <w:szCs w:val="20"/>
              </w:rPr>
              <w:t xml:space="preserve">Covo BR scoperto il 18 aprile 1978; nodo della «seduta spiritica»</w:t>
            </w:r>
          </w:p>
        </w:tc>
        <w:tc>
          <w:tcPr>
            <w:tcW w:type="dxa" w:w="3120"/>
          </w:tcPr>
          <w:p>
            <w:pPr>
              <w:spacing w:after="20" w:before="20"/>
              <w:jc w:val="left"/>
            </w:pPr>
            <w:r>
              <w:rPr>
                <w:rFonts w:ascii="Times New Roman" w:cs="Times New Roman" w:eastAsia="Times New Roman" w:hAnsi="Times New Roman"/>
                <w:sz w:val="20"/>
                <w:szCs w:val="20"/>
              </w:rPr>
              <w:t xml:space="preserve">A (esistenza) / B (modalità della scoperta)</w:t>
            </w:r>
          </w:p>
        </w:tc>
      </w:tr>
      <w:tr>
        <w:tc>
          <w:tcPr>
            <w:tcW w:type="dxa" w:w="3120"/>
          </w:tcPr>
          <w:p>
            <w:pPr>
              <w:spacing w:after="20" w:before="20"/>
              <w:jc w:val="left"/>
            </w:pPr>
            <w:r>
              <w:rPr>
                <w:rFonts w:ascii="Times New Roman" w:cs="Times New Roman" w:eastAsia="Times New Roman" w:hAnsi="Times New Roman"/>
                <w:b/>
                <w:bCs/>
                <w:sz w:val="20"/>
                <w:szCs w:val="20"/>
              </w:rPr>
              <w:t xml:space="preserve">Via Caetani</w:t>
            </w:r>
            <w:r>
              <w:rPr>
                <w:rFonts w:ascii="Times New Roman" w:cs="Times New Roman" w:eastAsia="Times New Roman" w:hAnsi="Times New Roman"/>
                <w:sz w:val="20"/>
                <w:szCs w:val="20"/>
              </w:rPr>
              <w:t xml:space="preserve"> (Roma)</w:t>
            </w:r>
          </w:p>
        </w:tc>
        <w:tc>
          <w:tcPr>
            <w:tcW w:type="dxa" w:w="3120"/>
          </w:tcPr>
          <w:p>
            <w:pPr>
              <w:spacing w:after="20" w:before="20"/>
              <w:jc w:val="left"/>
            </w:pPr>
            <w:r>
              <w:rPr>
                <w:rFonts w:ascii="Times New Roman" w:cs="Times New Roman" w:eastAsia="Times New Roman" w:hAnsi="Times New Roman"/>
                <w:sz w:val="20"/>
                <w:szCs w:val="20"/>
              </w:rPr>
              <w:t xml:space="preserve">Ritrovamento del corpo, 9 maggio; a metà via fra Botteghe Oscure (PCI) e piazza del Gesù (DC)</w:t>
            </w:r>
          </w:p>
        </w:tc>
        <w:tc>
          <w:tcPr>
            <w:tcW w:type="dxa" w:w="3120"/>
          </w:tcPr>
          <w:p>
            <w:pPr>
              <w:spacing w:after="20" w:before="20"/>
              <w:jc w:val="left"/>
            </w:pPr>
            <w:r>
              <w:rPr>
                <w:rFonts w:ascii="Times New Roman" w:cs="Times New Roman" w:eastAsia="Times New Roman" w:hAnsi="Times New Roman"/>
                <w:sz w:val="20"/>
                <w:szCs w:val="20"/>
              </w:rPr>
              <w:t xml:space="preserve">A</w:t>
            </w:r>
          </w:p>
        </w:tc>
      </w:tr>
      <w:tr>
        <w:tc>
          <w:tcPr>
            <w:tcW w:type="dxa" w:w="3120"/>
          </w:tcPr>
          <w:p>
            <w:pPr>
              <w:spacing w:after="20" w:before="20"/>
              <w:jc w:val="left"/>
            </w:pPr>
            <w:r>
              <w:rPr>
                <w:rFonts w:ascii="Times New Roman" w:cs="Times New Roman" w:eastAsia="Times New Roman" w:hAnsi="Times New Roman"/>
                <w:b/>
                <w:bCs/>
                <w:sz w:val="20"/>
                <w:szCs w:val="20"/>
              </w:rPr>
              <w:t xml:space="preserve">Via Monte Nevoso</w:t>
            </w:r>
            <w:r>
              <w:rPr>
                <w:rFonts w:ascii="Times New Roman" w:cs="Times New Roman" w:eastAsia="Times New Roman" w:hAnsi="Times New Roman"/>
                <w:sz w:val="20"/>
                <w:szCs w:val="20"/>
              </w:rPr>
              <w:t xml:space="preserve"> (Milano)</w:t>
            </w:r>
          </w:p>
        </w:tc>
        <w:tc>
          <w:tcPr>
            <w:tcW w:type="dxa" w:w="3120"/>
          </w:tcPr>
          <w:p>
            <w:pPr>
              <w:spacing w:after="20" w:before="20"/>
              <w:jc w:val="left"/>
            </w:pPr>
            <w:r>
              <w:rPr>
                <w:rFonts w:ascii="Times New Roman" w:cs="Times New Roman" w:eastAsia="Times New Roman" w:hAnsi="Times New Roman"/>
                <w:sz w:val="20"/>
                <w:szCs w:val="20"/>
              </w:rPr>
              <w:t xml:space="preserve">Covo dove fu ritrovato il memoriale, in due tempi (1978 e 1990)</w:t>
            </w:r>
          </w:p>
        </w:tc>
        <w:tc>
          <w:tcPr>
            <w:tcW w:type="dxa" w:w="3120"/>
          </w:tcPr>
          <w:p>
            <w:pPr>
              <w:spacing w:after="20" w:before="20"/>
              <w:jc w:val="left"/>
            </w:pPr>
            <w:r>
              <w:rPr>
                <w:rFonts w:ascii="Times New Roman" w:cs="Times New Roman" w:eastAsia="Times New Roman" w:hAnsi="Times New Roman"/>
                <w:sz w:val="20"/>
                <w:szCs w:val="20"/>
              </w:rPr>
              <w:t xml:space="preserve">A (ritrovamenti) / B (completezza)</w:t>
            </w:r>
          </w:p>
        </w:tc>
      </w:tr>
      <w:tr>
        <w:tc>
          <w:tcPr>
            <w:tcW w:type="dxa" w:w="3120"/>
          </w:tcPr>
          <w:p>
            <w:pPr>
              <w:spacing w:after="20" w:before="20"/>
              <w:jc w:val="left"/>
            </w:pPr>
            <w:r>
              <w:rPr>
                <w:rFonts w:ascii="Times New Roman" w:cs="Times New Roman" w:eastAsia="Times New Roman" w:hAnsi="Times New Roman"/>
                <w:b/>
                <w:bCs/>
                <w:sz w:val="20"/>
                <w:szCs w:val="20"/>
              </w:rPr>
              <w:t xml:space="preserve">Lago della Duchessa</w:t>
            </w:r>
            <w:r>
              <w:rPr>
                <w:rFonts w:ascii="Times New Roman" w:cs="Times New Roman" w:eastAsia="Times New Roman" w:hAnsi="Times New Roman"/>
                <w:sz w:val="20"/>
                <w:szCs w:val="20"/>
              </w:rPr>
              <w:t xml:space="preserve"> (Rieti)</w:t>
            </w:r>
          </w:p>
        </w:tc>
        <w:tc>
          <w:tcPr>
            <w:tcW w:type="dxa" w:w="3120"/>
          </w:tcPr>
          <w:p>
            <w:pPr>
              <w:spacing w:after="20" w:before="20"/>
              <w:jc w:val="left"/>
            </w:pPr>
            <w:r>
              <w:rPr>
                <w:rFonts w:ascii="Times New Roman" w:cs="Times New Roman" w:eastAsia="Times New Roman" w:hAnsi="Times New Roman"/>
                <w:sz w:val="20"/>
                <w:szCs w:val="20"/>
              </w:rPr>
              <w:t xml:space="preserve">Oggetto del falso comunicato del 18 aprile</w:t>
            </w:r>
          </w:p>
        </w:tc>
        <w:tc>
          <w:tcPr>
            <w:tcW w:type="dxa" w:w="3120"/>
          </w:tcPr>
          <w:p>
            <w:pPr>
              <w:spacing w:after="20" w:before="20"/>
              <w:jc w:val="left"/>
            </w:pPr>
            <w:r>
              <w:rPr>
                <w:rFonts w:ascii="Times New Roman" w:cs="Times New Roman" w:eastAsia="Times New Roman" w:hAnsi="Times New Roman"/>
                <w:sz w:val="20"/>
                <w:szCs w:val="20"/>
              </w:rPr>
              <w:t xml:space="preserve">A (il falso)</w:t>
            </w:r>
          </w:p>
        </w:tc>
      </w:tr>
    </w:tbl>
    <w:p>
      <w:pPr>
        <w:spacing w:after="80"/>
      </w:pPr>
    </w:p>
    <w:p>
      <w:pPr>
        <w:spacing w:after="120" w:line="276"/>
        <w:jc w:val="both"/>
      </w:pPr>
      <w:r>
        <w:rPr>
          <w:rFonts w:ascii="Times New Roman" w:cs="Times New Roman" w:eastAsia="Times New Roman" w:hAnsi="Times New Roman"/>
          <w:sz w:val="24"/>
          <w:szCs w:val="24"/>
        </w:rPr>
        <w:t xml:space="preserve">Sull'eventuale </w:t>
      </w:r>
      <w:r>
        <w:rPr>
          <w:rFonts w:ascii="Times New Roman" w:cs="Times New Roman" w:eastAsia="Times New Roman" w:hAnsi="Times New Roman"/>
          <w:b/>
          <w:bCs/>
          <w:sz w:val="24"/>
          <w:szCs w:val="24"/>
        </w:rPr>
        <w:t xml:space="preserve">seconda prigione</w:t>
      </w:r>
      <w:r>
        <w:rPr>
          <w:rFonts w:ascii="Times New Roman" w:cs="Times New Roman" w:eastAsia="Times New Roman" w:hAnsi="Times New Roman"/>
          <w:sz w:val="24"/>
          <w:szCs w:val="24"/>
        </w:rPr>
        <w:t xml:space="preserve"> — tesi ricorrente secondo cui Moro sarebbe stato tenuto altrove che a via Montalcini — il repertorio è netto: </w:t>
      </w:r>
      <w:r>
        <w:rPr>
          <w:rFonts w:ascii="Times New Roman" w:cs="Times New Roman" w:eastAsia="Times New Roman" w:hAnsi="Times New Roman"/>
          <w:b/>
          <w:bCs/>
          <w:sz w:val="24"/>
          <w:szCs w:val="24"/>
        </w:rPr>
        <w:t xml:space="preserve">grado C</w:t>
      </w:r>
      <w:r>
        <w:rPr>
          <w:rFonts w:ascii="Times New Roman" w:cs="Times New Roman" w:eastAsia="Times New Roman" w:hAnsi="Times New Roman"/>
          <w:sz w:val="24"/>
          <w:szCs w:val="24"/>
        </w:rPr>
        <w:t xml:space="preserve">, non provata; il giudicato conosce una sola prigione.</w:t>
      </w:r>
    </w:p>
    <w:p>
      <w:pPr>
        <w:pStyle w:val="Heading1"/>
        <w:spacing w:after="120" w:before="240"/>
      </w:pPr>
      <w:r>
        <w:rPr>
          <w:rFonts w:ascii="Times New Roman" w:cs="Times New Roman" w:eastAsia="Times New Roman" w:hAnsi="Times New Roman"/>
          <w:sz w:val="24"/>
          <w:szCs w:val="24"/>
        </w:rPr>
        <w:t xml:space="preserve">Capitolo settantaduesimo — I documenti (grado A/B)</w:t>
      </w:r>
    </w:p>
    <w:p>
      <w:pPr>
        <w:pStyle w:val="ListParagraph"/>
        <w:numPr>
          <w:ilvl w:val="0"/>
          <w:numId w:val="1"/>
        </w:numPr>
        <w:spacing w:after="40"/>
        <w:jc w:val="both"/>
      </w:pPr>
      <w:r>
        <w:rPr>
          <w:rFonts w:ascii="Times New Roman" w:cs="Times New Roman" w:eastAsia="Times New Roman" w:hAnsi="Times New Roman"/>
          <w:b/>
          <w:bCs/>
          <w:sz w:val="24"/>
          <w:szCs w:val="24"/>
        </w:rPr>
        <w:t xml:space="preserve">L'epistolario della prigionia</w:t>
      </w:r>
      <w:r>
        <w:rPr>
          <w:rFonts w:ascii="Times New Roman" w:cs="Times New Roman" w:eastAsia="Times New Roman" w:hAnsi="Times New Roman"/>
          <w:sz w:val="24"/>
          <w:szCs w:val="24"/>
        </w:rPr>
        <w:t xml:space="preserve"> — circa </w:t>
      </w:r>
      <w:r>
        <w:rPr>
          <w:rFonts w:ascii="Times New Roman" w:cs="Times New Roman" w:eastAsia="Times New Roman" w:hAnsi="Times New Roman"/>
          <w:b/>
          <w:bCs/>
          <w:sz w:val="24"/>
          <w:szCs w:val="24"/>
        </w:rPr>
        <w:t xml:space="preserve">novanta-novantasette lettere</w:t>
      </w:r>
      <w:r>
        <w:rPr>
          <w:rFonts w:ascii="Times New Roman" w:cs="Times New Roman" w:eastAsia="Times New Roman" w:hAnsi="Times New Roman"/>
          <w:sz w:val="24"/>
          <w:szCs w:val="24"/>
        </w:rPr>
        <w:t xml:space="preserve"> scritte da Moro fra marzo e maggio 1978 (a Cossiga, alla DC, alla famiglia, al Papa) →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quanto all'esistenza e alla mano;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quanto alle condizioni di scrittura. Sul loro statuto umano, non riducibile ad atto, cfr. Fase ottava, cap. 66.</w:t>
      </w:r>
    </w:p>
    <w:p>
      <w:pPr>
        <w:pStyle w:val="ListParagraph"/>
        <w:numPr>
          <w:ilvl w:val="0"/>
          <w:numId w:val="1"/>
        </w:numPr>
        <w:spacing w:after="40"/>
        <w:jc w:val="both"/>
      </w:pPr>
      <w:r>
        <w:rPr>
          <w:rFonts w:ascii="Times New Roman" w:cs="Times New Roman" w:eastAsia="Times New Roman" w:hAnsi="Times New Roman"/>
          <w:b/>
          <w:bCs/>
          <w:sz w:val="24"/>
          <w:szCs w:val="24"/>
        </w:rPr>
        <w:t xml:space="preserve">I comunicati delle Brigate Rosse</w:t>
      </w:r>
      <w:r>
        <w:rPr>
          <w:rFonts w:ascii="Times New Roman" w:cs="Times New Roman" w:eastAsia="Times New Roman" w:hAnsi="Times New Roman"/>
          <w:sz w:val="24"/>
          <w:szCs w:val="24"/>
        </w:rPr>
        <w:t xml:space="preserve"> (nn. 1-9 più il falso n. 7) →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prodotti e diffusi dall'organizzazione; il n. 7 è il </w:t>
      </w:r>
      <w:r>
        <w:rPr>
          <w:rFonts w:ascii="Times New Roman" w:cs="Times New Roman" w:eastAsia="Times New Roman" w:hAnsi="Times New Roman"/>
          <w:b/>
          <w:bCs/>
          <w:sz w:val="24"/>
          <w:szCs w:val="24"/>
        </w:rPr>
        <w:t xml:space="preserve">falso</w:t>
      </w:r>
      <w:r>
        <w:rPr>
          <w:rFonts w:ascii="Times New Roman" w:cs="Times New Roman" w:eastAsia="Times New Roman" w:hAnsi="Times New Roman"/>
          <w:sz w:val="24"/>
          <w:szCs w:val="24"/>
        </w:rPr>
        <w:t xml:space="preserve"> accertato del lago della Duchessa.</w:t>
      </w:r>
    </w:p>
    <w:p>
      <w:pPr>
        <w:pStyle w:val="ListParagraph"/>
        <w:numPr>
          <w:ilvl w:val="0"/>
          <w:numId w:val="1"/>
        </w:numPr>
        <w:spacing w:after="40"/>
        <w:jc w:val="both"/>
      </w:pPr>
      <w:r>
        <w:rPr>
          <w:rFonts w:ascii="Times New Roman" w:cs="Times New Roman" w:eastAsia="Times New Roman" w:hAnsi="Times New Roman"/>
          <w:b/>
          <w:bCs/>
          <w:sz w:val="24"/>
          <w:szCs w:val="24"/>
        </w:rPr>
        <w:t xml:space="preserve">Il Memoriale Moro</w:t>
      </w:r>
      <w:r>
        <w:rPr>
          <w:rFonts w:ascii="Times New Roman" w:cs="Times New Roman" w:eastAsia="Times New Roman" w:hAnsi="Times New Roman"/>
          <w:sz w:val="24"/>
          <w:szCs w:val="24"/>
        </w:rPr>
        <w:t xml:space="preserve"> (via Monte Nevoso) → ritrovamenti del 1978 (dattiloscritto) e del 1990 (originali dietro un pannello) →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quanto ai ritrovamenti;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 per accertamento della Commissione Moro 2 — quanto alla natura del «Memoriale Morucci» come </w:t>
      </w:r>
      <w:r>
        <w:rPr>
          <w:rFonts w:ascii="Times New Roman" w:cs="Times New Roman" w:eastAsia="Times New Roman" w:hAnsi="Times New Roman"/>
          <w:b/>
          <w:bCs/>
          <w:sz w:val="24"/>
          <w:szCs w:val="24"/>
        </w:rPr>
        <w:t xml:space="preserve">testo negoziato</w:t>
      </w:r>
      <w:r>
        <w:rPr>
          <w:rFonts w:ascii="Times New Roman" w:cs="Times New Roman" w:eastAsia="Times New Roman" w:hAnsi="Times New Roman"/>
          <w:sz w:val="24"/>
          <w:szCs w:val="24"/>
        </w:rPr>
        <w:t xml:space="preserve"> degli anni Ottanta (cfr. Fase settima, cap. 59); la </w:t>
      </w:r>
      <w:r>
        <w:rPr>
          <w:rFonts w:ascii="Times New Roman" w:cs="Times New Roman" w:eastAsia="Times New Roman" w:hAnsi="Times New Roman"/>
          <w:b/>
          <w:bCs/>
          <w:sz w:val="24"/>
          <w:szCs w:val="24"/>
        </w:rPr>
        <w:t xml:space="preserve">completezza</w:t>
      </w:r>
      <w:r>
        <w:rPr>
          <w:rFonts w:ascii="Times New Roman" w:cs="Times New Roman" w:eastAsia="Times New Roman" w:hAnsi="Times New Roman"/>
          <w:sz w:val="24"/>
          <w:szCs w:val="24"/>
        </w:rPr>
        <w:t xml:space="preserve"> di ciò che fu ritrovato resta questione aperta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w:t>
      </w:r>
    </w:p>
    <w:p>
      <w:pPr>
        <w:pStyle w:val="Heading1"/>
        <w:spacing w:after="120" w:before="240"/>
      </w:pPr>
      <w:r>
        <w:rPr>
          <w:rFonts w:ascii="Times New Roman" w:cs="Times New Roman" w:eastAsia="Times New Roman" w:hAnsi="Times New Roman"/>
          <w:sz w:val="24"/>
          <w:szCs w:val="24"/>
        </w:rPr>
        <w:t xml:space="preserve">Capitolo settantatreesimo — Gli atti giudiziari e parlamentari (grado A/B)</w:t>
      </w:r>
    </w:p>
    <w:p>
      <w:pPr>
        <w:pStyle w:val="ListParagraph"/>
        <w:numPr>
          <w:ilvl w:val="0"/>
          <w:numId w:val="1"/>
        </w:numPr>
        <w:spacing w:after="40"/>
        <w:jc w:val="both"/>
      </w:pPr>
      <w:r>
        <w:rPr>
          <w:rFonts w:ascii="Times New Roman" w:cs="Times New Roman" w:eastAsia="Times New Roman" w:hAnsi="Times New Roman"/>
          <w:b/>
          <w:bCs/>
          <w:sz w:val="24"/>
          <w:szCs w:val="24"/>
        </w:rPr>
        <w:t xml:space="preserve">I cinque processi Moro</w:t>
      </w:r>
      <w:r>
        <w:rPr>
          <w:rFonts w:ascii="Times New Roman" w:cs="Times New Roman" w:eastAsia="Times New Roman" w:hAnsi="Times New Roman"/>
          <w:sz w:val="24"/>
          <w:szCs w:val="24"/>
        </w:rPr>
        <w:t xml:space="preserve"> (uno/bis/ter/quater/quinquies, 1982-1999) → il </w:t>
      </w:r>
      <w:r>
        <w:rPr>
          <w:rFonts w:ascii="Times New Roman" w:cs="Times New Roman" w:eastAsia="Times New Roman" w:hAnsi="Times New Roman"/>
          <w:b/>
          <w:bCs/>
          <w:sz w:val="24"/>
          <w:szCs w:val="24"/>
        </w:rPr>
        <w:t xml:space="preserve">giudicato</w:t>
      </w:r>
      <w:r>
        <w:rPr>
          <w:rFonts w:ascii="Times New Roman" w:cs="Times New Roman" w:eastAsia="Times New Roman" w:hAnsi="Times New Roman"/>
          <w:sz w:val="24"/>
          <w:szCs w:val="24"/>
        </w:rPr>
        <w:t xml:space="preserve"> del caso: grado A. Ciò che vi è accertato è fatto; ciò che vi è rimasto fuori non è per ciò stesso falso, è non giudicato.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prima Commissione parlamentare</w:t>
      </w:r>
      <w:r>
        <w:rPr>
          <w:rFonts w:ascii="Times New Roman" w:cs="Times New Roman" w:eastAsia="Times New Roman" w:hAnsi="Times New Roman"/>
          <w:sz w:val="24"/>
          <w:szCs w:val="24"/>
        </w:rPr>
        <w:t xml:space="preserve"> (1979-1983) e la </w:t>
      </w:r>
      <w:r>
        <w:rPr>
          <w:rFonts w:ascii="Times New Roman" w:cs="Times New Roman" w:eastAsia="Times New Roman" w:hAnsi="Times New Roman"/>
          <w:b/>
          <w:bCs/>
          <w:sz w:val="24"/>
          <w:szCs w:val="24"/>
        </w:rPr>
        <w:t xml:space="preserve">Commissione Stragi</w:t>
      </w:r>
      <w:r>
        <w:rPr>
          <w:rFonts w:ascii="Times New Roman" w:cs="Times New Roman" w:eastAsia="Times New Roman" w:hAnsi="Times New Roman"/>
          <w:sz w:val="24"/>
          <w:szCs w:val="24"/>
        </w:rPr>
        <w:t xml:space="preserve"> → accertamenti di grado B.</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Commissione Moro 2</w:t>
      </w:r>
      <w:r>
        <w:rPr>
          <w:rFonts w:ascii="Times New Roman" w:cs="Times New Roman" w:eastAsia="Times New Roman" w:hAnsi="Times New Roman"/>
          <w:sz w:val="24"/>
          <w:szCs w:val="24"/>
        </w:rPr>
        <w:t xml:space="preserve"> (legge 82/2014; relazione finale 6 dicembre 2017, presidenza Fioroni) → grado B: le due moto e i quattro «centauri» di via Fani, i testimoni De Chiara e ing. Marini, il Memoriale come testo negoziato, la formula «verità dicibile», il nodo del 18 aprile non sciolto (cfr. Fase settima).</w:t>
      </w:r>
    </w:p>
    <w:p>
      <w:pPr>
        <w:pStyle w:val="Heading1"/>
        <w:spacing w:after="120" w:before="240"/>
      </w:pPr>
      <w:r>
        <w:rPr>
          <w:rFonts w:ascii="Times New Roman" w:cs="Times New Roman" w:eastAsia="Times New Roman" w:hAnsi="Times New Roman"/>
          <w:sz w:val="24"/>
          <w:szCs w:val="24"/>
        </w:rPr>
        <w:t xml:space="preserve">Capitolo settantaquattresimo — Le figure del contesto (grado F/B · nessuna imputazione)</w:t>
      </w:r>
    </w:p>
    <w:p>
      <w:pPr>
        <w:spacing w:after="120" w:line="276"/>
        <w:jc w:val="both"/>
      </w:pPr>
      <w:r>
        <w:rPr>
          <w:rFonts w:ascii="Times New Roman" w:cs="Times New Roman" w:eastAsia="Times New Roman" w:hAnsi="Times New Roman"/>
          <w:sz w:val="24"/>
          <w:szCs w:val="24"/>
        </w:rPr>
        <w:t xml:space="preserve">Persone reali che ebbero un ruolo pubblico e documentato nella vicenda, </w:t>
      </w:r>
      <w:r>
        <w:rPr>
          <w:rFonts w:ascii="Times New Roman" w:cs="Times New Roman" w:eastAsia="Times New Roman" w:hAnsi="Times New Roman"/>
          <w:b/>
          <w:bCs/>
          <w:sz w:val="24"/>
          <w:szCs w:val="24"/>
        </w:rPr>
        <w:t xml:space="preserve">catalogate senza alcun addebito</w:t>
      </w:r>
      <w:r>
        <w:rPr>
          <w:rFonts w:ascii="Times New Roman" w:cs="Times New Roman" w:eastAsia="Times New Roman" w:hAnsi="Times New Roman"/>
          <w:sz w:val="24"/>
          <w:szCs w:val="24"/>
        </w:rPr>
        <w:t xml:space="preserve">: la loro presenza è fatto, non colpa.</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famiglia</w:t>
      </w:r>
      <w:r>
        <w:rPr>
          <w:rFonts w:ascii="Times New Roman" w:cs="Times New Roman" w:eastAsia="Times New Roman" w:hAnsi="Times New Roman"/>
          <w:sz w:val="24"/>
          <w:szCs w:val="24"/>
        </w:rPr>
        <w:t xml:space="preserve">: Eleonora Moro (la moglie), i figli; la loro testimonianza in Commissione e in tribunale (fra cui l'avvertimento di Kissinger riferito, cfr. </w:t>
      </w:r>
      <w:r>
        <w:rPr>
          <w:rFonts w:ascii="Times New Roman" w:cs="Times New Roman" w:eastAsia="Times New Roman" w:hAnsi="Times New Roman"/>
          <w:i/>
          <w:iCs/>
          <w:sz w:val="24"/>
          <w:szCs w:val="24"/>
        </w:rPr>
        <w:t xml:space="preserve">triangolazioni-guevara-moro.md</w:t>
      </w:r>
      <w:r>
        <w:rPr>
          <w:rFonts w:ascii="Times New Roman" w:cs="Times New Roman" w:eastAsia="Times New Roman" w:hAnsi="Times New Roman"/>
          <w:sz w:val="24"/>
          <w:szCs w:val="24"/>
        </w:rPr>
        <w:t xml:space="preserve">, nodo M-5) è grado B.</w:t>
      </w:r>
    </w:p>
    <w:p>
      <w:pPr>
        <w:pStyle w:val="ListParagraph"/>
        <w:numPr>
          <w:ilvl w:val="0"/>
          <w:numId w:val="1"/>
        </w:numPr>
        <w:spacing w:after="40"/>
        <w:jc w:val="both"/>
      </w:pPr>
      <w:r>
        <w:rPr>
          <w:rFonts w:ascii="Times New Roman" w:cs="Times New Roman" w:eastAsia="Times New Roman" w:hAnsi="Times New Roman"/>
          <w:b/>
          <w:bCs/>
          <w:sz w:val="24"/>
          <w:szCs w:val="24"/>
        </w:rPr>
        <w:t xml:space="preserve">Il fronte politico</w:t>
      </w:r>
      <w:r>
        <w:rPr>
          <w:rFonts w:ascii="Times New Roman" w:cs="Times New Roman" w:eastAsia="Times New Roman" w:hAnsi="Times New Roman"/>
          <w:sz w:val="24"/>
          <w:szCs w:val="24"/>
        </w:rPr>
        <w:t xml:space="preserve">: Giulio Andreotti (presidente del Consiglio), Francesco Cossiga (ministro dell'Interno, dimessosi il 9 maggio), Benigno Zaccagnini (segretario DC), Enrico Berlinguer (PCI), Bettino Craxi (PSI, sul fronte della trattativa) → ruoli pubblici documentati, </w:t>
      </w:r>
      <w:r>
        <w:rPr>
          <w:rFonts w:ascii="Times New Roman" w:cs="Times New Roman" w:eastAsia="Times New Roman" w:hAnsi="Times New Roman"/>
          <w:b/>
          <w:bCs/>
          <w:sz w:val="24"/>
          <w:szCs w:val="24"/>
        </w:rPr>
        <w:t xml:space="preserve">F</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b/>
          <w:bCs/>
          <w:sz w:val="24"/>
          <w:szCs w:val="24"/>
        </w:rPr>
        <w:t xml:space="preserve">I mediatori e i canali</w:t>
      </w:r>
      <w:r>
        <w:rPr>
          <w:rFonts w:ascii="Times New Roman" w:cs="Times New Roman" w:eastAsia="Times New Roman" w:hAnsi="Times New Roman"/>
          <w:sz w:val="24"/>
          <w:szCs w:val="24"/>
        </w:rPr>
        <w:t xml:space="preserve">: la Santa Sede e Paolo VI (la lettera «agli uomini delle Brigate Rosse»); i canali del PSI (Signorile, Pace) verso le BR →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b/>
          <w:bCs/>
          <w:sz w:val="24"/>
          <w:szCs w:val="24"/>
        </w:rPr>
        <w:t xml:space="preserve">Il consulente americano</w:t>
      </w:r>
      <w:r>
        <w:rPr>
          <w:rFonts w:ascii="Times New Roman" w:cs="Times New Roman" w:eastAsia="Times New Roman" w:hAnsi="Times New Roman"/>
          <w:sz w:val="24"/>
          <w:szCs w:val="24"/>
        </w:rPr>
        <w:t xml:space="preserve">: Steve Pieczenik, del Dipartimento di Stato, nel comitato di crisi → la sua presenza è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le sue dichiarazioni successive sono fonte di parte,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quanto alla loro portata.</w:t>
      </w:r>
    </w:p>
    <w:p>
      <w:pPr>
        <w:pStyle w:val="ListParagraph"/>
        <w:numPr>
          <w:ilvl w:val="0"/>
          <w:numId w:val="1"/>
        </w:numPr>
        <w:spacing w:after="40"/>
        <w:jc w:val="both"/>
      </w:pPr>
      <w:r>
        <w:rPr>
          <w:rFonts w:ascii="Times New Roman" w:cs="Times New Roman" w:eastAsia="Times New Roman" w:hAnsi="Times New Roman"/>
          <w:b/>
          <w:bCs/>
          <w:sz w:val="24"/>
          <w:szCs w:val="24"/>
        </w:rPr>
        <w:t xml:space="preserve">Hyperion</w:t>
      </w:r>
      <w:r>
        <w:rPr>
          <w:rFonts w:ascii="Times New Roman" w:cs="Times New Roman" w:eastAsia="Times New Roman" w:hAnsi="Times New Roman"/>
          <w:sz w:val="24"/>
          <w:szCs w:val="24"/>
        </w:rPr>
        <w:t xml:space="preserve">: il nodo del «quadro internazionale» → trattato integralmente, e con esito liberatorio (proscioglimenti), in </w:t>
      </w:r>
      <w:r>
        <w:rPr>
          <w:rFonts w:ascii="Times New Roman" w:cs="Times New Roman" w:eastAsia="Times New Roman" w:hAnsi="Times New Roman"/>
          <w:i/>
          <w:iCs/>
          <w:sz w:val="24"/>
          <w:szCs w:val="24"/>
        </w:rPr>
        <w:t xml:space="preserve">triangolazione-hyperion-corpus.md</w:t>
      </w:r>
      <w:r>
        <w:rPr>
          <w:rFonts w:ascii="Times New Roman" w:cs="Times New Roman" w:eastAsia="Times New Roman" w:hAnsi="Times New Roman"/>
          <w:sz w:val="24"/>
          <w:szCs w:val="24"/>
        </w:rPr>
        <w:t xml:space="preserve"> di questo stesso branch: </w:t>
      </w:r>
      <w:r>
        <w:rPr>
          <w:rFonts w:ascii="Times New Roman" w:cs="Times New Roman" w:eastAsia="Times New Roman" w:hAnsi="Times New Roman"/>
          <w:b/>
          <w:bCs/>
          <w:sz w:val="24"/>
          <w:szCs w:val="24"/>
        </w:rPr>
        <w:t xml:space="preserve">congettura non provata</w:t>
      </w:r>
      <w:r>
        <w:rPr>
          <w:rFonts w:ascii="Times New Roman" w:cs="Times New Roman" w:eastAsia="Times New Roman" w:hAnsi="Times New Roman"/>
          <w:sz w:val="24"/>
          <w:szCs w:val="24"/>
        </w:rPr>
        <w:t xml:space="preserve">, i cui fondatori godono della presunzione piena.</w:t>
      </w:r>
    </w:p>
    <w:p>
      <w:pPr>
        <w:pStyle w:val="Heading1"/>
        <w:spacing w:after="120" w:before="240"/>
      </w:pPr>
      <w:r>
        <w:rPr>
          <w:rFonts w:ascii="Times New Roman" w:cs="Times New Roman" w:eastAsia="Times New Roman" w:hAnsi="Times New Roman"/>
          <w:sz w:val="24"/>
          <w:szCs w:val="24"/>
        </w:rPr>
        <w:t xml:space="preserve">Capitolo settantacinquesimo — I nodi aperti, tutti al loro grado (C, salvo dove indicato)</w:t>
      </w:r>
    </w:p>
    <w:p>
      <w:pPr>
        <w:spacing w:after="120" w:line="276"/>
        <w:jc w:val="both"/>
      </w:pPr>
      <w:r>
        <w:rPr>
          <w:rFonts w:ascii="Times New Roman" w:cs="Times New Roman" w:eastAsia="Times New Roman" w:hAnsi="Times New Roman"/>
          <w:sz w:val="24"/>
          <w:szCs w:val="24"/>
        </w:rPr>
        <w:t xml:space="preserve">Il catalogo delle questioni che il caso lascia aperte, ciascuna col grado massimo che le fonti consentono. È l'aggiornamento della tavola della Fase settima, in forma di repertorio.</w:t>
      </w:r>
    </w:p>
    <w:p>
      <w:pPr>
        <w:spacing w:after="4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Le due moto e i quattro «centauri» di via Fani</w:t>
      </w:r>
      <w:r>
        <w:rPr>
          <w:rFonts w:ascii="Times New Roman" w:cs="Times New Roman" w:eastAsia="Times New Roman" w:hAnsi="Times New Roman"/>
          <w:sz w:val="24"/>
          <w:szCs w:val="24"/>
        </w:rPr>
        <w:t xml:space="preserve"> — B (accertamento Moro 2), identità ignota (C).</w:t>
      </w:r>
    </w:p>
    <w:p>
      <w:pPr>
        <w:spacing w:after="4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Via Gradoli e la «seduta spiritica»</w:t>
      </w:r>
      <w:r>
        <w:rPr>
          <w:rFonts w:ascii="Times New Roman" w:cs="Times New Roman" w:eastAsia="Times New Roman" w:hAnsi="Times New Roman"/>
          <w:sz w:val="24"/>
          <w:szCs w:val="24"/>
        </w:rPr>
        <w:t xml:space="preserve"> — coincidenza non spiegata; C, non sciolta nemmeno dalla Moro 2.</w:t>
      </w:r>
    </w:p>
    <w:p>
      <w:pPr>
        <w:spacing w:after="4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Il falso del lago della Duchessa</w:t>
      </w:r>
      <w:r>
        <w:rPr>
          <w:rFonts w:ascii="Times New Roman" w:cs="Times New Roman" w:eastAsia="Times New Roman" w:hAnsi="Times New Roman"/>
          <w:sz w:val="24"/>
          <w:szCs w:val="24"/>
        </w:rPr>
        <w:t xml:space="preserve"> — il falso è A; la sua </w:t>
      </w:r>
      <w:r>
        <w:rPr>
          <w:rFonts w:ascii="Times New Roman" w:cs="Times New Roman" w:eastAsia="Times New Roman" w:hAnsi="Times New Roman"/>
          <w:b/>
          <w:bCs/>
          <w:sz w:val="24"/>
          <w:szCs w:val="24"/>
        </w:rPr>
        <w:t xml:space="preserve">funzione</w:t>
      </w:r>
      <w:r>
        <w:rPr>
          <w:rFonts w:ascii="Times New Roman" w:cs="Times New Roman" w:eastAsia="Times New Roman" w:hAnsi="Times New Roman"/>
          <w:sz w:val="24"/>
          <w:szCs w:val="24"/>
        </w:rPr>
        <w:t xml:space="preserve"> (chi e perché) resta C.</w:t>
      </w:r>
    </w:p>
    <w:p>
      <w:pPr>
        <w:spacing w:after="40"/>
        <w:ind w:left="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La seconda prigione</w:t>
      </w:r>
      <w:r>
        <w:rPr>
          <w:rFonts w:ascii="Times New Roman" w:cs="Times New Roman" w:eastAsia="Times New Roman" w:hAnsi="Times New Roman"/>
          <w:sz w:val="24"/>
          <w:szCs w:val="24"/>
        </w:rPr>
        <w:t xml:space="preserve"> — C, non provata; il giudicato conosce solo via Montalcini.</w:t>
      </w:r>
    </w:p>
    <w:p>
      <w:pPr>
        <w:spacing w:after="40"/>
        <w:ind w:left="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Le occasioni mancate e i ritardi</w:t>
      </w:r>
      <w:r>
        <w:rPr>
          <w:rFonts w:ascii="Times New Roman" w:cs="Times New Roman" w:eastAsia="Times New Roman" w:hAnsi="Times New Roman"/>
          <w:sz w:val="24"/>
          <w:szCs w:val="24"/>
        </w:rPr>
        <w:t xml:space="preserve"> — cronologia A; </w:t>
      </w:r>
      <w:r>
        <w:rPr>
          <w:rFonts w:ascii="Times New Roman" w:cs="Times New Roman" w:eastAsia="Times New Roman" w:hAnsi="Times New Roman"/>
          <w:b/>
          <w:bCs/>
          <w:sz w:val="24"/>
          <w:szCs w:val="24"/>
        </w:rPr>
        <w:t xml:space="preserve">dolo vs inefficienza</w:t>
      </w:r>
      <w:r>
        <w:rPr>
          <w:rFonts w:ascii="Times New Roman" w:cs="Times New Roman" w:eastAsia="Times New Roman" w:hAnsi="Times New Roman"/>
          <w:sz w:val="24"/>
          <w:szCs w:val="24"/>
        </w:rPr>
        <w:t xml:space="preserve"> non deciso, C.</w:t>
      </w:r>
    </w:p>
    <w:p>
      <w:pPr>
        <w:spacing w:after="40"/>
        <w:ind w:left="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La completezza del memoriale</w:t>
      </w:r>
      <w:r>
        <w:rPr>
          <w:rFonts w:ascii="Times New Roman" w:cs="Times New Roman" w:eastAsia="Times New Roman" w:hAnsi="Times New Roman"/>
          <w:sz w:val="24"/>
          <w:szCs w:val="24"/>
        </w:rPr>
        <w:t xml:space="preserve"> — ritrovamenti A; ciò che manchi, indeterminato, C.</w:t>
      </w:r>
    </w:p>
    <w:p>
      <w:pPr>
        <w:spacing w:after="40"/>
        <w:ind w:left="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Il quadro internazionale</w:t>
      </w:r>
      <w:r>
        <w:rPr>
          <w:rFonts w:ascii="Times New Roman" w:cs="Times New Roman" w:eastAsia="Times New Roman" w:hAnsi="Times New Roman"/>
          <w:sz w:val="24"/>
          <w:szCs w:val="24"/>
        </w:rPr>
        <w:t xml:space="preserve"> — fatti singoli documentati (B); </w:t>
      </w:r>
      <w:r>
        <w:rPr>
          <w:rFonts w:ascii="Times New Roman" w:cs="Times New Roman" w:eastAsia="Times New Roman" w:hAnsi="Times New Roman"/>
          <w:b/>
          <w:bCs/>
          <w:sz w:val="24"/>
          <w:szCs w:val="24"/>
        </w:rPr>
        <w:t xml:space="preserve">regia estera</w:t>
      </w:r>
      <w:r>
        <w:rPr>
          <w:rFonts w:ascii="Times New Roman" w:cs="Times New Roman" w:eastAsia="Times New Roman" w:hAnsi="Times New Roman"/>
          <w:sz w:val="24"/>
          <w:szCs w:val="24"/>
        </w:rPr>
        <w:t xml:space="preserve"> C (cfr. Hyperion, e M-5 della matrice).</w:t>
      </w:r>
    </w:p>
    <w:p>
      <w:pPr>
        <w:spacing w:after="40"/>
        <w:ind w:left="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L'ampiezza della «verità dicibile»</w:t>
      </w:r>
      <w:r>
        <w:rPr>
          <w:rFonts w:ascii="Times New Roman" w:cs="Times New Roman" w:eastAsia="Times New Roman" w:hAnsi="Times New Roman"/>
          <w:sz w:val="24"/>
          <w:szCs w:val="24"/>
        </w:rPr>
        <w:t xml:space="preserve"> — formula B (della Commissione); l'indicibile, per definizione non misurabile, C.</w:t>
      </w:r>
    </w:p>
    <w:p>
      <w:pPr>
        <w:spacing w:after="120" w:line="276"/>
        <w:jc w:val="both"/>
      </w:pPr>
      <w:r>
        <w:rPr>
          <w:rFonts w:ascii="Times New Roman" w:cs="Times New Roman" w:eastAsia="Times New Roman" w:hAnsi="Times New Roman"/>
          <w:sz w:val="24"/>
          <w:szCs w:val="24"/>
        </w:rPr>
        <w:t xml:space="preserve">Nessuno di questi nodi è vuoto, e nessuno è pieno: sono </w:t>
      </w:r>
      <w:r>
        <w:rPr>
          <w:rFonts w:ascii="Times New Roman" w:cs="Times New Roman" w:eastAsia="Times New Roman" w:hAnsi="Times New Roman"/>
          <w:b/>
          <w:bCs/>
          <w:sz w:val="24"/>
          <w:szCs w:val="24"/>
        </w:rPr>
        <w:t xml:space="preserve">aperti</w:t>
      </w:r>
      <w:r>
        <w:rPr>
          <w:rFonts w:ascii="Times New Roman" w:cs="Times New Roman" w:eastAsia="Times New Roman" w:hAnsi="Times New Roman"/>
          <w:sz w:val="24"/>
          <w:szCs w:val="24"/>
        </w:rPr>
        <w:t xml:space="preserve">, cioè documentati fin dove le fonti arrivano e non oltre. Trasformarli in accuse è la tentazione che l'opera esiste per resistere.</w:t>
      </w:r>
    </w:p>
    <w:p>
      <w:pPr>
        <w:pStyle w:val="Heading1"/>
        <w:spacing w:after="120" w:before="240"/>
      </w:pPr>
      <w:r>
        <w:rPr>
          <w:rFonts w:ascii="Times New Roman" w:cs="Times New Roman" w:eastAsia="Times New Roman" w:hAnsi="Times New Roman"/>
          <w:sz w:val="24"/>
          <w:szCs w:val="24"/>
        </w:rPr>
        <w:t xml:space="preserve">Capitolo settantaseiesimo — Che cosa il repertorio non contiene, e perché</w:t>
      </w:r>
    </w:p>
    <w:p>
      <w:pPr>
        <w:spacing w:after="120" w:line="276"/>
        <w:jc w:val="both"/>
      </w:pPr>
      <w:r>
        <w:rPr>
          <w:rFonts w:ascii="Times New Roman" w:cs="Times New Roman" w:eastAsia="Times New Roman" w:hAnsi="Times New Roman"/>
          <w:sz w:val="24"/>
          <w:szCs w:val="24"/>
        </w:rPr>
        <w:t xml:space="preserve">Un repertorio si giudica anche da ciò che rifiuta di elencare. Questo </w:t>
      </w:r>
      <w:r>
        <w:rPr>
          <w:rFonts w:ascii="Times New Roman" w:cs="Times New Roman" w:eastAsia="Times New Roman" w:hAnsi="Times New Roman"/>
          <w:b/>
          <w:bCs/>
          <w:sz w:val="24"/>
          <w:szCs w:val="24"/>
        </w:rPr>
        <w:t xml:space="preserve">non contiene</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b/>
          <w:bCs/>
          <w:sz w:val="24"/>
          <w:szCs w:val="24"/>
        </w:rPr>
        <w:t xml:space="preserve">una graduatoria di responsabili</w:t>
      </w:r>
      <w:r>
        <w:rPr>
          <w:rFonts w:ascii="Times New Roman" w:cs="Times New Roman" w:eastAsia="Times New Roman" w:hAnsi="Times New Roman"/>
          <w:sz w:val="24"/>
          <w:szCs w:val="24"/>
        </w:rPr>
        <w:t xml:space="preserve"> oltre il giudicato: è il divieto costitutivo dell'opera (Parte terza, cap. XI), e vale in un repertorio più che altrove, perché un elenco dà l'illusione della completezza e quindi della sentenza;</w:t>
      </w:r>
    </w:p>
    <w:p>
      <w:pPr>
        <w:pStyle w:val="ListParagraph"/>
        <w:numPr>
          <w:ilvl w:val="0"/>
          <w:numId w:val="1"/>
        </w:numPr>
        <w:spacing w:after="40"/>
        <w:jc w:val="both"/>
      </w:pPr>
      <w:r>
        <w:rPr>
          <w:rFonts w:ascii="Times New Roman" w:cs="Times New Roman" w:eastAsia="Times New Roman" w:hAnsi="Times New Roman"/>
          <w:b/>
          <w:bCs/>
          <w:sz w:val="24"/>
          <w:szCs w:val="24"/>
        </w:rPr>
        <w:t xml:space="preserve">nomi di persone viventi come colpevoli</w:t>
      </w:r>
      <w:r>
        <w:rPr>
          <w:rFonts w:ascii="Times New Roman" w:cs="Times New Roman" w:eastAsia="Times New Roman" w:hAnsi="Times New Roman"/>
          <w:sz w:val="24"/>
          <w:szCs w:val="24"/>
        </w:rPr>
        <w:t xml:space="preserve"> di ciò per cui non sono state condannate: sarebbe diffamazione travestita da catalogo;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le congetture spacciate per gradi superiori</w:t>
      </w:r>
      <w:r>
        <w:rPr>
          <w:rFonts w:ascii="Times New Roman" w:cs="Times New Roman" w:eastAsia="Times New Roman" w:hAnsi="Times New Roman"/>
          <w:sz w:val="24"/>
          <w:szCs w:val="24"/>
        </w:rPr>
        <w:t xml:space="preserve">: ogni voce C è marcata C, per quanto suggestiva;</w:t>
      </w:r>
    </w:p>
    <w:p>
      <w:pPr>
        <w:pStyle w:val="ListParagraph"/>
        <w:numPr>
          <w:ilvl w:val="0"/>
          <w:numId w:val="1"/>
        </w:numPr>
        <w:spacing w:after="40"/>
        <w:jc w:val="both"/>
      </w:pPr>
      <w:r>
        <w:rPr>
          <w:rFonts w:ascii="Times New Roman" w:cs="Times New Roman" w:eastAsia="Times New Roman" w:hAnsi="Times New Roman"/>
          <w:b/>
          <w:bCs/>
          <w:sz w:val="24"/>
          <w:szCs w:val="24"/>
        </w:rPr>
        <w:t xml:space="preserve">il materiale che tocca persone viventi con attribuzioni non riscontrate</w:t>
      </w:r>
      <w:r>
        <w:rPr>
          <w:rFonts w:ascii="Times New Roman" w:cs="Times New Roman" w:eastAsia="Times New Roman" w:hAnsi="Times New Roman"/>
          <w:sz w:val="24"/>
          <w:szCs w:val="24"/>
        </w:rPr>
        <w:t xml:space="preserve">, che per disciplina dell'opera resta fuori dal versante pubblico.</w:t>
      </w:r>
    </w:p>
    <w:p>
      <w:pPr>
        <w:spacing w:after="120" w:line="276"/>
        <w:jc w:val="both"/>
      </w:pPr>
      <w:r>
        <w:rPr>
          <w:rFonts w:ascii="Times New Roman" w:cs="Times New Roman" w:eastAsia="Times New Roman" w:hAnsi="Times New Roman"/>
          <w:sz w:val="24"/>
          <w:szCs w:val="24"/>
        </w:rPr>
        <w:t xml:space="preserve">Ciò che resta, dopo queste esclusioni, è </w:t>
      </w:r>
      <w:r>
        <w:rPr>
          <w:rFonts w:ascii="Times New Roman" w:cs="Times New Roman" w:eastAsia="Times New Roman" w:hAnsi="Times New Roman"/>
          <w:b/>
          <w:bCs/>
          <w:sz w:val="24"/>
          <w:szCs w:val="24"/>
        </w:rPr>
        <w:t xml:space="preserve">il caso Moro come lo Stato lo ha accertato e come la storia lo ha documentato</w:t>
      </w:r>
      <w:r>
        <w:rPr>
          <w:rFonts w:ascii="Times New Roman" w:cs="Times New Roman" w:eastAsia="Times New Roman" w:hAnsi="Times New Roman"/>
          <w:sz w:val="24"/>
          <w:szCs w:val="24"/>
        </w:rPr>
        <w:t xml:space="preserve"> — non come la dietrologia lo ha immaginato. È meno spettacolare e infinitamente più solido. È, alla lettera, tutto ciò che è </w:t>
      </w:r>
      <w:r>
        <w:rPr>
          <w:rFonts w:ascii="Times New Roman" w:cs="Times New Roman" w:eastAsia="Times New Roman" w:hAnsi="Times New Roman"/>
          <w:i/>
          <w:iCs/>
          <w:sz w:val="24"/>
          <w:szCs w:val="24"/>
        </w:rPr>
        <w:t xml:space="preserve">attribuibile</w:t>
      </w:r>
      <w:r>
        <w:rPr>
          <w:rFonts w:ascii="Times New Roman" w:cs="Times New Roman" w:eastAsia="Times New Roman" w:hAnsi="Times New Roman"/>
          <w:sz w:val="24"/>
          <w:szCs w:val="24"/>
        </w:rPr>
        <w:t xml:space="preserve">: tutto ciò che si può ancorare, col suo grado, a una fonte che regge.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Congedo della Fase nona.</w:t>
      </w:r>
      <w:r>
        <w:rPr>
          <w:rFonts w:ascii="Times New Roman" w:cs="Times New Roman" w:eastAsia="Times New Roman" w:hAnsi="Times New Roman"/>
          <w:sz w:val="24"/>
          <w:szCs w:val="24"/>
        </w:rPr>
        <w:t xml:space="preserve"> Il repertorio è lo strumento, non la meta. Serve a chi verrà dopo per non ricominciare da capo, e per non confondere mai un grado con un altro. La sua unica ambizione è che, chiuso il volume, resti chiaro dove finisce il sapere e comincia il sospetto — perché è in quella linea, e solo in quella, che una Repubblica difende insieme la verità e la giustizia. Le sei vittime del caso stanno in cima al repertorio, non in fondo. È da lì che ogni ricerca onesta deve ripartire.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Fase nona dell'opera «Aldo Moro — Una guerra senza fine» (capp. 68-76). Repertorio integrale e gradato di tutto ciò che è attribuibile al caso: cronologia dei 55 giorni, le vittime di via Fani, gli autori accertati in giudicato, i luoghi, i documenti, gli atti giudiziari e parlamentari, le figure del contesto (senza imputazione), i nodi aperti col loro grado, e ciò che il repertorio esclude per disciplina. Ogni voce con grado A/B/C/F dichiarato. Fonti: Ministero dell'Interno; sentenze dei processi Moro; relazione Commissione Moro 2 (2017); e i documenti interni al branch. Nessuna imputazione oltre il giudicato; nessuna graduatoria.</w:t>
      </w:r>
    </w:p>
    <w:p>
      <w:r>
        <w:br w:type="page"/>
      </w:r>
    </w:p>
    <w:p>
      <w:pPr>
        <w:pStyle w:val="Heading1"/>
        <w:spacing w:after="120" w:before="240"/>
      </w:pPr>
      <w:r>
        <w:rPr>
          <w:rFonts w:ascii="Times New Roman" w:cs="Times New Roman" w:eastAsia="Times New Roman" w:hAnsi="Times New Roman"/>
          <w:sz w:val="24"/>
          <w:szCs w:val="24"/>
        </w:rPr>
        <w:t xml:space="preserve">Aldo Moro — Una guerra senza fine</w:t>
      </w:r>
    </w:p>
    <w:p>
      <w:pPr>
        <w:pStyle w:val="Heading2"/>
        <w:spacing w:after="100" w:before="200"/>
      </w:pPr>
      <w:r>
        <w:rPr>
          <w:rFonts w:ascii="Times New Roman" w:cs="Times New Roman" w:eastAsia="Times New Roman" w:hAnsi="Times New Roman"/>
          <w:sz w:val="24"/>
          <w:szCs w:val="24"/>
        </w:rPr>
        <w:t xml:space="preserve">Apparato dei gradi — indice analitico dell'edizione in cinquanta capitoli</w:t>
      </w:r>
    </w:p>
    <w:p>
      <w:pPr>
        <w:spacing w:after="120" w:line="276"/>
        <w:jc w:val="both"/>
      </w:pPr>
      <w:r>
        <w:rPr>
          <w:rFonts w:ascii="Times New Roman" w:cs="Times New Roman" w:eastAsia="Times New Roman" w:hAnsi="Times New Roman"/>
          <w:i/>
          <w:iCs/>
          <w:sz w:val="24"/>
          <w:szCs w:val="24"/>
        </w:rPr>
        <w:t xml:space="preserve">Continuazione — 24 agosto 2026 · Complemento alla Fase sesta (capitolo cinquantaquattresimo: la mappa dei gradi)</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Che cos'è questo apparato.</w:t>
      </w:r>
      <w:r>
        <w:rPr>
          <w:rFonts w:ascii="Times New Roman" w:cs="Times New Roman" w:eastAsia="Times New Roman" w:hAnsi="Times New Roman"/>
          <w:i w:val="false"/>
          <w:iCs w:val="false"/>
          <w:sz w:val="24"/>
          <w:szCs w:val="24"/>
        </w:rPr>
        <w:t xml:space="preserve"> La quarta disciplina dell'opera — la tracciabilità — chiede che ogni affermazione dichiari il proprio grado, così che il lettore possa rifare il cammino. Questo apparato assolve la promessa capitolo per capitolo: per ciascuno dei cinquanta capitoli registra </w:t>
      </w:r>
      <w:r>
        <w:rPr>
          <w:rFonts w:ascii="Times New Roman" w:cs="Times New Roman" w:eastAsia="Times New Roman" w:hAnsi="Times New Roman"/>
          <w:b/>
          <w:bCs/>
          <w:i w:val="false"/>
          <w:iCs w:val="false"/>
          <w:sz w:val="24"/>
          <w:szCs w:val="24"/>
        </w:rPr>
        <w:t xml:space="preserve">l'asserzione portante</w:t>
      </w:r>
      <w:r>
        <w:rPr>
          <w:rFonts w:ascii="Times New Roman" w:cs="Times New Roman" w:eastAsia="Times New Roman" w:hAnsi="Times New Roman"/>
          <w:i w:val="false"/>
          <w:iCs w:val="false"/>
          <w:sz w:val="24"/>
          <w:szCs w:val="24"/>
        </w:rPr>
        <w:t xml:space="preserve">, il </w:t>
      </w:r>
      <w:r>
        <w:rPr>
          <w:rFonts w:ascii="Times New Roman" w:cs="Times New Roman" w:eastAsia="Times New Roman" w:hAnsi="Times New Roman"/>
          <w:b/>
          <w:bCs/>
          <w:i w:val="false"/>
          <w:iCs w:val="false"/>
          <w:sz w:val="24"/>
          <w:szCs w:val="24"/>
        </w:rPr>
        <w:t xml:space="preserve">grado prevalente</w:t>
      </w:r>
      <w:r>
        <w:rPr>
          <w:rFonts w:ascii="Times New Roman" w:cs="Times New Roman" w:eastAsia="Times New Roman" w:hAnsi="Times New Roman"/>
          <w:i w:val="false"/>
          <w:iCs w:val="false"/>
          <w:sz w:val="24"/>
          <w:szCs w:val="24"/>
        </w:rPr>
        <w:t xml:space="preserve"> (A accertato · B probabile · C possibile · Ø Stato Zero · M capitolo di metodo, senza grado fattuale) e — la domanda del Pollo di Popper — </w:t>
      </w:r>
      <w:r>
        <w:rPr>
          <w:rFonts w:ascii="Times New Roman" w:cs="Times New Roman" w:eastAsia="Times New Roman" w:hAnsi="Times New Roman"/>
          <w:b/>
          <w:bCs/>
          <w:i w:val="false"/>
          <w:iCs w:val="false"/>
          <w:sz w:val="24"/>
          <w:szCs w:val="24"/>
        </w:rPr>
        <w:t xml:space="preserve">che cosa lo smentirebbe</w:t>
      </w:r>
      <w:r>
        <w:rPr>
          <w:rFonts w:ascii="Times New Roman" w:cs="Times New Roman" w:eastAsia="Times New Roman" w:hAnsi="Times New Roman"/>
          <w:i w:val="false"/>
          <w:iCs w:val="false"/>
          <w:sz w:val="24"/>
          <w:szCs w:val="24"/>
        </w:rPr>
        <w:t xml:space="preserve">.  Non riproduce il testo dell'opera; ne è l'indice critico. Non nomina alcuna persona come responsabile di reato oltre il giudicato definitivo. Dove l'opera, nella Fase quinta, ordina nomi per probabilità, l'apparato </w:t>
      </w:r>
      <w:r>
        <w:rPr>
          <w:rFonts w:ascii="Times New Roman" w:cs="Times New Roman" w:eastAsia="Times New Roman" w:hAnsi="Times New Roman"/>
          <w:b/>
          <w:bCs/>
          <w:i w:val="false"/>
          <w:iCs w:val="false"/>
          <w:sz w:val="24"/>
          <w:szCs w:val="24"/>
        </w:rPr>
        <w:t xml:space="preserve">non segue l'ordine e non riporta i nomi</w:t>
      </w:r>
      <w:r>
        <w:rPr>
          <w:rFonts w:ascii="Times New Roman" w:cs="Times New Roman" w:eastAsia="Times New Roman" w:hAnsi="Times New Roman"/>
          <w:i w:val="false"/>
          <w:iCs w:val="false"/>
          <w:sz w:val="24"/>
          <w:szCs w:val="24"/>
        </w:rPr>
        <w:t xml:space="preserve">: registra soltanto che quell'intera fase opera, per dichiarazione della stessa opera, allo stato del possibile, con una base accertata limitata a ciò che le sentenze definitive hanno stabilito.</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Fase prima — Il metodo e l'uomo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1</w:t>
            </w:r>
          </w:p>
        </w:tc>
        <w:tc>
          <w:tcPr>
            <w:tcW w:type="dxa" w:w="2340"/>
          </w:tcPr>
          <w:p>
            <w:pPr>
              <w:spacing w:after="20" w:before="20"/>
              <w:jc w:val="left"/>
            </w:pPr>
            <w:r>
              <w:rPr>
                <w:rFonts w:ascii="Times New Roman" w:cs="Times New Roman" w:eastAsia="Times New Roman" w:hAnsi="Times New Roman"/>
                <w:sz w:val="20"/>
                <w:szCs w:val="20"/>
              </w:rPr>
              <w:t xml:space="preserve">Statuto dell'opera: natura AI dichiarata; quattro discipline (grado, assenze, persone viventi, tracciabilità); divieto di imputare</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 (è patto di lettura, non asserzione sul mondo)</w:t>
            </w:r>
          </w:p>
        </w:tc>
      </w:tr>
      <w:tr>
        <w:tc>
          <w:tcPr>
            <w:tcW w:type="dxa" w:w="2340"/>
          </w:tcPr>
          <w:p>
            <w:pPr>
              <w:spacing w:after="20" w:before="20"/>
              <w:jc w:val="left"/>
            </w:pPr>
            <w:r>
              <w:rPr>
                <w:rFonts w:ascii="Times New Roman" w:cs="Times New Roman" w:eastAsia="Times New Roman" w:hAnsi="Times New Roman"/>
                <w:sz w:val="20"/>
                <w:szCs w:val="20"/>
              </w:rPr>
              <w:t xml:space="preserve">2</w:t>
            </w:r>
          </w:p>
        </w:tc>
        <w:tc>
          <w:tcPr>
            <w:tcW w:type="dxa" w:w="2340"/>
          </w:tcPr>
          <w:p>
            <w:pPr>
              <w:spacing w:after="20" w:before="20"/>
              <w:jc w:val="left"/>
            </w:pPr>
            <w:r>
              <w:rPr>
                <w:rFonts w:ascii="Times New Roman" w:cs="Times New Roman" w:eastAsia="Times New Roman" w:hAnsi="Times New Roman"/>
                <w:sz w:val="20"/>
                <w:szCs w:val="20"/>
              </w:rPr>
              <w:t xml:space="preserve">Il Pollo di Popper e l'immunizzazione delle ipotesi; i due vizi speculari (dietrologia totalizzante / riduzionismo assolutorio)</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w:t>
            </w:r>
          </w:p>
        </w:tc>
        <w:tc>
          <w:tcPr>
            <w:tcW w:type="dxa" w:w="2340"/>
          </w:tcPr>
          <w:p>
            <w:pPr>
              <w:spacing w:after="20" w:before="20"/>
              <w:jc w:val="left"/>
            </w:pPr>
            <w:r>
              <w:rPr>
                <w:rFonts w:ascii="Times New Roman" w:cs="Times New Roman" w:eastAsia="Times New Roman" w:hAnsi="Times New Roman"/>
                <w:sz w:val="20"/>
                <w:szCs w:val="20"/>
              </w:rPr>
              <w:t xml:space="preserve">La sinaptogenesi come protocollo: nodi, connessioni, centralità; ricerca per cerchi concentrici</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w:t>
            </w:r>
          </w:p>
        </w:tc>
        <w:tc>
          <w:tcPr>
            <w:tcW w:type="dxa" w:w="2340"/>
          </w:tcPr>
          <w:p>
            <w:pPr>
              <w:spacing w:after="20" w:before="20"/>
              <w:jc w:val="left"/>
            </w:pPr>
            <w:r>
              <w:rPr>
                <w:rFonts w:ascii="Times New Roman" w:cs="Times New Roman" w:eastAsia="Times New Roman" w:hAnsi="Times New Roman"/>
                <w:sz w:val="20"/>
                <w:szCs w:val="20"/>
              </w:rPr>
              <w:t xml:space="preserve">Lo standard a tre livelli (A/B/C)</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5</w:t>
            </w:r>
          </w:p>
        </w:tc>
        <w:tc>
          <w:tcPr>
            <w:tcW w:type="dxa" w:w="2340"/>
          </w:tcPr>
          <w:p>
            <w:pPr>
              <w:spacing w:after="20" w:before="20"/>
              <w:jc w:val="left"/>
            </w:pPr>
            <w:r>
              <w:rPr>
                <w:rFonts w:ascii="Times New Roman" w:cs="Times New Roman" w:eastAsia="Times New Roman" w:hAnsi="Times New Roman"/>
                <w:sz w:val="20"/>
                <w:szCs w:val="20"/>
              </w:rPr>
              <w:t xml:space="preserve">Nascita a Maglie (23/9/1916), famiglia, formazione cattolica</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Anagrafe e biografia documentata di segno contrario (non esistente)</w:t>
            </w:r>
          </w:p>
        </w:tc>
      </w:tr>
      <w:tr>
        <w:tc>
          <w:tcPr>
            <w:tcW w:type="dxa" w:w="2340"/>
          </w:tcPr>
          <w:p>
            <w:pPr>
              <w:spacing w:after="20" w:before="20"/>
              <w:jc w:val="left"/>
            </w:pPr>
            <w:r>
              <w:rPr>
                <w:rFonts w:ascii="Times New Roman" w:cs="Times New Roman" w:eastAsia="Times New Roman" w:hAnsi="Times New Roman"/>
                <w:sz w:val="20"/>
                <w:szCs w:val="20"/>
              </w:rPr>
              <w:t xml:space="preserve">6</w:t>
            </w:r>
          </w:p>
        </w:tc>
        <w:tc>
          <w:tcPr>
            <w:tcW w:type="dxa" w:w="2340"/>
          </w:tcPr>
          <w:p>
            <w:pPr>
              <w:spacing w:after="20" w:before="20"/>
              <w:jc w:val="left"/>
            </w:pPr>
            <w:r>
              <w:rPr>
                <w:rFonts w:ascii="Times New Roman" w:cs="Times New Roman" w:eastAsia="Times New Roman" w:hAnsi="Times New Roman"/>
                <w:sz w:val="20"/>
                <w:szCs w:val="20"/>
              </w:rPr>
              <w:t xml:space="preserve">Presidenza FUCI (1939); la generazione dei costruttori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associativi di segno contrario</w:t>
            </w:r>
          </w:p>
        </w:tc>
      </w:tr>
      <w:tr>
        <w:tc>
          <w:tcPr>
            <w:tcW w:type="dxa" w:w="2340"/>
          </w:tcPr>
          <w:p>
            <w:pPr>
              <w:spacing w:after="20" w:before="20"/>
              <w:jc w:val="left"/>
            </w:pPr>
            <w:r>
              <w:rPr>
                <w:rFonts w:ascii="Times New Roman" w:cs="Times New Roman" w:eastAsia="Times New Roman" w:hAnsi="Times New Roman"/>
                <w:sz w:val="20"/>
                <w:szCs w:val="20"/>
              </w:rPr>
              <w:t xml:space="preserve">7</w:t>
            </w:r>
          </w:p>
        </w:tc>
        <w:tc>
          <w:tcPr>
            <w:tcW w:type="dxa" w:w="2340"/>
          </w:tcPr>
          <w:p>
            <w:pPr>
              <w:spacing w:after="20" w:before="20"/>
              <w:jc w:val="left"/>
            </w:pPr>
            <w:r>
              <w:rPr>
                <w:rFonts w:ascii="Times New Roman" w:cs="Times New Roman" w:eastAsia="Times New Roman" w:hAnsi="Times New Roman"/>
                <w:sz w:val="20"/>
                <w:szCs w:val="20"/>
              </w:rPr>
              <w:t xml:space="preserve">Il costituente nella prima Sottocommissione dei 75; il ministro</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dell'Assemblea Costituente</w:t>
            </w:r>
          </w:p>
        </w:tc>
      </w:tr>
      <w:tr>
        <w:tc>
          <w:tcPr>
            <w:tcW w:type="dxa" w:w="2340"/>
          </w:tcPr>
          <w:p>
            <w:pPr>
              <w:spacing w:after="20" w:before="20"/>
              <w:jc w:val="left"/>
            </w:pPr>
            <w:r>
              <w:rPr>
                <w:rFonts w:ascii="Times New Roman" w:cs="Times New Roman" w:eastAsia="Times New Roman" w:hAnsi="Times New Roman"/>
                <w:sz w:val="20"/>
                <w:szCs w:val="20"/>
              </w:rPr>
              <w:t xml:space="preserve">8</w:t>
            </w:r>
          </w:p>
        </w:tc>
        <w:tc>
          <w:tcPr>
            <w:tcW w:type="dxa" w:w="2340"/>
          </w:tcPr>
          <w:p>
            <w:pPr>
              <w:spacing w:after="20" w:before="20"/>
              <w:jc w:val="left"/>
            </w:pPr>
            <w:r>
              <w:rPr>
                <w:rFonts w:ascii="Times New Roman" w:cs="Times New Roman" w:eastAsia="Times New Roman" w:hAnsi="Times New Roman"/>
                <w:sz w:val="20"/>
                <w:szCs w:val="20"/>
              </w:rPr>
              <w:t xml:space="preserve">Segretario DC dal 1959; l'apertura a sinistra</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del Consiglio nazionale DC</w:t>
            </w:r>
          </w:p>
        </w:tc>
      </w:tr>
      <w:tr>
        <w:tc>
          <w:tcPr>
            <w:tcW w:type="dxa" w:w="2340"/>
          </w:tcPr>
          <w:p>
            <w:pPr>
              <w:spacing w:after="20" w:before="20"/>
              <w:jc w:val="left"/>
            </w:pPr>
            <w:r>
              <w:rPr>
                <w:rFonts w:ascii="Times New Roman" w:cs="Times New Roman" w:eastAsia="Times New Roman" w:hAnsi="Times New Roman"/>
                <w:sz w:val="20"/>
                <w:szCs w:val="20"/>
              </w:rPr>
              <w:t xml:space="preserve">9</w:t>
            </w:r>
          </w:p>
        </w:tc>
        <w:tc>
          <w:tcPr>
            <w:tcW w:type="dxa" w:w="2340"/>
          </w:tcPr>
          <w:p>
            <w:pPr>
              <w:spacing w:after="20" w:before="20"/>
              <w:jc w:val="left"/>
            </w:pPr>
            <w:r>
              <w:rPr>
                <w:rFonts w:ascii="Times New Roman" w:cs="Times New Roman" w:eastAsia="Times New Roman" w:hAnsi="Times New Roman"/>
                <w:sz w:val="20"/>
                <w:szCs w:val="20"/>
              </w:rPr>
              <w:t xml:space="preserve">La matrice giuridica del pensiero politico moroteo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(biografia) / interpretazione dichiarata</w:t>
            </w:r>
          </w:p>
        </w:tc>
        <w:tc>
          <w:tcPr>
            <w:tcW w:type="dxa" w:w="2340"/>
          </w:tcPr>
          <w:p>
            <w:pPr>
              <w:spacing w:after="20" w:before="20"/>
              <w:jc w:val="left"/>
            </w:pPr>
            <w:r>
              <w:rPr>
                <w:rFonts w:ascii="Times New Roman" w:cs="Times New Roman" w:eastAsia="Times New Roman" w:hAnsi="Times New Roman"/>
                <w:sz w:val="20"/>
                <w:szCs w:val="20"/>
              </w:rPr>
              <w:t xml:space="preserve">Contraddizione documentale nel corpus degli scritti</w:t>
            </w:r>
          </w:p>
        </w:tc>
      </w:tr>
      <w:tr>
        <w:tc>
          <w:tcPr>
            <w:tcW w:type="dxa" w:w="2340"/>
          </w:tcPr>
          <w:p>
            <w:pPr>
              <w:spacing w:after="20" w:before="20"/>
              <w:jc w:val="left"/>
            </w:pPr>
            <w:r>
              <w:rPr>
                <w:rFonts w:ascii="Times New Roman" w:cs="Times New Roman" w:eastAsia="Times New Roman" w:hAnsi="Times New Roman"/>
                <w:sz w:val="20"/>
                <w:szCs w:val="20"/>
              </w:rPr>
              <w:t xml:space="preserve">10</w:t>
            </w:r>
          </w:p>
        </w:tc>
        <w:tc>
          <w:tcPr>
            <w:tcW w:type="dxa" w:w="2340"/>
          </w:tcPr>
          <w:p>
            <w:pPr>
              <w:spacing w:after="20" w:before="20"/>
              <w:jc w:val="left"/>
            </w:pPr>
            <w:r>
              <w:rPr>
                <w:rFonts w:ascii="Times New Roman" w:cs="Times New Roman" w:eastAsia="Times New Roman" w:hAnsi="Times New Roman"/>
                <w:sz w:val="20"/>
                <w:szCs w:val="20"/>
              </w:rPr>
              <w:t xml:space="preserve">Lo stile e la lingua come forma del pensiero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su fatti / lettura d'autore</w:t>
            </w:r>
          </w:p>
        </w:tc>
        <w:tc>
          <w:tcPr>
            <w:tcW w:type="dxa" w:w="2340"/>
          </w:tcPr>
          <w:p>
            <w:pPr>
              <w:spacing w:after="20" w:before="20"/>
              <w:jc w:val="left"/>
            </w:pPr>
            <w:r>
              <w:rPr>
                <w:rFonts w:ascii="Times New Roman" w:cs="Times New Roman" w:eastAsia="Times New Roman" w:hAnsi="Times New Roman"/>
                <w:sz w:val="20"/>
                <w:szCs w:val="20"/>
              </w:rPr>
              <w:t xml:space="preserve">— (lettura dichiarata)</w:t>
            </w:r>
          </w:p>
        </w:tc>
      </w:tr>
    </w:tbl>
    <w:p>
      <w:pPr>
        <w:spacing w:after="80"/>
      </w:pPr>
    </w:p>
    <w:p>
      <w:pPr>
        <w:pStyle w:val="Heading2"/>
        <w:spacing w:after="100" w:before="200"/>
      </w:pPr>
      <w:r>
        <w:rPr>
          <w:rFonts w:ascii="Times New Roman" w:cs="Times New Roman" w:eastAsia="Times New Roman" w:hAnsi="Times New Roman"/>
          <w:sz w:val="24"/>
          <w:szCs w:val="24"/>
        </w:rPr>
        <w:t xml:space="preserve">Fase seconda — Il perché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11</w:t>
            </w:r>
          </w:p>
        </w:tc>
        <w:tc>
          <w:tcPr>
            <w:tcW w:type="dxa" w:w="2340"/>
          </w:tcPr>
          <w:p>
            <w:pPr>
              <w:spacing w:after="20" w:before="20"/>
              <w:jc w:val="left"/>
            </w:pPr>
            <w:r>
              <w:rPr>
                <w:rFonts w:ascii="Times New Roman" w:cs="Times New Roman" w:eastAsia="Times New Roman" w:hAnsi="Times New Roman"/>
                <w:sz w:val="20"/>
                <w:szCs w:val="20"/>
              </w:rPr>
              <w:t xml:space="preserve">Quadro internazionale: l'esposizione di Moro nell'Italia della Guerra Fredda (PCI più forte d'Occidente)</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come contesto</w:t>
            </w:r>
          </w:p>
        </w:tc>
        <w:tc>
          <w:tcPr>
            <w:tcW w:type="dxa" w:w="2340"/>
          </w:tcPr>
          <w:p>
            <w:pPr>
              <w:spacing w:after="20" w:before="20"/>
              <w:jc w:val="left"/>
            </w:pPr>
            <w:r>
              <w:rPr>
                <w:rFonts w:ascii="Times New Roman" w:cs="Times New Roman" w:eastAsia="Times New Roman" w:hAnsi="Times New Roman"/>
                <w:sz w:val="20"/>
                <w:szCs w:val="20"/>
              </w:rPr>
              <w:t xml:space="preserve">Documenti che escludano l'ostilità internazionale (non trovati)</w:t>
            </w:r>
          </w:p>
        </w:tc>
      </w:tr>
      <w:tr>
        <w:tc>
          <w:tcPr>
            <w:tcW w:type="dxa" w:w="2340"/>
          </w:tcPr>
          <w:p>
            <w:pPr>
              <w:spacing w:after="20" w:before="20"/>
              <w:jc w:val="left"/>
            </w:pPr>
            <w:r>
              <w:rPr>
                <w:rFonts w:ascii="Times New Roman" w:cs="Times New Roman" w:eastAsia="Times New Roman" w:hAnsi="Times New Roman"/>
                <w:sz w:val="20"/>
                <w:szCs w:val="20"/>
              </w:rPr>
              <w:t xml:space="preserve">12</w:t>
            </w:r>
          </w:p>
        </w:tc>
        <w:tc>
          <w:tcPr>
            <w:tcW w:type="dxa" w:w="2340"/>
          </w:tcPr>
          <w:p>
            <w:pPr>
              <w:spacing w:after="20" w:before="20"/>
              <w:jc w:val="left"/>
            </w:pPr>
            <w:r>
              <w:rPr>
                <w:rFonts w:ascii="Times New Roman" w:cs="Times New Roman" w:eastAsia="Times New Roman" w:hAnsi="Times New Roman"/>
                <w:sz w:val="20"/>
                <w:szCs w:val="20"/>
              </w:rPr>
              <w:t xml:space="preserve">L'anomalia italiana e l'eurocomunismo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contesto</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13</w:t>
            </w:r>
          </w:p>
        </w:tc>
        <w:tc>
          <w:tcPr>
            <w:tcW w:type="dxa" w:w="2340"/>
          </w:tcPr>
          <w:p>
            <w:pPr>
              <w:spacing w:after="20" w:before="20"/>
              <w:jc w:val="left"/>
            </w:pPr>
            <w:r>
              <w:rPr>
                <w:rFonts w:ascii="Times New Roman" w:cs="Times New Roman" w:eastAsia="Times New Roman" w:hAnsi="Times New Roman"/>
                <w:sz w:val="20"/>
                <w:szCs w:val="20"/>
              </w:rPr>
              <w:t xml:space="preserve">I nemici del primo tempo dell'inclusione (l'apertura ai socialisti)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contesto</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14</w:t>
            </w:r>
          </w:p>
        </w:tc>
        <w:tc>
          <w:tcPr>
            <w:tcW w:type="dxa" w:w="2340"/>
          </w:tcPr>
          <w:p>
            <w:pPr>
              <w:spacing w:after="20" w:before="20"/>
              <w:jc w:val="left"/>
            </w:pPr>
            <w:r>
              <w:rPr>
                <w:rFonts w:ascii="Times New Roman" w:cs="Times New Roman" w:eastAsia="Times New Roman" w:hAnsi="Times New Roman"/>
                <w:sz w:val="20"/>
                <w:szCs w:val="20"/>
              </w:rPr>
              <w:t xml:space="preserve">La solidarietà nazionale come capolavoro tattico e rischio strategico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su fatti / valutazione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15</w:t>
            </w:r>
          </w:p>
        </w:tc>
        <w:tc>
          <w:tcPr>
            <w:tcW w:type="dxa" w:w="2340"/>
          </w:tcPr>
          <w:p>
            <w:pPr>
              <w:spacing w:after="20" w:before="20"/>
              <w:jc w:val="left"/>
            </w:pPr>
            <w:r>
              <w:rPr>
                <w:rFonts w:ascii="Times New Roman" w:cs="Times New Roman" w:eastAsia="Times New Roman" w:hAnsi="Times New Roman"/>
                <w:sz w:val="20"/>
                <w:szCs w:val="20"/>
              </w:rPr>
              <w:t xml:space="preserve">Gli avvertimenti attorno al «tessitore»</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l'esistenza di contrarietà;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un mandato che ne discenda</w:t>
            </w:r>
          </w:p>
        </w:tc>
        <w:tc>
          <w:tcPr>
            <w:tcW w:type="dxa" w:w="2340"/>
          </w:tcPr>
          <w:p>
            <w:pPr>
              <w:spacing w:after="20" w:before="20"/>
              <w:jc w:val="left"/>
            </w:pPr>
            <w:r>
              <w:rPr>
                <w:rFonts w:ascii="Times New Roman" w:cs="Times New Roman" w:eastAsia="Times New Roman" w:hAnsi="Times New Roman"/>
                <w:sz w:val="20"/>
                <w:szCs w:val="20"/>
              </w:rPr>
              <w:t xml:space="preserve">Un documento che leghi un avvertimento a una direttiva esecutiva</w:t>
            </w:r>
          </w:p>
        </w:tc>
      </w:tr>
      <w:tr>
        <w:tc>
          <w:tcPr>
            <w:tcW w:type="dxa" w:w="2340"/>
          </w:tcPr>
          <w:p>
            <w:pPr>
              <w:spacing w:after="20" w:before="20"/>
              <w:jc w:val="left"/>
            </w:pPr>
            <w:r>
              <w:rPr>
                <w:rFonts w:ascii="Times New Roman" w:cs="Times New Roman" w:eastAsia="Times New Roman" w:hAnsi="Times New Roman"/>
                <w:sz w:val="20"/>
                <w:szCs w:val="20"/>
              </w:rPr>
              <w:t xml:space="preserve">16</w:t>
            </w:r>
          </w:p>
        </w:tc>
        <w:tc>
          <w:tcPr>
            <w:tcW w:type="dxa" w:w="2340"/>
          </w:tcPr>
          <w:p>
            <w:pPr>
              <w:spacing w:after="20" w:before="20"/>
              <w:jc w:val="left"/>
            </w:pPr>
            <w:r>
              <w:rPr>
                <w:rFonts w:ascii="Times New Roman" w:cs="Times New Roman" w:eastAsia="Times New Roman" w:hAnsi="Times New Roman"/>
                <w:sz w:val="20"/>
                <w:szCs w:val="20"/>
              </w:rPr>
              <w:t xml:space="preserve">Politica mediterranea e «lodo Moro»: il nodo multistrato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 politica;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le ipotesi che vi si radicano</w:t>
            </w:r>
          </w:p>
        </w:tc>
        <w:tc>
          <w:tcPr>
            <w:tcW w:type="dxa" w:w="2340"/>
          </w:tcPr>
          <w:p>
            <w:pPr>
              <w:spacing w:after="20" w:before="20"/>
              <w:jc w:val="left"/>
            </w:pPr>
            <w:r>
              <w:rPr>
                <w:rFonts w:ascii="Times New Roman" w:cs="Times New Roman" w:eastAsia="Times New Roman" w:hAnsi="Times New Roman"/>
                <w:sz w:val="20"/>
                <w:szCs w:val="20"/>
              </w:rPr>
              <w:t xml:space="preserve">Atti riservati sui canali mediorientali</w:t>
            </w:r>
          </w:p>
        </w:tc>
      </w:tr>
      <w:tr>
        <w:tc>
          <w:tcPr>
            <w:tcW w:type="dxa" w:w="2340"/>
          </w:tcPr>
          <w:p>
            <w:pPr>
              <w:spacing w:after="20" w:before="20"/>
              <w:jc w:val="left"/>
            </w:pPr>
            <w:r>
              <w:rPr>
                <w:rFonts w:ascii="Times New Roman" w:cs="Times New Roman" w:eastAsia="Times New Roman" w:hAnsi="Times New Roman"/>
                <w:sz w:val="20"/>
                <w:szCs w:val="20"/>
              </w:rPr>
              <w:t xml:space="preserve">17</w:t>
            </w:r>
          </w:p>
        </w:tc>
        <w:tc>
          <w:tcPr>
            <w:tcW w:type="dxa" w:w="2340"/>
          </w:tcPr>
          <w:p>
            <w:pPr>
              <w:spacing w:after="20" w:before="20"/>
              <w:jc w:val="left"/>
            </w:pPr>
            <w:r>
              <w:rPr>
                <w:rFonts w:ascii="Times New Roman" w:cs="Times New Roman" w:eastAsia="Times New Roman" w:hAnsi="Times New Roman"/>
                <w:sz w:val="20"/>
                <w:szCs w:val="20"/>
              </w:rPr>
              <w:t xml:space="preserve">I dieci domini che si intrecciano nel caso</w:t>
            </w:r>
          </w:p>
        </w:tc>
        <w:tc>
          <w:tcPr>
            <w:tcW w:type="dxa" w:w="2340"/>
          </w:tcPr>
          <w:p>
            <w:pPr>
              <w:spacing w:after="20" w:before="20"/>
              <w:jc w:val="left"/>
            </w:pPr>
            <w:r>
              <w:rPr>
                <w:rFonts w:ascii="Times New Roman" w:cs="Times New Roman" w:eastAsia="Times New Roman" w:hAnsi="Times New Roman"/>
                <w:b/>
                <w:bCs/>
                <w:sz w:val="20"/>
                <w:szCs w:val="20"/>
              </w:rPr>
              <w:t xml:space="preserve">M</w:t>
            </w:r>
            <w:r>
              <w:rPr>
                <w:rFonts w:ascii="Times New Roman" w:cs="Times New Roman" w:eastAsia="Times New Roman" w:hAnsi="Times New Roman"/>
                <w:sz w:val="20"/>
                <w:szCs w:val="20"/>
              </w:rPr>
              <w:t xml:space="preserve"> (mappa)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18</w:t>
            </w:r>
          </w:p>
        </w:tc>
        <w:tc>
          <w:tcPr>
            <w:tcW w:type="dxa" w:w="2340"/>
          </w:tcPr>
          <w:p>
            <w:pPr>
              <w:spacing w:after="20" w:before="20"/>
              <w:jc w:val="left"/>
            </w:pPr>
            <w:r>
              <w:rPr>
                <w:rFonts w:ascii="Times New Roman" w:cs="Times New Roman" w:eastAsia="Times New Roman" w:hAnsi="Times New Roman"/>
                <w:b/>
                <w:bCs/>
                <w:sz w:val="20"/>
                <w:szCs w:val="20"/>
              </w:rPr>
              <w:t xml:space="preserve">Autonomia accertata delle Brigate Rosse</w:t>
            </w:r>
            <w:r>
              <w:rPr>
                <w:rFonts w:ascii="Times New Roman" w:cs="Times New Roman" w:eastAsia="Times New Roman" w:hAnsi="Times New Roman"/>
                <w:sz w:val="20"/>
                <w:szCs w:val="20"/>
              </w:rPr>
              <w:t xml:space="preserve"> come organizzazione armata</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Un documento coevo, esterno, autenticato, che provi l'eterodirezione (cercato, non trovato)</w:t>
            </w:r>
          </w:p>
        </w:tc>
      </w:tr>
      <w:tr>
        <w:tc>
          <w:tcPr>
            <w:tcW w:type="dxa" w:w="2340"/>
          </w:tcPr>
          <w:p>
            <w:pPr>
              <w:spacing w:after="20" w:before="20"/>
              <w:jc w:val="left"/>
            </w:pPr>
            <w:r>
              <w:rPr>
                <w:rFonts w:ascii="Times New Roman" w:cs="Times New Roman" w:eastAsia="Times New Roman" w:hAnsi="Times New Roman"/>
                <w:sz w:val="20"/>
                <w:szCs w:val="20"/>
              </w:rPr>
              <w:t xml:space="preserve">19</w:t>
            </w:r>
          </w:p>
        </w:tc>
        <w:tc>
          <w:tcPr>
            <w:tcW w:type="dxa" w:w="2340"/>
          </w:tcPr>
          <w:p>
            <w:pPr>
              <w:spacing w:after="20" w:before="20"/>
              <w:jc w:val="left"/>
            </w:pPr>
            <w:r>
              <w:rPr>
                <w:rFonts w:ascii="Times New Roman" w:cs="Times New Roman" w:eastAsia="Times New Roman" w:hAnsi="Times New Roman"/>
                <w:sz w:val="20"/>
                <w:szCs w:val="20"/>
              </w:rPr>
              <w:t xml:space="preserve">La vigilia: il 1977-78, tutti i fili si tendono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contesto</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20</w:t>
            </w:r>
          </w:p>
        </w:tc>
        <w:tc>
          <w:tcPr>
            <w:tcW w:type="dxa" w:w="2340"/>
          </w:tcPr>
          <w:p>
            <w:pPr>
              <w:spacing w:after="20" w:before="20"/>
              <w:jc w:val="left"/>
            </w:pPr>
            <w:r>
              <w:rPr>
                <w:rFonts w:ascii="Times New Roman" w:cs="Times New Roman" w:eastAsia="Times New Roman" w:hAnsi="Times New Roman"/>
                <w:sz w:val="20"/>
                <w:szCs w:val="20"/>
              </w:rPr>
              <w:t xml:space="preserve">«Perché Moro»: la scelta del bersaglio nella logica dichiarata delle BR</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(logica rivendicata)</w:t>
            </w:r>
          </w:p>
        </w:tc>
        <w:tc>
          <w:tcPr>
            <w:tcW w:type="dxa" w:w="2340"/>
          </w:tcPr>
          <w:p>
            <w:pPr>
              <w:spacing w:after="20" w:before="20"/>
              <w:jc w:val="left"/>
            </w:pPr>
            <w:r>
              <w:rPr>
                <w:rFonts w:ascii="Times New Roman" w:cs="Times New Roman" w:eastAsia="Times New Roman" w:hAnsi="Times New Roman"/>
                <w:sz w:val="20"/>
                <w:szCs w:val="20"/>
              </w:rPr>
              <w:t xml:space="preserve">Documento che attribuisca la scelta ad altra volontà</w:t>
            </w:r>
          </w:p>
        </w:tc>
      </w:tr>
    </w:tbl>
    <w:p>
      <w:pPr>
        <w:spacing w:after="80"/>
      </w:pPr>
    </w:p>
    <w:p>
      <w:pPr>
        <w:pStyle w:val="Heading2"/>
        <w:spacing w:after="100" w:before="200"/>
      </w:pPr>
      <w:r>
        <w:rPr>
          <w:rFonts w:ascii="Times New Roman" w:cs="Times New Roman" w:eastAsia="Times New Roman" w:hAnsi="Times New Roman"/>
          <w:sz w:val="24"/>
          <w:szCs w:val="24"/>
        </w:rPr>
        <w:t xml:space="preserve">Fase terza — Il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21</w:t>
            </w:r>
          </w:p>
        </w:tc>
        <w:tc>
          <w:tcPr>
            <w:tcW w:type="dxa" w:w="2340"/>
          </w:tcPr>
          <w:p>
            <w:pPr>
              <w:spacing w:after="20" w:before="20"/>
              <w:jc w:val="left"/>
            </w:pPr>
            <w:r>
              <w:rPr>
                <w:rFonts w:ascii="Times New Roman" w:cs="Times New Roman" w:eastAsia="Times New Roman" w:hAnsi="Times New Roman"/>
                <w:sz w:val="20"/>
                <w:szCs w:val="20"/>
              </w:rPr>
              <w:t xml:space="preserve">La mattina del 16 marzo 1978</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Cronologia documentale di segno contrario</w:t>
            </w:r>
          </w:p>
        </w:tc>
      </w:tr>
      <w:tr>
        <w:tc>
          <w:tcPr>
            <w:tcW w:type="dxa" w:w="2340"/>
          </w:tcPr>
          <w:p>
            <w:pPr>
              <w:spacing w:after="20" w:before="20"/>
              <w:jc w:val="left"/>
            </w:pPr>
            <w:r>
              <w:rPr>
                <w:rFonts w:ascii="Times New Roman" w:cs="Times New Roman" w:eastAsia="Times New Roman" w:hAnsi="Times New Roman"/>
                <w:sz w:val="20"/>
                <w:szCs w:val="20"/>
              </w:rPr>
              <w:t xml:space="preserve">22</w:t>
            </w:r>
          </w:p>
        </w:tc>
        <w:tc>
          <w:tcPr>
            <w:tcW w:type="dxa" w:w="2340"/>
          </w:tcPr>
          <w:p>
            <w:pPr>
              <w:spacing w:after="20" w:before="20"/>
              <w:jc w:val="left"/>
            </w:pPr>
            <w:r>
              <w:rPr>
                <w:rFonts w:ascii="Times New Roman" w:cs="Times New Roman" w:eastAsia="Times New Roman" w:hAnsi="Times New Roman"/>
                <w:sz w:val="20"/>
                <w:szCs w:val="20"/>
              </w:rPr>
              <w:t xml:space="preserve">La meccanica dell'agguato di via Fani; la scelta del giorno (fiducia al governo con appoggio PCI)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l'agguato e la data;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la ricostruzione minuta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23</w:t>
            </w:r>
          </w:p>
        </w:tc>
        <w:tc>
          <w:tcPr>
            <w:tcW w:type="dxa" w:w="2340"/>
          </w:tcPr>
          <w:p>
            <w:pPr>
              <w:spacing w:after="20" w:before="20"/>
              <w:jc w:val="left"/>
            </w:pPr>
            <w:r>
              <w:rPr>
                <w:rFonts w:ascii="Times New Roman" w:cs="Times New Roman" w:eastAsia="Times New Roman" w:hAnsi="Times New Roman"/>
                <w:sz w:val="20"/>
                <w:szCs w:val="20"/>
              </w:rPr>
              <w:t xml:space="preserve">I cinque della scorta: Leonardi, Ricci, Rivera, Zizzi, Iozzino</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24</w:t>
            </w:r>
          </w:p>
        </w:tc>
        <w:tc>
          <w:tcPr>
            <w:tcW w:type="dxa" w:w="2340"/>
          </w:tcPr>
          <w:p>
            <w:pPr>
              <w:spacing w:after="20" w:before="20"/>
              <w:jc w:val="left"/>
            </w:pPr>
            <w:r>
              <w:rPr>
                <w:rFonts w:ascii="Times New Roman" w:cs="Times New Roman" w:eastAsia="Times New Roman" w:hAnsi="Times New Roman"/>
                <w:sz w:val="20"/>
                <w:szCs w:val="20"/>
              </w:rPr>
              <w:t xml:space="preserve">Le questioni aperte di via Fani (numero sparatori, moto Honda, anomalie balistiche)</w:t>
            </w:r>
          </w:p>
        </w:tc>
        <w:tc>
          <w:tcPr>
            <w:tcW w:type="dxa" w:w="2340"/>
          </w:tcPr>
          <w:p>
            <w:pPr>
              <w:spacing w:after="20" w:before="20"/>
              <w:jc w:val="left"/>
            </w:pPr>
            <w:r>
              <w:rPr>
                <w:rFonts w:ascii="Times New Roman" w:cs="Times New Roman" w:eastAsia="Times New Roman" w:hAnsi="Times New Roman"/>
                <w:b/>
                <w:bCs/>
                <w:sz w:val="20"/>
                <w:szCs w:val="20"/>
              </w:rPr>
              <w:t xml:space="preserve">B/C</w:t>
            </w:r>
          </w:p>
        </w:tc>
        <w:tc>
          <w:tcPr>
            <w:tcW w:type="dxa" w:w="2340"/>
          </w:tcPr>
          <w:p>
            <w:pPr>
              <w:spacing w:after="20" w:before="20"/>
              <w:jc w:val="left"/>
            </w:pPr>
            <w:r>
              <w:rPr>
                <w:rFonts w:ascii="Times New Roman" w:cs="Times New Roman" w:eastAsia="Times New Roman" w:hAnsi="Times New Roman"/>
                <w:sz w:val="20"/>
                <w:szCs w:val="20"/>
              </w:rPr>
              <w:t xml:space="preserve">Prova positiva di un tiratore non riconducibile alle BR</w:t>
            </w:r>
          </w:p>
        </w:tc>
      </w:tr>
      <w:tr>
        <w:tc>
          <w:tcPr>
            <w:tcW w:type="dxa" w:w="2340"/>
          </w:tcPr>
          <w:p>
            <w:pPr>
              <w:spacing w:after="20" w:before="20"/>
              <w:jc w:val="left"/>
            </w:pPr>
            <w:r>
              <w:rPr>
                <w:rFonts w:ascii="Times New Roman" w:cs="Times New Roman" w:eastAsia="Times New Roman" w:hAnsi="Times New Roman"/>
                <w:sz w:val="20"/>
                <w:szCs w:val="20"/>
              </w:rPr>
              <w:t xml:space="preserve">25</w:t>
            </w:r>
          </w:p>
        </w:tc>
        <w:tc>
          <w:tcPr>
            <w:tcW w:type="dxa" w:w="2340"/>
          </w:tcPr>
          <w:p>
            <w:pPr>
              <w:spacing w:after="20" w:before="20"/>
              <w:jc w:val="left"/>
            </w:pPr>
            <w:r>
              <w:rPr>
                <w:rFonts w:ascii="Times New Roman" w:cs="Times New Roman" w:eastAsia="Times New Roman" w:hAnsi="Times New Roman"/>
                <w:sz w:val="20"/>
                <w:szCs w:val="20"/>
              </w:rPr>
              <w:t xml:space="preserve">La prigionia; l'individuazione della prigione di via Montalcini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Prova documentale di prigione diversa (non trovata)</w:t>
            </w:r>
          </w:p>
        </w:tc>
      </w:tr>
      <w:tr>
        <w:tc>
          <w:tcPr>
            <w:tcW w:type="dxa" w:w="2340"/>
          </w:tcPr>
          <w:p>
            <w:pPr>
              <w:spacing w:after="20" w:before="20"/>
              <w:jc w:val="left"/>
            </w:pPr>
            <w:r>
              <w:rPr>
                <w:rFonts w:ascii="Times New Roman" w:cs="Times New Roman" w:eastAsia="Times New Roman" w:hAnsi="Times New Roman"/>
                <w:sz w:val="20"/>
                <w:szCs w:val="20"/>
              </w:rPr>
              <w:t xml:space="preserve">26</w:t>
            </w:r>
          </w:p>
        </w:tc>
        <w:tc>
          <w:tcPr>
            <w:tcW w:type="dxa" w:w="2340"/>
          </w:tcPr>
          <w:p>
            <w:pPr>
              <w:spacing w:after="20" w:before="20"/>
              <w:jc w:val="left"/>
            </w:pPr>
            <w:r>
              <w:rPr>
                <w:rFonts w:ascii="Times New Roman" w:cs="Times New Roman" w:eastAsia="Times New Roman" w:hAnsi="Times New Roman"/>
                <w:sz w:val="20"/>
                <w:szCs w:val="20"/>
              </w:rPr>
              <w:t xml:space="preserve">Le lettere dalla prigionia: registro politico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(esistenza e testo) / lettura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27</w:t>
            </w:r>
          </w:p>
        </w:tc>
        <w:tc>
          <w:tcPr>
            <w:tcW w:type="dxa" w:w="2340"/>
          </w:tcPr>
          <w:p>
            <w:pPr>
              <w:spacing w:after="20" w:before="20"/>
              <w:jc w:val="left"/>
            </w:pPr>
            <w:r>
              <w:rPr>
                <w:rFonts w:ascii="Times New Roman" w:cs="Times New Roman" w:eastAsia="Times New Roman" w:hAnsi="Times New Roman"/>
                <w:sz w:val="20"/>
                <w:szCs w:val="20"/>
              </w:rPr>
              <w:t xml:space="preserve">Le lettere: registro umano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(esistenza e testo) / lettura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28</w:t>
            </w:r>
          </w:p>
        </w:tc>
        <w:tc>
          <w:tcPr>
            <w:tcW w:type="dxa" w:w="2340"/>
          </w:tcPr>
          <w:p>
            <w:pPr>
              <w:spacing w:after="20" w:before="20"/>
              <w:jc w:val="left"/>
            </w:pPr>
            <w:r>
              <w:rPr>
                <w:rFonts w:ascii="Times New Roman" w:cs="Times New Roman" w:eastAsia="Times New Roman" w:hAnsi="Times New Roman"/>
                <w:sz w:val="20"/>
                <w:szCs w:val="20"/>
              </w:rPr>
              <w:t xml:space="preserve">Il memoriale e la sua sorte</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 fatti;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la manipolazione/incompletezza deliberata</w:t>
            </w:r>
          </w:p>
        </w:tc>
        <w:tc>
          <w:tcPr>
            <w:tcW w:type="dxa" w:w="2340"/>
          </w:tcPr>
          <w:p>
            <w:pPr>
              <w:spacing w:after="20" w:before="20"/>
              <w:jc w:val="left"/>
            </w:pPr>
            <w:r>
              <w:rPr>
                <w:rFonts w:ascii="Times New Roman" w:cs="Times New Roman" w:eastAsia="Times New Roman" w:hAnsi="Times New Roman"/>
                <w:sz w:val="20"/>
                <w:szCs w:val="20"/>
              </w:rPr>
              <w:t xml:space="preserve">Catena di custodia integrale delle carte di via Monte Nevoso</w:t>
            </w:r>
          </w:p>
        </w:tc>
      </w:tr>
      <w:tr>
        <w:tc>
          <w:tcPr>
            <w:tcW w:type="dxa" w:w="2340"/>
          </w:tcPr>
          <w:p>
            <w:pPr>
              <w:spacing w:after="20" w:before="20"/>
              <w:jc w:val="left"/>
            </w:pPr>
            <w:r>
              <w:rPr>
                <w:rFonts w:ascii="Times New Roman" w:cs="Times New Roman" w:eastAsia="Times New Roman" w:hAnsi="Times New Roman"/>
                <w:sz w:val="20"/>
                <w:szCs w:val="20"/>
              </w:rPr>
              <w:t xml:space="preserve">29</w:t>
            </w:r>
          </w:p>
        </w:tc>
        <w:tc>
          <w:tcPr>
            <w:tcW w:type="dxa" w:w="2340"/>
          </w:tcPr>
          <w:p>
            <w:pPr>
              <w:spacing w:after="20" w:before="20"/>
              <w:jc w:val="left"/>
            </w:pPr>
            <w:r>
              <w:rPr>
                <w:rFonts w:ascii="Times New Roman" w:cs="Times New Roman" w:eastAsia="Times New Roman" w:hAnsi="Times New Roman"/>
                <w:sz w:val="20"/>
                <w:szCs w:val="20"/>
              </w:rPr>
              <w:t xml:space="preserve">Fermezza contro trattativa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lo schieramento e la scelta;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l'esito contro-fattuale</w:t>
            </w:r>
          </w:p>
        </w:tc>
        <w:tc>
          <w:tcPr>
            <w:tcW w:type="dxa" w:w="2340"/>
          </w:tcPr>
          <w:p>
            <w:pPr>
              <w:spacing w:after="20" w:before="20"/>
              <w:jc w:val="left"/>
            </w:pPr>
            <w:r>
              <w:rPr>
                <w:rFonts w:ascii="Times New Roman" w:cs="Times New Roman" w:eastAsia="Times New Roman" w:hAnsi="Times New Roman"/>
                <w:sz w:val="20"/>
                <w:szCs w:val="20"/>
              </w:rPr>
              <w:t xml:space="preserve">— (i contro-fattuali non sono falsificabili)</w:t>
            </w:r>
          </w:p>
        </w:tc>
      </w:tr>
      <w:tr>
        <w:tc>
          <w:tcPr>
            <w:tcW w:type="dxa" w:w="2340"/>
          </w:tcPr>
          <w:p>
            <w:pPr>
              <w:spacing w:after="20" w:before="20"/>
              <w:jc w:val="left"/>
            </w:pPr>
            <w:r>
              <w:rPr>
                <w:rFonts w:ascii="Times New Roman" w:cs="Times New Roman" w:eastAsia="Times New Roman" w:hAnsi="Times New Roman"/>
                <w:sz w:val="20"/>
                <w:szCs w:val="20"/>
              </w:rPr>
              <w:t xml:space="preserve">30</w:t>
            </w:r>
          </w:p>
        </w:tc>
        <w:tc>
          <w:tcPr>
            <w:tcW w:type="dxa" w:w="2340"/>
          </w:tcPr>
          <w:p>
            <w:pPr>
              <w:spacing w:after="20" w:before="20"/>
              <w:jc w:val="left"/>
            </w:pPr>
            <w:r>
              <w:rPr>
                <w:rFonts w:ascii="Times New Roman" w:cs="Times New Roman" w:eastAsia="Times New Roman" w:hAnsi="Times New Roman"/>
                <w:sz w:val="20"/>
                <w:szCs w:val="20"/>
              </w:rPr>
              <w:t xml:space="preserve">Il 9 maggio, via Caetani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w:t>
            </w:r>
          </w:p>
        </w:tc>
      </w:tr>
    </w:tbl>
    <w:p>
      <w:pPr>
        <w:spacing w:after="80"/>
      </w:pPr>
    </w:p>
    <w:p>
      <w:pPr>
        <w:pStyle w:val="Heading2"/>
        <w:spacing w:after="100" w:before="200"/>
      </w:pPr>
      <w:r>
        <w:rPr>
          <w:rFonts w:ascii="Times New Roman" w:cs="Times New Roman" w:eastAsia="Times New Roman" w:hAnsi="Times New Roman"/>
          <w:sz w:val="24"/>
          <w:szCs w:val="24"/>
        </w:rPr>
        <w:t xml:space="preserve">Fase quarta — Omissioni, collusioni, insabbiamenti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31</w:t>
            </w:r>
          </w:p>
        </w:tc>
        <w:tc>
          <w:tcPr>
            <w:tcW w:type="dxa" w:w="2340"/>
          </w:tcPr>
          <w:p>
            <w:pPr>
              <w:spacing w:after="20" w:before="20"/>
              <w:jc w:val="left"/>
            </w:pPr>
            <w:r>
              <w:rPr>
                <w:rFonts w:ascii="Times New Roman" w:cs="Times New Roman" w:eastAsia="Times New Roman" w:hAnsi="Times New Roman"/>
                <w:sz w:val="20"/>
                <w:szCs w:val="20"/>
              </w:rPr>
              <w:t xml:space="preserve">La macchina delle ricerche e il suo fallimento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 fatti; il </w:t>
            </w:r>
            <w:r>
              <w:rPr>
                <w:rFonts w:ascii="Times New Roman" w:cs="Times New Roman" w:eastAsia="Times New Roman" w:hAnsi="Times New Roman"/>
                <w:i/>
                <w:iCs/>
                <w:sz w:val="20"/>
                <w:szCs w:val="20"/>
              </w:rPr>
              <w:t xml:space="preserve">dolo</w:t>
            </w:r>
            <w:r>
              <w:rPr>
                <w:rFonts w:ascii="Times New Roman" w:cs="Times New Roman" w:eastAsia="Times New Roman" w:hAnsi="Times New Roman"/>
                <w:sz w:val="20"/>
                <w:szCs w:val="20"/>
              </w:rPr>
              <w:t xml:space="preserve"> delle singole falle resta </w:t>
            </w:r>
            <w:r>
              <w:rPr>
                <w:rFonts w:ascii="Times New Roman" w:cs="Times New Roman" w:eastAsia="Times New Roman" w:hAnsi="Times New Roman"/>
                <w:b/>
                <w:bCs/>
                <w:sz w:val="20"/>
                <w:szCs w:val="20"/>
              </w:rPr>
              <w:t xml:space="preserve">B/C</w:t>
            </w:r>
          </w:p>
        </w:tc>
        <w:tc>
          <w:tcPr>
            <w:tcW w:type="dxa" w:w="2340"/>
          </w:tcPr>
          <w:p>
            <w:pPr>
              <w:spacing w:after="20" w:before="20"/>
              <w:jc w:val="left"/>
            </w:pPr>
            <w:r>
              <w:rPr>
                <w:rFonts w:ascii="Times New Roman" w:cs="Times New Roman" w:eastAsia="Times New Roman" w:hAnsi="Times New Roman"/>
                <w:sz w:val="20"/>
                <w:szCs w:val="20"/>
              </w:rPr>
              <w:t xml:space="preserve">Documento che leghi una falla a una direttiva</w:t>
            </w:r>
          </w:p>
        </w:tc>
      </w:tr>
      <w:tr>
        <w:tc>
          <w:tcPr>
            <w:tcW w:type="dxa" w:w="2340"/>
          </w:tcPr>
          <w:p>
            <w:pPr>
              <w:spacing w:after="20" w:before="20"/>
              <w:jc w:val="left"/>
            </w:pPr>
            <w:r>
              <w:rPr>
                <w:rFonts w:ascii="Times New Roman" w:cs="Times New Roman" w:eastAsia="Times New Roman" w:hAnsi="Times New Roman"/>
                <w:sz w:val="20"/>
                <w:szCs w:val="20"/>
              </w:rPr>
              <w:t xml:space="preserve">32</w:t>
            </w:r>
          </w:p>
        </w:tc>
        <w:tc>
          <w:tcPr>
            <w:tcW w:type="dxa" w:w="2340"/>
          </w:tcPr>
          <w:p>
            <w:pPr>
              <w:spacing w:after="20" w:before="20"/>
              <w:jc w:val="left"/>
            </w:pPr>
            <w:r>
              <w:rPr>
                <w:rFonts w:ascii="Times New Roman" w:cs="Times New Roman" w:eastAsia="Times New Roman" w:hAnsi="Times New Roman"/>
                <w:sz w:val="20"/>
                <w:szCs w:val="20"/>
              </w:rPr>
              <w:t xml:space="preserve">Via Gradoli: fatti accertati; la «coincidenza» della seduta spiritica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 fatti;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la lettura non innocente</w:t>
            </w:r>
          </w:p>
        </w:tc>
        <w:tc>
          <w:tcPr>
            <w:tcW w:type="dxa" w:w="2340"/>
          </w:tcPr>
          <w:p>
            <w:pPr>
              <w:spacing w:after="20" w:before="20"/>
              <w:jc w:val="left"/>
            </w:pPr>
            <w:r>
              <w:rPr>
                <w:rFonts w:ascii="Times New Roman" w:cs="Times New Roman" w:eastAsia="Times New Roman" w:hAnsi="Times New Roman"/>
                <w:sz w:val="20"/>
                <w:szCs w:val="20"/>
              </w:rPr>
              <w:t xml:space="preserve">Documento che provi una fonte informata dietro il nome</w:t>
            </w:r>
          </w:p>
        </w:tc>
      </w:tr>
      <w:tr>
        <w:tc>
          <w:tcPr>
            <w:tcW w:type="dxa" w:w="2340"/>
          </w:tcPr>
          <w:p>
            <w:pPr>
              <w:spacing w:after="20" w:before="20"/>
              <w:jc w:val="left"/>
            </w:pPr>
            <w:r>
              <w:rPr>
                <w:rFonts w:ascii="Times New Roman" w:cs="Times New Roman" w:eastAsia="Times New Roman" w:hAnsi="Times New Roman"/>
                <w:sz w:val="20"/>
                <w:szCs w:val="20"/>
              </w:rPr>
              <w:t xml:space="preserve">33</w:t>
            </w:r>
          </w:p>
        </w:tc>
        <w:tc>
          <w:tcPr>
            <w:tcW w:type="dxa" w:w="2340"/>
          </w:tcPr>
          <w:p>
            <w:pPr>
              <w:spacing w:after="20" w:before="20"/>
              <w:jc w:val="left"/>
            </w:pPr>
            <w:r>
              <w:rPr>
                <w:rFonts w:ascii="Times New Roman" w:cs="Times New Roman" w:eastAsia="Times New Roman" w:hAnsi="Times New Roman"/>
                <w:sz w:val="20"/>
                <w:szCs w:val="20"/>
              </w:rPr>
              <w:t xml:space="preserve">Il falso comunicato n. 7 del lago della Duchessa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l'esistenza e la falsità del comunicato;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la regia</w:t>
            </w:r>
          </w:p>
        </w:tc>
        <w:tc>
          <w:tcPr>
            <w:tcW w:type="dxa" w:w="2340"/>
          </w:tcPr>
          <w:p>
            <w:pPr>
              <w:spacing w:after="20" w:before="20"/>
              <w:jc w:val="left"/>
            </w:pPr>
            <w:r>
              <w:rPr>
                <w:rFonts w:ascii="Times New Roman" w:cs="Times New Roman" w:eastAsia="Times New Roman" w:hAnsi="Times New Roman"/>
                <w:sz w:val="20"/>
                <w:szCs w:val="20"/>
              </w:rPr>
              <w:t xml:space="preserve">Atti che identifichino con prova gli autori del falso</w:t>
            </w:r>
          </w:p>
        </w:tc>
      </w:tr>
      <w:tr>
        <w:tc>
          <w:tcPr>
            <w:tcW w:type="dxa" w:w="2340"/>
          </w:tcPr>
          <w:p>
            <w:pPr>
              <w:spacing w:after="20" w:before="20"/>
              <w:jc w:val="left"/>
            </w:pPr>
            <w:r>
              <w:rPr>
                <w:rFonts w:ascii="Times New Roman" w:cs="Times New Roman" w:eastAsia="Times New Roman" w:hAnsi="Times New Roman"/>
                <w:sz w:val="20"/>
                <w:szCs w:val="20"/>
              </w:rPr>
              <w:t xml:space="preserve">34</w:t>
            </w:r>
          </w:p>
        </w:tc>
        <w:tc>
          <w:tcPr>
            <w:tcW w:type="dxa" w:w="2340"/>
          </w:tcPr>
          <w:p>
            <w:pPr>
              <w:spacing w:after="20" w:before="20"/>
              <w:jc w:val="left"/>
            </w:pPr>
            <w:r>
              <w:rPr>
                <w:rFonts w:ascii="Times New Roman" w:cs="Times New Roman" w:eastAsia="Times New Roman" w:hAnsi="Times New Roman"/>
                <w:sz w:val="20"/>
                <w:szCs w:val="20"/>
              </w:rPr>
              <w:t xml:space="preserve">I comitati di crisi e le appartenenze occulte (P2) dei partecipanti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 appartenenze documentate; </w:t>
            </w:r>
            <w:r>
              <w:rPr>
                <w:rFonts w:ascii="Times New Roman" w:cs="Times New Roman" w:eastAsia="Times New Roman" w:hAnsi="Times New Roman"/>
                <w:b/>
                <w:bCs/>
                <w:sz w:val="20"/>
                <w:szCs w:val="20"/>
              </w:rPr>
              <w:t xml:space="preserve">B/C</w:t>
            </w:r>
            <w:r>
              <w:rPr>
                <w:rFonts w:ascii="Times New Roman" w:cs="Times New Roman" w:eastAsia="Times New Roman" w:hAnsi="Times New Roman"/>
                <w:sz w:val="20"/>
                <w:szCs w:val="20"/>
              </w:rPr>
              <w:t xml:space="preserve"> la loro incidenza sull'esito</w:t>
            </w:r>
          </w:p>
        </w:tc>
        <w:tc>
          <w:tcPr>
            <w:tcW w:type="dxa" w:w="2340"/>
          </w:tcPr>
          <w:p>
            <w:pPr>
              <w:spacing w:after="20" w:before="20"/>
              <w:jc w:val="left"/>
            </w:pPr>
            <w:r>
              <w:rPr>
                <w:rFonts w:ascii="Times New Roman" w:cs="Times New Roman" w:eastAsia="Times New Roman" w:hAnsi="Times New Roman"/>
                <w:sz w:val="20"/>
                <w:szCs w:val="20"/>
              </w:rPr>
              <w:t xml:space="preserve">Prova che una decisione sia stata piegata da un'appartenenza</w:t>
            </w:r>
          </w:p>
        </w:tc>
      </w:tr>
      <w:tr>
        <w:tc>
          <w:tcPr>
            <w:tcW w:type="dxa" w:w="2340"/>
          </w:tcPr>
          <w:p>
            <w:pPr>
              <w:spacing w:after="20" w:before="20"/>
              <w:jc w:val="left"/>
            </w:pPr>
            <w:r>
              <w:rPr>
                <w:rFonts w:ascii="Times New Roman" w:cs="Times New Roman" w:eastAsia="Times New Roman" w:hAnsi="Times New Roman"/>
                <w:sz w:val="20"/>
                <w:szCs w:val="20"/>
              </w:rPr>
              <w:t xml:space="preserve">35</w:t>
            </w:r>
          </w:p>
        </w:tc>
        <w:tc>
          <w:tcPr>
            <w:tcW w:type="dxa" w:w="2340"/>
          </w:tcPr>
          <w:p>
            <w:pPr>
              <w:spacing w:after="20" w:before="20"/>
              <w:jc w:val="left"/>
            </w:pPr>
            <w:r>
              <w:rPr>
                <w:rFonts w:ascii="Times New Roman" w:cs="Times New Roman" w:eastAsia="Times New Roman" w:hAnsi="Times New Roman"/>
                <w:sz w:val="20"/>
                <w:szCs w:val="20"/>
              </w:rPr>
              <w:t xml:space="preserve">Le omissioni: l'accertato distinto dall'ipotizzato</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le omissioni accertate;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le ipotizzate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36</w:t>
            </w:r>
          </w:p>
        </w:tc>
        <w:tc>
          <w:tcPr>
            <w:tcW w:type="dxa" w:w="2340"/>
          </w:tcPr>
          <w:p>
            <w:pPr>
              <w:spacing w:after="20" w:before="20"/>
              <w:jc w:val="left"/>
            </w:pPr>
            <w:r>
              <w:rPr>
                <w:rFonts w:ascii="Times New Roman" w:cs="Times New Roman" w:eastAsia="Times New Roman" w:hAnsi="Times New Roman"/>
                <w:sz w:val="20"/>
                <w:szCs w:val="20"/>
              </w:rPr>
              <w:t xml:space="preserve">Collusioni e insabbiamenti: la lunga coda della verità</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 sequenza di depistaggi accertati</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37</w:t>
            </w:r>
          </w:p>
        </w:tc>
        <w:tc>
          <w:tcPr>
            <w:tcW w:type="dxa" w:w="2340"/>
          </w:tcPr>
          <w:p>
            <w:pPr>
              <w:spacing w:after="20" w:before="20"/>
              <w:jc w:val="left"/>
            </w:pPr>
            <w:r>
              <w:rPr>
                <w:rFonts w:ascii="Times New Roman" w:cs="Times New Roman" w:eastAsia="Times New Roman" w:hAnsi="Times New Roman"/>
                <w:sz w:val="20"/>
                <w:szCs w:val="20"/>
              </w:rPr>
              <w:t xml:space="preserve">Le Commissioni d'inchiesta e la non unanimità</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Atti parlamentari di segno contrario</w:t>
            </w:r>
          </w:p>
        </w:tc>
      </w:tr>
      <w:tr>
        <w:tc>
          <w:tcPr>
            <w:tcW w:type="dxa" w:w="2340"/>
          </w:tcPr>
          <w:p>
            <w:pPr>
              <w:spacing w:after="20" w:before="20"/>
              <w:jc w:val="left"/>
            </w:pPr>
            <w:r>
              <w:rPr>
                <w:rFonts w:ascii="Times New Roman" w:cs="Times New Roman" w:eastAsia="Times New Roman" w:hAnsi="Times New Roman"/>
                <w:sz w:val="20"/>
                <w:szCs w:val="20"/>
              </w:rPr>
              <w:t xml:space="preserve">38</w:t>
            </w:r>
          </w:p>
        </w:tc>
        <w:tc>
          <w:tcPr>
            <w:tcW w:type="dxa" w:w="2340"/>
          </w:tcPr>
          <w:p>
            <w:pPr>
              <w:spacing w:after="20" w:before="20"/>
              <w:jc w:val="left"/>
            </w:pPr>
            <w:r>
              <w:rPr>
                <w:rFonts w:ascii="Times New Roman" w:cs="Times New Roman" w:eastAsia="Times New Roman" w:hAnsi="Times New Roman"/>
                <w:sz w:val="20"/>
                <w:szCs w:val="20"/>
              </w:rPr>
              <w:t xml:space="preserve">Tipologia dei depistaggi e l'impunità delle ostruzioni</w:t>
            </w:r>
          </w:p>
        </w:tc>
        <w:tc>
          <w:tcPr>
            <w:tcW w:type="dxa" w:w="2340"/>
          </w:tcPr>
          <w:p>
            <w:pPr>
              <w:spacing w:after="20" w:before="20"/>
              <w:jc w:val="left"/>
            </w:pPr>
            <w:r>
              <w:rPr>
                <w:rFonts w:ascii="Times New Roman" w:cs="Times New Roman" w:eastAsia="Times New Roman" w:hAnsi="Times New Roman"/>
                <w:b/>
                <w:bCs/>
                <w:sz w:val="20"/>
                <w:szCs w:val="20"/>
              </w:rPr>
              <w:t xml:space="preserve">A</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39</w:t>
            </w:r>
          </w:p>
        </w:tc>
        <w:tc>
          <w:tcPr>
            <w:tcW w:type="dxa" w:w="2340"/>
          </w:tcPr>
          <w:p>
            <w:pPr>
              <w:spacing w:after="20" w:before="20"/>
              <w:jc w:val="left"/>
            </w:pPr>
            <w:r>
              <w:rPr>
                <w:rFonts w:ascii="Times New Roman" w:cs="Times New Roman" w:eastAsia="Times New Roman" w:hAnsi="Times New Roman"/>
                <w:b/>
                <w:bCs/>
                <w:sz w:val="20"/>
                <w:szCs w:val="20"/>
              </w:rPr>
              <w:t xml:space="preserve">Gli Stati Zero del caso: il perimetro negativo</w:t>
            </w:r>
          </w:p>
        </w:tc>
        <w:tc>
          <w:tcPr>
            <w:tcW w:type="dxa" w:w="2340"/>
          </w:tcPr>
          <w:p>
            <w:pPr>
              <w:spacing w:after="20" w:before="20"/>
              <w:jc w:val="left"/>
            </w:pPr>
            <w:r>
              <w:rPr>
                <w:rFonts w:ascii="Times New Roman" w:cs="Times New Roman" w:eastAsia="Times New Roman" w:hAnsi="Times New Roman"/>
                <w:b/>
                <w:bCs/>
                <w:sz w:val="20"/>
                <w:szCs w:val="20"/>
              </w:rPr>
              <w:t xml:space="preserve">Ø</w:t>
            </w:r>
          </w:p>
        </w:tc>
        <w:tc>
          <w:tcPr>
            <w:tcW w:type="dxa" w:w="2340"/>
          </w:tcPr>
          <w:p>
            <w:pPr>
              <w:spacing w:after="20" w:before="20"/>
              <w:jc w:val="left"/>
            </w:pPr>
            <w:r>
              <w:rPr>
                <w:rFonts w:ascii="Times New Roman" w:cs="Times New Roman" w:eastAsia="Times New Roman" w:hAnsi="Times New Roman"/>
                <w:sz w:val="20"/>
                <w:szCs w:val="20"/>
              </w:rPr>
              <w:t xml:space="preserve">La comparsa del documento oggi assente prometterebbe uno Stato Zero verso B/A</w:t>
            </w:r>
          </w:p>
        </w:tc>
      </w:tr>
      <w:tr>
        <w:tc>
          <w:tcPr>
            <w:tcW w:type="dxa" w:w="2340"/>
          </w:tcPr>
          <w:p>
            <w:pPr>
              <w:spacing w:after="20" w:before="20"/>
              <w:jc w:val="left"/>
            </w:pPr>
            <w:r>
              <w:rPr>
                <w:rFonts w:ascii="Times New Roman" w:cs="Times New Roman" w:eastAsia="Times New Roman" w:hAnsi="Times New Roman"/>
                <w:sz w:val="20"/>
                <w:szCs w:val="20"/>
              </w:rPr>
              <w:t xml:space="preserve">40</w:t>
            </w:r>
          </w:p>
        </w:tc>
        <w:tc>
          <w:tcPr>
            <w:tcW w:type="dxa" w:w="2340"/>
          </w:tcPr>
          <w:p>
            <w:pPr>
              <w:spacing w:after="20" w:before="20"/>
              <w:jc w:val="left"/>
            </w:pPr>
            <w:r>
              <w:rPr>
                <w:rFonts w:ascii="Times New Roman" w:cs="Times New Roman" w:eastAsia="Times New Roman" w:hAnsi="Times New Roman"/>
                <w:sz w:val="20"/>
                <w:szCs w:val="20"/>
              </w:rPr>
              <w:t xml:space="preserve">Il confine del metodo: dove il Pollo di Popper si arresta</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bl>
    <w:p>
      <w:pPr>
        <w:spacing w:after="80"/>
      </w:pPr>
    </w:p>
    <w:p>
      <w:pPr>
        <w:pStyle w:val="Heading2"/>
        <w:spacing w:after="100" w:before="200"/>
      </w:pPr>
      <w:r>
        <w:rPr>
          <w:rFonts w:ascii="Times New Roman" w:cs="Times New Roman" w:eastAsia="Times New Roman" w:hAnsi="Times New Roman"/>
          <w:sz w:val="24"/>
          <w:szCs w:val="24"/>
        </w:rPr>
        <w:t xml:space="preserve">Fase quinta — Architetti, mandanti, esecutori</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Nota dell'apparato, prevalente su ogni riga che segue.</w:t>
      </w:r>
      <w:r>
        <w:rPr>
          <w:rFonts w:ascii="Times New Roman" w:cs="Times New Roman" w:eastAsia="Times New Roman" w:hAnsi="Times New Roman"/>
          <w:i w:val="false"/>
          <w:iCs w:val="false"/>
          <w:sz w:val="24"/>
          <w:szCs w:val="24"/>
        </w:rPr>
        <w:t xml:space="preserve"> Dalla dichiarazione del capitolo quarantunesimo, questa fase </w:t>
      </w:r>
      <w:r>
        <w:rPr>
          <w:rFonts w:ascii="Times New Roman" w:cs="Times New Roman" w:eastAsia="Times New Roman" w:hAnsi="Times New Roman"/>
          <w:b/>
          <w:bCs/>
          <w:i w:val="false"/>
          <w:iCs w:val="false"/>
          <w:sz w:val="24"/>
          <w:szCs w:val="24"/>
        </w:rPr>
        <w:t xml:space="preserve">congeda la disciplina falsificazionista</w:t>
      </w:r>
      <w:r>
        <w:rPr>
          <w:rFonts w:ascii="Times New Roman" w:cs="Times New Roman" w:eastAsia="Times New Roman" w:hAnsi="Times New Roman"/>
          <w:i w:val="false"/>
          <w:iCs w:val="false"/>
          <w:sz w:val="24"/>
          <w:szCs w:val="24"/>
        </w:rPr>
        <w:t xml:space="preserve"> e passa alla probabilità ipotetica. L'apparato la registra perciò, nella sua parte propria (l'ordinamento per probabilità), al </w:t>
      </w:r>
      <w:r>
        <w:rPr>
          <w:rFonts w:ascii="Times New Roman" w:cs="Times New Roman" w:eastAsia="Times New Roman" w:hAnsi="Times New Roman"/>
          <w:b/>
          <w:bCs/>
          <w:i w:val="false"/>
          <w:iCs w:val="false"/>
          <w:sz w:val="24"/>
          <w:szCs w:val="24"/>
        </w:rPr>
        <w:t xml:space="preserve">Livello C</w:t>
      </w:r>
      <w:r>
        <w:rPr>
          <w:rFonts w:ascii="Times New Roman" w:cs="Times New Roman" w:eastAsia="Times New Roman" w:hAnsi="Times New Roman"/>
          <w:i w:val="false"/>
          <w:iCs w:val="false"/>
          <w:sz w:val="24"/>
          <w:szCs w:val="24"/>
        </w:rPr>
        <w:t xml:space="preserve">: è congettura ordinata, non accertamento. Fanno eccezione, e restano al </w:t>
      </w:r>
      <w:r>
        <w:rPr>
          <w:rFonts w:ascii="Times New Roman" w:cs="Times New Roman" w:eastAsia="Times New Roman" w:hAnsi="Times New Roman"/>
          <w:b/>
          <w:bCs/>
          <w:i w:val="false"/>
          <w:iCs w:val="false"/>
          <w:sz w:val="24"/>
          <w:szCs w:val="24"/>
        </w:rPr>
        <w:t xml:space="preserve">Livello A</w:t>
      </w:r>
      <w:r>
        <w:rPr>
          <w:rFonts w:ascii="Times New Roman" w:cs="Times New Roman" w:eastAsia="Times New Roman" w:hAnsi="Times New Roman"/>
          <w:i w:val="false"/>
          <w:iCs w:val="false"/>
          <w:sz w:val="24"/>
          <w:szCs w:val="24"/>
        </w:rPr>
        <w:t xml:space="preserve">, i soli elementi che poggiano su </w:t>
      </w:r>
      <w:r>
        <w:rPr>
          <w:rFonts w:ascii="Times New Roman" w:cs="Times New Roman" w:eastAsia="Times New Roman" w:hAnsi="Times New Roman"/>
          <w:b/>
          <w:bCs/>
          <w:i w:val="false"/>
          <w:iCs w:val="false"/>
          <w:sz w:val="24"/>
          <w:szCs w:val="24"/>
        </w:rPr>
        <w:t xml:space="preserve">sentenze definitive</w:t>
      </w:r>
      <w:r>
        <w:rPr>
          <w:rFonts w:ascii="Times New Roman" w:cs="Times New Roman" w:eastAsia="Times New Roman" w:hAnsi="Times New Roman"/>
          <w:i w:val="false"/>
          <w:iCs w:val="false"/>
          <w:sz w:val="24"/>
          <w:szCs w:val="24"/>
        </w:rPr>
        <w:t xml:space="preserve"> — l'identità degli esecutori e del vertice brigatista già giudicati. L'apparato </w:t>
      </w:r>
      <w:r>
        <w:rPr>
          <w:rFonts w:ascii="Times New Roman" w:cs="Times New Roman" w:eastAsia="Times New Roman" w:hAnsi="Times New Roman"/>
          <w:b/>
          <w:bCs/>
          <w:i w:val="false"/>
          <w:iCs w:val="false"/>
          <w:sz w:val="24"/>
          <w:szCs w:val="24"/>
        </w:rPr>
        <w:t xml:space="preserve">non riproduce la graduatoria e non ordina nomi</w:t>
      </w:r>
      <w:r>
        <w:rPr>
          <w:rFonts w:ascii="Times New Roman" w:cs="Times New Roman" w:eastAsia="Times New Roman" w:hAnsi="Times New Roman"/>
          <w:i w:val="false"/>
          <w:iCs w:val="false"/>
          <w:sz w:val="24"/>
          <w:szCs w:val="24"/>
        </w:rPr>
        <w:t xml:space="preserve">: registra i gradi, non i sospetti.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Cap.</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Asserzione portante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Che cosa lo smentirebbe</w:t>
            </w:r>
          </w:p>
        </w:tc>
      </w:tr>
      <w:tr>
        <w:tc>
          <w:tcPr>
            <w:tcW w:type="dxa" w:w="2340"/>
          </w:tcPr>
          <w:p>
            <w:pPr>
              <w:spacing w:after="20" w:before="20"/>
              <w:jc w:val="left"/>
            </w:pPr>
            <w:r>
              <w:rPr>
                <w:rFonts w:ascii="Times New Roman" w:cs="Times New Roman" w:eastAsia="Times New Roman" w:hAnsi="Times New Roman"/>
                <w:sz w:val="20"/>
                <w:szCs w:val="20"/>
              </w:rPr>
              <w:t xml:space="preserve">41</w:t>
            </w:r>
          </w:p>
        </w:tc>
        <w:tc>
          <w:tcPr>
            <w:tcW w:type="dxa" w:w="2340"/>
          </w:tcPr>
          <w:p>
            <w:pPr>
              <w:spacing w:after="20" w:before="20"/>
              <w:jc w:val="left"/>
            </w:pPr>
            <w:r>
              <w:rPr>
                <w:rFonts w:ascii="Times New Roman" w:cs="Times New Roman" w:eastAsia="Times New Roman" w:hAnsi="Times New Roman"/>
                <w:sz w:val="20"/>
                <w:szCs w:val="20"/>
              </w:rPr>
              <w:t xml:space="preserve">Il mutamento di metodo: dalla sospensione alla probabilità</w:t>
            </w:r>
          </w:p>
        </w:tc>
        <w:tc>
          <w:tcPr>
            <w:tcW w:type="dxa" w:w="2340"/>
          </w:tcPr>
          <w:p>
            <w:pPr>
              <w:spacing w:after="20" w:before="20"/>
              <w:jc w:val="left"/>
            </w:pPr>
            <w:r>
              <w:rPr>
                <w:rFonts w:ascii="Times New Roman" w:cs="Times New Roman" w:eastAsia="Times New Roman" w:hAnsi="Times New Roman"/>
                <w:b/>
                <w:bCs/>
                <w:sz w:val="20"/>
                <w:szCs w:val="20"/>
              </w:rPr>
              <w:t xml:space="preserve">M</w:t>
            </w:r>
            <w:r>
              <w:rPr>
                <w:rFonts w:ascii="Times New Roman" w:cs="Times New Roman" w:eastAsia="Times New Roman" w:hAnsi="Times New Roman"/>
                <w:sz w:val="20"/>
                <w:szCs w:val="20"/>
              </w:rPr>
              <w:t xml:space="preserve"> (dichiarazione)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42</w:t>
            </w:r>
          </w:p>
        </w:tc>
        <w:tc>
          <w:tcPr>
            <w:tcW w:type="dxa" w:w="2340"/>
          </w:tcPr>
          <w:p>
            <w:pPr>
              <w:spacing w:after="20" w:before="20"/>
              <w:jc w:val="left"/>
            </w:pPr>
            <w:r>
              <w:rPr>
                <w:rFonts w:ascii="Times New Roman" w:cs="Times New Roman" w:eastAsia="Times New Roman" w:hAnsi="Times New Roman"/>
                <w:sz w:val="20"/>
                <w:szCs w:val="20"/>
              </w:rPr>
              <w:t xml:space="preserve">I dieci strumenti di calcolo e il loro concorso</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43</w:t>
            </w:r>
          </w:p>
        </w:tc>
        <w:tc>
          <w:tcPr>
            <w:tcW w:type="dxa" w:w="2340"/>
          </w:tcPr>
          <w:p>
            <w:pPr>
              <w:spacing w:after="20" w:before="20"/>
              <w:jc w:val="left"/>
            </w:pPr>
            <w:r>
              <w:rPr>
                <w:rFonts w:ascii="Times New Roman" w:cs="Times New Roman" w:eastAsia="Times New Roman" w:hAnsi="Times New Roman"/>
                <w:sz w:val="20"/>
                <w:szCs w:val="20"/>
              </w:rPr>
              <w:t xml:space="preserve">Avvertimento sul tono; il debito col registro dell'enigma</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44</w:t>
            </w:r>
          </w:p>
        </w:tc>
        <w:tc>
          <w:tcPr>
            <w:tcW w:type="dxa" w:w="2340"/>
          </w:tcPr>
          <w:p>
            <w:pPr>
              <w:spacing w:after="20" w:before="20"/>
              <w:jc w:val="left"/>
            </w:pPr>
            <w:r>
              <w:rPr>
                <w:rFonts w:ascii="Times New Roman" w:cs="Times New Roman" w:eastAsia="Times New Roman" w:hAnsi="Times New Roman"/>
                <w:sz w:val="20"/>
                <w:szCs w:val="20"/>
              </w:rPr>
              <w:t xml:space="preserve">Gli esecutori materiali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limitatamente ai giudicati in via definitiva</w:t>
            </w:r>
            <w:r>
              <w:rPr>
                <w:rFonts w:ascii="Times New Roman" w:cs="Times New Roman" w:eastAsia="Times New Roman" w:hAnsi="Times New Roman"/>
                <w:sz w:val="20"/>
                <w:szCs w:val="20"/>
              </w:rPr>
              <w:t xml:space="preserve">; ogni estensione oltre il giudicato è </w:t>
            </w:r>
            <w:r>
              <w:rPr>
                <w:rFonts w:ascii="Times New Roman" w:cs="Times New Roman" w:eastAsia="Times New Roman" w:hAnsi="Times New Roman"/>
                <w:b/>
                <w:bCs/>
                <w:sz w:val="20"/>
                <w:szCs w:val="20"/>
              </w:rPr>
              <w:t xml:space="preserve">C</w:t>
            </w:r>
          </w:p>
        </w:tc>
        <w:tc>
          <w:tcPr>
            <w:tcW w:type="dxa" w:w="2340"/>
          </w:tcPr>
          <w:p>
            <w:pPr>
              <w:spacing w:after="20" w:before="20"/>
              <w:jc w:val="left"/>
            </w:pPr>
            <w:r>
              <w:rPr>
                <w:rFonts w:ascii="Times New Roman" w:cs="Times New Roman" w:eastAsia="Times New Roman" w:hAnsi="Times New Roman"/>
                <w:sz w:val="20"/>
                <w:szCs w:val="20"/>
              </w:rPr>
              <w:t xml:space="preserve">Revisione giudiziaria; per le estensioni, un documento oggi assente</w:t>
            </w:r>
          </w:p>
        </w:tc>
      </w:tr>
      <w:tr>
        <w:tc>
          <w:tcPr>
            <w:tcW w:type="dxa" w:w="2340"/>
          </w:tcPr>
          <w:p>
            <w:pPr>
              <w:spacing w:after="20" w:before="20"/>
              <w:jc w:val="left"/>
            </w:pPr>
            <w:r>
              <w:rPr>
                <w:rFonts w:ascii="Times New Roman" w:cs="Times New Roman" w:eastAsia="Times New Roman" w:hAnsi="Times New Roman"/>
                <w:sz w:val="20"/>
                <w:szCs w:val="20"/>
              </w:rPr>
              <w:t xml:space="preserve">45</w:t>
            </w:r>
          </w:p>
        </w:tc>
        <w:tc>
          <w:tcPr>
            <w:tcW w:type="dxa" w:w="2340"/>
          </w:tcPr>
          <w:p>
            <w:pPr>
              <w:spacing w:after="20" w:before="20"/>
              <w:jc w:val="left"/>
            </w:pPr>
            <w:r>
              <w:rPr>
                <w:rFonts w:ascii="Times New Roman" w:cs="Times New Roman" w:eastAsia="Times New Roman" w:hAnsi="Times New Roman"/>
                <w:sz w:val="20"/>
                <w:szCs w:val="20"/>
              </w:rPr>
              <w:t xml:space="preserve">I mandanti materiali (il vertice brigatista)</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per il comitato esecutivo BR giudicato</w:t>
            </w:r>
            <w:r>
              <w:rPr>
                <w:rFonts w:ascii="Times New Roman" w:cs="Times New Roman" w:eastAsia="Times New Roman" w:hAnsi="Times New Roman"/>
                <w:sz w:val="20"/>
                <w:szCs w:val="20"/>
              </w:rPr>
              <w:t xml:space="preserve">; oltre, </w:t>
            </w:r>
            <w:r>
              <w:rPr>
                <w:rFonts w:ascii="Times New Roman" w:cs="Times New Roman" w:eastAsia="Times New Roman" w:hAnsi="Times New Roman"/>
                <w:b/>
                <w:bCs/>
                <w:sz w:val="20"/>
                <w:szCs w:val="20"/>
              </w:rPr>
              <w:t xml:space="preserve">C</w:t>
            </w:r>
          </w:p>
        </w:tc>
        <w:tc>
          <w:tcPr>
            <w:tcW w:type="dxa" w:w="2340"/>
          </w:tcPr>
          <w:p>
            <w:pPr>
              <w:spacing w:after="20" w:before="20"/>
              <w:jc w:val="left"/>
            </w:pPr>
            <w:r>
              <w:rPr>
                <w:rFonts w:ascii="Times New Roman" w:cs="Times New Roman" w:eastAsia="Times New Roman" w:hAnsi="Times New Roman"/>
                <w:sz w:val="20"/>
                <w:szCs w:val="20"/>
              </w:rPr>
              <w:t xml:space="preserve">Idem</w:t>
            </w:r>
          </w:p>
        </w:tc>
      </w:tr>
      <w:tr>
        <w:tc>
          <w:tcPr>
            <w:tcW w:type="dxa" w:w="2340"/>
          </w:tcPr>
          <w:p>
            <w:pPr>
              <w:spacing w:after="20" w:before="20"/>
              <w:jc w:val="left"/>
            </w:pPr>
            <w:r>
              <w:rPr>
                <w:rFonts w:ascii="Times New Roman" w:cs="Times New Roman" w:eastAsia="Times New Roman" w:hAnsi="Times New Roman"/>
                <w:sz w:val="20"/>
                <w:szCs w:val="20"/>
              </w:rPr>
              <w:t xml:space="preserve">46</w:t>
            </w:r>
          </w:p>
        </w:tc>
        <w:tc>
          <w:tcPr>
            <w:tcW w:type="dxa" w:w="2340"/>
          </w:tcPr>
          <w:p>
            <w:pPr>
              <w:spacing w:after="20" w:before="20"/>
              <w:jc w:val="left"/>
            </w:pPr>
            <w:r>
              <w:rPr>
                <w:rFonts w:ascii="Times New Roman" w:cs="Times New Roman" w:eastAsia="Times New Roman" w:hAnsi="Times New Roman"/>
                <w:sz w:val="20"/>
                <w:szCs w:val="20"/>
              </w:rPr>
              <w:t xml:space="preserve">Gli architetti del disegno; la capacità progettuale autonoma delle BR</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l'autonomia progettuale;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ogni «architetto» esterno</w:t>
            </w:r>
          </w:p>
        </w:tc>
        <w:tc>
          <w:tcPr>
            <w:tcW w:type="dxa" w:w="2340"/>
          </w:tcPr>
          <w:p>
            <w:pPr>
              <w:spacing w:after="20" w:before="20"/>
              <w:jc w:val="left"/>
            </w:pPr>
            <w:r>
              <w:rPr>
                <w:rFonts w:ascii="Times New Roman" w:cs="Times New Roman" w:eastAsia="Times New Roman" w:hAnsi="Times New Roman"/>
                <w:sz w:val="20"/>
                <w:szCs w:val="20"/>
              </w:rPr>
              <w:t xml:space="preserve">Documento di eterodirezione (Stato Zero, cfr. cap. 39)</w:t>
            </w:r>
          </w:p>
        </w:tc>
      </w:tr>
      <w:tr>
        <w:tc>
          <w:tcPr>
            <w:tcW w:type="dxa" w:w="2340"/>
          </w:tcPr>
          <w:p>
            <w:pPr>
              <w:spacing w:after="20" w:before="20"/>
              <w:jc w:val="left"/>
            </w:pPr>
            <w:r>
              <w:rPr>
                <w:rFonts w:ascii="Times New Roman" w:cs="Times New Roman" w:eastAsia="Times New Roman" w:hAnsi="Times New Roman"/>
                <w:sz w:val="20"/>
                <w:szCs w:val="20"/>
              </w:rPr>
              <w:t xml:space="preserve">47</w:t>
            </w:r>
          </w:p>
        </w:tc>
        <w:tc>
          <w:tcPr>
            <w:tcW w:type="dxa" w:w="2340"/>
          </w:tcPr>
          <w:p>
            <w:pPr>
              <w:spacing w:after="20" w:before="20"/>
              <w:jc w:val="left"/>
            </w:pPr>
            <w:r>
              <w:rPr>
                <w:rFonts w:ascii="Times New Roman" w:cs="Times New Roman" w:eastAsia="Times New Roman" w:hAnsi="Times New Roman"/>
                <w:sz w:val="20"/>
                <w:szCs w:val="20"/>
              </w:rPr>
              <w:t xml:space="preserve">La sintesi probabilistica dei tre piani</w:t>
            </w:r>
          </w:p>
        </w:tc>
        <w:tc>
          <w:tcPr>
            <w:tcW w:type="dxa" w:w="2340"/>
          </w:tcPr>
          <w:p>
            <w:pPr>
              <w:spacing w:after="20" w:before="20"/>
              <w:jc w:val="left"/>
            </w:pP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il nucleo (BR idearono, ordinarono, eseguirono);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l'ordinamento probabilistico ulteriore</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48</w:t>
            </w:r>
          </w:p>
        </w:tc>
        <w:tc>
          <w:tcPr>
            <w:tcW w:type="dxa" w:w="2340"/>
          </w:tcPr>
          <w:p>
            <w:pPr>
              <w:spacing w:after="20" w:before="20"/>
              <w:jc w:val="left"/>
            </w:pPr>
            <w:r>
              <w:rPr>
                <w:rFonts w:ascii="Times New Roman" w:cs="Times New Roman" w:eastAsia="Times New Roman" w:hAnsi="Times New Roman"/>
                <w:sz w:val="20"/>
                <w:szCs w:val="20"/>
              </w:rPr>
              <w:t xml:space="preserve">La graduatoria secondo i dieci metodi, con premessa garantista</w:t>
            </w:r>
          </w:p>
        </w:tc>
        <w:tc>
          <w:tcPr>
            <w:tcW w:type="dxa" w:w="2340"/>
          </w:tcPr>
          <w:p>
            <w:pPr>
              <w:spacing w:after="20" w:before="20"/>
              <w:jc w:val="left"/>
            </w:pP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(per intero)</w:t>
            </w:r>
          </w:p>
        </w:tc>
        <w:tc>
          <w:tcPr>
            <w:tcW w:type="dxa" w:w="2340"/>
          </w:tcPr>
          <w:p>
            <w:pPr>
              <w:spacing w:after="20" w:before="20"/>
              <w:jc w:val="left"/>
            </w:pPr>
            <w:r>
              <w:rPr>
                <w:rFonts w:ascii="Times New Roman" w:cs="Times New Roman" w:eastAsia="Times New Roman" w:hAnsi="Times New Roman"/>
                <w:sz w:val="20"/>
                <w:szCs w:val="20"/>
              </w:rPr>
              <w:t xml:space="preserve">Non falsificabile come classifica; solo i singoli fatti sottostanti hanno grado proprio</w:t>
            </w:r>
          </w:p>
        </w:tc>
      </w:tr>
      <w:tr>
        <w:tc>
          <w:tcPr>
            <w:tcW w:type="dxa" w:w="2340"/>
          </w:tcPr>
          <w:p>
            <w:pPr>
              <w:spacing w:after="20" w:before="20"/>
              <w:jc w:val="left"/>
            </w:pPr>
            <w:r>
              <w:rPr>
                <w:rFonts w:ascii="Times New Roman" w:cs="Times New Roman" w:eastAsia="Times New Roman" w:hAnsi="Times New Roman"/>
                <w:sz w:val="20"/>
                <w:szCs w:val="20"/>
              </w:rPr>
              <w:t xml:space="preserve">49</w:t>
            </w:r>
          </w:p>
        </w:tc>
        <w:tc>
          <w:tcPr>
            <w:tcW w:type="dxa" w:w="2340"/>
          </w:tcPr>
          <w:p>
            <w:pPr>
              <w:spacing w:after="20" w:before="20"/>
              <w:jc w:val="left"/>
            </w:pPr>
            <w:r>
              <w:rPr>
                <w:rFonts w:ascii="Times New Roman" w:cs="Times New Roman" w:eastAsia="Times New Roman" w:hAnsi="Times New Roman"/>
                <w:sz w:val="20"/>
                <w:szCs w:val="20"/>
              </w:rPr>
              <w:t xml:space="preserve">Il peso dei metodi e l'emersione dei tre piani</w:t>
            </w:r>
          </w:p>
        </w:tc>
        <w:tc>
          <w:tcPr>
            <w:tcW w:type="dxa" w:w="2340"/>
          </w:tcPr>
          <w:p>
            <w:pPr>
              <w:spacing w:after="20" w:before="20"/>
              <w:jc w:val="left"/>
            </w:pPr>
            <w:r>
              <w:rPr>
                <w:rFonts w:ascii="Times New Roman" w:cs="Times New Roman" w:eastAsia="Times New Roman" w:hAnsi="Times New Roman"/>
                <w:b/>
                <w:bCs/>
                <w:sz w:val="20"/>
                <w:szCs w:val="20"/>
              </w:rPr>
              <w:t xml:space="preserve">C</w:t>
            </w:r>
          </w:p>
        </w:tc>
        <w:tc>
          <w:tcPr>
            <w:tcW w:type="dxa" w:w="2340"/>
          </w:tcPr>
          <w:p>
            <w:pPr>
              <w:spacing w:after="20" w:before="20"/>
              <w:jc w:val="left"/>
            </w:pPr>
            <w:r>
              <w:rPr>
                <w:rFonts w:ascii="Times New Roman" w:cs="Times New Roman" w:eastAsia="Times New Roman" w:hAnsi="Times New Roman"/>
                <w:sz w:val="20"/>
                <w:szCs w:val="20"/>
              </w:rPr>
              <w:t xml:space="preserve">—</w:t>
            </w:r>
          </w:p>
        </w:tc>
      </w:tr>
      <w:tr>
        <w:tc>
          <w:tcPr>
            <w:tcW w:type="dxa" w:w="2340"/>
          </w:tcPr>
          <w:p>
            <w:pPr>
              <w:spacing w:after="20" w:before="20"/>
              <w:jc w:val="left"/>
            </w:pPr>
            <w:r>
              <w:rPr>
                <w:rFonts w:ascii="Times New Roman" w:cs="Times New Roman" w:eastAsia="Times New Roman" w:hAnsi="Times New Roman"/>
                <w:sz w:val="20"/>
                <w:szCs w:val="20"/>
              </w:rPr>
              <w:t xml:space="preserve">50</w:t>
            </w:r>
          </w:p>
        </w:tc>
        <w:tc>
          <w:tcPr>
            <w:tcW w:type="dxa" w:w="2340"/>
          </w:tcPr>
          <w:p>
            <w:pPr>
              <w:spacing w:after="20" w:before="20"/>
              <w:jc w:val="left"/>
            </w:pPr>
            <w:r>
              <w:rPr>
                <w:rFonts w:ascii="Times New Roman" w:cs="Times New Roman" w:eastAsia="Times New Roman" w:hAnsi="Times New Roman"/>
                <w:sz w:val="20"/>
                <w:szCs w:val="20"/>
              </w:rPr>
              <w:t xml:space="preserve">Congedo</w:t>
            </w:r>
          </w:p>
        </w:tc>
        <w:tc>
          <w:tcPr>
            <w:tcW w:type="dxa" w:w="2340"/>
          </w:tcPr>
          <w:p>
            <w:pPr>
              <w:spacing w:after="20" w:before="20"/>
              <w:jc w:val="left"/>
            </w:pPr>
            <w:r>
              <w:rPr>
                <w:rFonts w:ascii="Times New Roman" w:cs="Times New Roman" w:eastAsia="Times New Roman" w:hAnsi="Times New Roman"/>
                <w:b/>
                <w:bCs/>
                <w:sz w:val="20"/>
                <w:szCs w:val="20"/>
              </w:rPr>
              <w:t xml:space="preserve">M</w:t>
            </w:r>
          </w:p>
        </w:tc>
        <w:tc>
          <w:tcPr>
            <w:tcW w:type="dxa" w:w="2340"/>
          </w:tcPr>
          <w:p>
            <w:pPr>
              <w:spacing w:after="20" w:before="20"/>
              <w:jc w:val="left"/>
            </w:pPr>
            <w:r>
              <w:rPr>
                <w:rFonts w:ascii="Times New Roman" w:cs="Times New Roman" w:eastAsia="Times New Roman" w:hAnsi="Times New Roman"/>
                <w:sz w:val="20"/>
                <w:szCs w:val="20"/>
              </w:rPr>
              <w:t xml:space="preserve">—</w:t>
            </w:r>
          </w:p>
        </w:tc>
      </w:tr>
    </w:tbl>
    <w:p>
      <w:pPr>
        <w:spacing w:after="80"/>
      </w:pP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Lettura d'insieme dell'apparato</w:t>
      </w:r>
    </w:p>
    <w:p>
      <w:pPr>
        <w:spacing w:after="120" w:line="276"/>
        <w:jc w:val="both"/>
      </w:pPr>
      <w:r>
        <w:rPr>
          <w:rFonts w:ascii="Times New Roman" w:cs="Times New Roman" w:eastAsia="Times New Roman" w:hAnsi="Times New Roman"/>
          <w:sz w:val="24"/>
          <w:szCs w:val="24"/>
        </w:rPr>
        <w:t xml:space="preserve">Disposti i cinquanta capitoli sulla scala dei gradi, la fisionomia dell'opera emerge con nettezza, e conferma il patto che essa dichiara:</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stragrande maggioranza del corpo dell'opera — le Fasi prima, seconda, terza e quarta — poggia sul Livello A</w:t>
      </w:r>
      <w:r>
        <w:rPr>
          <w:rFonts w:ascii="Times New Roman" w:cs="Times New Roman" w:eastAsia="Times New Roman" w:hAnsi="Times New Roman"/>
          <w:sz w:val="24"/>
          <w:szCs w:val="24"/>
        </w:rPr>
        <w:t xml:space="preserve">: la biografia, il contesto, la meccanica del caso, i cinque della scorta, la prigionia, le lettere, il 9 maggio, le omissioni e i depistaggi accertati. Su tutto questo l'opera </w:t>
      </w:r>
      <w:r>
        <w:rPr>
          <w:rFonts w:ascii="Times New Roman" w:cs="Times New Roman" w:eastAsia="Times New Roman" w:hAnsi="Times New Roman"/>
          <w:i/>
          <w:iCs/>
          <w:sz w:val="24"/>
          <w:szCs w:val="24"/>
        </w:rPr>
        <w:t xml:space="preserve">certifica</w:t>
      </w:r>
      <w:r>
        <w:rPr>
          <w:rFonts w:ascii="Times New Roman" w:cs="Times New Roman" w:eastAsia="Times New Roman" w:hAnsi="Times New Roman"/>
          <w:sz w:val="24"/>
          <w:szCs w:val="24"/>
        </w:rPr>
        <w:t xml:space="preserve">, e l'apparato lo conferma.</w:t>
      </w:r>
    </w:p>
    <w:p>
      <w:pPr>
        <w:pStyle w:val="ListParagraph"/>
        <w:numPr>
          <w:ilvl w:val="0"/>
          <w:numId w:val="1"/>
        </w:numPr>
        <w:spacing w:after="40"/>
        <w:jc w:val="both"/>
      </w:pPr>
      <w:r>
        <w:rPr>
          <w:rFonts w:ascii="Times New Roman" w:cs="Times New Roman" w:eastAsia="Times New Roman" w:hAnsi="Times New Roman"/>
          <w:b/>
          <w:bCs/>
          <w:sz w:val="24"/>
          <w:szCs w:val="24"/>
        </w:rPr>
        <w:t xml:space="preserve">Il nucleo accertato è uno e non si sposta</w:t>
      </w:r>
      <w:r>
        <w:rPr>
          <w:rFonts w:ascii="Times New Roman" w:cs="Times New Roman" w:eastAsia="Times New Roman" w:hAnsi="Times New Roman"/>
          <w:sz w:val="24"/>
          <w:szCs w:val="24"/>
        </w:rPr>
        <w:t xml:space="preserve">: il sequestro e l'omicidio di Aldo Moro furono ideati, ordinati ed eseguiti dalle Brigate Rosse (Livello A, cinque processi). Ogni capitolo, anche quello che naviga il possibile, torna a questo scoglio.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Le zone del dubbio e del possibile sono nominate, non nascoste</w:t>
      </w:r>
      <w:r>
        <w:rPr>
          <w:rFonts w:ascii="Times New Roman" w:cs="Times New Roman" w:eastAsia="Times New Roman" w:hAnsi="Times New Roman"/>
          <w:sz w:val="24"/>
          <w:szCs w:val="24"/>
        </w:rPr>
        <w:t xml:space="preserve"> (capp. 24, 28, 32, 33, 34): l'opera le grada, non le risolve per suggestione. È la disciplina delle assenze all'opera.</w:t>
      </w:r>
    </w:p>
    <w:p>
      <w:pPr>
        <w:pStyle w:val="ListParagraph"/>
        <w:numPr>
          <w:ilvl w:val="0"/>
          <w:numId w:val="1"/>
        </w:numPr>
        <w:spacing w:after="40"/>
        <w:jc w:val="both"/>
      </w:pPr>
      <w:r>
        <w:rPr>
          <w:rFonts w:ascii="Times New Roman" w:cs="Times New Roman" w:eastAsia="Times New Roman" w:hAnsi="Times New Roman"/>
          <w:b/>
          <w:bCs/>
          <w:sz w:val="24"/>
          <w:szCs w:val="24"/>
        </w:rPr>
        <w:t xml:space="preserve">Gli Stati Zero sono dichiarati con pari dignità</w:t>
      </w:r>
      <w:r>
        <w:rPr>
          <w:rFonts w:ascii="Times New Roman" w:cs="Times New Roman" w:eastAsia="Times New Roman" w:hAnsi="Times New Roman"/>
          <w:sz w:val="24"/>
          <w:szCs w:val="24"/>
        </w:rPr>
        <w:t xml:space="preserve"> (cap. 39): ciò che è stato cercato e non trovato — su tutto, l'eterodirezione del sequestro — è conoscenza, non silenzio.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Fase quinta sta interamente al Livello C</w:t>
      </w:r>
      <w:r>
        <w:rPr>
          <w:rFonts w:ascii="Times New Roman" w:cs="Times New Roman" w:eastAsia="Times New Roman" w:hAnsi="Times New Roman"/>
          <w:sz w:val="24"/>
          <w:szCs w:val="24"/>
        </w:rPr>
        <w:t xml:space="preserve">, salvo la sua base giudiziaria: è, per costruzione e per dichiarazione, congettura ordinata. L'apparato la tiene a quel livello e non promuove di un solo grado i nomi che essa ordina.</w:t>
      </w:r>
    </w:p>
    <w:p>
      <w:pPr>
        <w:spacing w:after="120" w:line="276"/>
        <w:jc w:val="both"/>
      </w:pPr>
      <w:r>
        <w:rPr>
          <w:rFonts w:ascii="Times New Roman" w:cs="Times New Roman" w:eastAsia="Times New Roman" w:hAnsi="Times New Roman"/>
          <w:sz w:val="24"/>
          <w:szCs w:val="24"/>
        </w:rPr>
        <w:t xml:space="preserve">Questa è la mappa che la quarta disciplina prometteva. Non chiude il caso: dice, in ogni suo punto, su che cosa il lettore poggia i piedi. E dice, con la forza di un dato, la cosa che l'intera opera — nella sua parte migliore — vuole dire: che ciò che è provato sul caso Moro è grave e basta a sé, e che ciò che non è provato va tenuto aperto, non chiuso con un nome.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Apparato dei gradi dell'opera «Aldo Moro — Una guerra senza fine», edizione in cinquanta capitoli. Continuazione originale; non riproduce il testo dell'opera. Non nomina alcuna persona come responsabile di reato oltre il giudicato definitivo, e non riproduce la graduatoria della Fase quinta. I riscontri fattuali sono ancorati agli atti parlamentari, alle sentenze e alla documentazione pubblica. Per gli aspetti che toccano persone viventi vale la disciplina di riservatezza dell'apparato Italia Nera.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2026-08-25T07:17:12.710Z</dcterms:created>
  <dcterms:modified xsi:type="dcterms:W3CDTF">2026-08-25T07:17:12.710Z</dcterms:modified>
</cp:coreProperties>
</file>

<file path=docProps/custom.xml><?xml version="1.0" encoding="utf-8"?>
<Properties xmlns="http://schemas.openxmlformats.org/officeDocument/2006/custom-properties" xmlns:vt="http://schemas.openxmlformats.org/officeDocument/2006/docPropsVTypes"/>
</file>