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più il </w:t>
      </w:r>
      <w:r>
        <w:rPr>
          <w:rFonts w:ascii="Barlow Semi Condensed" w:cs="Barlow Semi Condensed" w:eastAsia="Barlow Semi Condensed" w:hAnsi="Barlow Semi Condensed"/>
          <w:b/>
          <w:bCs/>
          <w:i w:val="false"/>
          <w:iCs w:val="false"/>
          <w:sz w:val="21"/>
          <w:szCs w:val="21"/>
        </w:rPr>
        <w:t xml:space="preserve">registro di chiusura</w:t>
      </w:r>
      <w:r>
        <w:rPr>
          <w:rFonts w:ascii="Barlow Semi Condensed" w:cs="Barlow Semi Condensed" w:eastAsia="Barlow Semi Condensed" w:hAnsi="Barlow Semi Condensed"/>
          <w:i w:val="false"/>
          <w:iCs w:val="false"/>
          <w:sz w:val="21"/>
          <w:szCs w:val="21"/>
        </w:rPr>
        <w:t xml:space="preserve"> — il fascicolo delle diciannove ricerche fatte, non riuscite e scritte con la sede accanto, che è la cosa più insolita che questo libro possa offrire e la risposta alla domanda che la parte settima lascia aperta.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Registro di chiusura — le ricerche fatte e non riuscite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Nota sulle fonti — da dove viene ciascuna parte, e come si controlla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Due catene che si incontrano</w:t>
      </w:r>
    </w:p>
    <w:p>
      <w:pPr>
        <w:spacing w:after="120" w:line="290"/>
        <w:jc w:val="both"/>
      </w:pPr>
      <w:r>
        <w:rPr>
          <w:rFonts w:ascii="Barlow Semi Condensed" w:cs="Barlow Semi Condensed" w:eastAsia="Barlow Semi Condensed" w:hAnsi="Barlow Semi Condensed"/>
          <w:i w:val="false"/>
          <w:iCs w:val="false"/>
          <w:sz w:val="21"/>
          <w:szCs w:val="21"/>
        </w:rPr>
        <w:t xml:space="preserve">C'è un fatto sul modo in cui quei numeri sono arrivati, e va detto perché cambia il peso di tutto il capitolo.</w:t>
      </w:r>
    </w:p>
    <w:p>
      <w:pPr>
        <w:spacing w:after="120" w:line="290"/>
        <w:jc w:val="both"/>
      </w:pPr>
      <w:r>
        <w:rPr>
          <w:rFonts w:ascii="Barlow Semi Condensed" w:cs="Barlow Semi Condensed" w:eastAsia="Barlow Semi Condensed" w:hAnsi="Barlow Semi Condensed"/>
          <w:i w:val="false"/>
          <w:iCs w:val="false"/>
          <w:sz w:val="21"/>
          <w:szCs w:val="21"/>
        </w:rPr>
        <w:t xml:space="preserve">L'elenco dei novecentosessantadue e la campagna di ricerca sono arrivati </w:t>
      </w:r>
      <w:r>
        <w:rPr>
          <w:rFonts w:ascii="Barlow Semi Condensed" w:cs="Barlow Semi Condensed" w:eastAsia="Barlow Semi Condensed" w:hAnsi="Barlow Semi Condensed"/>
          <w:b/>
          <w:bCs/>
          <w:i w:val="false"/>
          <w:iCs w:val="false"/>
          <w:sz w:val="21"/>
          <w:szCs w:val="21"/>
        </w:rPr>
        <w:t xml:space="preserve">lo stesso giorno e per vie che non si conoscevano</w:t>
      </w:r>
      <w:r>
        <w:rPr>
          <w:rFonts w:ascii="Barlow Semi Condensed" w:cs="Barlow Semi Condensed" w:eastAsia="Barlow Semi Condensed" w:hAnsi="Barlow Semi Condensed"/>
          <w:i w:val="false"/>
          <w:iCs w:val="false"/>
          <w:sz w:val="21"/>
          <w:szCs w:val="21"/>
        </w:rPr>
        <w:t xml:space="preserve">. La campagna cercava i numeri uno per uno su fonti in rete, senza sapere che l'elenco esistesse; l'elenco è entrato da un versamento, senza sapere che cosa la campagna stesse cercando.</w:t>
      </w:r>
    </w:p>
    <w:p>
      <w:pPr>
        <w:spacing w:after="120" w:line="290"/>
        <w:jc w:val="both"/>
      </w:pPr>
      <w:r>
        <w:rPr>
          <w:rFonts w:ascii="Barlow Semi Condensed" w:cs="Barlow Semi Condensed" w:eastAsia="Barlow Semi Condensed" w:hAnsi="Barlow Semi Condensed"/>
          <w:i w:val="false"/>
          <w:iCs w:val="false"/>
          <w:sz w:val="21"/>
          <w:szCs w:val="21"/>
        </w:rPr>
        <w:t xml:space="preserve">E hanno portato gli stessi numeri: </w:t>
      </w:r>
      <w:r>
        <w:rPr>
          <w:rFonts w:ascii="Barlow Semi Condensed" w:cs="Barlow Semi Condensed" w:eastAsia="Barlow Semi Condensed" w:hAnsi="Barlow Semi Condensed"/>
          <w:b/>
          <w:bCs/>
          <w:i w:val="false"/>
          <w:iCs w:val="false"/>
          <w:sz w:val="21"/>
          <w:szCs w:val="21"/>
        </w:rPr>
        <w:t xml:space="preserve">482, 491, 494, 515, 519, 527, 535</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Sette fascicoli, trovati due volte, da due parti che non comunicavano. Il grado resta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entrambe le catene — una copia digitale a catena unica, e sintesi di pagine lette da terzi — e la somma di due gradi B non produce un grado A. Ma non è nemmeno un grado B ripetuto.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Quando due catene sono davvero due</w:t>
      </w:r>
    </w:p>
    <w:p>
      <w:pPr>
        <w:spacing w:after="120" w:line="290"/>
        <w:jc w:val="both"/>
      </w:pPr>
      <w:r>
        <w:rPr>
          <w:rFonts w:ascii="Barlow Semi Condensed" w:cs="Barlow Semi Condensed" w:eastAsia="Barlow Semi Condensed" w:hAnsi="Barlow Semi Condensed"/>
          <w:i/>
          <w:iCs/>
          <w:sz w:val="21"/>
          <w:szCs w:val="21"/>
        </w:rPr>
        <w:t xml:space="preserve">Devo però mettere in guardia contro l'uso che di questo argomento si fa comunemente, e che è quasi sempre scorretto.</w:t>
      </w:r>
    </w:p>
    <w:p>
      <w:pPr>
        <w:spacing w:after="120" w:line="290"/>
        <w:jc w:val="both"/>
      </w:pPr>
      <w:r>
        <w:rPr>
          <w:rFonts w:ascii="Barlow Semi Condensed" w:cs="Barlow Semi Condensed" w:eastAsia="Barlow Semi Condensed" w:hAnsi="Barlow Semi Condensed"/>
          <w:i/>
          <w:iCs/>
          <w:sz w:val="21"/>
          <w:szCs w:val="21"/>
        </w:rPr>
        <w:t xml:space="preserve">Si dice: la notizia è confermata da più fonti. E si conta. Sennonché il numero delle fonti è la cosa meno importante da sapere di esse; ciò che importa è se discendano l'una dall'altra. </w:t>
      </w:r>
      <w:r>
        <w:rPr>
          <w:rFonts w:ascii="Barlow Semi Condensed" w:cs="Barlow Semi Condensed" w:eastAsia="Barlow Semi Condensed" w:hAnsi="Barlow Semi Condensed"/>
          <w:b/>
          <w:bCs/>
          <w:i/>
          <w:iCs/>
          <w:sz w:val="21"/>
          <w:szCs w:val="21"/>
        </w:rPr>
        <w:t xml:space="preserve">Dieci giornali che riportano il medesimo dispaccio non sono dieci testimoni: sono un testimone letto dieci volte</w:t>
      </w:r>
      <w:r>
        <w:rPr>
          <w:rFonts w:ascii="Barlow Semi Condensed" w:cs="Barlow Semi Condensed" w:eastAsia="Barlow Semi Condensed" w:hAnsi="Barlow Semi Condensed"/>
          <w:i/>
          <w:iCs/>
          <w:sz w:val="21"/>
          <w:szCs w:val="21"/>
        </w:rPr>
        <w:t xml:space="preserve">, e la loro concordia non aggiunge alcunché, giacché sarebbe stata identica anche se il dispaccio fosse falso.</w:t>
      </w:r>
    </w:p>
    <w:p>
      <w:pPr>
        <w:spacing w:after="120" w:line="290"/>
        <w:jc w:val="both"/>
      </w:pPr>
      <w:r>
        <w:rPr>
          <w:rFonts w:ascii="Barlow Semi Condensed" w:cs="Barlow Semi Condensed" w:eastAsia="Barlow Semi Condensed" w:hAnsi="Barlow Semi Condensed"/>
          <w:i/>
          <w:iCs/>
          <w:sz w:val="21"/>
          <w:szCs w:val="21"/>
        </w:rPr>
        <w:t xml:space="preserve">È l'errore più diffuso e il più difficile da vedere, perché all'apparenza le fonti sono distinte: hanno nomi diversi, date diverse, autori diversi. La distinzione dei nomi non è distinzione delle origini. E in materie a cui il pubblico si appassiona la genealogia delle notizie è quasi sempre di questo genere: un fondo comune remoto, e sopra di esso una moltitudine di rami che sembrano sorgenti.</w:t>
      </w:r>
    </w:p>
    <w:p>
      <w:pPr>
        <w:spacing w:after="120" w:line="290"/>
        <w:jc w:val="both"/>
      </w:pPr>
      <w:r>
        <w:rPr>
          <w:rFonts w:ascii="Barlow Semi Condensed" w:cs="Barlow Semi Condensed" w:eastAsia="Barlow Semi Condensed" w:hAnsi="Barlow Semi Condensed"/>
          <w:i/>
          <w:iCs/>
          <w:sz w:val="21"/>
          <w:szCs w:val="21"/>
        </w:rPr>
        <w:t xml:space="preserve">La domanda corretta non è dunque «quante fonti lo dicono», ma: </w:t>
      </w:r>
      <w:r>
        <w:rPr>
          <w:rFonts w:ascii="Barlow Semi Condensed" w:cs="Barlow Semi Condensed" w:eastAsia="Barlow Semi Condensed" w:hAnsi="Barlow Semi Condensed"/>
          <w:b/>
          <w:bCs/>
          <w:i/>
          <w:iCs/>
          <w:sz w:val="21"/>
          <w:szCs w:val="21"/>
        </w:rPr>
        <w:t xml:space="preserve">avrebbero potuto dire cose diverse?</w:t>
      </w:r>
      <w:r>
        <w:rPr>
          <w:rFonts w:ascii="Barlow Semi Condensed" w:cs="Barlow Semi Condensed" w:eastAsia="Barlow Semi Condensed" w:hAnsi="Barlow Semi Condensed"/>
          <w:i/>
          <w:iCs/>
          <w:sz w:val="21"/>
          <w:szCs w:val="21"/>
        </w:rPr>
        <w:t xml:space="preserve"> Due catene sono davvero due quando l'errore dell'una non ha modo di trasmettersi all'altra; e ciò si stabilisce ricostruendo da dove ciascuna proviene, non contandole.</w:t>
      </w:r>
    </w:p>
    <w:p>
      <w:pPr>
        <w:spacing w:after="120" w:line="290"/>
        <w:jc w:val="both"/>
      </w:pPr>
      <w:r>
        <w:rPr>
          <w:rFonts w:ascii="Barlow Semi Condensed" w:cs="Barlow Semi Condensed" w:eastAsia="Barlow Semi Condensed" w:hAnsi="Barlow Semi Condensed"/>
          <w:i/>
          <w:iCs/>
          <w:sz w:val="21"/>
          <w:szCs w:val="21"/>
        </w:rPr>
        <w:t xml:space="preserve">Nel caso di cui si è detto, la risposta mi pare favorevole, e per una ragione che non dipende dalla mia fiducia in alcuno: </w:t>
      </w:r>
      <w:r>
        <w:rPr>
          <w:rFonts w:ascii="Barlow Semi Condensed" w:cs="Barlow Semi Condensed" w:eastAsia="Barlow Semi Condensed" w:hAnsi="Barlow Semi Condensed"/>
          <w:b/>
          <w:bCs/>
          <w:i/>
          <w:iCs/>
          <w:sz w:val="21"/>
          <w:szCs w:val="21"/>
        </w:rPr>
        <w:t xml:space="preserve">le due catene si sono anche contraddette.</w:t>
      </w:r>
      <w:r>
        <w:rPr>
          <w:rFonts w:ascii="Barlow Semi Condensed" w:cs="Barlow Semi Condensed" w:eastAsia="Barlow Semi Condensed" w:hAnsi="Barlow Semi Condensed"/>
          <w:i/>
          <w:iCs/>
          <w:sz w:val="21"/>
          <w:szCs w:val="21"/>
        </w:rPr>
        <w:t xml:space="preserve"> Là dove la seconda cifra compariva, l'elenco l'ha negata; là dove la ricerca in rete ha restituito valori incompatibili — su due nomi, e sono scritti nel capitolo quinto —, l'elenco non li ha appianati. Se le due catene avessero avuto un'origine comune, avrebbero concordato anche negli errori. Hanno concordato dove concordano i fatti e divergono dove i fatti divergono, che è il comportamento di due misure indipendenti e non di un'eco.</w:t>
      </w:r>
    </w:p>
    <w:p>
      <w:pPr>
        <w:spacing w:after="120" w:line="290"/>
        <w:jc w:val="both"/>
      </w:pPr>
      <w:r>
        <w:rPr>
          <w:rFonts w:ascii="Barlow Semi Condensed" w:cs="Barlow Semi Condensed" w:eastAsia="Barlow Semi Condensed" w:hAnsi="Barlow Semi Condensed"/>
          <w:i/>
          <w:iCs/>
          <w:sz w:val="21"/>
          <w:szCs w:val="21"/>
        </w:rPr>
        <w:t xml:space="preserve">Resta che due misure indipendenti di grado B danno un grado B più solido, e non un grado A. La differenza fra il molto probabile e l'accertato non si colma sommando: si colma andando a vedere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difetto della fonte che smentisce</w:t>
      </w:r>
    </w:p>
    <w:p>
      <w:pPr>
        <w:spacing w:after="120" w:line="290"/>
        <w:jc w:val="both"/>
      </w:pPr>
      <w:r>
        <w:rPr>
          <w:rFonts w:ascii="Barlow Semi Condensed" w:cs="Barlow Semi Condensed" w:eastAsia="Barlow Semi Condensed" w:hAnsi="Barlow Semi Condensed"/>
          <w:i w:val="false"/>
          <w:iCs w:val="false"/>
          <w:sz w:val="21"/>
          <w:szCs w:val="21"/>
        </w:rPr>
        <w:t xml:space="preserve">Va detto anche ciò che non torna nell'elenco, perché una fonte adoperata per contraddirne un'altra deve essere esaminata con la stessa severità.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fascicolo 397 risulta, nella copia, assegnato a due nomi.</w:t>
      </w:r>
      <w:r>
        <w:rPr>
          <w:rFonts w:ascii="Barlow Semi Condensed" w:cs="Barlow Semi Condensed" w:eastAsia="Barlow Semi Condensed" w:hAnsi="Barlow Semi Condensed"/>
          <w:i w:val="false"/>
          <w:iCs w:val="false"/>
          <w:sz w:val="21"/>
          <w:szCs w:val="21"/>
        </w:rPr>
        <w:t xml:space="preserve"> È un'incoerenza interna, e il documento la dichiara da sé. Non intacca le righe qui adoperate — nessuna delle quali è il 397 — ma stabilisce che la copia contiene almeno un errore, e chi la usa deve saperlo.</w:t>
      </w:r>
    </w:p>
    <w:p>
      <w:pPr>
        <w:spacing w:after="120" w:line="290"/>
        <w:jc w:val="both"/>
      </w:pPr>
      <w:r>
        <w:rPr>
          <w:rFonts w:ascii="Barlow Semi Condensed" w:cs="Barlow Semi Condensed" w:eastAsia="Barlow Semi Condensed" w:hAnsi="Barlow Semi Condensed"/>
          <w:b/>
          <w:bCs/>
          <w:i w:val="false"/>
          <w:iCs w:val="false"/>
          <w:sz w:val="21"/>
          <w:szCs w:val="21"/>
        </w:rPr>
        <w:t xml:space="preserve">Antonio Varisco non compare nell'elenco.</w:t>
      </w:r>
      <w:r>
        <w:rPr>
          <w:rFonts w:ascii="Barlow Semi Condensed" w:cs="Barlow Semi Condensed" w:eastAsia="Barlow Semi Condensed" w:hAnsi="Barlow Semi Condensed"/>
          <w:i w:val="false"/>
          <w:iCs w:val="false"/>
          <w:sz w:val="21"/>
          <w:szCs w:val="21"/>
        </w:rPr>
        <w:t xml:space="preserve"> La verifica lo aveva già iscritto fra le quattro appartenenze non trovate; ora </w:t>
      </w:r>
      <w:r>
        <w:rPr>
          <w:rFonts w:ascii="Barlow Semi Condensed" w:cs="Barlow Semi Condensed" w:eastAsia="Barlow Semi Condensed" w:hAnsi="Barlow Semi Condensed"/>
          <w:b/>
          <w:bCs/>
          <w:i w:val="false"/>
          <w:iCs w:val="false"/>
          <w:sz w:val="21"/>
          <w:szCs w:val="21"/>
        </w:rPr>
        <w:t xml:space="preserve">si sa dove non è</w:t>
      </w:r>
      <w:r>
        <w:rPr>
          <w:rFonts w:ascii="Barlow Semi Condensed" w:cs="Barlow Semi Condensed" w:eastAsia="Barlow Semi Condensed" w:hAnsi="Barlow Semi Condensed"/>
          <w:i w:val="false"/>
          <w:iCs w:val="false"/>
          <w:sz w:val="21"/>
          <w:szCs w:val="21"/>
        </w:rPr>
        <w:t xml:space="preserve">, il che è più di prima e meno di una conclusione — e le tre spiegazioni possibili sono già state esposte nella parte prima, dove riguardavano un uomo. Qui riguardano lo strumento, e il rilievo è un altro: </w:t>
      </w:r>
      <w:r>
        <w:rPr>
          <w:rFonts w:ascii="Barlow Semi Condensed" w:cs="Barlow Semi Condensed" w:eastAsia="Barlow Semi Condensed" w:hAnsi="Barlow Semi Condensed"/>
          <w:b/>
          <w:bCs/>
          <w:i w:val="false"/>
          <w:iCs w:val="false"/>
          <w:sz w:val="21"/>
          <w:szCs w:val="21"/>
        </w:rPr>
        <w:t xml:space="preserve">un'assenza in questa copia non è un'assenza nell'elenco</w:t>
      </w:r>
      <w:r>
        <w:rPr>
          <w:rFonts w:ascii="Barlow Semi Condensed" w:cs="Barlow Semi Condensed" w:eastAsia="Barlow Semi Condensed" w:hAnsi="Barlow Semi Condensed"/>
          <w:i w:val="false"/>
          <w:iCs w:val="false"/>
          <w:sz w:val="21"/>
          <w:szCs w:val="21"/>
        </w:rPr>
        <w:t xml:space="preserve">, e chi adoperasse la copia per affermare che un nome non c'era starebbe attribuendo alla fonte una completezza che la fonte non dichiara.</w:t>
      </w:r>
    </w:p>
    <w:p>
      <w:pPr>
        <w:spacing w:after="120" w:line="290"/>
        <w:jc w:val="both"/>
      </w:pPr>
      <w:r>
        <w:rPr>
          <w:rFonts w:ascii="Barlow Semi Condensed" w:cs="Barlow Semi Condensed" w:eastAsia="Barlow Semi Condensed" w:hAnsi="Barlow Semi Condensed"/>
          <w:i w:val="false"/>
          <w:iCs w:val="false"/>
          <w:sz w:val="21"/>
          <w:szCs w:val="21"/>
        </w:rPr>
        <w:t xml:space="preserve">Entrambe le riserve stanno qui e non in nota, perché </w:t>
      </w:r>
      <w:r>
        <w:rPr>
          <w:rFonts w:ascii="Barlow Semi Condensed" w:cs="Barlow Semi Condensed" w:eastAsia="Barlow Semi Condensed" w:hAnsi="Barlow Semi Condensed"/>
          <w:b/>
          <w:bCs/>
          <w:i w:val="false"/>
          <w:iCs w:val="false"/>
          <w:sz w:val="21"/>
          <w:szCs w:val="21"/>
        </w:rPr>
        <w:t xml:space="preserve">una fonte si presenta coi propri difetti o non si presenta affatto</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Registro di chiusura — le ricerche fatte e non riuscite</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parte settima ha detto che cosa sia uno Stato Zero e ha lasciato aperta la domanda che ne discende: </w:t>
      </w:r>
      <w:r>
        <w:rPr>
          <w:rFonts w:ascii="Barlow Semi Condensed" w:cs="Barlow Semi Condensed" w:eastAsia="Barlow Semi Condensed" w:hAnsi="Barlow Semi Condensed"/>
          <w:b/>
          <w:bCs/>
          <w:i w:val="false"/>
          <w:iCs w:val="false"/>
          <w:sz w:val="21"/>
          <w:szCs w:val="21"/>
        </w:rPr>
        <w:t xml:space="preserve">quanti ne conti davvero questo lavoro.</w:t>
      </w:r>
      <w:r>
        <w:rPr>
          <w:rFonts w:ascii="Barlow Semi Condensed" w:cs="Barlow Semi Condensed" w:eastAsia="Barlow Semi Condensed" w:hAnsi="Barlow Semi Condensed"/>
          <w:i w:val="false"/>
          <w:iCs w:val="false"/>
          <w:sz w:val="21"/>
          <w:szCs w:val="21"/>
        </w:rPr>
        <w:t xml:space="preserve"> Contare le occorrenze della formula non serve — lo stesso esito negativo è riscritto a ogni passata — e la risposta si ottiene, disse quella pagina, «spogliandoli a uno a uno», che era lavoro non fatto. Qui è fatto.  </w:t>
      </w:r>
      <w:r>
        <w:rPr>
          <w:rFonts w:ascii="Barlow Semi Condensed" w:cs="Barlow Semi Condensed" w:eastAsia="Barlow Semi Condensed" w:hAnsi="Barlow Semi Condensed"/>
          <w:b/>
          <w:bCs/>
          <w:i w:val="false"/>
          <w:iCs w:val="false"/>
          <w:sz w:val="21"/>
          <w:szCs w:val="21"/>
        </w:rPr>
        <w:t xml:space="preserve">Il criterio, dichiarato prima.</w:t>
      </w:r>
      <w:r>
        <w:rPr>
          <w:rFonts w:ascii="Barlow Semi Condensed" w:cs="Barlow Semi Condensed" w:eastAsia="Barlow Semi Condensed" w:hAnsi="Barlow Semi Condensed"/>
          <w:i w:val="false"/>
          <w:iCs w:val="false"/>
          <w:sz w:val="21"/>
          <w:szCs w:val="21"/>
        </w:rPr>
        <w:t xml:space="preserve"> Entra una registrazione se porta insieme, </w:t>
      </w:r>
      <w:r>
        <w:rPr>
          <w:rFonts w:ascii="Barlow Semi Condensed" w:cs="Barlow Semi Condensed" w:eastAsia="Barlow Semi Condensed" w:hAnsi="Barlow Semi Condensed"/>
          <w:b/>
          <w:bCs/>
          <w:i w:val="false"/>
          <w:iCs w:val="false"/>
          <w:sz w:val="21"/>
          <w:szCs w:val="21"/>
        </w:rPr>
        <w:t xml:space="preserve">nello stesso blocco</w:t>
      </w:r>
      <w:r>
        <w:rPr>
          <w:rFonts w:ascii="Barlow Semi Condensed" w:cs="Barlow Semi Condensed" w:eastAsia="Barlow Semi Condensed" w:hAnsi="Barlow Semi Condensed"/>
          <w:i w:val="false"/>
          <w:iCs w:val="false"/>
          <w:sz w:val="21"/>
          <w:szCs w:val="21"/>
        </w:rPr>
        <w:t xml:space="preserve">, la formula e la </w:t>
      </w:r>
      <w:r>
        <w:rPr>
          <w:rFonts w:ascii="Barlow Semi Condensed" w:cs="Barlow Semi Condensed" w:eastAsia="Barlow Semi Condensed" w:hAnsi="Barlow Semi Condensed"/>
          <w:b/>
          <w:bCs/>
          <w:i w:val="false"/>
          <w:iCs w:val="false"/>
          <w:sz w:val="21"/>
          <w:szCs w:val="21"/>
        </w:rPr>
        <w:t xml:space="preserve">sede nominata</w:t>
      </w:r>
      <w:r>
        <w:rPr>
          <w:rFonts w:ascii="Barlow Semi Condensed" w:cs="Barlow Semi Condensed" w:eastAsia="Barlow Semi Condensed" w:hAnsi="Barlow Semi Condensed"/>
          <w:i w:val="false"/>
          <w:iCs w:val="false"/>
          <w:sz w:val="21"/>
          <w:szCs w:val="21"/>
        </w:rPr>
        <w:t xml:space="preserve">: un archivio, un fondo, una serie, un'istituzione presso cui la ricerca si può ripetere. È la regola del libro applicata al libro — un esito negativo senza sede non è un esito negativo — e chi volesse rifare il conteggio trova lo strumento in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perimetro, dichiarato prima.</w:t>
      </w:r>
      <w:r>
        <w:rPr>
          <w:rFonts w:ascii="Barlow Semi Condensed" w:cs="Barlow Semi Condensed" w:eastAsia="Barlow Semi Condensed" w:hAnsi="Barlow Semi Condensed"/>
          <w:i w:val="false"/>
          <w:iCs w:val="false"/>
          <w:sz w:val="21"/>
          <w:szCs w:val="21"/>
        </w:rPr>
        <w:t xml:space="preserve"> Il corpus moroteano in senso stretto: fuori Italia Nera, fuori lo Studio Puglia, fuori le opere dei mille blocchi. La ragione è quella della parte settima: il conteggio dipende dal perimetro più che dalla materia, e un perimetro taciuto è ciò che ha fatto cadere il numero del titolo.  </w:t>
      </w:r>
      <w:r>
        <w:rPr>
          <w:rFonts w:ascii="Barlow Semi Condensed" w:cs="Barlow Semi Condensed" w:eastAsia="Barlow Semi Condensed" w:hAnsi="Barlow Semi Condensed"/>
          <w:b/>
          <w:bCs/>
          <w:i w:val="false"/>
          <w:iCs w:val="false"/>
          <w:sz w:val="21"/>
          <w:szCs w:val="21"/>
        </w:rPr>
        <w:t xml:space="preserve">Il limite, dichiarato insieme al risultato.</w:t>
      </w:r>
      <w:r>
        <w:rPr>
          <w:rFonts w:ascii="Barlow Semi Condensed" w:cs="Barlow Semi Condensed" w:eastAsia="Barlow Semi Condensed" w:hAnsi="Barlow Semi Condensed"/>
          <w:i w:val="false"/>
          <w:iCs w:val="false"/>
          <w:sz w:val="21"/>
          <w:szCs w:val="21"/>
        </w:rPr>
        <w:t xml:space="preserve"> Il criterio guarda un blocco per volta. Una registrazione la cui sede sia nominata nel blocco accanto </w:t>
      </w:r>
      <w:r>
        <w:rPr>
          <w:rFonts w:ascii="Barlow Semi Condensed" w:cs="Barlow Semi Condensed" w:eastAsia="Barlow Semi Condensed" w:hAnsi="Barlow Semi Condensed"/>
          <w:b/>
          <w:bCs/>
          <w:i w:val="false"/>
          <w:iCs w:val="false"/>
          <w:sz w:val="21"/>
          <w:szCs w:val="21"/>
        </w:rPr>
        <w:t xml:space="preserve">non entra</w:t>
      </w:r>
      <w:r>
        <w:rPr>
          <w:rFonts w:ascii="Barlow Semi Condensed" w:cs="Barlow Semi Condensed" w:eastAsia="Barlow Semi Condensed" w:hAnsi="Barlow Semi Condensed"/>
          <w:i w:val="false"/>
          <w:iCs w:val="false"/>
          <w:sz w:val="21"/>
          <w:szCs w:val="21"/>
        </w:rPr>
        <w:t xml:space="preserve">, e il conteggio è per ciò stesso una soglia inferiore e non un totale. È esattamente il difetto che la parte terza descrive: la regola che fa vedere è la stessa che fa non vedere.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Il numero</w:t>
      </w:r>
    </w:p>
    <w:p>
      <w:pPr>
        <w:spacing w:after="120" w:line="290"/>
        <w:jc w:val="both"/>
      </w:pPr>
      <w:r>
        <w:rPr>
          <w:rFonts w:ascii="Barlow Semi Condensed" w:cs="Barlow Semi Condensed" w:eastAsia="Barlow Semi Condensed" w:hAnsi="Barlow Semi Condensed"/>
          <w:b/>
          <w:bCs/>
          <w:i w:val="false"/>
          <w:iCs w:val="false"/>
          <w:sz w:val="21"/>
          <w:szCs w:val="21"/>
        </w:rPr>
        <w:t xml:space="preserve">Diciannove.</w:t>
      </w:r>
    </w:p>
    <w:p>
      <w:pPr>
        <w:spacing w:after="120" w:line="290"/>
        <w:jc w:val="both"/>
      </w:pPr>
      <w:r>
        <w:rPr>
          <w:rFonts w:ascii="Barlow Semi Condensed" w:cs="Barlow Semi Condensed" w:eastAsia="Barlow Semi Condensed" w:hAnsi="Barlow Semi Condensed"/>
          <w:i w:val="false"/>
          <w:iCs w:val="false"/>
          <w:sz w:val="21"/>
          <w:szCs w:val="21"/>
        </w:rPr>
        <w:t xml:space="preserve">Non ottocentotredici, che era il numero del titolo e non riproduceva. Non mille e cinque, né ottocentocinque, né trecentotré, che sono i conteggi delle occorrenze della formula secondo tre perimetri. </w:t>
      </w:r>
      <w:r>
        <w:rPr>
          <w:rFonts w:ascii="Barlow Semi Condensed" w:cs="Barlow Semi Condensed" w:eastAsia="Barlow Semi Condensed" w:hAnsi="Barlow Semi Condensed"/>
          <w:b/>
          <w:bCs/>
          <w:i w:val="false"/>
          <w:iCs w:val="false"/>
          <w:sz w:val="21"/>
          <w:szCs w:val="21"/>
        </w:rPr>
        <w:t xml:space="preserve">Diciannove sono le registrazioni che portano la sede accanto</w:t>
      </w:r>
      <w:r>
        <w:rPr>
          <w:rFonts w:ascii="Barlow Semi Condensed" w:cs="Barlow Semi Condensed" w:eastAsia="Barlow Semi Condensed" w:hAnsi="Barlow Semi Condensed"/>
          <w:i w:val="false"/>
          <w:iCs w:val="false"/>
          <w:sz w:val="21"/>
          <w:szCs w:val="21"/>
        </w:rPr>
        <w:t xml:space="preserve">, e sono le sole che un terzo possa andare a controllare.</w:t>
      </w:r>
    </w:p>
    <w:p>
      <w:pPr>
        <w:spacing w:after="120" w:line="290"/>
        <w:jc w:val="both"/>
      </w:pPr>
      <w:r>
        <w:rPr>
          <w:rFonts w:ascii="Barlow Semi Condensed" w:cs="Barlow Semi Condensed" w:eastAsia="Barlow Semi Condensed" w:hAnsi="Barlow Semi Condensed"/>
          <w:i w:val="false"/>
          <w:iCs w:val="false"/>
          <w:sz w:val="21"/>
          <w:szCs w:val="21"/>
        </w:rPr>
        <w:t xml:space="preserve">Il resto non è falso: è </w:t>
      </w:r>
      <w:r>
        <w:rPr>
          <w:rFonts w:ascii="Barlow Semi Condensed" w:cs="Barlow Semi Condensed" w:eastAsia="Barlow Semi Condensed" w:hAnsi="Barlow Semi Condensed"/>
          <w:b/>
          <w:bCs/>
          <w:i w:val="false"/>
          <w:iCs w:val="false"/>
          <w:sz w:val="21"/>
          <w:szCs w:val="21"/>
        </w:rPr>
        <w:t xml:space="preserve">non ancora scritto per intero</w:t>
      </w:r>
      <w:r>
        <w:rPr>
          <w:rFonts w:ascii="Barlow Semi Condensed" w:cs="Barlow Semi Condensed" w:eastAsia="Barlow Semi Condensed" w:hAnsi="Barlow Semi Condensed"/>
          <w:i w:val="false"/>
          <w:iCs w:val="false"/>
          <w:sz w:val="21"/>
          <w:szCs w:val="21"/>
        </w:rPr>
        <w:t xml:space="preserve">. Una registrazione priva di sede non è una bugia, è un lavoro lasciato a metà — e la metà che manca è quella che serve a chi verrà dopo.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Farnesina, serie Portogallo e Mozambico</w:t>
      </w:r>
    </w:p>
    <w:p>
      <w:pPr>
        <w:spacing w:after="120" w:line="290"/>
        <w:jc w:val="both"/>
      </w:pPr>
      <w:r>
        <w:rPr>
          <w:rFonts w:ascii="Barlow Semi Condensed" w:cs="Barlow Semi Condensed" w:eastAsia="Barlow Semi Condensed" w:hAnsi="Barlow Semi Condensed"/>
          <w:b/>
          <w:bCs/>
          <w:i w:val="false"/>
          <w:iCs w:val="false"/>
          <w:sz w:val="21"/>
          <w:szCs w:val="21"/>
        </w:rPr>
        <w:t xml:space="preserve">1. La conferenza romana del giugno 1970.</w:t>
      </w:r>
      <w:r>
        <w:rPr>
          <w:rFonts w:ascii="Barlow Semi Condensed" w:cs="Barlow Semi Condensed" w:eastAsia="Barlow Semi Condensed" w:hAnsi="Barlow Semi Condensed"/>
          <w:i w:val="false"/>
          <w:iCs w:val="false"/>
          <w:sz w:val="21"/>
          <w:szCs w:val="21"/>
        </w:rPr>
        <w:t xml:space="preserve"> Cercata una presa di posizione del governo italiano sulla conferenza di solidarietà con le colonie portoghesi: autorizzazione, obiezione, comunicazione a Lisbona. Nessuna reperita.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2. L'espulsione dei comboniani, 13 aprile 1974.</w:t>
      </w:r>
      <w:r>
        <w:rPr>
          <w:rFonts w:ascii="Barlow Semi Condensed" w:cs="Barlow Semi Condensed" w:eastAsia="Barlow Semi Condensed" w:hAnsi="Barlow Semi Condensed"/>
          <w:i w:val="false"/>
          <w:iCs w:val="false"/>
          <w:sz w:val="21"/>
          <w:szCs w:val="21"/>
        </w:rPr>
        <w:t xml:space="preserve"> Cercato un atto italiano: nota a Lisbona, interrogazione parlamentare, dichiarazione ministeriale, intervento consolare. Nessuno reperito. È definito, nel corpus, «lo Stato Zero più significativo di questo studio».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e serie contenzioso, Portogallo e Mozambico, 1974; archivi della congregazione comboniana, che hanno pubblicato le testimonianze dirette degli espulsi.</w:t>
      </w:r>
    </w:p>
    <w:p>
      <w:pPr>
        <w:spacing w:after="120" w:line="290"/>
        <w:jc w:val="both"/>
      </w:pPr>
      <w:r>
        <w:rPr>
          <w:rFonts w:ascii="Barlow Semi Condensed" w:cs="Barlow Semi Condensed" w:eastAsia="Barlow Semi Condensed" w:hAnsi="Barlow Semi Condensed"/>
          <w:b/>
          <w:bCs/>
          <w:i w:val="false"/>
          <w:iCs w:val="false"/>
          <w:sz w:val="21"/>
          <w:szCs w:val="21"/>
        </w:rPr>
        <w:t xml:space="preserve">3. I sette punti del riconoscimento del Portogallo democratico.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Portogallo, 1974-1975; resoconti stenografici di Camera e Senato per la sesta legislatura; la raccolta ufficiale dei discorsi parlamentari, che indicizza per data.</w:t>
      </w:r>
    </w:p>
    <w:p>
      <w:pPr>
        <w:spacing w:after="120" w:line="290"/>
        <w:jc w:val="both"/>
      </w:pPr>
      <w:r>
        <w:rPr>
          <w:rFonts w:ascii="Barlow Semi Condensed" w:cs="Barlow Semi Condensed" w:eastAsia="Barlow Semi Condensed" w:hAnsi="Barlow Semi Condensed"/>
          <w:b/>
          <w:bCs/>
          <w:i w:val="false"/>
          <w:iCs w:val="false"/>
          <w:sz w:val="21"/>
          <w:szCs w:val="21"/>
        </w:rPr>
        <w:t xml:space="preserve">4. Il rapporto Moro-Portogallo, per intero.</w:t>
      </w:r>
      <w:r>
        <w:rPr>
          <w:rFonts w:ascii="Barlow Semi Condensed" w:cs="Barlow Semi Condensed" w:eastAsia="Barlow Semi Condensed" w:hAnsi="Barlow Semi Condensed"/>
          <w:i w:val="false"/>
          <w:iCs w:val="false"/>
          <w:sz w:val="21"/>
          <w:szCs w:val="21"/>
        </w:rPr>
        <w:t xml:space="preserve"> La ricerca resta interamente da condurre.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Portogallo 1969-1974 — telespressi dell'ambasciata di Lisbona, appunti della Direzione generale affari politici. </w:t>
      </w:r>
      <w:r>
        <w:rPr>
          <w:rFonts w:ascii="Barlow Semi Condensed" w:cs="Barlow Semi Condensed" w:eastAsia="Barlow Semi Condensed" w:hAnsi="Barlow Semi Condensed"/>
          <w:i/>
          <w:iCs/>
          <w:sz w:val="21"/>
          <w:szCs w:val="21"/>
        </w:rPr>
        <w:t xml:space="preserve">Soglia dichiarata: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rinvenimento anche di un solo documento firmato o siglato da Moro sul Portogallo trasforma questo Stato Zero in accertamento.</w:t>
      </w:r>
    </w:p>
    <w:p>
      <w:pPr>
        <w:spacing w:after="120" w:line="290"/>
        <w:jc w:val="both"/>
      </w:pPr>
      <w:r>
        <w:rPr>
          <w:rFonts w:ascii="Barlow Semi Condensed" w:cs="Barlow Semi Condensed" w:eastAsia="Barlow Semi Condensed" w:hAnsi="Barlow Semi Condensed"/>
          <w:b/>
          <w:bCs/>
          <w:i w:val="false"/>
          <w:iCs w:val="false"/>
          <w:sz w:val="21"/>
          <w:szCs w:val="21"/>
        </w:rPr>
        <w:t xml:space="preserve">5. Il mutamento della delegazione portoghese alla CSCE dopo il 25 aprile 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Arquivo Histórico-Diplomático, Lisbona.</w:t>
      </w:r>
    </w:p>
    <w:p>
      <w:pPr>
        <w:spacing w:after="120" w:line="290"/>
        <w:jc w:val="both"/>
      </w:pPr>
      <w:r>
        <w:rPr>
          <w:rFonts w:ascii="Barlow Semi Condensed" w:cs="Barlow Semi Condensed" w:eastAsia="Barlow Semi Condensed" w:hAnsi="Barlow Semi Condensed"/>
          <w:b/>
          <w:bCs/>
          <w:i w:val="false"/>
          <w:iCs w:val="false"/>
          <w:sz w:val="21"/>
          <w:szCs w:val="21"/>
        </w:rPr>
        <w:t xml:space="preserve">6. Gli interventi di Moro sul Portogallo coloniale e sulla rivoluzione.</w:t>
      </w:r>
      <w:r>
        <w:rPr>
          <w:rFonts w:ascii="Barlow Semi Condensed" w:cs="Barlow Semi Condensed" w:eastAsia="Barlow Semi Condensed" w:hAnsi="Barlow Semi Condensed"/>
          <w:i w:val="false"/>
          <w:iCs w:val="false"/>
          <w:sz w:val="21"/>
          <w:szCs w:val="21"/>
        </w:rPr>
        <w:t xml:space="preserve"> Non reperiti negli strumenti telematici. Con riserva strutturale dichiarata: l'inventario disponibile descrive, per la serie Esteri, le sole sottoserie del quarto e quinto governo Moro — dal novembre 1974, posteriori ai mandati in esame.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raccolta ufficiale dei discorsi parlamentari (1996); Edizione Nazionale delle Opere; portale dell'Università di Bologna; Fondo Moro presso l'Archivio storico del Senato.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La Farnesina, serie Spagna</w:t>
      </w:r>
    </w:p>
    <w:p>
      <w:pPr>
        <w:spacing w:after="120" w:line="290"/>
        <w:jc w:val="both"/>
      </w:pPr>
      <w:r>
        <w:rPr>
          <w:rFonts w:ascii="Barlow Semi Condensed" w:cs="Barlow Semi Condensed" w:eastAsia="Barlow Semi Condensed" w:hAnsi="Barlow Semi Condensed"/>
          <w:b/>
          <w:bCs/>
          <w:i w:val="false"/>
          <w:iCs w:val="false"/>
          <w:sz w:val="21"/>
          <w:szCs w:val="21"/>
        </w:rPr>
        <w:t xml:space="preserve">7. Il contatto diretto fra Moro e i tre ministri degli Esteri spagnoli</w:t>
      </w:r>
      <w:r>
        <w:rPr>
          <w:rFonts w:ascii="Barlow Semi Condensed" w:cs="Barlow Semi Condensed" w:eastAsia="Barlow Semi Condensed" w:hAnsi="Barlow Semi Condensed"/>
          <w:i w:val="false"/>
          <w:iCs w:val="false"/>
          <w:sz w:val="21"/>
          <w:szCs w:val="21"/>
        </w:rPr>
        <w:t xml:space="preserve"> — López Bravo (ottobre 1969-giugno 1973), López Rodó (giugno 1973-gennaio 1974), Cortina Mauri (gennaio 1974-dicembre 1975). Cercata qualunque fonte primaria che attesti un incontro bilaterale, una corrispondenza, una posizione reciproca personale. Nessuna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Archivo General de la Administración, Alcalá de Henares, fondi del Ministerio de Asuntos Exteriores.</w:t>
      </w:r>
    </w:p>
    <w:p>
      <w:pPr>
        <w:spacing w:after="120" w:line="290"/>
        <w:jc w:val="both"/>
      </w:pPr>
      <w:r>
        <w:rPr>
          <w:rFonts w:ascii="Barlow Semi Condensed" w:cs="Barlow Semi Condensed" w:eastAsia="Barlow Semi Condensed" w:hAnsi="Barlow Semi Condensed"/>
          <w:b/>
          <w:bCs/>
          <w:i w:val="false"/>
          <w:iCs w:val="false"/>
          <w:sz w:val="21"/>
          <w:szCs w:val="21"/>
        </w:rPr>
        <w:t xml:space="preserve">8. I carteggi del gabinetto del ministro e la serie Ambasciata d'Italia a Madrid, 1969-1974.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verifica inventariale e autorizzazione. È la voce da cui dipende ogni accertamento sul rapporto Italia-Spagna del periodo.</w:t>
      </w:r>
    </w:p>
    <w:p>
      <w:pPr>
        <w:spacing w:after="120" w:line="290"/>
        <w:jc w:val="both"/>
      </w:pPr>
      <w:r>
        <w:rPr>
          <w:rFonts w:ascii="Barlow Semi Condensed" w:cs="Barlow Semi Condensed" w:eastAsia="Barlow Semi Condensed" w:hAnsi="Barlow Semi Condensed"/>
          <w:b/>
          <w:bCs/>
          <w:i w:val="false"/>
          <w:iCs w:val="false"/>
          <w:sz w:val="21"/>
          <w:szCs w:val="21"/>
        </w:rPr>
        <w:t xml:space="preserve">9. Qualunque atto, incontro, corrispondenza o posizione reciproca fra Moro e l'Opus Dei.</w:t>
      </w:r>
      <w:r>
        <w:rPr>
          <w:rFonts w:ascii="Barlow Semi Condensed" w:cs="Barlow Semi Condensed" w:eastAsia="Barlow Semi Condensed" w:hAnsi="Barlow Semi Condensed"/>
          <w:i w:val="false"/>
          <w:iCs w:val="false"/>
          <w:sz w:val="21"/>
          <w:szCs w:val="21"/>
        </w:rPr>
        <w:t xml:space="preserve"> Non reperito.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carteggi del gabinetto del ministro, Archivio storico diplomatico; Fondo Aldo Moro, Archivio storico del Senato; archivio dell'ente, non pubblico.</w:t>
      </w:r>
    </w:p>
    <w:p>
      <w:pPr>
        <w:spacing w:after="120" w:line="290"/>
        <w:jc w:val="both"/>
      </w:pPr>
      <w:r>
        <w:rPr>
          <w:rFonts w:ascii="Barlow Semi Condensed" w:cs="Barlow Semi Condensed" w:eastAsia="Barlow Semi Condensed" w:hAnsi="Barlow Semi Condensed"/>
          <w:b/>
          <w:bCs/>
          <w:i w:val="false"/>
          <w:iCs w:val="false"/>
          <w:sz w:val="21"/>
          <w:szCs w:val="21"/>
        </w:rPr>
        <w:t xml:space="preserve">10. Una posizione del governo italiano sullo statuto canonico dell'ente.</w:t>
      </w:r>
      <w:r>
        <w:rPr>
          <w:rFonts w:ascii="Barlow Semi Condensed" w:cs="Barlow Semi Condensed" w:eastAsia="Barlow Semi Condensed" w:hAnsi="Barlow Semi Condensed"/>
          <w:i w:val="false"/>
          <w:iCs w:val="false"/>
          <w:sz w:val="21"/>
          <w:szCs w:val="21"/>
        </w:rPr>
        <w:t xml:space="preserve"> Non reperita — e il corpus aggiunge da sé la ragione ordinaria: la materia non apparteneva alla competenza della Farnesina.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della Segreteria di Stato, sezione Rapporti con gli Stati, la cui documentazione per il pontificato di Paolo VI non risulta aperta agli studiosi.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Le sedi che non aprono</w:t>
      </w:r>
    </w:p>
    <w:p>
      <w:pPr>
        <w:spacing w:after="120" w:line="290"/>
        <w:jc w:val="both"/>
      </w:pPr>
      <w:r>
        <w:rPr>
          <w:rFonts w:ascii="Barlow Semi Condensed" w:cs="Barlow Semi Condensed" w:eastAsia="Barlow Semi Condensed" w:hAnsi="Barlow Semi Condensed"/>
          <w:b/>
          <w:bCs/>
          <w:i w:val="false"/>
          <w:iCs w:val="false"/>
          <w:sz w:val="21"/>
          <w:szCs w:val="21"/>
        </w:rPr>
        <w:t xml:space="preserve">11. Il dossier Aginter Press.</w:t>
      </w:r>
      <w:r>
        <w:rPr>
          <w:rFonts w:ascii="Barlow Semi Condensed" w:cs="Barlow Semi Condensed" w:eastAsia="Barlow Semi Condensed" w:hAnsi="Barlow Semi Condensed"/>
          <w:i w:val="false"/>
          <w:iCs w:val="false"/>
          <w:sz w:val="21"/>
          <w:szCs w:val="21"/>
        </w:rPr>
        <w:t xml:space="preserve"> Nessuna fonte primaria né studio sottoposto a revisione paritaria ne documenta un ruolo nelle vicende trattate. La tesi che circola nella pubblicistica è, allo stato, </w:t>
      </w:r>
      <w:r>
        <w:rPr>
          <w:rFonts w:ascii="Barlow Semi Condensed" w:cs="Barlow Semi Condensed" w:eastAsia="Barlow Semi Condensed" w:hAnsi="Barlow Semi Condensed"/>
          <w:b/>
          <w:bCs/>
          <w:i w:val="false"/>
          <w:iCs w:val="false"/>
          <w:sz w:val="21"/>
          <w:szCs w:val="21"/>
        </w:rPr>
        <w:t xml:space="preserve">non sostenuta dalle fonti primarie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fondo PIDE-DGS, soggetto a regolamento proprio. </w:t>
      </w:r>
      <w:r>
        <w:rPr>
          <w:rFonts w:ascii="Barlow Semi Condensed" w:cs="Barlow Semi Condensed" w:eastAsia="Barlow Semi Condensed" w:hAnsi="Barlow Semi Condensed"/>
          <w:b/>
          <w:bCs/>
          <w:i w:val="false"/>
          <w:iCs w:val="false"/>
          <w:sz w:val="21"/>
          <w:szCs w:val="21"/>
        </w:rPr>
        <w:t xml:space="preserve">L'accesso non è surrogabile per via telematica.</w:t>
      </w:r>
    </w:p>
    <w:p>
      <w:pPr>
        <w:spacing w:after="120" w:line="290"/>
        <w:jc w:val="both"/>
      </w:pPr>
      <w:r>
        <w:rPr>
          <w:rFonts w:ascii="Barlow Semi Condensed" w:cs="Barlow Semi Condensed" w:eastAsia="Barlow Semi Condensed" w:hAnsi="Barlow Semi Condensed"/>
          <w:b/>
          <w:bCs/>
          <w:i w:val="false"/>
          <w:iCs w:val="false"/>
          <w:sz w:val="21"/>
          <w:szCs w:val="21"/>
        </w:rPr>
        <w:t xml:space="preserve">12. Il primo silenzio sull'Aginter, qualificato.</w:t>
      </w:r>
      <w:r>
        <w:rPr>
          <w:rFonts w:ascii="Barlow Semi Condensed" w:cs="Barlow Semi Condensed" w:eastAsia="Barlow Semi Condensed" w:hAnsi="Barlow Semi Condensed"/>
          <w:i w:val="false"/>
          <w:iCs w:val="false"/>
          <w:sz w:val="21"/>
          <w:szCs w:val="21"/>
        </w:rPr>
        <w:t xml:space="preserve"> È Stato Zero </w:t>
      </w:r>
      <w:r>
        <w:rPr>
          <w:rFonts w:ascii="Barlow Semi Condensed" w:cs="Barlow Semi Condensed" w:eastAsia="Barlow Semi Condensed" w:hAnsi="Barlow Semi Condensed"/>
          <w:b/>
          <w:bCs/>
          <w:i w:val="false"/>
          <w:iCs w:val="false"/>
          <w:sz w:val="21"/>
          <w:szCs w:val="21"/>
        </w:rPr>
        <w:t xml:space="preserve">conoscitivo</w:t>
      </w:r>
      <w:r>
        <w:rPr>
          <w:rFonts w:ascii="Barlow Semi Condensed" w:cs="Barlow Semi Condensed" w:eastAsia="Barlow Semi Condensed" w:hAnsi="Barlow Semi Condensed"/>
          <w:i w:val="false"/>
          <w:iCs w:val="false"/>
          <w:sz w:val="21"/>
          <w:szCs w:val="21"/>
        </w:rPr>
        <w:t xml:space="preserve"> e non accertamento positivo di inesistenza, e discende da tre circostanze documentate: i Documenti Diplomatici Italiani non hanno raggiunto il periodo, l'Archivio storico diplomatico ha regime di accesso condizionato, la storiografia bilaterale non ha mai incrociato il tema.</w:t>
      </w:r>
    </w:p>
    <w:p>
      <w:pPr>
        <w:spacing w:after="120" w:line="290"/>
        <w:jc w:val="both"/>
      </w:pPr>
      <w:r>
        <w:rPr>
          <w:rFonts w:ascii="Barlow Semi Condensed" w:cs="Barlow Semi Condensed" w:eastAsia="Barlow Semi Condensed" w:hAnsi="Barlow Semi Condensed"/>
          <w:b/>
          <w:bCs/>
          <w:i w:val="false"/>
          <w:iCs w:val="false"/>
          <w:sz w:val="21"/>
          <w:szCs w:val="21"/>
        </w:rPr>
        <w:t xml:space="preserve">13. Alfredo Poledrini</w:t>
      </w:r>
      <w:r>
        <w:rPr>
          <w:rFonts w:ascii="Barlow Semi Condensed" w:cs="Barlow Semi Condensed" w:eastAsia="Barlow Semi Condensed" w:hAnsi="Barlow Semi Condensed"/>
          <w:i w:val="false"/>
          <w:iCs w:val="false"/>
          <w:sz w:val="21"/>
          <w:szCs w:val="21"/>
        </w:rPr>
        <w:t xml:space="preserve">, delegato apostolico dal 1971 al 1978. Reperto negativo: nessun elemento documentale lo collega ad alcun contatto italiano sulla materia sudafricana.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Apostolico Vaticano, </w:t>
      </w:r>
      <w:r>
        <w:rPr>
          <w:rFonts w:ascii="Barlow Semi Condensed" w:cs="Barlow Semi Condensed" w:eastAsia="Barlow Semi Condensed" w:hAnsi="Barlow Semi Condensed"/>
          <w:b/>
          <w:bCs/>
          <w:i w:val="false"/>
          <w:iCs w:val="false"/>
          <w:sz w:val="21"/>
          <w:szCs w:val="21"/>
        </w:rPr>
        <w:t xml:space="preserve">consultabile fino all'ottobre 1958</w:t>
      </w:r>
      <w:r>
        <w:rPr>
          <w:rFonts w:ascii="Barlow Semi Condensed" w:cs="Barlow Semi Condensed" w:eastAsia="Barlow Semi Condensed" w:hAnsi="Barlow Semi Condensed"/>
          <w:i w:val="false"/>
          <w:iCs w:val="false"/>
          <w:sz w:val="21"/>
          <w:szCs w:val="21"/>
        </w:rPr>
        <w:t xml:space="preserve">. Stato Zero di impossibilità istituzionale: non è che non si sia cercato, è che la porta non esiste ancora.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Il ponte che non si costruisce</w:t>
      </w:r>
    </w:p>
    <w:p>
      <w:pPr>
        <w:spacing w:after="120" w:line="290"/>
        <w:jc w:val="both"/>
      </w:pPr>
      <w:r>
        <w:rPr>
          <w:rFonts w:ascii="Barlow Semi Condensed" w:cs="Barlow Semi Condensed" w:eastAsia="Barlow Semi Condensed" w:hAnsi="Barlow Semi Condensed"/>
          <w:b/>
          <w:bCs/>
          <w:i w:val="false"/>
          <w:iCs w:val="false"/>
          <w:sz w:val="21"/>
          <w:szCs w:val="21"/>
        </w:rPr>
        <w:t xml:space="preserve">14. Nessun nesso documentato fra Aldo Moro e la questione sudafricana o namibiana.</w:t>
      </w:r>
      <w:r>
        <w:rPr>
          <w:rFonts w:ascii="Barlow Semi Condensed" w:cs="Barlow Semi Condensed" w:eastAsia="Barlow Semi Condensed" w:hAnsi="Barlow Semi Condensed"/>
          <w:i w:val="false"/>
          <w:iCs w:val="false"/>
          <w:sz w:val="21"/>
          <w:szCs w:val="21"/>
        </w:rPr>
        <w:t xml:space="preserve"> Gli atti italiani reperiti — le relazioni diplomatiche dal 1929, l'ordine di quaranta velivoli da osservazione del settembre 1970 con consegne sino al dicembre 1975, i voti favorevoli sulle risoluzioni namibiane 301 e 323 — sono </w:t>
      </w:r>
      <w:r>
        <w:rPr>
          <w:rFonts w:ascii="Barlow Semi Condensed" w:cs="Barlow Semi Condensed" w:eastAsia="Barlow Semi Condensed" w:hAnsi="Barlow Semi Condensed"/>
          <w:b/>
          <w:bCs/>
          <w:i w:val="false"/>
          <w:iCs w:val="false"/>
          <w:sz w:val="21"/>
          <w:szCs w:val="21"/>
        </w:rPr>
        <w:t xml:space="preserve">istituzionali e non personalmente riferibili a lui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Settima serie dei Documenti Diplomatici Italiani; fondi dell'Archivio storico diplomatico. Il corpus chiude la voce con una frase che vale per l'intero fascicolo: </w:t>
      </w:r>
      <w:r>
        <w:rPr>
          <w:rFonts w:ascii="Barlow Semi Condensed" w:cs="Barlow Semi Condensed" w:eastAsia="Barlow Semi Condensed" w:hAnsi="Barlow Semi Condensed"/>
          <w:i/>
          <w:iCs/>
          <w:sz w:val="21"/>
          <w:szCs w:val="21"/>
        </w:rPr>
        <w:t xml:space="preserve">il presente registro non costruisce quel ponte perché il materiale non lo regge.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multilaterale e l'Asia</w:t>
      </w:r>
    </w:p>
    <w:p>
      <w:pPr>
        <w:spacing w:after="120" w:line="290"/>
        <w:jc w:val="both"/>
      </w:pPr>
      <w:r>
        <w:rPr>
          <w:rFonts w:ascii="Barlow Semi Condensed" w:cs="Barlow Semi Condensed" w:eastAsia="Barlow Semi Condensed" w:hAnsi="Barlow Semi Condensed"/>
          <w:b/>
          <w:bCs/>
          <w:i w:val="false"/>
          <w:iCs w:val="false"/>
          <w:sz w:val="21"/>
          <w:szCs w:val="21"/>
        </w:rPr>
        <w:t xml:space="preserve">15. Gli interventi di Moro all'Assemblea generale; la riforma delle Nazioni Unite; la Conferenza ONU sull'energia atomica del 1971; l'ingresso delle due Germanie all'ONU nel 1973.</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atti dell'Assemblea generale.</w:t>
      </w:r>
    </w:p>
    <w:p>
      <w:pPr>
        <w:spacing w:after="120" w:line="290"/>
        <w:jc w:val="both"/>
      </w:pPr>
      <w:r>
        <w:rPr>
          <w:rFonts w:ascii="Barlow Semi Condensed" w:cs="Barlow Semi Condensed" w:eastAsia="Barlow Semi Condensed" w:hAnsi="Barlow Semi Condensed"/>
          <w:b/>
          <w:bCs/>
          <w:i w:val="false"/>
          <w:iCs w:val="false"/>
          <w:sz w:val="21"/>
          <w:szCs w:val="21"/>
        </w:rPr>
        <w:t xml:space="preserve">16. Il telegramma ministeriale del 28 novembre 1970; il progetto di visita in Cina (telegramma 5472/0 del 29 dicembre 1972); l'interscambio 1973-1976; i rapporti con Giappone, India e Pakistan.</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Archivio storico diplomatico.</w:t>
      </w:r>
    </w:p>
    <w:p>
      <w:pPr>
        <w:spacing w:after="120" w:line="290"/>
        <w:jc w:val="both"/>
      </w:pPr>
      <w:r>
        <w:rPr>
          <w:rFonts w:ascii="Barlow Semi Condensed" w:cs="Barlow Semi Condensed" w:eastAsia="Barlow Semi Condensed" w:hAnsi="Barlow Semi Condensed"/>
          <w:b/>
          <w:bCs/>
          <w:i w:val="false"/>
          <w:iCs w:val="false"/>
          <w:sz w:val="21"/>
          <w:szCs w:val="21"/>
        </w:rPr>
        <w:t xml:space="preserve">17. La posizione morotea nelle tappe europee</w:t>
      </w:r>
      <w:r>
        <w:rPr>
          <w:rFonts w:ascii="Barlow Semi Condensed" w:cs="Barlow Semi Condensed" w:eastAsia="Barlow Semi Condensed" w:hAnsi="Barlow Semi Condensed"/>
          <w:i w:val="false"/>
          <w:iCs w:val="false"/>
          <w:sz w:val="21"/>
          <w:szCs w:val="21"/>
        </w:rPr>
        <w:t xml:space="preserve"> — Vertice di Parigi 19-20 ottobre 1972, Vertice di Copenaghen 14-15 dicembre 1973, uscita della lira dal serpente monetario nel febbraio 1973. Le tappe sono accertate; la documentazione primaria puntuale sulla posizione di Moro in ciascuna resta in parte non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documenti CVCE.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fondo dell'uomo</w:t>
      </w:r>
    </w:p>
    <w:p>
      <w:pPr>
        <w:spacing w:after="120" w:line="290"/>
        <w:jc w:val="both"/>
      </w:pPr>
      <w:r>
        <w:rPr>
          <w:rFonts w:ascii="Barlow Semi Condensed" w:cs="Barlow Semi Condensed" w:eastAsia="Barlow Semi Condensed" w:hAnsi="Barlow Semi Condensed"/>
          <w:b/>
          <w:bCs/>
          <w:i w:val="false"/>
          <w:iCs w:val="false"/>
          <w:sz w:val="21"/>
          <w:szCs w:val="21"/>
        </w:rPr>
        <w:t xml:space="preserve">18. L'Archivio Aldo Moro</w:t>
      </w:r>
      <w:r>
        <w:rPr>
          <w:rFonts w:ascii="Barlow Semi Condensed" w:cs="Barlow Semi Condensed" w:eastAsia="Barlow Semi Condensed" w:hAnsi="Barlow Semi Condensed"/>
          <w:i w:val="false"/>
          <w:iCs w:val="false"/>
          <w:sz w:val="21"/>
          <w:szCs w:val="21"/>
        </w:rPr>
        <w:t xml:space="preserve">, inventariato fra Archivio storico del Senato e Archivio centrale dello Stato, e l'archivio della Fondazione Aldo Moro.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spoglio integrale.</w:t>
      </w:r>
      <w:r>
        <w:rPr>
          <w:rFonts w:ascii="Barlow Semi Condensed" w:cs="Barlow Semi Condensed" w:eastAsia="Barlow Semi Condensed" w:hAnsi="Barlow Semi Condensed"/>
          <w:i w:val="false"/>
          <w:iCs w:val="false"/>
          <w:sz w:val="21"/>
          <w:szCs w:val="21"/>
        </w:rPr>
        <w:t xml:space="preserve"> È la sola voce del fascicolo la cui chiusura non dipende da un'autorizzazione ma solo dal tempo di qualcuno.</w:t>
      </w:r>
    </w:p>
    <w:p>
      <w:pPr>
        <w:spacing w:after="120" w:line="290"/>
        <w:jc w:val="both"/>
      </w:pPr>
      <w:r>
        <w:rPr>
          <w:rFonts w:ascii="Barlow Semi Condensed" w:cs="Barlow Semi Condensed" w:eastAsia="Barlow Semi Condensed" w:hAnsi="Barlow Semi Condensed"/>
          <w:b/>
          <w:bCs/>
          <w:i w:val="false"/>
          <w:iCs w:val="false"/>
          <w:sz w:val="21"/>
          <w:szCs w:val="21"/>
        </w:rPr>
        <w:t xml:space="preserve">19. Il telegramma da Tunisi del 6 settembre 1970</w:t>
      </w:r>
      <w:r>
        <w:rPr>
          <w:rFonts w:ascii="Barlow Semi Condensed" w:cs="Barlow Semi Condensed" w:eastAsia="Barlow Semi Condensed" w:hAnsi="Barlow Semi Condensed"/>
          <w:i w:val="false"/>
          <w:iCs w:val="false"/>
          <w:sz w:val="21"/>
          <w:szCs w:val="21"/>
        </w:rPr>
        <w:t xml:space="preserve">, noto per via memorialistica indiretta e non reperito in originale.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Edizione Nazionale delle Opere.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questo fascicolo chiede</w:t>
      </w:r>
    </w:p>
    <w:p>
      <w:pPr>
        <w:spacing w:after="120" w:line="290"/>
        <w:jc w:val="both"/>
      </w:pPr>
      <w:r>
        <w:rPr>
          <w:rFonts w:ascii="Barlow Semi Condensed" w:cs="Barlow Semi Condensed" w:eastAsia="Barlow Semi Condensed" w:hAnsi="Barlow Semi Condensed"/>
          <w:i w:val="false"/>
          <w:iCs w:val="false"/>
          <w:sz w:val="21"/>
          <w:szCs w:val="21"/>
        </w:rPr>
        <w:t xml:space="preserve">Non chiede di essere creduto: chiede di essere </w:t>
      </w:r>
      <w:r>
        <w:rPr>
          <w:rFonts w:ascii="Barlow Semi Condensed" w:cs="Barlow Semi Condensed" w:eastAsia="Barlow Semi Condensed" w:hAnsi="Barlow Semi Condensed"/>
          <w:b/>
          <w:bCs/>
          <w:i w:val="false"/>
          <w:iCs w:val="false"/>
          <w:sz w:val="21"/>
          <w:szCs w:val="21"/>
        </w:rPr>
        <w:t xml:space="preserve">consumato</w:t>
      </w:r>
      <w:r>
        <w:rPr>
          <w:rFonts w:ascii="Barlow Semi Condensed" w:cs="Barlow Semi Condensed" w:eastAsia="Barlow Semi Condensed" w:hAnsi="Barlow Semi Condensed"/>
          <w:i w:val="false"/>
          <w:iCs w:val="false"/>
          <w:sz w:val="21"/>
          <w:szCs w:val="21"/>
        </w:rPr>
        <w:t xml:space="preserve">. Ogni voce è scritta in modo che qualcuno possa andare in una sede determinata, cercare una cosa determinata, e tornare con un sì o con un no. Diciotto delle diciannove hanno una porta; una — l'Archivio Apostolico oltre il 1958 — ha una porta che si aprirà, ma non a chi legge oggi.</w:t>
      </w:r>
    </w:p>
    <w:p>
      <w:pPr>
        <w:spacing w:after="120" w:line="290"/>
        <w:jc w:val="both"/>
      </w:pPr>
      <w:r>
        <w:rPr>
          <w:rFonts w:ascii="Barlow Semi Condensed" w:cs="Barlow Semi Condensed" w:eastAsia="Barlow Semi Condensed" w:hAnsi="Barlow Semi Condensed"/>
          <w:i w:val="false"/>
          <w:iCs w:val="false"/>
          <w:sz w:val="21"/>
          <w:szCs w:val="21"/>
        </w:rPr>
        <w:t xml:space="preserve">Chi ne chiudesse anche una sola avrà fatto per questo lavoro più di quanto il lavoro abbia fatto per sé stesso. E il libro sarà servito nel momento in cui una delle sue righe verrà cancellata da chi ha trovato: </w:t>
      </w:r>
      <w:r>
        <w:rPr>
          <w:rFonts w:ascii="Barlow Semi Condensed" w:cs="Barlow Semi Condensed" w:eastAsia="Barlow Semi Condensed" w:hAnsi="Barlow Semi Condensed"/>
          <w:b/>
          <w:bCs/>
          <w:i w:val="false"/>
          <w:iCs w:val="false"/>
          <w:sz w:val="21"/>
          <w:szCs w:val="21"/>
        </w:rPr>
        <w:t xml:space="preserve">non quando affermava, ma quando qualcuno lo smentirà, avendo saputo da esso dove andare.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Nota sulle fonti</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da cui deriva non lo è. Questa nota fa il ponte: </w:t>
      </w:r>
      <w:r>
        <w:rPr>
          <w:rFonts w:ascii="Barlow Semi Condensed" w:cs="Barlow Semi Condensed" w:eastAsia="Barlow Semi Condensed" w:hAnsi="Barlow Semi Condensed"/>
          <w:b/>
          <w:bCs/>
          <w:i w:val="false"/>
          <w:iCs w:val="false"/>
          <w:sz w:val="21"/>
          <w:szCs w:val="21"/>
        </w:rPr>
        <w:t xml:space="preserve">per ciascuna parte dice da quale documento del corpus viene ciò che afferma</w:t>
      </w:r>
      <w:r>
        <w:rPr>
          <w:rFonts w:ascii="Barlow Semi Condensed" w:cs="Barlow Semi Condensed" w:eastAsia="Barlow Semi Condensed" w:hAnsi="Barlow Semi Condensed"/>
          <w:i w:val="false"/>
          <w:iCs w:val="false"/>
          <w:sz w:val="21"/>
          <w:szCs w:val="21"/>
        </w:rPr>
        <w:t xml:space="preserve">, e come si controlla. Non è una bibliografia — i riferimenti bibliografici stanno nel corpus, dove sono 736 indirizzi distinti e 1.332 citazioni — ed è, semmai, il suo contrario: dice dove andare a smentire questo libro.  </w:t>
      </w:r>
      <w:r>
        <w:rPr>
          <w:rFonts w:ascii="Barlow Semi Condensed" w:cs="Barlow Semi Condensed" w:eastAsia="Barlow Semi Condensed" w:hAnsi="Barlow Semi Condensed"/>
          <w:b/>
          <w:bCs/>
          <w:i w:val="false"/>
          <w:iCs w:val="false"/>
          <w:sz w:val="21"/>
          <w:szCs w:val="21"/>
        </w:rPr>
        <w:t xml:space="preserve">Una premessa che vale per tutto.</w:t>
      </w:r>
      <w:r>
        <w:rPr>
          <w:rFonts w:ascii="Barlow Semi Condensed" w:cs="Barlow Semi Condensed" w:eastAsia="Barlow Semi Condensed" w:hAnsi="Barlow Semi Condensed"/>
          <w:i w:val="false"/>
          <w:iCs w:val="false"/>
          <w:sz w:val="21"/>
          <w:szCs w:val="21"/>
        </w:rPr>
        <w:t xml:space="preserve"> Il libro non è una fonte. È una scrittura derivata, e ogni sua proposizione ha un grado che rimanda a un documento del corpus, il quale a sua volta ha il proprio grado e i propri limiti dichiarati. Chi citi il libro cita un ramo; chi voglia il tronco vada al corpus; chi voglia la radice vada nelle sedi elencate nel registro di chiusura, dove nessuno dei due è ancora arrivato.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Come si controlla che il testo sia quello</w:t>
      </w:r>
    </w:p>
    <w:p>
      <w:pPr>
        <w:spacing w:after="120" w:line="290"/>
        <w:jc w:val="both"/>
      </w:pPr>
      <w:r>
        <w:rPr>
          <w:rFonts w:ascii="Barlow Semi Condensed" w:cs="Barlow Semi Condensed" w:eastAsia="Barlow Semi Condensed" w:hAnsi="Barlow Semi Condensed"/>
          <w:i w:val="false"/>
          <w:iCs w:val="false"/>
          <w:sz w:val="21"/>
          <w:szCs w:val="21"/>
        </w:rPr>
        <w:t xml:space="preserve">Ogni file del corpus porta la propria impronta </w:t>
      </w:r>
      <w:r>
        <w:rPr>
          <w:rFonts w:ascii="Barlow Semi Condensed" w:cs="Barlow Semi Condensed" w:eastAsia="Barlow Semi Condensed" w:hAnsi="Barlow Semi Condensed"/>
          <w:b/>
          <w:bCs/>
          <w:i w:val="false"/>
          <w:iCs w:val="false"/>
          <w:sz w:val="21"/>
          <w:szCs w:val="21"/>
        </w:rPr>
        <w:t xml:space="preserve">SHA-256</w:t>
      </w:r>
      <w:r>
        <w:rPr>
          <w:rFonts w:ascii="Barlow Semi Condensed" w:cs="Barlow Semi Condensed" w:eastAsia="Barlow Semi Condensed" w:hAnsi="Barlow Semi Condensed"/>
          <w:i w:val="false"/>
          <w:iCs w:val="false"/>
          <w:sz w:val="21"/>
          <w:szCs w:val="21"/>
        </w:rPr>
        <w:t xml:space="preserve"> nel registro </w:t>
      </w:r>
      <w:r>
        <w:rPr>
          <w:rFonts w:ascii="Consolas" w:cs="Consolas" w:eastAsia="Consolas" w:hAnsi="Consolas"/>
          <w:i w:val="false"/>
          <w:iCs w:val="false"/>
          <w:sz w:val="19"/>
          <w:szCs w:val="19"/>
        </w:rPr>
        <w:t xml:space="preserve">IMPRONTE-SHA256.md</w:t>
      </w:r>
      <w:r>
        <w:rPr>
          <w:rFonts w:ascii="Barlow Semi Condensed" w:cs="Barlow Semi Condensed" w:eastAsia="Barlow Semi Condensed" w:hAnsi="Barlow Semi Condensed"/>
          <w:i w:val="false"/>
          <w:iCs w:val="false"/>
          <w:sz w:val="21"/>
          <w:szCs w:val="21"/>
        </w:rPr>
        <w:t xml:space="preserve">, con tre manifesti separati — l'opera su Moro, Italia Nera, il libro — e le istruzioni per il riscontro. Il comando è quello ordinario:</w:t>
      </w:r>
    </w:p>
    <w:p>
      <w:pPr>
        <w:spacing w:after="120" w:line="290"/>
        <w:jc w:val="both"/>
      </w:pPr>
      <w:r>
        <w:rPr>
          <w:rFonts w:ascii="Barlow Semi Condensed" w:cs="Barlow Semi Condensed" w:eastAsia="Barlow Semi Condensed" w:hAnsi="Barlow Semi Condensed"/>
          <w:i w:val="false"/>
          <w:iCs w:val="false"/>
          <w:sz w:val="21"/>
          <w:szCs w:val="21"/>
        </w:rPr>
        <w:t xml:space="preserve">``</w:t>
      </w:r>
      <w:r>
        <w:rPr>
          <w:rFonts w:ascii="Consolas" w:cs="Consolas" w:eastAsia="Consolas" w:hAnsi="Consolas"/>
          <w:i w:val="false"/>
          <w:iCs w:val="false"/>
          <w:sz w:val="19"/>
          <w:szCs w:val="19"/>
        </w:rPr>
        <w:t xml:space="preserve"> sha256sum --check IMPRONTE-OPERA-MORO.txt </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Le impronte dei documenti citati qui sotto sono, al 28 agosto 2026, quelle che il registro riporta; se una di esse non corrisponde, </w:t>
      </w:r>
      <w:r>
        <w:rPr>
          <w:rFonts w:ascii="Barlow Semi Condensed" w:cs="Barlow Semi Condensed" w:eastAsia="Barlow Semi Condensed" w:hAnsi="Barlow Semi Condensed"/>
          <w:b/>
          <w:bCs/>
          <w:i w:val="false"/>
          <w:iCs w:val="false"/>
          <w:sz w:val="21"/>
          <w:szCs w:val="21"/>
        </w:rPr>
        <w:t xml:space="preserve">il documento è cambiato dopo questa nota</w:t>
      </w:r>
      <w:r>
        <w:rPr>
          <w:rFonts w:ascii="Barlow Semi Condensed" w:cs="Barlow Semi Condensed" w:eastAsia="Barlow Semi Condensed" w:hAnsi="Barlow Semi Condensed"/>
          <w:i w:val="false"/>
          <w:iCs w:val="false"/>
          <w:sz w:val="21"/>
          <w:szCs w:val="21"/>
        </w:rPr>
        <w:t xml:space="preserve"> ed è la nota a dover essere aggiornata, non il documento a essere sospetto.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 — L'elenco che arriva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_verifiche/verifica-elenco-trentatre-nomi-p2.md</w:t>
      </w:r>
      <w:r>
        <w:rPr>
          <w:rFonts w:ascii="Barlow Semi Condensed" w:cs="Barlow Semi Condensed" w:eastAsia="Barlow Semi Condensed" w:hAnsi="Barlow Semi Condensed"/>
          <w:i w:val="false"/>
          <w:iCs w:val="false"/>
          <w:sz w:val="21"/>
          <w:szCs w:val="21"/>
        </w:rPr>
        <w:t xml:space="preserve"> — la scheda di verifica dell'elenco esterno. Ne vengono l'imbuto a quattro strati, la tavola 33/33/20/1/0, la posizione contestata in sede giudiziaria, i quattro nomi per i quali la ricerca non ha reperito conferma.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secondaria:</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moro-ministro-esteri/terza-campagna/terza-ricognizione-spagna-opus-dei.md</w:t>
      </w:r>
      <w:r>
        <w:rPr>
          <w:rFonts w:ascii="Barlow Semi Condensed" w:cs="Barlow Semi Condensed" w:eastAsia="Barlow Semi Condensed" w:hAnsi="Barlow Semi Condensed"/>
          <w:i w:val="false"/>
          <w:iCs w:val="false"/>
          <w:sz w:val="21"/>
          <w:szCs w:val="21"/>
        </w:rPr>
        <w:t xml:space="preserve"> — il caso spagnolo del 23 luglio 1969, da cui il dato empirico contro l'inferenza collettiva: il funzionario che denunciò e coloro che ne furono travolti appartenevano al medesimo sodalizio.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l'argomento sulla regola — che l'appartenenza non provi la condotta è, nel corpus, una disciplina dichiarata; nel libro è argomentata. E la prova di collaudo del metodo, che nel corpus non c'è.</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II — L'uomo prima del caso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aldo-moro-una-guerra-senza-fine-fase-ottava-il-ritratto.md</w:t>
      </w:r>
      <w:r>
        <w:rPr>
          <w:rFonts w:ascii="Barlow Semi Condensed" w:cs="Barlow Semi Condensed" w:eastAsia="Barlow Semi Condensed" w:hAnsi="Barlow Semi Condensed"/>
          <w:i w:val="false"/>
          <w:iCs w:val="false"/>
          <w:sz w:val="21"/>
          <w:szCs w:val="21"/>
        </w:rPr>
        <w:t xml:space="preserve"> — Maglie 1916, la FUCI e il Movimento dei Laureati Cattolici, la guida spirituale di Montini, la cattedra di Bari dal 1948, la Costituente, le cinque presidenze del Consiglio, la strategia dell'attenzione formulata a Bari il 15 giugno 1969, la «terza fase» nell'articolo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dicembre 1976.</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sull'enunciato che tiene aperte due strade. Il corpus registra la formula ampia come tratto; il libro la tratta come problema di prova, che è cosa diversa.</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III — Gli anni della Farnesina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i 34 documenti di </w:t>
      </w:r>
      <w:r>
        <w:rPr>
          <w:rFonts w:ascii="Consolas" w:cs="Consolas" w:eastAsia="Consolas" w:hAnsi="Consolas"/>
          <w:i w:val="false"/>
          <w:iCs w:val="false"/>
          <w:sz w:val="19"/>
          <w:szCs w:val="19"/>
        </w:rPr>
        <w:t xml:space="preserve">moro-ministro-esteri/</w:t>
      </w:r>
      <w:r>
        <w:rPr>
          <w:rFonts w:ascii="Barlow Semi Condensed" w:cs="Barlow Semi Condensed" w:eastAsia="Barlow Semi Condensed" w:hAnsi="Barlow Semi Condensed"/>
          <w:i w:val="false"/>
          <w:iCs w:val="false"/>
          <w:sz w:val="21"/>
          <w:szCs w:val="21"/>
        </w:rPr>
        <w:t xml:space="preserve">, fra cui le ventiquattro parti della terza campagna. Lo spoglio è riproducibile con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il criterio è scritto nello script prima degli esiti.</w:t>
      </w:r>
    </w:p>
    <w:p>
      <w:pPr>
        <w:spacing w:after="120" w:line="290"/>
        <w:jc w:val="both"/>
      </w:pPr>
      <w:r>
        <w:rPr>
          <w:rFonts w:ascii="Barlow Semi Condensed" w:cs="Barlow Semi Condensed" w:eastAsia="Barlow Semi Condensed" w:hAnsi="Barlow Semi Condensed"/>
          <w:b/>
          <w:bCs/>
          <w:i w:val="false"/>
          <w:iCs w:val="false"/>
          <w:sz w:val="21"/>
          <w:szCs w:val="21"/>
        </w:rPr>
        <w:t xml:space="preserve">Documenti da cui vengono le voci della tavola:</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terza-campagna/quarta-ricognizione-portogallo-santa-sede.md</w:t>
      </w:r>
      <w:r>
        <w:rPr>
          <w:rFonts w:ascii="Barlow Semi Condensed" w:cs="Barlow Semi Condensed" w:eastAsia="Barlow Semi Condensed" w:hAnsi="Barlow Semi Condensed"/>
          <w:i w:val="false"/>
          <w:iCs w:val="false"/>
          <w:sz w:val="21"/>
          <w:szCs w:val="21"/>
        </w:rPr>
        <w:t xml:space="preserve"> (conferenza romana del giugno 1970, udienza del 1° luglio, espulsione del 13 aprile 1974); </w:t>
      </w:r>
      <w:r>
        <w:rPr>
          <w:rFonts w:ascii="Consolas" w:cs="Consolas" w:eastAsia="Consolas" w:hAnsi="Consolas"/>
          <w:i w:val="false"/>
          <w:iCs w:val="false"/>
          <w:sz w:val="19"/>
          <w:szCs w:val="19"/>
        </w:rPr>
        <w:t xml:space="preserve">terza-campagna/quattordicesima-ricognizione-la-calibrazione-libica.md</w:t>
      </w:r>
      <w:r>
        <w:rPr>
          <w:rFonts w:ascii="Barlow Semi Condensed" w:cs="Barlow Semi Condensed" w:eastAsia="Barlow Semi Condensed" w:hAnsi="Barlow Semi Condensed"/>
          <w:i w:val="false"/>
          <w:iCs w:val="false"/>
          <w:sz w:val="21"/>
          <w:szCs w:val="21"/>
        </w:rPr>
        <w:t xml:space="preserve"> (Tripoli 1970 e 1971, negoziato di Parigi con la Cina); </w:t>
      </w:r>
      <w:r>
        <w:rPr>
          <w:rFonts w:ascii="Consolas" w:cs="Consolas" w:eastAsia="Consolas" w:hAnsi="Consolas"/>
          <w:i w:val="false"/>
          <w:iCs w:val="false"/>
          <w:sz w:val="19"/>
          <w:szCs w:val="19"/>
        </w:rPr>
        <w:t xml:space="preserve">terza-campagna/terza-ricognizione-spagna-opus-dei.md</w:t>
      </w:r>
      <w:r>
        <w:rPr>
          <w:rFonts w:ascii="Barlow Semi Condensed" w:cs="Barlow Semi Condensed" w:eastAsia="Barlow Semi Condensed" w:hAnsi="Barlow Semi Condensed"/>
          <w:i w:val="false"/>
          <w:iCs w:val="false"/>
          <w:sz w:val="21"/>
          <w:szCs w:val="21"/>
        </w:rPr>
        <w:t xml:space="preserve"> (sequenza spagnola, fucilazioni del 27 settembre 1975 coi cinque nomi); </w:t>
      </w:r>
      <w:r>
        <w:rPr>
          <w:rFonts w:ascii="Consolas" w:cs="Consolas" w:eastAsia="Consolas" w:hAnsi="Consolas"/>
          <w:i w:val="false"/>
          <w:iCs w:val="false"/>
          <w:sz w:val="19"/>
          <w:szCs w:val="19"/>
        </w:rPr>
        <w:t xml:space="preserve">terza-campagna/ottava-ricognizione-mediterraneo-orientale.md</w:t>
      </w:r>
      <w:r>
        <w:rPr>
          <w:rFonts w:ascii="Barlow Semi Condensed" w:cs="Barlow Semi Condensed" w:eastAsia="Barlow Semi Condensed" w:hAnsi="Barlow Semi Condensed"/>
          <w:i w:val="false"/>
          <w:iCs w:val="false"/>
          <w:sz w:val="21"/>
          <w:szCs w:val="21"/>
        </w:rPr>
        <w:t xml:space="preserve"> e </w:t>
      </w:r>
      <w:r>
        <w:rPr>
          <w:rFonts w:ascii="Consolas" w:cs="Consolas" w:eastAsia="Consolas" w:hAnsi="Consolas"/>
          <w:i w:val="false"/>
          <w:iCs w:val="false"/>
          <w:sz w:val="19"/>
          <w:szCs w:val="19"/>
        </w:rPr>
        <w:t xml:space="preserve">originali/grecia-opus-dei-1969-1985.md</w:t>
      </w:r>
      <w:r>
        <w:rPr>
          <w:rFonts w:ascii="Barlow Semi Condensed" w:cs="Barlow Semi Condensed" w:eastAsia="Barlow Semi Condensed" w:hAnsi="Barlow Semi Condensed"/>
          <w:i w:val="false"/>
          <w:iCs w:val="false"/>
          <w:sz w:val="21"/>
          <w:szCs w:val="21"/>
        </w:rPr>
        <w:t xml:space="preserve"> (Cipro, CSCE); </w:t>
      </w:r>
      <w:r>
        <w:rPr>
          <w:rFonts w:ascii="Consolas" w:cs="Consolas" w:eastAsia="Consolas" w:hAnsi="Consolas"/>
          <w:i w:val="false"/>
          <w:iCs w:val="false"/>
          <w:sz w:val="19"/>
          <w:szCs w:val="19"/>
        </w:rPr>
        <w:t xml:space="preserve">terza-campagna/diciassettesima-ricognizione-santa-sede-e-sudafrica.md</w:t>
      </w:r>
      <w:r>
        <w:rPr>
          <w:rFonts w:ascii="Barlow Semi Condensed" w:cs="Barlow Semi Condensed" w:eastAsia="Barlow Semi Condensed" w:hAnsi="Barlow Semi Condensed"/>
          <w:i w:val="false"/>
          <w:iCs w:val="false"/>
          <w:sz w:val="21"/>
          <w:szCs w:val="21"/>
        </w:rPr>
        <w:t xml:space="preserve"> (risoluzioni namibiane); </w:t>
      </w:r>
      <w:r>
        <w:rPr>
          <w:rFonts w:ascii="Consolas" w:cs="Consolas" w:eastAsia="Consolas" w:hAnsi="Consolas"/>
          <w:i w:val="false"/>
          <w:iCs w:val="false"/>
          <w:sz w:val="19"/>
          <w:szCs w:val="19"/>
        </w:rPr>
        <w:t xml:space="preserve">triangolazione-seconda-campagna.md</w:t>
      </w:r>
      <w:r>
        <w:rPr>
          <w:rFonts w:ascii="Barlow Semi Condensed" w:cs="Barlow Semi Condensed" w:eastAsia="Barlow Semi Condensed" w:hAnsi="Barlow Semi Condensed"/>
          <w:i w:val="false"/>
          <w:iCs w:val="false"/>
          <w:sz w:val="21"/>
          <w:szCs w:val="21"/>
        </w:rPr>
        <w:t xml:space="preserve"> — tutti dentro </w:t>
      </w:r>
      <w:r>
        <w:rPr>
          <w:rFonts w:ascii="Consolas" w:cs="Consolas" w:eastAsia="Consolas" w:hAnsi="Consolas"/>
          <w:i w:val="false"/>
          <w:iCs w:val="false"/>
          <w:sz w:val="19"/>
          <w:szCs w:val="19"/>
        </w:rPr>
        <w:t xml:space="preserve">moro-ministro-esteri/</w:t>
      </w:r>
      <w:r>
        <w:rPr>
          <w:rFonts w:ascii="Barlow Semi Condensed" w:cs="Barlow Semi Condensed" w:eastAsia="Barlow Semi Condensed" w:hAnsi="Barlow Semi Condensed"/>
          <w:i w:val="false"/>
          <w:iCs w:val="false"/>
          <w:sz w:val="21"/>
          <w:szCs w:val="21"/>
        </w:rPr>
        <w:t xml:space="preserve"> — (la correzione sulla fine del primo mandato).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sulla prova dell'omissione e quella sulla regola che fa vedere e fa non vedere. Il corpus applica entrambe; non le 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IV — Le lettere che qualcuno ha scelto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il Libro quindicesimo — </w:t>
      </w:r>
      <w:r>
        <w:rPr>
          <w:rFonts w:ascii="Consolas" w:cs="Consolas" w:eastAsia="Consolas" w:hAnsi="Consolas"/>
          <w:i w:val="false"/>
          <w:iCs w:val="false"/>
          <w:sz w:val="19"/>
          <w:szCs w:val="19"/>
        </w:rPr>
        <w:t xml:space="preserve">il-registro-dei-cinquantacinque-giorni-opera-seconda.md</w:t>
      </w:r>
      <w:r>
        <w:rPr>
          <w:rFonts w:ascii="Barlow Semi Condensed" w:cs="Barlow Semi Condensed" w:eastAsia="Barlow Semi Condensed" w:hAnsi="Barlow Semi Condensed"/>
          <w:i w:val="false"/>
          <w:iCs w:val="false"/>
          <w:sz w:val="21"/>
          <w:szCs w:val="21"/>
        </w:rPr>
        <w:t xml:space="preserve"> — per le tre classi di scritti e per la selezione che la seconda dimostra; </w:t>
      </w:r>
      <w:r>
        <w:rPr>
          <w:rFonts w:ascii="Consolas" w:cs="Consolas" w:eastAsia="Consolas" w:hAnsi="Consolas"/>
          <w:i w:val="false"/>
          <w:iCs w:val="false"/>
          <w:sz w:val="19"/>
          <w:szCs w:val="19"/>
        </w:rPr>
        <w:t xml:space="preserve">aldo-moro-una-guerra-senza-fine-fase-ottava-il-ritratto.md</w:t>
      </w:r>
      <w:r>
        <w:rPr>
          <w:rFonts w:ascii="Barlow Semi Condensed" w:cs="Barlow Semi Condensed" w:eastAsia="Barlow Semi Condensed" w:hAnsi="Barlow Semi Condensed"/>
          <w:i w:val="false"/>
          <w:iCs w:val="false"/>
          <w:sz w:val="21"/>
          <w:szCs w:val="21"/>
        </w:rPr>
        <w:t xml:space="preserve"> per il numero (circa novanta scritti epistolari, marzo-maggio 1978); </w:t>
      </w:r>
      <w:r>
        <w:rPr>
          <w:rFonts w:ascii="Consolas" w:cs="Consolas" w:eastAsia="Consolas" w:hAnsi="Consolas"/>
          <w:i w:val="false"/>
          <w:iCs w:val="false"/>
          <w:sz w:val="19"/>
          <w:szCs w:val="19"/>
        </w:rPr>
        <w:t xml:space="preserve">italia-nera/registro-v77-l-opera-simile-a-se-stessa.md</w:t>
      </w:r>
      <w:r>
        <w:rPr>
          <w:rFonts w:ascii="Barlow Semi Condensed" w:cs="Barlow Semi Condensed" w:eastAsia="Barlow Semi Condensed" w:hAnsi="Barlow Semi Condensed"/>
          <w:i w:val="false"/>
          <w:iCs w:val="false"/>
          <w:sz w:val="21"/>
          <w:szCs w:val="21"/>
        </w:rPr>
        <w:t xml:space="preserve"> per le tre ignoranze dichiarate dall'autorità archivistica.</w:t>
      </w:r>
    </w:p>
    <w:p>
      <w:pPr>
        <w:spacing w:after="120" w:line="290"/>
        <w:jc w:val="both"/>
      </w:pPr>
      <w:r>
        <w:rPr>
          <w:rFonts w:ascii="Barlow Semi Condensed" w:cs="Barlow Semi Condensed" w:eastAsia="Barlow Semi Condensed" w:hAnsi="Barlow Semi Condensed"/>
          <w:b/>
          <w:bCs/>
          <w:i w:val="false"/>
          <w:iCs w:val="false"/>
          <w:sz w:val="21"/>
          <w:szCs w:val="21"/>
        </w:rPr>
        <w:t xml:space="preserve">Avvertenza sul perimetro:</w:t>
      </w:r>
      <w:r>
        <w:rPr>
          <w:rFonts w:ascii="Barlow Semi Condensed" w:cs="Barlow Semi Condensed" w:eastAsia="Barlow Semi Condensed" w:hAnsi="Barlow Semi Condensed"/>
          <w:i w:val="false"/>
          <w:iCs w:val="false"/>
          <w:sz w:val="21"/>
          <w:szCs w:val="21"/>
        </w:rPr>
        <w:t xml:space="preserve"> l'ultimo documento appartiene a </w:t>
      </w:r>
      <w:r>
        <w:rPr>
          <w:rFonts w:ascii="Barlow Semi Condensed" w:cs="Barlow Semi Condensed" w:eastAsia="Barlow Semi Condensed" w:hAnsi="Barlow Semi Condensed"/>
          <w:b/>
          <w:bCs/>
          <w:i w:val="false"/>
          <w:iCs w:val="false"/>
          <w:sz w:val="21"/>
          <w:szCs w:val="21"/>
        </w:rPr>
        <w:t xml:space="preserve">Italia Nera</w:t>
      </w:r>
      <w:r>
        <w:rPr>
          <w:rFonts w:ascii="Barlow Semi Condensed" w:cs="Barlow Semi Condensed" w:eastAsia="Barlow Semi Condensed" w:hAnsi="Barlow Semi Condensed"/>
          <w:i w:val="false"/>
          <w:iCs w:val="false"/>
          <w:sz w:val="21"/>
          <w:szCs w:val="21"/>
        </w:rPr>
        <w:t xml:space="preserve">, che è opera distinta. È citato come fonte, non incorporato, e il fatto che la sua provenienza sia altra è dichiarato qui perché non lo si scopra dopo.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sulla copia quando l'originale non c'è più, e la conseguenza che ne trae — la perdita degli originali non ha sottratto il contenuto ma lo strumento con cui misurarne la libertà.</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 — L'archivio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_verifiche/certificazione-numeri-p2.md</w:t>
      </w:r>
      <w:r>
        <w:rPr>
          <w:rFonts w:ascii="Barlow Semi Condensed" w:cs="Barlow Semi Condensed" w:eastAsia="Barlow Semi Condensed" w:hAnsi="Barlow Semi Condensed"/>
          <w:i w:val="false"/>
          <w:iCs w:val="false"/>
          <w:sz w:val="21"/>
          <w:szCs w:val="21"/>
        </w:rPr>
        <w:t xml:space="preserve">, in particolare la seconda e la terza annotazione: la segnatura Doc. XXIII n. 2-quater/2/I, gli allegati 13 (I, 258-280) e 21 (I, 474-507), lo Stato Zero d'ambiente coi domini nominati, le divergenze su due nomi che si registrano e non si sciolgono.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per il riscontro riuscito:</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_verifiche/campagna-ricerca-numeri-p2-relazione.md</w:t>
      </w:r>
      <w:r>
        <w:rPr>
          <w:rFonts w:ascii="Barlow Semi Condensed" w:cs="Barlow Semi Condensed" w:eastAsia="Barlow Semi Condensed" w:hAnsi="Barlow Semi Condensed"/>
          <w:i w:val="false"/>
          <w:iCs w:val="false"/>
          <w:sz w:val="21"/>
          <w:szCs w:val="21"/>
        </w:rPr>
        <w:t xml:space="preserve"> — la relazione della campagna a diciassette ricerche indipendenti, da cui le due righe confermate coi quattro dati che il testo pervenuto non forniva, e la terza coppia attestata.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distinzione fra il notorio e l'acquisito, quella fra il documento e la sua descrizione, e la sezione su quanto valga una conferma — che poteva venire solo dal fatto, registrato nel corpus, che lo stesso procedimento su altri due nomi abbia fallito.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VI — L'aritmetica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_verifiche/certificazione-numeri-p2.md</w:t>
      </w:r>
      <w:r>
        <w:rPr>
          <w:rFonts w:ascii="Barlow Semi Condensed" w:cs="Barlow Semi Condensed" w:eastAsia="Barlow Semi Condensed" w:hAnsi="Barlow Semi Condensed"/>
          <w:i w:val="false"/>
          <w:iCs w:val="false"/>
          <w:sz w:val="21"/>
          <w:szCs w:val="21"/>
        </w:rPr>
        <w:t xml:space="preserve">, tutte e sei le annotazioni, comprese le tre che ritrattano. L'aritmetica dello scarto è riproducibile con </w:t>
      </w:r>
      <w:r>
        <w:rPr>
          <w:rFonts w:ascii="Consolas" w:cs="Consolas" w:eastAsia="Consolas" w:hAnsi="Consolas"/>
          <w:i w:val="false"/>
          <w:iCs w:val="false"/>
          <w:sz w:val="19"/>
          <w:szCs w:val="19"/>
        </w:rPr>
        <w:t xml:space="preserve">_verifiche/generatori/aritmetica_scarto_p2.py</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dell'elenco:</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italia-nera/registri-analitici/elenco-p2-per-fascicolo-v61.md</w:t>
      </w:r>
      <w:r>
        <w:rPr>
          <w:rFonts w:ascii="Barlow Semi Condensed" w:cs="Barlow Semi Condensed" w:eastAsia="Barlow Semi Condensed" w:hAnsi="Barlow Semi Condensed"/>
          <w:i w:val="false"/>
          <w:iCs w:val="false"/>
          <w:sz w:val="21"/>
          <w:szCs w:val="21"/>
        </w:rPr>
        <w:t xml:space="preserve"> — l'elenco dei 962 riordinato per fascicolo, estratto da una copia digitalizzata. </w:t>
      </w:r>
      <w:r>
        <w:rPr>
          <w:rFonts w:ascii="Barlow Semi Condensed" w:cs="Barlow Semi Condensed" w:eastAsia="Barlow Semi Condensed" w:hAnsi="Barlow Semi Condensed"/>
          <w:b/>
          <w:bCs/>
          <w:i w:val="false"/>
          <w:iCs w:val="false"/>
          <w:sz w:val="21"/>
          <w:szCs w:val="21"/>
        </w:rPr>
        <w:t xml:space="preserve">Livello B per unicità della catena documentale</w:t>
      </w:r>
      <w:r>
        <w:rPr>
          <w:rFonts w:ascii="Barlow Semi Condensed" w:cs="Barlow Semi Condensed" w:eastAsia="Barlow Semi Condensed" w:hAnsi="Barlow Semi Condensed"/>
          <w:i w:val="false"/>
          <w:iCs w:val="false"/>
          <w:sz w:val="21"/>
          <w:szCs w:val="21"/>
        </w:rPr>
        <w:t xml:space="preserve">, dichiarato dal documento stesso; e il documento dichiara anche il proprio difetto, il fascicolo 397 assegnato a due nomi. Anche questo appartiene a Italia Nera.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 quando due catene siano davvero due. La convergenza è registrata nel corpus; l'analisi di che cosa la renda una convergenza e non un'eco, no.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VII — Ottocentotredici volte «non trovato»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italia-nera/registro-v77-l-opera-simile-a-se-stessa.md</w:t>
      </w:r>
      <w:r>
        <w:rPr>
          <w:rFonts w:ascii="Barlow Semi Condensed" w:cs="Barlow Semi Condensed" w:eastAsia="Barlow Semi Condensed" w:hAnsi="Barlow Semi Condensed"/>
          <w:i w:val="false"/>
          <w:iCs w:val="false"/>
          <w:sz w:val="21"/>
          <w:szCs w:val="21"/>
        </w:rPr>
        <w:t xml:space="preserve"> per la teoria degli Stati Zero — la graduazione secondo la traccia attesa, ciò che uno Stato Zero non prova, i tre dichiarati dall'autorità archivistica — e per la constatazione severa che una falsa lacuna era stata registrata come lacuna. </w:t>
      </w:r>
      <w:r>
        <w:rPr>
          <w:rFonts w:ascii="Consolas" w:cs="Consolas" w:eastAsia="Consolas" w:hAnsi="Consolas"/>
          <w:i w:val="false"/>
          <w:iCs w:val="false"/>
          <w:sz w:val="19"/>
          <w:szCs w:val="19"/>
        </w:rPr>
        <w:t xml:space="preserve">moro-ministro-esteri/terza-campagna/quinta-ricognizione-portogallo-le-sei-lacune.md</w:t>
      </w:r>
      <w:r>
        <w:rPr>
          <w:rFonts w:ascii="Barlow Semi Condensed" w:cs="Barlow Semi Condensed" w:eastAsia="Barlow Semi Condensed" w:hAnsi="Barlow Semi Condensed"/>
          <w:i w:val="false"/>
          <w:iCs w:val="false"/>
          <w:sz w:val="21"/>
          <w:szCs w:val="21"/>
        </w:rPr>
        <w:t xml:space="preserve"> per lo Stato Zero d'ambiente con causa dichiarata e per la sesta legislatura non interrogabile per parola chiave.</w:t>
      </w:r>
    </w:p>
    <w:p>
      <w:pPr>
        <w:spacing w:after="120" w:line="290"/>
        <w:jc w:val="both"/>
      </w:pPr>
      <w:r>
        <w:rPr>
          <w:rFonts w:ascii="Barlow Semi Condensed" w:cs="Barlow Semi Condensed" w:eastAsia="Barlow Semi Condensed" w:hAnsi="Barlow Semi Condensed"/>
          <w:b/>
          <w:bCs/>
          <w:i w:val="false"/>
          <w:iCs w:val="false"/>
          <w:sz w:val="21"/>
          <w:szCs w:val="21"/>
        </w:rPr>
        <w:t xml:space="preserve">Il conteggio</w:t>
      </w:r>
      <w:r>
        <w:rPr>
          <w:rFonts w:ascii="Barlow Semi Condensed" w:cs="Barlow Semi Condensed" w:eastAsia="Barlow Semi Condensed" w:hAnsi="Barlow Semi Condensed"/>
          <w:i w:val="false"/>
          <w:iCs w:val="false"/>
          <w:sz w:val="21"/>
          <w:szCs w:val="21"/>
        </w:rPr>
        <w:t xml:space="preserve"> che la parte ritira è rifatto ogni volta con </w:t>
      </w:r>
      <w:r>
        <w:rPr>
          <w:rFonts w:ascii="Consolas" w:cs="Consolas" w:eastAsia="Consolas" w:hAnsi="Consolas"/>
          <w:i w:val="false"/>
          <w:iCs w:val="false"/>
          <w:sz w:val="19"/>
          <w:szCs w:val="19"/>
        </w:rPr>
        <w:t xml:space="preserve">_verifiche/generatori/analisi_romanzo.py</w:t>
      </w:r>
      <w:r>
        <w:rPr>
          <w:rFonts w:ascii="Barlow Semi Condensed" w:cs="Barlow Semi Condensed" w:eastAsia="Barlow Semi Condensed" w:hAnsi="Barlow Semi Condensed"/>
          <w:i w:val="false"/>
          <w:iCs w:val="false"/>
          <w:sz w:val="21"/>
          <w:szCs w:val="21"/>
        </w:rPr>
        <w:t xml:space="preserve"> e con la ricerca testuale dichiarata nella parte stessa; i tre perimetri e i loro esiti sono scritti nel testo.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Registro di chiusura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le diciannove voci sono estratte dai documenti del perimetro moroteano con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il criterio, il perimetro e il limite sono dichiarati in apertura del fascicolo. I documenti che le contengono sono nominati voce per voce nel fascicolo stesso.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documenti che il libro non usa, e che pure esistono</w:t>
      </w:r>
    </w:p>
    <w:p>
      <w:pPr>
        <w:spacing w:after="120" w:line="290"/>
        <w:jc w:val="both"/>
      </w:pPr>
      <w:r>
        <w:rPr>
          <w:rFonts w:ascii="Barlow Semi Condensed" w:cs="Barlow Semi Condensed" w:eastAsia="Barlow Semi Condensed" w:hAnsi="Barlow Semi Condensed"/>
          <w:i w:val="false"/>
          <w:iCs w:val="false"/>
          <w:sz w:val="21"/>
          <w:szCs w:val="21"/>
        </w:rPr>
        <w:t xml:space="preserve">Va detto per simmetria, perché un apparato che elenchi solo ciò che ha adoperato lascia credere di avere adoperato tutto.</w:t>
      </w:r>
    </w:p>
    <w:p>
      <w:pPr>
        <w:spacing w:after="120" w:line="290"/>
        <w:jc w:val="both"/>
      </w:pPr>
      <w:r>
        <w:rPr>
          <w:rFonts w:ascii="Barlow Semi Condensed" w:cs="Barlow Semi Condensed" w:eastAsia="Barlow Semi Condensed" w:hAnsi="Barlow Semi Condensed"/>
          <w:i w:val="false"/>
          <w:iCs w:val="false"/>
          <w:sz w:val="21"/>
          <w:szCs w:val="21"/>
        </w:rPr>
        <w:t xml:space="preserve">Il corpus conta oltre duecento file nel perimetro moroteano. Questo libro ne adopera </w:t>
      </w:r>
      <w:r>
        <w:rPr>
          <w:rFonts w:ascii="Barlow Semi Condensed" w:cs="Barlow Semi Condensed" w:eastAsia="Barlow Semi Condensed" w:hAnsi="Barlow Semi Condensed"/>
          <w:b/>
          <w:bCs/>
          <w:i w:val="false"/>
          <w:iCs w:val="false"/>
          <w:sz w:val="21"/>
          <w:szCs w:val="21"/>
        </w:rPr>
        <w:t xml:space="preserve">una dozzina</w:t>
      </w:r>
      <w:r>
        <w:rPr>
          <w:rFonts w:ascii="Barlow Semi Condensed" w:cs="Barlow Semi Condensed" w:eastAsia="Barlow Semi Condensed" w:hAnsi="Barlow Semi Condensed"/>
          <w:i w:val="false"/>
          <w:iCs w:val="false"/>
          <w:sz w:val="21"/>
          <w:szCs w:val="21"/>
        </w:rPr>
        <w:t xml:space="preserve">. Non entrano, fra gli altri: il Dossier maggiore dell'autore, con la sua eccezione dichiarata sulla plausibilità; le opere dei mille blocchi; le undici appendici alla Fase settima; il registro giudiziario; il programma investigativo. Non sono stati esclusi per un giudizio sul loro valore: il libro ha sette parti e un perimetro, e ciò che non serve alle sette parti resta apparato.</w:t>
      </w:r>
    </w:p>
    <w:p>
      <w:pPr>
        <w:spacing w:after="120" w:line="290"/>
        <w:jc w:val="both"/>
      </w:pPr>
      <w:r>
        <w:rPr>
          <w:rFonts w:ascii="Barlow Semi Condensed" w:cs="Barlow Semi Condensed" w:eastAsia="Barlow Semi Condensed" w:hAnsi="Barlow Semi Condensed"/>
          <w:i w:val="false"/>
          <w:iCs w:val="false"/>
          <w:sz w:val="21"/>
          <w:szCs w:val="21"/>
        </w:rPr>
        <w:t xml:space="preserve">Chi cerchi in questo libro una sintesi del corpus non la troverà, e farebbe bene a non cercarla: </w:t>
      </w:r>
      <w:r>
        <w:rPr>
          <w:rFonts w:ascii="Barlow Semi Condensed" w:cs="Barlow Semi Condensed" w:eastAsia="Barlow Semi Condensed" w:hAnsi="Barlow Semi Condensed"/>
          <w:b/>
          <w:bCs/>
          <w:i w:val="false"/>
          <w:iCs w:val="false"/>
          <w:sz w:val="21"/>
          <w:szCs w:val="21"/>
        </w:rPr>
        <w:t xml:space="preserve">il corpus non si riassume, si consulta.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il registro di chiusura in diciannove voci, la nota sulle fonti.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Ogni conteggio di questo libro è riproducibile, e il criterio sta nello strumento: lo spoglio della parte terza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il registro di chiusura in </w:t>
      </w:r>
      <w:r>
        <w:rPr>
          <w:rFonts w:ascii="Consolas" w:cs="Consolas" w:eastAsia="Consolas" w:hAnsi="Consolas"/>
          <w:i w:val="false"/>
          <w:iCs w:val="false"/>
          <w:sz w:val="19"/>
          <w:szCs w:val="19"/>
        </w:rPr>
        <w:t xml:space="preserve">estrai_stati_zero.py</w:t>
      </w:r>
      <w:r>
        <w:rPr>
          <w:rFonts w:ascii="Barlow Semi Condensed" w:cs="Barlow Semi Condensed" w:eastAsia="Barlow Semi Condensed" w:hAnsi="Barlow Semi Condensed"/>
          <w:i w:val="false"/>
          <w:iCs w:val="false"/>
          <w:sz w:val="21"/>
          <w:szCs w:val="21"/>
        </w:rPr>
        <w:t xml:space="preserve">, le misure della revisione in </w:t>
      </w:r>
      <w:r>
        <w:rPr>
          <w:rFonts w:ascii="Consolas" w:cs="Consolas" w:eastAsia="Consolas" w:hAnsi="Consolas"/>
          <w:i w:val="false"/>
          <w:iCs w:val="false"/>
          <w:sz w:val="19"/>
          <w:szCs w:val="19"/>
        </w:rPr>
        <w:t xml:space="preserve">analisi_romanzo.py</w:t>
      </w:r>
      <w:r>
        <w:rPr>
          <w:rFonts w:ascii="Barlow Semi Condensed" w:cs="Barlow Semi Condensed" w:eastAsia="Barlow Semi Condensed" w:hAnsi="Barlow Semi Condensed"/>
          <w:i w:val="false"/>
          <w:iCs w:val="false"/>
          <w:sz w:val="21"/>
          <w:szCs w:val="21"/>
        </w:rPr>
        <w:t xml:space="preserve">, il controllo dei gradi in </w:t>
      </w:r>
      <w:r>
        <w:rPr>
          <w:rFonts w:ascii="Consolas" w:cs="Consolas" w:eastAsia="Consolas" w:hAnsi="Consolas"/>
          <w:i w:val="false"/>
          <w:iCs w:val="false"/>
          <w:sz w:val="19"/>
          <w:szCs w:val="19"/>
        </w:rPr>
        <w:t xml:space="preserve">audit_gradi.py</w:t>
      </w:r>
      <w:r>
        <w:rPr>
          <w:rFonts w:ascii="Barlow Semi Condensed" w:cs="Barlow Semi Condensed" w:eastAsia="Barlow Semi Condensed" w:hAnsi="Barlow Semi Condensed"/>
          <w:i w:val="false"/>
          <w:iCs w:val="false"/>
          <w:sz w:val="21"/>
          <w:szCs w:val="21"/>
        </w:rPr>
        <w:t xml:space="preserve">, la rilegatura di questo volume in </w:t>
      </w:r>
      <w:r>
        <w:rPr>
          <w:rFonts w:ascii="Consolas" w:cs="Consolas" w:eastAsia="Consolas" w:hAnsi="Consolas"/>
          <w:i w:val="false"/>
          <w:iCs w:val="false"/>
          <w:sz w:val="19"/>
          <w:szCs w:val="19"/>
        </w:rPr>
        <w:t xml:space="preserve">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2026-08-28T23:40:29.010Z</dcterms:created>
  <dcterms:modified xsi:type="dcterms:W3CDTF">2026-08-28T23:40:29.010Z</dcterms:modified>
</cp:coreProperties>
</file>

<file path=docProps/custom.xml><?xml version="1.0" encoding="utf-8"?>
<Properties xmlns="http://schemas.openxmlformats.org/officeDocument/2006/custom-properties" xmlns:vt="http://schemas.openxmlformats.org/officeDocument/2006/docPropsVTypes"/>
</file>