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circa quattordicimila parole delle settantacinquemila previste.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ventitré proposizioni, per come stanno</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il §II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§IV.</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w:t>
      </w:r>
      <w:r>
        <w:rPr>
          <w:rFonts w:ascii="Barlow Semi Condensed" w:cs="Barlow Semi Condensed" w:eastAsia="Barlow Semi Condensed" w:hAnsi="Barlow Semi Condensed"/>
          <w:i w:val="false"/>
          <w:iCs w:val="false"/>
          <w:sz w:val="21"/>
          <w:szCs w:val="21"/>
        </w:rPr>
        <w:t xml:space="preserve"> Il corpus lo colloca «nell'ordine di alcune decine» per la parte epistolare, oltre al materiale non epistolare. Una cifra precisa richiede il confronto delle edizioni critiche esistenti, e non è stato fatto: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 la sede è nominata.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Lo spoglio da cui nasce la parte terza è riproducibile: il criterio è scritto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la rilegatura di questo volume in </w:t>
      </w:r>
      <w:r>
        <w:rPr>
          <w:rFonts w:ascii="Consolas" w:cs="Consolas" w:eastAsia="Consolas" w:hAnsi="Consolas"/>
          <w:i w:val="false"/>
          <w:iCs w:val="false"/>
          <w:sz w:val="19"/>
          <w:szCs w:val="19"/>
        </w:rPr>
        <w:t xml:space="preserve">_verifiche/generatori/rilega_romanzo.py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2026-08-28T22:37:02.641Z</dcterms:created>
  <dcterms:modified xsi:type="dcterms:W3CDTF">2026-08-28T22:37:02.641Z</dcterms:modified>
</cp:coreProperties>
</file>

<file path=docProps/custom.xml><?xml version="1.0" encoding="utf-8"?>
<Properties xmlns="http://schemas.openxmlformats.org/officeDocument/2006/custom-properties" xmlns:vt="http://schemas.openxmlformats.org/officeDocument/2006/docPropsVTypes"/>
</file>