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Il dittico della ricerca</w:t>
      </w:r>
    </w:p>
    <w:p>
      <w:pPr>
        <w:spacing w:after="120" w:line="276"/>
        <w:jc w:val="both"/>
      </w:pPr>
      <w:r>
        <w:rPr>
          <w:rFonts w:ascii="Barlow Semi Condensed" w:cs="Barlow Semi Condensed" w:eastAsia="Barlow Semi Condensed" w:hAnsi="Barlow Semi Condensed"/>
          <w:b/>
          <w:bCs/>
          <w:sz w:val="24"/>
          <w:szCs w:val="24"/>
        </w:rPr>
        <w:t xml:space="preserve">L'agenda in trecento blocchi mirati · i nove cantieri in mille blocchi mirati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25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 volume.</w:t>
      </w:r>
      <w:r>
        <w:rPr>
          <w:rFonts w:ascii="Barlow Semi Condensed" w:cs="Barlow Semi Condensed" w:eastAsia="Barlow Semi Condensed" w:hAnsi="Barlow Semi Condensed"/>
          <w:i w:val="false"/>
          <w:iCs w:val="false"/>
          <w:sz w:val="24"/>
          <w:szCs w:val="24"/>
        </w:rPr>
        <w:t xml:space="preserve"> Il dittico rilega il versante di ricerca della quadriga investigativa del corpus. </w:t>
      </w:r>
      <w:r>
        <w:rPr>
          <w:rFonts w:ascii="Barlow Semi Condensed" w:cs="Barlow Semi Condensed" w:eastAsia="Barlow Semi Condensed" w:hAnsi="Barlow Semi Condensed"/>
          <w:b/>
          <w:bCs/>
          <w:i w:val="false"/>
          <w:iCs w:val="false"/>
          <w:sz w:val="24"/>
          <w:szCs w:val="24"/>
        </w:rPr>
        <w:t xml:space="preserve">Parte prima — L'agenda di ricerca</w:t>
      </w:r>
      <w:r>
        <w:rPr>
          <w:rFonts w:ascii="Barlow Semi Condensed" w:cs="Barlow Semi Condensed" w:eastAsia="Barlow Semi Condensed" w:hAnsi="Barlow Semi Condensed"/>
          <w:i w:val="false"/>
          <w:iCs w:val="false"/>
          <w:sz w:val="24"/>
          <w:szCs w:val="24"/>
        </w:rPr>
        <w:t xml:space="preserve">: che cosa cercare e dove, in trecento blocchi mirati ordinati in dodici serie con statuto — i quesiti costitutivi, il giacimento della Direttiva, gli archivi parlamentari, i reperti, le persone, i giacimenti internazionali, le carte private, le scienze nuove, le verifiche di smentita, le cronologie e i registri, i raccordi, il governo — con l'Apparato delle dodici verifiche d'archivio (V-1…V-12). </w:t>
      </w:r>
      <w:r>
        <w:rPr>
          <w:rFonts w:ascii="Barlow Semi Condensed" w:cs="Barlow Semi Condensed" w:eastAsia="Barlow Semi Condensed" w:hAnsi="Barlow Semi Condensed"/>
          <w:b/>
          <w:bCs/>
          <w:i w:val="false"/>
          <w:iCs w:val="false"/>
          <w:sz w:val="24"/>
          <w:szCs w:val="24"/>
        </w:rPr>
        <w:t xml:space="preserve">Parte seconda — I nove cantieri</w:t>
      </w:r>
      <w:r>
        <w:rPr>
          <w:rFonts w:ascii="Barlow Semi Condensed" w:cs="Barlow Semi Condensed" w:eastAsia="Barlow Semi Condensed" w:hAnsi="Barlow Semi Condensed"/>
          <w:i w:val="false"/>
          <w:iCs w:val="false"/>
          <w:sz w:val="24"/>
          <w:szCs w:val="24"/>
        </w:rPr>
        <w:t xml:space="preserve">: l'esecuzione approfondita in mille blocchi mirati e nove Parti con statuto — Regno Unito-Francia-Germania, il Vaticano, i fondi privati, i reperti, il memoriale, l'audio e l'immagine, le scienze forensi, il registro del giudicato, il fascicolo di Roma — con l'Apparato della seconda campagna (C-1…C-9). Milletrecento blocchi in un solo dorso; il gemello operativo (il programma e il manuale) è rilegato nel volume del fascicolo aperto.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La ricerca produce documenti, non colpevoli. Ogni blocco è un bersaglio, non un'affermazione; dove un blocco richiama un fatto, il fatto è verificato e la fonte riportata; gli esiti negativi sono dichiarati come acquisizioni; nessun nome è un esito atteso; l'iscrizione a un'associazione è un fatto e mai la prova di una condotta; gli assolti restano assolti e il registro del giudicato resta l'unico luogo dei nomi.</w:t>
      </w:r>
    </w:p>
    <w:p>
      <w:pPr>
        <w:spacing w:after="120" w:line="276"/>
        <w:jc w:val="both"/>
      </w:pPr>
      <w:r>
        <w:rPr>
          <w:rFonts w:ascii="Barlow Semi Condensed" w:cs="Barlow Semi Condensed" w:eastAsia="Barlow Semi Condensed" w:hAnsi="Barlow Semi Condensed"/>
          <w:sz w:val="24"/>
          <w:szCs w:val="24"/>
        </w:rPr>
        <w:t xml:space="preserve">ewpage</w:t>
      </w:r>
    </w:p>
    <w:p>
      <w:pPr>
        <w:pStyle w:val="Heading1"/>
        <w:spacing w:after="120" w:before="240"/>
      </w:pPr>
      <w:r>
        <w:rPr>
          <w:rFonts w:ascii="Barlow Semi Condensed" w:cs="Barlow Semi Condensed" w:eastAsia="Barlow Semi Condensed" w:hAnsi="Barlow Semi Condensed"/>
          <w:sz w:val="24"/>
          <w:szCs w:val="24"/>
        </w:rPr>
        <w:t xml:space="preserve">Parte prima — L'agenda di ricerca in trecento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r>
        <w:br w:type="page"/>
      </w:r>
    </w:p>
    <w:p>
      <w:pPr>
        <w:pStyle w:val="Heading1"/>
        <w:spacing w:after="120" w:before="240"/>
      </w:pPr>
      <w:r>
        <w:rPr>
          <w:rFonts w:ascii="Barlow Semi Condensed" w:cs="Barlow Semi Condensed" w:eastAsia="Barlow Semi Condensed" w:hAnsi="Barlow Semi Condensed"/>
          <w:sz w:val="24"/>
          <w:szCs w:val="24"/>
        </w:rPr>
        <w:t xml:space="preserve">Parte seconda — I nove cantieri in mille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2026-08-25T16:27:11.469Z</dcterms:created>
  <dcterms:modified xsi:type="dcterms:W3CDTF">2026-08-25T16:27:11.469Z</dcterms:modified>
</cp:coreProperties>
</file>

<file path=docProps/custom.xml><?xml version="1.0" encoding="utf-8"?>
<Properties xmlns="http://schemas.openxmlformats.org/officeDocument/2006/custom-properties" xmlns:vt="http://schemas.openxmlformats.org/officeDocument/2006/docPropsVTypes"/>
</file>