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w:t>
      </w:r>
    </w:p>
    <w:p>
      <w:pPr>
        <w:spacing w:after="120" w:line="276"/>
        <w:jc w:val="both"/>
      </w:pPr>
      <w:r>
        <w:rPr>
          <w:rFonts w:ascii="Barlow Semi Condensed" w:cs="Barlow Semi Condensed" w:eastAsia="Barlow Semi Condensed" w:hAnsi="Barlow Semi Condensed"/>
          <w:b/>
          <w:bCs/>
          <w:sz w:val="24"/>
          <w:szCs w:val="24"/>
        </w:rPr>
        <w:t xml:space="preserve">Mille blocchi mirati di ricerca, ordinati in tredici serie con statuto — Libro tredicesimo dell’Opera integrale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26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copertina.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una continuità dal Sud Africa dell’apartheid alla cosiddetta PayPal Mafia. La chiave è accolta e dichiarata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raccogliesse soltanto ciò che la conferma non sarebbe una ricerca: sarebbe un’arringa. Perciò ogni serie porta con sé i propri bersagli di smentita.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Nessun blocco indica alcuno come responsabile di reato o di illecito</w:t>
      </w:r>
      <w:r>
        <w:rPr>
          <w:rFonts w:ascii="Barlow Semi Condensed" w:cs="Barlow Semi Condensed" w:eastAsia="Barlow Semi Condensed" w:hAnsi="Barlow Semi Condensed"/>
          <w:i w:val="false"/>
          <w:iCs w:val="false"/>
          <w:sz w:val="24"/>
          <w:szCs w:val="24"/>
        </w:rPr>
        <w:t xml:space="preserve">, e nessuna delle persone nominate risulta condannata in relazione ai fatti indagati. I nomi compaiono soltanto per fatti pubblici e documentabili — nascita, residenza, cittadinanza, impiego, parentela, dichiarazioni rese pubblicamente, atti societari depositati — e mai per condotte inferite. L’appartenenza a un Paese, a una scuola, a un’azienda o a una famiglia non è prova di condotta; la contemporaneità non è prova di nesso; </w:t>
      </w:r>
      <w:r>
        <w:rPr>
          <w:rFonts w:ascii="Barlow Semi Condensed" w:cs="Barlow Semi Condensed" w:eastAsia="Barlow Semi Condensed" w:hAnsi="Barlow Semi Condensed"/>
          <w:b/>
          <w:bCs/>
          <w:i w:val="false"/>
          <w:iCs w:val="false"/>
          <w:sz w:val="24"/>
          <w:szCs w:val="24"/>
        </w:rPr>
        <w:t xml:space="preserve">l’origine non è una colpa e l’infanzia non è una scelta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metro.</w:t>
      </w:r>
      <w:r>
        <w:rPr>
          <w:rFonts w:ascii="Barlow Semi Condensed" w:cs="Barlow Semi Condensed" w:eastAsia="Barlow Semi Condensed" w:hAnsi="Barlow Semi Condensed"/>
          <w:i w:val="false"/>
          <w:iCs w:val="false"/>
          <w:sz w:val="24"/>
          <w:szCs w:val="24"/>
        </w:rPr>
        <w:t xml:space="preserve"> Vale in ogni pagina la regola dei tre piani — rapporto diretto documentato, convergenza strutturale, affermazione terziaria: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E vale la distinzione fra omologia e analogia: dalla somiglianza del risultato non si deduce l’antenato comune. Le divergenze si riportano e non si sciolgono in silenzio; lo Stato Zero è un’acquisizione di pieno valore e si scrive con la sede d’archivio che lo chiuderebbe. La tredicesima serie chiude l’opera fermando la tesi nel punto in cui diventerebbe un’imputazione: </w:t>
      </w:r>
      <w:r>
        <w:rPr>
          <w:rFonts w:ascii="Barlow Semi Condensed" w:cs="Barlow Semi Condensed" w:eastAsia="Barlow Semi Condensed" w:hAnsi="Barlow Semi Condensed"/>
          <w:b/>
          <w:bCs/>
          <w:i w:val="false"/>
          <w:iCs w:val="false"/>
          <w:sz w:val="24"/>
          <w:szCs w:val="24"/>
        </w:rPr>
        <w:t xml:space="preserve">la responsabilità è personale e non si eredita.</w:t>
      </w:r>
    </w:p>
    <w:p>
      <w:r>
        <w:br w:type="page"/>
      </w:r>
    </w:p>
    <w:p>
      <w:pPr>
        <w:pStyle w:val="Heading1"/>
        <w:spacing w:after="120" w:before="240"/>
      </w:pPr>
      <w:r>
        <w:rPr>
          <w:rFonts w:ascii="Barlow Semi Condensed" w:cs="Barlow Semi Condensed" w:eastAsia="Barlow Semi Condensed" w:hAnsi="Barlow Semi Condensed"/>
          <w:sz w:val="24"/>
          <w:szCs w:val="24"/>
        </w:rPr>
        <w:t xml:space="preserve">Il frontespizio dell'opera — la chiave, lo statuto delle persone, i mille bersagli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senza pace» (che dal 26 agosto 2026 sostituisce «La Seconda Guerra Mondiale non ha mai avuto fine», con la stessa disciplina: lente e non sentenza).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2026-08-26T18:51:53.785Z</dcterms:created>
  <dcterms:modified xsi:type="dcterms:W3CDTF">2026-08-26T18:51:53.786Z</dcterms:modified>
</cp:coreProperties>
</file>

<file path=docProps/custom.xml><?xml version="1.0" encoding="utf-8"?>
<Properties xmlns="http://schemas.openxmlformats.org/officeDocument/2006/custom-properties" xmlns:vt="http://schemas.openxmlformats.org/officeDocument/2006/docPropsVTypes"/>
</file>